
<file path=[Content_Types].xml><?xml version="1.0" encoding="utf-8"?>
<Types xmlns="http://schemas.openxmlformats.org/package/2006/content-types">
  <Default Extension="png" ContentType="image/png"/>
  <Default Extension="jpeg" ContentType="image/jpe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C7F56" w:rsidRPr="008A0DCE" w:rsidRDefault="00CC7F56" w:rsidP="00CC7F56">
      <w:pPr>
        <w:pStyle w:val="Titletype"/>
        <w:spacing w:line="400" w:lineRule="exact"/>
        <w:ind w:right="-397"/>
        <w:rPr>
          <w:noProof/>
          <w:lang w:eastAsia="en-GB"/>
        </w:rPr>
      </w:pPr>
      <w:bookmarkStart w:id="0" w:name="_GoBack"/>
      <w:bookmarkEnd w:id="0"/>
      <w:r w:rsidRPr="00196691">
        <w:rPr>
          <w:noProof/>
          <w:lang w:val="en-AU" w:eastAsia="en-AU"/>
        </w:rPr>
        <w:drawing>
          <wp:anchor distT="0" distB="0" distL="114300" distR="114300" simplePos="0" relativeHeight="251659264" behindDoc="0" locked="0" layoutInCell="1" allowOverlap="1" wp14:anchorId="4BF19718" wp14:editId="0E3E55A7">
            <wp:simplePos x="0" y="0"/>
            <wp:positionH relativeFrom="page">
              <wp:posOffset>0</wp:posOffset>
            </wp:positionH>
            <wp:positionV relativeFrom="page">
              <wp:posOffset>9525</wp:posOffset>
            </wp:positionV>
            <wp:extent cx="3722370" cy="1069213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722370" cy="1069213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lang w:eastAsia="en-GB"/>
        </w:rPr>
        <w:t xml:space="preserve">Updated final </w:t>
      </w:r>
      <w:r w:rsidRPr="008A0DCE">
        <w:t>report for the Australian Communications and Media Authority (ACMA)</w:t>
      </w:r>
    </w:p>
    <w:p w:rsidR="00CC7F56" w:rsidRPr="008A0DCE" w:rsidRDefault="00F13239" w:rsidP="00CC7F56">
      <w:pPr>
        <w:pStyle w:val="Titlemain"/>
      </w:pPr>
      <w:r>
        <w:t xml:space="preserve">Mobile Network </w:t>
      </w:r>
      <w:r w:rsidR="004709D9">
        <w:t>Infrastructure</w:t>
      </w:r>
      <w:r w:rsidR="00B707A1">
        <w:t xml:space="preserve"> Forecasts</w:t>
      </w:r>
      <w:r w:rsidRPr="008A0DCE">
        <w:t xml:space="preserve"> </w:t>
      </w:r>
      <w:r w:rsidR="00CC7F56" w:rsidRPr="008A0DCE">
        <w:t>(</w:t>
      </w:r>
      <w:r w:rsidR="00CC7F56">
        <w:t>Contracts</w:t>
      </w:r>
      <w:r w:rsidR="00CC7F56" w:rsidRPr="008A0DCE">
        <w:t xml:space="preserve"> 13ACMA013</w:t>
      </w:r>
      <w:r w:rsidR="00CC7F56">
        <w:t xml:space="preserve"> and 14ACMA149</w:t>
      </w:r>
      <w:r w:rsidR="00CC7F56" w:rsidRPr="008A0DCE">
        <w:t>)</w:t>
      </w:r>
    </w:p>
    <w:p w:rsidR="00CC7F56" w:rsidRPr="008A0DCE" w:rsidRDefault="00BF6B7D" w:rsidP="00CC7F56">
      <w:pPr>
        <w:pStyle w:val="Titledate"/>
      </w:pPr>
      <w:r>
        <w:t>10 June</w:t>
      </w:r>
      <w:r w:rsidR="0044304B">
        <w:t xml:space="preserve"> 2015</w:t>
      </w:r>
    </w:p>
    <w:p w:rsidR="00CC7F56" w:rsidRPr="008A0DCE" w:rsidRDefault="00CC7F56" w:rsidP="00CC7F56">
      <w:pPr>
        <w:pStyle w:val="Titleauthor"/>
      </w:pPr>
      <w:r w:rsidRPr="008A0DCE">
        <w:t>Philip Bates and Loïc Tchoukriel-Th</w:t>
      </w:r>
      <w:r w:rsidRPr="008A0DCE">
        <w:rPr>
          <w:rFonts w:cs="Arial"/>
        </w:rPr>
        <w:t>é</w:t>
      </w:r>
      <w:r w:rsidRPr="008A0DCE">
        <w:t>baud</w:t>
      </w:r>
    </w:p>
    <w:p w:rsidR="00CC7F56" w:rsidRPr="008A0DCE" w:rsidRDefault="00CC7F56" w:rsidP="00CC7F56">
      <w:pPr>
        <w:pStyle w:val="TitleRefNo"/>
      </w:pPr>
      <w:r w:rsidRPr="008A0DCE">
        <w:t xml:space="preserve">Ref: </w:t>
      </w:r>
      <w:r w:rsidR="00BF6B7D">
        <w:t>2001604-244</w:t>
      </w:r>
    </w:p>
    <w:p w:rsidR="005C5516" w:rsidRPr="000529FB" w:rsidRDefault="005C5516" w:rsidP="005C5516">
      <w:pPr>
        <w:pStyle w:val="ConfidentialFront"/>
      </w:pPr>
      <w:r>
        <w:fldChar w:fldCharType="begin"/>
      </w:r>
      <w:r>
        <w:instrText xml:space="preserve"> DOCPROPERTY "Descriptor" \* MERGEFORMAT </w:instrText>
      </w:r>
      <w:r>
        <w:fldChar w:fldCharType="separate"/>
      </w:r>
      <w:r w:rsidR="0005766B">
        <w:rPr>
          <w:b/>
          <w:bCs/>
          <w:lang w:val="en-US"/>
        </w:rPr>
        <w:t>Error! Unknown document property name.</w:t>
      </w:r>
      <w:r>
        <w:fldChar w:fldCharType="end"/>
      </w:r>
    </w:p>
    <w:p w:rsidR="00686A81" w:rsidRDefault="00686A81">
      <w:pPr>
        <w:sectPr w:rsidR="00686A81">
          <w:footerReference w:type="default" r:id="rId10"/>
          <w:type w:val="oddPage"/>
          <w:pgSz w:w="11907" w:h="16840" w:code="9"/>
          <w:pgMar w:top="1418" w:right="1588" w:bottom="1418" w:left="1588" w:header="567" w:footer="567" w:gutter="0"/>
          <w:paperSrc w:first="15" w:other="15"/>
          <w:pgNumType w:fmt="lowerRoman" w:start="1"/>
          <w:cols w:space="720"/>
          <w:titlePg/>
          <w:docGrid w:linePitch="299"/>
        </w:sectPr>
      </w:pPr>
    </w:p>
    <w:p w:rsidR="00686A81" w:rsidRDefault="00686A81">
      <w:pPr>
        <w:pStyle w:val="Contentsheading"/>
      </w:pPr>
      <w:r>
        <w:lastRenderedPageBreak/>
        <w:t>Contents</w:t>
      </w:r>
    </w:p>
    <w:p w:rsidR="00655AF5" w:rsidRDefault="00686A81">
      <w:pPr>
        <w:pStyle w:val="TOC1"/>
        <w:rPr>
          <w:rFonts w:asciiTheme="minorHAnsi" w:eastAsiaTheme="minorEastAsia" w:hAnsiTheme="minorHAnsi" w:cstheme="minorBidi"/>
          <w:b w:val="0"/>
          <w:noProof/>
          <w:lang w:eastAsia="en-GB"/>
        </w:rPr>
      </w:pPr>
      <w:r>
        <w:fldChar w:fldCharType="begin"/>
      </w:r>
      <w:r>
        <w:instrText xml:space="preserve"> TOC \t "Part,1, Heading 1,1, Heading 2,2" </w:instrText>
      </w:r>
      <w:r>
        <w:fldChar w:fldCharType="separate"/>
      </w:r>
      <w:r w:rsidR="00655AF5">
        <w:rPr>
          <w:noProof/>
        </w:rPr>
        <w:t>Glossary of acronyms</w:t>
      </w:r>
      <w:r w:rsidR="00655AF5">
        <w:rPr>
          <w:noProof/>
        </w:rPr>
        <w:tab/>
      </w:r>
      <w:r w:rsidR="00655AF5">
        <w:rPr>
          <w:noProof/>
        </w:rPr>
        <w:fldChar w:fldCharType="begin"/>
      </w:r>
      <w:r w:rsidR="00655AF5">
        <w:rPr>
          <w:noProof/>
        </w:rPr>
        <w:instrText xml:space="preserve"> PAGEREF _Toc409445575 \h </w:instrText>
      </w:r>
      <w:r w:rsidR="00655AF5">
        <w:rPr>
          <w:noProof/>
        </w:rPr>
      </w:r>
      <w:r w:rsidR="00655AF5">
        <w:rPr>
          <w:noProof/>
        </w:rPr>
        <w:fldChar w:fldCharType="separate"/>
      </w:r>
      <w:r w:rsidR="00A87B65">
        <w:rPr>
          <w:noProof/>
        </w:rPr>
        <w:t>i</w:t>
      </w:r>
      <w:r w:rsidR="00655AF5">
        <w:rPr>
          <w:noProof/>
        </w:rPr>
        <w:fldChar w:fldCharType="end"/>
      </w:r>
    </w:p>
    <w:p w:rsidR="00655AF5" w:rsidRDefault="00655AF5">
      <w:pPr>
        <w:pStyle w:val="TOC1"/>
        <w:rPr>
          <w:rFonts w:asciiTheme="minorHAnsi" w:eastAsiaTheme="minorEastAsia" w:hAnsiTheme="minorHAnsi" w:cstheme="minorBidi"/>
          <w:b w:val="0"/>
          <w:noProof/>
          <w:lang w:eastAsia="en-GB"/>
        </w:rPr>
      </w:pPr>
      <w:r>
        <w:rPr>
          <w:noProof/>
        </w:rPr>
        <w:t>1</w:t>
      </w:r>
      <w:r>
        <w:rPr>
          <w:rFonts w:asciiTheme="minorHAnsi" w:eastAsiaTheme="minorEastAsia" w:hAnsiTheme="minorHAnsi" w:cstheme="minorBidi"/>
          <w:b w:val="0"/>
          <w:noProof/>
          <w:lang w:eastAsia="en-GB"/>
        </w:rPr>
        <w:tab/>
      </w:r>
      <w:r>
        <w:rPr>
          <w:noProof/>
        </w:rPr>
        <w:t>Executive summary</w:t>
      </w:r>
      <w:r>
        <w:rPr>
          <w:noProof/>
        </w:rPr>
        <w:tab/>
      </w:r>
      <w:r>
        <w:rPr>
          <w:noProof/>
        </w:rPr>
        <w:fldChar w:fldCharType="begin"/>
      </w:r>
      <w:r>
        <w:rPr>
          <w:noProof/>
        </w:rPr>
        <w:instrText xml:space="preserve"> PAGEREF _Toc409445576 \h </w:instrText>
      </w:r>
      <w:r>
        <w:rPr>
          <w:noProof/>
        </w:rPr>
      </w:r>
      <w:r>
        <w:rPr>
          <w:noProof/>
        </w:rPr>
        <w:fldChar w:fldCharType="separate"/>
      </w:r>
      <w:r w:rsidR="00A87B65">
        <w:rPr>
          <w:noProof/>
        </w:rPr>
        <w:t>2</w:t>
      </w:r>
      <w:r>
        <w:rPr>
          <w:noProof/>
        </w:rPr>
        <w:fldChar w:fldCharType="end"/>
      </w:r>
    </w:p>
    <w:p w:rsidR="00655AF5" w:rsidRDefault="00655AF5">
      <w:pPr>
        <w:pStyle w:val="TOC1"/>
        <w:rPr>
          <w:rFonts w:asciiTheme="minorHAnsi" w:eastAsiaTheme="minorEastAsia" w:hAnsiTheme="minorHAnsi" w:cstheme="minorBidi"/>
          <w:b w:val="0"/>
          <w:noProof/>
          <w:lang w:eastAsia="en-GB"/>
        </w:rPr>
      </w:pPr>
      <w:r>
        <w:rPr>
          <w:noProof/>
        </w:rPr>
        <w:t>2</w:t>
      </w:r>
      <w:r>
        <w:rPr>
          <w:rFonts w:asciiTheme="minorHAnsi" w:eastAsiaTheme="minorEastAsia" w:hAnsiTheme="minorHAnsi" w:cstheme="minorBidi"/>
          <w:b w:val="0"/>
          <w:noProof/>
          <w:lang w:eastAsia="en-GB"/>
        </w:rPr>
        <w:tab/>
      </w:r>
      <w:r>
        <w:rPr>
          <w:noProof/>
        </w:rPr>
        <w:t>Introduction</w:t>
      </w:r>
      <w:r>
        <w:rPr>
          <w:noProof/>
        </w:rPr>
        <w:tab/>
      </w:r>
      <w:r>
        <w:rPr>
          <w:noProof/>
        </w:rPr>
        <w:fldChar w:fldCharType="begin"/>
      </w:r>
      <w:r>
        <w:rPr>
          <w:noProof/>
        </w:rPr>
        <w:instrText xml:space="preserve"> PAGEREF _Toc409445577 \h </w:instrText>
      </w:r>
      <w:r>
        <w:rPr>
          <w:noProof/>
        </w:rPr>
      </w:r>
      <w:r>
        <w:rPr>
          <w:noProof/>
        </w:rPr>
        <w:fldChar w:fldCharType="separate"/>
      </w:r>
      <w:r w:rsidR="00A87B65">
        <w:rPr>
          <w:noProof/>
        </w:rPr>
        <w:t>8</w:t>
      </w:r>
      <w:r>
        <w:rPr>
          <w:noProof/>
        </w:rPr>
        <w:fldChar w:fldCharType="end"/>
      </w:r>
    </w:p>
    <w:p w:rsidR="00655AF5" w:rsidRDefault="00655AF5">
      <w:pPr>
        <w:pStyle w:val="TOC1"/>
        <w:rPr>
          <w:rFonts w:asciiTheme="minorHAnsi" w:eastAsiaTheme="minorEastAsia" w:hAnsiTheme="minorHAnsi" w:cstheme="minorBidi"/>
          <w:b w:val="0"/>
          <w:noProof/>
          <w:lang w:eastAsia="en-GB"/>
        </w:rPr>
      </w:pPr>
      <w:r>
        <w:rPr>
          <w:noProof/>
        </w:rPr>
        <w:t>3</w:t>
      </w:r>
      <w:r>
        <w:rPr>
          <w:rFonts w:asciiTheme="minorHAnsi" w:eastAsiaTheme="minorEastAsia" w:hAnsiTheme="minorHAnsi" w:cstheme="minorBidi"/>
          <w:b w:val="0"/>
          <w:noProof/>
          <w:lang w:eastAsia="en-GB"/>
        </w:rPr>
        <w:tab/>
      </w:r>
      <w:r>
        <w:rPr>
          <w:noProof/>
        </w:rPr>
        <w:t>Demographic assumptions, overview of fixed/fixed wireless connections in Australia and evidence on price elasticity</w:t>
      </w:r>
      <w:r>
        <w:rPr>
          <w:noProof/>
        </w:rPr>
        <w:tab/>
      </w:r>
      <w:r>
        <w:rPr>
          <w:noProof/>
        </w:rPr>
        <w:fldChar w:fldCharType="begin"/>
      </w:r>
      <w:r>
        <w:rPr>
          <w:noProof/>
        </w:rPr>
        <w:instrText xml:space="preserve"> PAGEREF _Toc409445578 \h </w:instrText>
      </w:r>
      <w:r>
        <w:rPr>
          <w:noProof/>
        </w:rPr>
      </w:r>
      <w:r>
        <w:rPr>
          <w:noProof/>
        </w:rPr>
        <w:fldChar w:fldCharType="separate"/>
      </w:r>
      <w:r w:rsidR="00A87B65">
        <w:rPr>
          <w:noProof/>
        </w:rPr>
        <w:t>9</w:t>
      </w:r>
      <w:r>
        <w:rPr>
          <w:noProof/>
        </w:rPr>
        <w:fldChar w:fldCharType="end"/>
      </w:r>
    </w:p>
    <w:p w:rsidR="00655AF5" w:rsidRDefault="00655AF5">
      <w:pPr>
        <w:pStyle w:val="TOC2"/>
        <w:rPr>
          <w:rFonts w:asciiTheme="minorHAnsi" w:eastAsiaTheme="minorEastAsia" w:hAnsiTheme="minorHAnsi" w:cstheme="minorBidi"/>
          <w:lang w:eastAsia="en-GB"/>
        </w:rPr>
      </w:pPr>
      <w:r w:rsidRPr="00815AFB">
        <w:rPr>
          <w:rFonts w:ascii="Times New Roman Bold" w:hAnsi="Times New Roman Bold"/>
        </w:rPr>
        <w:t>3.1</w:t>
      </w:r>
      <w:r>
        <w:rPr>
          <w:rFonts w:asciiTheme="minorHAnsi" w:eastAsiaTheme="minorEastAsia" w:hAnsiTheme="minorHAnsi" w:cstheme="minorBidi"/>
          <w:lang w:eastAsia="en-GB"/>
        </w:rPr>
        <w:tab/>
      </w:r>
      <w:r>
        <w:t>Introduction</w:t>
      </w:r>
      <w:r>
        <w:tab/>
      </w:r>
      <w:r>
        <w:fldChar w:fldCharType="begin"/>
      </w:r>
      <w:r>
        <w:instrText xml:space="preserve"> PAGEREF _Toc409445579 \h </w:instrText>
      </w:r>
      <w:r>
        <w:fldChar w:fldCharType="separate"/>
      </w:r>
      <w:r w:rsidR="00A87B65">
        <w:t>9</w:t>
      </w:r>
      <w:r>
        <w:fldChar w:fldCharType="end"/>
      </w:r>
    </w:p>
    <w:p w:rsidR="00655AF5" w:rsidRDefault="00655AF5">
      <w:pPr>
        <w:pStyle w:val="TOC2"/>
        <w:rPr>
          <w:rFonts w:asciiTheme="minorHAnsi" w:eastAsiaTheme="minorEastAsia" w:hAnsiTheme="minorHAnsi" w:cstheme="minorBidi"/>
          <w:lang w:eastAsia="en-GB"/>
        </w:rPr>
      </w:pPr>
      <w:r w:rsidRPr="00815AFB">
        <w:rPr>
          <w:rFonts w:ascii="Times New Roman Bold" w:hAnsi="Times New Roman Bold"/>
        </w:rPr>
        <w:t>3.2</w:t>
      </w:r>
      <w:r>
        <w:rPr>
          <w:rFonts w:asciiTheme="minorHAnsi" w:eastAsiaTheme="minorEastAsia" w:hAnsiTheme="minorHAnsi" w:cstheme="minorBidi"/>
          <w:lang w:eastAsia="en-GB"/>
        </w:rPr>
        <w:tab/>
      </w:r>
      <w:r>
        <w:t>Population</w:t>
      </w:r>
      <w:r>
        <w:tab/>
      </w:r>
      <w:r>
        <w:fldChar w:fldCharType="begin"/>
      </w:r>
      <w:r>
        <w:instrText xml:space="preserve"> PAGEREF _Toc409445580 \h </w:instrText>
      </w:r>
      <w:r>
        <w:fldChar w:fldCharType="separate"/>
      </w:r>
      <w:r w:rsidR="00A87B65">
        <w:t>9</w:t>
      </w:r>
      <w:r>
        <w:fldChar w:fldCharType="end"/>
      </w:r>
    </w:p>
    <w:p w:rsidR="00655AF5" w:rsidRDefault="00655AF5">
      <w:pPr>
        <w:pStyle w:val="TOC2"/>
        <w:rPr>
          <w:rFonts w:asciiTheme="minorHAnsi" w:eastAsiaTheme="minorEastAsia" w:hAnsiTheme="minorHAnsi" w:cstheme="minorBidi"/>
          <w:lang w:eastAsia="en-GB"/>
        </w:rPr>
      </w:pPr>
      <w:r w:rsidRPr="00815AFB">
        <w:rPr>
          <w:rFonts w:ascii="Times New Roman Bold" w:hAnsi="Times New Roman Bold"/>
        </w:rPr>
        <w:t>3.3</w:t>
      </w:r>
      <w:r>
        <w:rPr>
          <w:rFonts w:asciiTheme="minorHAnsi" w:eastAsiaTheme="minorEastAsia" w:hAnsiTheme="minorHAnsi" w:cstheme="minorBidi"/>
          <w:lang w:eastAsia="en-GB"/>
        </w:rPr>
        <w:tab/>
      </w:r>
      <w:r>
        <w:t>Businesses and households</w:t>
      </w:r>
      <w:r>
        <w:tab/>
      </w:r>
      <w:r>
        <w:fldChar w:fldCharType="begin"/>
      </w:r>
      <w:r>
        <w:instrText xml:space="preserve"> PAGEREF _Toc409445581 \h </w:instrText>
      </w:r>
      <w:r>
        <w:fldChar w:fldCharType="separate"/>
      </w:r>
      <w:r w:rsidR="00A87B65">
        <w:t>10</w:t>
      </w:r>
      <w:r>
        <w:fldChar w:fldCharType="end"/>
      </w:r>
    </w:p>
    <w:p w:rsidR="00655AF5" w:rsidRDefault="00655AF5">
      <w:pPr>
        <w:pStyle w:val="TOC2"/>
        <w:rPr>
          <w:rFonts w:asciiTheme="minorHAnsi" w:eastAsiaTheme="minorEastAsia" w:hAnsiTheme="minorHAnsi" w:cstheme="minorBidi"/>
          <w:lang w:eastAsia="en-GB"/>
        </w:rPr>
      </w:pPr>
      <w:r w:rsidRPr="00815AFB">
        <w:rPr>
          <w:rFonts w:ascii="Times New Roman Bold" w:hAnsi="Times New Roman Bold"/>
        </w:rPr>
        <w:t>3.4</w:t>
      </w:r>
      <w:r>
        <w:rPr>
          <w:rFonts w:asciiTheme="minorHAnsi" w:eastAsiaTheme="minorEastAsia" w:hAnsiTheme="minorHAnsi" w:cstheme="minorBidi"/>
          <w:lang w:eastAsia="en-GB"/>
        </w:rPr>
        <w:tab/>
      </w:r>
      <w:r>
        <w:t>Evidence on price elasticity</w:t>
      </w:r>
      <w:r>
        <w:tab/>
      </w:r>
      <w:r>
        <w:fldChar w:fldCharType="begin"/>
      </w:r>
      <w:r>
        <w:instrText xml:space="preserve"> PAGEREF _Toc409445582 \h </w:instrText>
      </w:r>
      <w:r>
        <w:fldChar w:fldCharType="separate"/>
      </w:r>
      <w:r w:rsidR="00A87B65">
        <w:t>11</w:t>
      </w:r>
      <w:r>
        <w:fldChar w:fldCharType="end"/>
      </w:r>
    </w:p>
    <w:p w:rsidR="00655AF5" w:rsidRDefault="00655AF5">
      <w:pPr>
        <w:pStyle w:val="TOC1"/>
        <w:rPr>
          <w:rFonts w:asciiTheme="minorHAnsi" w:eastAsiaTheme="minorEastAsia" w:hAnsiTheme="minorHAnsi" w:cstheme="minorBidi"/>
          <w:b w:val="0"/>
          <w:noProof/>
          <w:lang w:eastAsia="en-GB"/>
        </w:rPr>
      </w:pPr>
      <w:r>
        <w:rPr>
          <w:noProof/>
        </w:rPr>
        <w:t>4</w:t>
      </w:r>
      <w:r>
        <w:rPr>
          <w:rFonts w:asciiTheme="minorHAnsi" w:eastAsiaTheme="minorEastAsia" w:hAnsiTheme="minorHAnsi" w:cstheme="minorBidi"/>
          <w:b w:val="0"/>
          <w:noProof/>
          <w:lang w:eastAsia="en-GB"/>
        </w:rPr>
        <w:tab/>
      </w:r>
      <w:r>
        <w:rPr>
          <w:noProof/>
        </w:rPr>
        <w:t>Relationship between cellular mobile infrastructure and spectrum</w:t>
      </w:r>
      <w:r>
        <w:rPr>
          <w:noProof/>
        </w:rPr>
        <w:tab/>
      </w:r>
      <w:r>
        <w:rPr>
          <w:noProof/>
        </w:rPr>
        <w:fldChar w:fldCharType="begin"/>
      </w:r>
      <w:r>
        <w:rPr>
          <w:noProof/>
        </w:rPr>
        <w:instrText xml:space="preserve"> PAGEREF _Toc409445583 \h </w:instrText>
      </w:r>
      <w:r>
        <w:rPr>
          <w:noProof/>
        </w:rPr>
      </w:r>
      <w:r>
        <w:rPr>
          <w:noProof/>
        </w:rPr>
        <w:fldChar w:fldCharType="separate"/>
      </w:r>
      <w:r w:rsidR="00A87B65">
        <w:rPr>
          <w:noProof/>
        </w:rPr>
        <w:t>15</w:t>
      </w:r>
      <w:r>
        <w:rPr>
          <w:noProof/>
        </w:rPr>
        <w:fldChar w:fldCharType="end"/>
      </w:r>
    </w:p>
    <w:p w:rsidR="00655AF5" w:rsidRDefault="00655AF5">
      <w:pPr>
        <w:pStyle w:val="TOC2"/>
        <w:rPr>
          <w:rFonts w:asciiTheme="minorHAnsi" w:eastAsiaTheme="minorEastAsia" w:hAnsiTheme="minorHAnsi" w:cstheme="minorBidi"/>
          <w:lang w:eastAsia="en-GB"/>
        </w:rPr>
      </w:pPr>
      <w:r w:rsidRPr="00815AFB">
        <w:rPr>
          <w:rFonts w:ascii="Times New Roman Bold" w:hAnsi="Times New Roman Bold"/>
        </w:rPr>
        <w:t>4.1</w:t>
      </w:r>
      <w:r>
        <w:rPr>
          <w:rFonts w:asciiTheme="minorHAnsi" w:eastAsiaTheme="minorEastAsia" w:hAnsiTheme="minorHAnsi" w:cstheme="minorBidi"/>
          <w:lang w:eastAsia="en-GB"/>
        </w:rPr>
        <w:tab/>
      </w:r>
      <w:r>
        <w:t>Introduction</w:t>
      </w:r>
      <w:r>
        <w:tab/>
      </w:r>
      <w:r>
        <w:fldChar w:fldCharType="begin"/>
      </w:r>
      <w:r>
        <w:instrText xml:space="preserve"> PAGEREF _Toc409445584 \h </w:instrText>
      </w:r>
      <w:r>
        <w:fldChar w:fldCharType="separate"/>
      </w:r>
      <w:r w:rsidR="00A87B65">
        <w:t>15</w:t>
      </w:r>
      <w:r>
        <w:fldChar w:fldCharType="end"/>
      </w:r>
    </w:p>
    <w:p w:rsidR="00655AF5" w:rsidRDefault="00655AF5">
      <w:pPr>
        <w:pStyle w:val="TOC2"/>
        <w:rPr>
          <w:rFonts w:asciiTheme="minorHAnsi" w:eastAsiaTheme="minorEastAsia" w:hAnsiTheme="minorHAnsi" w:cstheme="minorBidi"/>
          <w:lang w:eastAsia="en-GB"/>
        </w:rPr>
      </w:pPr>
      <w:r w:rsidRPr="00815AFB">
        <w:rPr>
          <w:rFonts w:ascii="Times New Roman Bold" w:hAnsi="Times New Roman Bold"/>
        </w:rPr>
        <w:t>4.2</w:t>
      </w:r>
      <w:r>
        <w:rPr>
          <w:rFonts w:asciiTheme="minorHAnsi" w:eastAsiaTheme="minorEastAsia" w:hAnsiTheme="minorHAnsi" w:cstheme="minorBidi"/>
          <w:lang w:eastAsia="en-GB"/>
        </w:rPr>
        <w:tab/>
      </w:r>
      <w:r>
        <w:t>Logical structure of the model</w:t>
      </w:r>
      <w:r>
        <w:tab/>
      </w:r>
      <w:r>
        <w:fldChar w:fldCharType="begin"/>
      </w:r>
      <w:r>
        <w:instrText xml:space="preserve"> PAGEREF _Toc409445585 \h </w:instrText>
      </w:r>
      <w:r>
        <w:fldChar w:fldCharType="separate"/>
      </w:r>
      <w:r w:rsidR="00A87B65">
        <w:t>16</w:t>
      </w:r>
      <w:r>
        <w:fldChar w:fldCharType="end"/>
      </w:r>
    </w:p>
    <w:p w:rsidR="00655AF5" w:rsidRDefault="00655AF5">
      <w:pPr>
        <w:pStyle w:val="TOC2"/>
        <w:rPr>
          <w:rFonts w:asciiTheme="minorHAnsi" w:eastAsiaTheme="minorEastAsia" w:hAnsiTheme="minorHAnsi" w:cstheme="minorBidi"/>
          <w:lang w:eastAsia="en-GB"/>
        </w:rPr>
      </w:pPr>
      <w:r w:rsidRPr="00815AFB">
        <w:rPr>
          <w:rFonts w:ascii="Times New Roman Bold" w:hAnsi="Times New Roman Bold"/>
        </w:rPr>
        <w:t>4.3</w:t>
      </w:r>
      <w:r>
        <w:rPr>
          <w:rFonts w:asciiTheme="minorHAnsi" w:eastAsiaTheme="minorEastAsia" w:hAnsiTheme="minorHAnsi" w:cstheme="minorBidi"/>
          <w:lang w:eastAsia="en-GB"/>
        </w:rPr>
        <w:tab/>
      </w:r>
      <w:r>
        <w:t>Key assumptions</w:t>
      </w:r>
      <w:r>
        <w:tab/>
      </w:r>
      <w:r>
        <w:fldChar w:fldCharType="begin"/>
      </w:r>
      <w:r>
        <w:instrText xml:space="preserve"> PAGEREF _Toc409445586 \h </w:instrText>
      </w:r>
      <w:r>
        <w:fldChar w:fldCharType="separate"/>
      </w:r>
      <w:r w:rsidR="00A87B65">
        <w:t>19</w:t>
      </w:r>
      <w:r>
        <w:fldChar w:fldCharType="end"/>
      </w:r>
    </w:p>
    <w:p w:rsidR="00655AF5" w:rsidRDefault="00655AF5">
      <w:pPr>
        <w:pStyle w:val="TOC2"/>
        <w:rPr>
          <w:rFonts w:asciiTheme="minorHAnsi" w:eastAsiaTheme="minorEastAsia" w:hAnsiTheme="minorHAnsi" w:cstheme="minorBidi"/>
          <w:lang w:eastAsia="en-GB"/>
        </w:rPr>
      </w:pPr>
      <w:r w:rsidRPr="00815AFB">
        <w:rPr>
          <w:rFonts w:ascii="Times New Roman Bold" w:hAnsi="Times New Roman Bold"/>
        </w:rPr>
        <w:t>4.4</w:t>
      </w:r>
      <w:r>
        <w:rPr>
          <w:rFonts w:asciiTheme="minorHAnsi" w:eastAsiaTheme="minorEastAsia" w:hAnsiTheme="minorHAnsi" w:cstheme="minorBidi"/>
          <w:lang w:eastAsia="en-GB"/>
        </w:rPr>
        <w:tab/>
      </w:r>
      <w:r>
        <w:t>Base case results</w:t>
      </w:r>
      <w:r>
        <w:tab/>
      </w:r>
      <w:r>
        <w:fldChar w:fldCharType="begin"/>
      </w:r>
      <w:r>
        <w:instrText xml:space="preserve"> PAGEREF _Toc409445587 \h </w:instrText>
      </w:r>
      <w:r>
        <w:fldChar w:fldCharType="separate"/>
      </w:r>
      <w:r w:rsidR="00A87B65">
        <w:t>43</w:t>
      </w:r>
      <w:r>
        <w:fldChar w:fldCharType="end"/>
      </w:r>
    </w:p>
    <w:p w:rsidR="00655AF5" w:rsidRDefault="00655AF5">
      <w:pPr>
        <w:pStyle w:val="TOC2"/>
        <w:rPr>
          <w:rFonts w:asciiTheme="minorHAnsi" w:eastAsiaTheme="minorEastAsia" w:hAnsiTheme="minorHAnsi" w:cstheme="minorBidi"/>
          <w:lang w:eastAsia="en-GB"/>
        </w:rPr>
      </w:pPr>
      <w:r w:rsidRPr="00815AFB">
        <w:rPr>
          <w:rFonts w:ascii="Times New Roman Bold" w:hAnsi="Times New Roman Bold"/>
        </w:rPr>
        <w:t>4.5</w:t>
      </w:r>
      <w:r>
        <w:rPr>
          <w:rFonts w:asciiTheme="minorHAnsi" w:eastAsiaTheme="minorEastAsia" w:hAnsiTheme="minorHAnsi" w:cstheme="minorBidi"/>
          <w:lang w:eastAsia="en-GB"/>
        </w:rPr>
        <w:tab/>
      </w:r>
      <w:r>
        <w:t>Analysis of low-band versus high-band traffic split</w:t>
      </w:r>
      <w:r>
        <w:tab/>
      </w:r>
      <w:r>
        <w:fldChar w:fldCharType="begin"/>
      </w:r>
      <w:r>
        <w:instrText xml:space="preserve"> PAGEREF _Toc409445588 \h </w:instrText>
      </w:r>
      <w:r>
        <w:fldChar w:fldCharType="separate"/>
      </w:r>
      <w:r w:rsidR="00A87B65">
        <w:t>46</w:t>
      </w:r>
      <w:r>
        <w:fldChar w:fldCharType="end"/>
      </w:r>
    </w:p>
    <w:p w:rsidR="00655AF5" w:rsidRDefault="00655AF5">
      <w:pPr>
        <w:pStyle w:val="TOC2"/>
        <w:rPr>
          <w:rFonts w:asciiTheme="minorHAnsi" w:eastAsiaTheme="minorEastAsia" w:hAnsiTheme="minorHAnsi" w:cstheme="minorBidi"/>
          <w:lang w:eastAsia="en-GB"/>
        </w:rPr>
      </w:pPr>
      <w:r w:rsidRPr="00815AFB">
        <w:rPr>
          <w:rFonts w:ascii="Times New Roman Bold" w:hAnsi="Times New Roman Bold"/>
        </w:rPr>
        <w:t>4.6</w:t>
      </w:r>
      <w:r>
        <w:rPr>
          <w:rFonts w:asciiTheme="minorHAnsi" w:eastAsiaTheme="minorEastAsia" w:hAnsiTheme="minorHAnsi" w:cstheme="minorBidi"/>
          <w:lang w:eastAsia="en-GB"/>
        </w:rPr>
        <w:tab/>
      </w:r>
      <w:r>
        <w:t>Sensitivities</w:t>
      </w:r>
      <w:r>
        <w:tab/>
      </w:r>
      <w:r>
        <w:fldChar w:fldCharType="begin"/>
      </w:r>
      <w:r>
        <w:instrText xml:space="preserve"> PAGEREF _Toc409445589 \h </w:instrText>
      </w:r>
      <w:r>
        <w:fldChar w:fldCharType="separate"/>
      </w:r>
      <w:r w:rsidR="00A87B65">
        <w:t>47</w:t>
      </w:r>
      <w:r>
        <w:fldChar w:fldCharType="end"/>
      </w:r>
    </w:p>
    <w:p w:rsidR="00655AF5" w:rsidRDefault="00655AF5">
      <w:pPr>
        <w:pStyle w:val="TOC2"/>
        <w:rPr>
          <w:rFonts w:asciiTheme="minorHAnsi" w:eastAsiaTheme="minorEastAsia" w:hAnsiTheme="minorHAnsi" w:cstheme="minorBidi"/>
          <w:lang w:eastAsia="en-GB"/>
        </w:rPr>
      </w:pPr>
      <w:r w:rsidRPr="00815AFB">
        <w:rPr>
          <w:rFonts w:ascii="Times New Roman Bold" w:hAnsi="Times New Roman Bold"/>
        </w:rPr>
        <w:t>4.7</w:t>
      </w:r>
      <w:r>
        <w:rPr>
          <w:rFonts w:asciiTheme="minorHAnsi" w:eastAsiaTheme="minorEastAsia" w:hAnsiTheme="minorHAnsi" w:cstheme="minorBidi"/>
          <w:lang w:eastAsia="en-GB"/>
        </w:rPr>
        <w:tab/>
      </w:r>
      <w:r>
        <w:t>Summary of results</w:t>
      </w:r>
      <w:r>
        <w:tab/>
      </w:r>
      <w:r>
        <w:fldChar w:fldCharType="begin"/>
      </w:r>
      <w:r>
        <w:instrText xml:space="preserve"> PAGEREF _Toc409445590 \h </w:instrText>
      </w:r>
      <w:r>
        <w:fldChar w:fldCharType="separate"/>
      </w:r>
      <w:r w:rsidR="00A87B65">
        <w:t>59</w:t>
      </w:r>
      <w:r>
        <w:fldChar w:fldCharType="end"/>
      </w:r>
    </w:p>
    <w:p w:rsidR="00655AF5" w:rsidRDefault="00655AF5">
      <w:pPr>
        <w:pStyle w:val="TOC2"/>
        <w:rPr>
          <w:rFonts w:asciiTheme="minorHAnsi" w:eastAsiaTheme="minorEastAsia" w:hAnsiTheme="minorHAnsi" w:cstheme="minorBidi"/>
          <w:lang w:eastAsia="en-GB"/>
        </w:rPr>
      </w:pPr>
      <w:r w:rsidRPr="00815AFB">
        <w:rPr>
          <w:rFonts w:ascii="Times New Roman Bold" w:hAnsi="Times New Roman Bold"/>
          <w:spacing w:val="-4"/>
        </w:rPr>
        <w:t>4.8</w:t>
      </w:r>
      <w:r>
        <w:rPr>
          <w:rFonts w:asciiTheme="minorHAnsi" w:eastAsiaTheme="minorEastAsia" w:hAnsiTheme="minorHAnsi" w:cstheme="minorBidi"/>
          <w:lang w:eastAsia="en-GB"/>
        </w:rPr>
        <w:tab/>
      </w:r>
      <w:r w:rsidRPr="00815AFB">
        <w:rPr>
          <w:spacing w:val="-4"/>
        </w:rPr>
        <w:t>Comparison with other approaches to estimating future demand for mobile spectrum</w:t>
      </w:r>
      <w:r>
        <w:tab/>
      </w:r>
      <w:r>
        <w:fldChar w:fldCharType="begin"/>
      </w:r>
      <w:r>
        <w:instrText xml:space="preserve"> PAGEREF _Toc409445591 \h </w:instrText>
      </w:r>
      <w:r>
        <w:fldChar w:fldCharType="separate"/>
      </w:r>
      <w:r w:rsidR="00A87B65">
        <w:t>61</w:t>
      </w:r>
      <w:r>
        <w:fldChar w:fldCharType="end"/>
      </w:r>
    </w:p>
    <w:p w:rsidR="00655AF5" w:rsidRDefault="00655AF5">
      <w:pPr>
        <w:pStyle w:val="TOC1"/>
        <w:rPr>
          <w:rFonts w:asciiTheme="minorHAnsi" w:eastAsiaTheme="minorEastAsia" w:hAnsiTheme="minorHAnsi" w:cstheme="minorBidi"/>
          <w:b w:val="0"/>
          <w:noProof/>
          <w:lang w:eastAsia="en-GB"/>
        </w:rPr>
      </w:pPr>
      <w:r>
        <w:rPr>
          <w:noProof/>
        </w:rPr>
        <w:t>5</w:t>
      </w:r>
      <w:r>
        <w:rPr>
          <w:rFonts w:asciiTheme="minorHAnsi" w:eastAsiaTheme="minorEastAsia" w:hAnsiTheme="minorHAnsi" w:cstheme="minorBidi"/>
          <w:b w:val="0"/>
          <w:noProof/>
          <w:lang w:eastAsia="en-GB"/>
        </w:rPr>
        <w:tab/>
      </w:r>
      <w:r>
        <w:rPr>
          <w:noProof/>
        </w:rPr>
        <w:t>Technical developments and opportunities for substitution</w:t>
      </w:r>
      <w:r>
        <w:rPr>
          <w:noProof/>
        </w:rPr>
        <w:tab/>
      </w:r>
      <w:r>
        <w:rPr>
          <w:noProof/>
        </w:rPr>
        <w:fldChar w:fldCharType="begin"/>
      </w:r>
      <w:r>
        <w:rPr>
          <w:noProof/>
        </w:rPr>
        <w:instrText xml:space="preserve"> PAGEREF _Toc409445592 \h </w:instrText>
      </w:r>
      <w:r>
        <w:rPr>
          <w:noProof/>
        </w:rPr>
      </w:r>
      <w:r>
        <w:rPr>
          <w:noProof/>
        </w:rPr>
        <w:fldChar w:fldCharType="separate"/>
      </w:r>
      <w:r w:rsidR="00A87B65">
        <w:rPr>
          <w:noProof/>
        </w:rPr>
        <w:t>68</w:t>
      </w:r>
      <w:r>
        <w:rPr>
          <w:noProof/>
        </w:rPr>
        <w:fldChar w:fldCharType="end"/>
      </w:r>
    </w:p>
    <w:p w:rsidR="00655AF5" w:rsidRDefault="00655AF5">
      <w:pPr>
        <w:pStyle w:val="TOC2"/>
        <w:rPr>
          <w:rFonts w:asciiTheme="minorHAnsi" w:eastAsiaTheme="minorEastAsia" w:hAnsiTheme="minorHAnsi" w:cstheme="minorBidi"/>
          <w:lang w:eastAsia="en-GB"/>
        </w:rPr>
      </w:pPr>
      <w:r w:rsidRPr="00815AFB">
        <w:rPr>
          <w:rFonts w:ascii="Times New Roman Bold" w:hAnsi="Times New Roman Bold"/>
        </w:rPr>
        <w:t>5.1</w:t>
      </w:r>
      <w:r>
        <w:rPr>
          <w:rFonts w:asciiTheme="minorHAnsi" w:eastAsiaTheme="minorEastAsia" w:hAnsiTheme="minorHAnsi" w:cstheme="minorBidi"/>
          <w:lang w:eastAsia="en-GB"/>
        </w:rPr>
        <w:tab/>
      </w:r>
      <w:r>
        <w:t>Introduction</w:t>
      </w:r>
      <w:r>
        <w:tab/>
      </w:r>
      <w:r>
        <w:fldChar w:fldCharType="begin"/>
      </w:r>
      <w:r>
        <w:instrText xml:space="preserve"> PAGEREF _Toc409445593 \h </w:instrText>
      </w:r>
      <w:r>
        <w:fldChar w:fldCharType="separate"/>
      </w:r>
      <w:r w:rsidR="00A87B65">
        <w:t>68</w:t>
      </w:r>
      <w:r>
        <w:fldChar w:fldCharType="end"/>
      </w:r>
    </w:p>
    <w:p w:rsidR="00655AF5" w:rsidRDefault="00655AF5">
      <w:pPr>
        <w:pStyle w:val="TOC2"/>
        <w:rPr>
          <w:rFonts w:asciiTheme="minorHAnsi" w:eastAsiaTheme="minorEastAsia" w:hAnsiTheme="minorHAnsi" w:cstheme="minorBidi"/>
          <w:lang w:eastAsia="en-GB"/>
        </w:rPr>
      </w:pPr>
      <w:r w:rsidRPr="00815AFB">
        <w:rPr>
          <w:rFonts w:ascii="Times New Roman Bold" w:hAnsi="Times New Roman Bold"/>
        </w:rPr>
        <w:t>5.2</w:t>
      </w:r>
      <w:r>
        <w:rPr>
          <w:rFonts w:asciiTheme="minorHAnsi" w:eastAsiaTheme="minorEastAsia" w:hAnsiTheme="minorHAnsi" w:cstheme="minorBidi"/>
          <w:lang w:eastAsia="en-GB"/>
        </w:rPr>
        <w:tab/>
      </w:r>
      <w:r>
        <w:t>Technological developments</w:t>
      </w:r>
      <w:r>
        <w:tab/>
      </w:r>
      <w:r>
        <w:fldChar w:fldCharType="begin"/>
      </w:r>
      <w:r>
        <w:instrText xml:space="preserve"> PAGEREF _Toc409445594 \h </w:instrText>
      </w:r>
      <w:r>
        <w:fldChar w:fldCharType="separate"/>
      </w:r>
      <w:r w:rsidR="00A87B65">
        <w:t>68</w:t>
      </w:r>
      <w:r>
        <w:fldChar w:fldCharType="end"/>
      </w:r>
    </w:p>
    <w:p w:rsidR="00655AF5" w:rsidRDefault="00655AF5">
      <w:pPr>
        <w:pStyle w:val="TOC2"/>
        <w:rPr>
          <w:rFonts w:asciiTheme="minorHAnsi" w:eastAsiaTheme="minorEastAsia" w:hAnsiTheme="minorHAnsi" w:cstheme="minorBidi"/>
          <w:lang w:eastAsia="en-GB"/>
        </w:rPr>
      </w:pPr>
      <w:r w:rsidRPr="00815AFB">
        <w:rPr>
          <w:rFonts w:ascii="Times New Roman Bold" w:hAnsi="Times New Roman Bold"/>
        </w:rPr>
        <w:t>5.3</w:t>
      </w:r>
      <w:r>
        <w:rPr>
          <w:rFonts w:asciiTheme="minorHAnsi" w:eastAsiaTheme="minorEastAsia" w:hAnsiTheme="minorHAnsi" w:cstheme="minorBidi"/>
          <w:lang w:eastAsia="en-GB"/>
        </w:rPr>
        <w:tab/>
      </w:r>
      <w:r>
        <w:t>Opportunities for substitution</w:t>
      </w:r>
      <w:r>
        <w:tab/>
      </w:r>
      <w:r>
        <w:fldChar w:fldCharType="begin"/>
      </w:r>
      <w:r>
        <w:instrText xml:space="preserve"> PAGEREF _Toc409445595 \h </w:instrText>
      </w:r>
      <w:r>
        <w:fldChar w:fldCharType="separate"/>
      </w:r>
      <w:r w:rsidR="00A87B65">
        <w:t>72</w:t>
      </w:r>
      <w:r>
        <w:fldChar w:fldCharType="end"/>
      </w:r>
    </w:p>
    <w:p w:rsidR="0005766B" w:rsidRDefault="00686A81">
      <w:pPr>
        <w:pStyle w:val="TOC2"/>
        <w:tabs>
          <w:tab w:val="left" w:pos="1100"/>
        </w:tabs>
      </w:pPr>
      <w:r>
        <w:fldChar w:fldCharType="end"/>
      </w:r>
      <w:r>
        <w:rPr>
          <w:b/>
        </w:rPr>
        <w:fldChar w:fldCharType="begin"/>
      </w:r>
      <w:r>
        <w:instrText xml:space="preserve"> TOC \t "Annex 1,2" \n </w:instrText>
      </w:r>
      <w:r>
        <w:rPr>
          <w:b/>
        </w:rPr>
        <w:fldChar w:fldCharType="separate"/>
      </w:r>
    </w:p>
    <w:p w:rsidR="0005766B" w:rsidRDefault="0005766B">
      <w:pPr>
        <w:pStyle w:val="TOC2"/>
        <w:tabs>
          <w:tab w:val="left" w:pos="1100"/>
        </w:tabs>
        <w:rPr>
          <w:rFonts w:asciiTheme="minorHAnsi" w:eastAsiaTheme="minorEastAsia" w:hAnsiTheme="minorHAnsi" w:cstheme="minorBidi"/>
          <w:lang w:eastAsia="en-GB"/>
        </w:rPr>
      </w:pPr>
      <w:r>
        <w:lastRenderedPageBreak/>
        <w:t>Annex A</w:t>
      </w:r>
      <w:r>
        <w:rPr>
          <w:rFonts w:asciiTheme="minorHAnsi" w:eastAsiaTheme="minorEastAsia" w:hAnsiTheme="minorHAnsi" w:cstheme="minorBidi"/>
          <w:lang w:eastAsia="en-GB"/>
        </w:rPr>
        <w:tab/>
      </w:r>
      <w:r>
        <w:t>Principal changes made to the model following the public consultation</w:t>
      </w:r>
    </w:p>
    <w:p w:rsidR="0005766B" w:rsidRDefault="0005766B">
      <w:pPr>
        <w:pStyle w:val="TOC2"/>
        <w:rPr>
          <w:rFonts w:asciiTheme="minorHAnsi" w:eastAsiaTheme="minorEastAsia" w:hAnsiTheme="minorHAnsi" w:cstheme="minorBidi"/>
          <w:lang w:eastAsia="en-GB"/>
        </w:rPr>
      </w:pPr>
      <w:r>
        <w:t>[</w:t>
      </w:r>
      <w:r w:rsidRPr="009075EF">
        <w:rPr>
          <w:rFonts w:ascii="Wingdings" w:hAnsi="Wingdings"/>
        </w:rPr>
        <w:t></w:t>
      </w:r>
      <w:r>
        <w:t>]</w:t>
      </w:r>
    </w:p>
    <w:p w:rsidR="00686A81" w:rsidRDefault="00686A81" w:rsidP="00CC7F56">
      <w:pPr>
        <w:tabs>
          <w:tab w:val="right" w:pos="8745"/>
        </w:tabs>
      </w:pPr>
      <w:r>
        <w:fldChar w:fldCharType="end"/>
      </w:r>
    </w:p>
    <w:p w:rsidR="00686A81" w:rsidRDefault="00686A81">
      <w:r>
        <w:br w:type="page"/>
      </w:r>
    </w:p>
    <w:p w:rsidR="00B873A7" w:rsidRPr="008A0DCE" w:rsidRDefault="00B873A7" w:rsidP="00B873A7">
      <w:pPr>
        <w:pStyle w:val="Emphasised"/>
      </w:pPr>
      <w:r w:rsidRPr="008A0DCE">
        <w:lastRenderedPageBreak/>
        <w:t xml:space="preserve">Copyright © </w:t>
      </w:r>
      <w:r w:rsidRPr="008A0DCE">
        <w:fldChar w:fldCharType="begin"/>
      </w:r>
      <w:r w:rsidRPr="008A0DCE">
        <w:instrText xml:space="preserve"> CREATEDATE \@ "yyyy" \* MERGEFORMAT </w:instrText>
      </w:r>
      <w:r w:rsidRPr="008A0DCE">
        <w:fldChar w:fldCharType="separate"/>
      </w:r>
      <w:r w:rsidR="0005766B">
        <w:rPr>
          <w:noProof/>
        </w:rPr>
        <w:t>2015</w:t>
      </w:r>
      <w:r w:rsidRPr="008A0DCE">
        <w:fldChar w:fldCharType="end"/>
      </w:r>
      <w:r w:rsidRPr="008A0DCE">
        <w:t xml:space="preserve">. </w:t>
      </w:r>
      <w:r>
        <w:t>Analysys Mason Limited has produced the information contained in this report for the Australian Communications and Media Authority (ACMA). The ownership, use and disclosure of this information are subject to the Commercial Terms of the contract between Analysys Mason limited and the ACMA</w:t>
      </w:r>
      <w:r w:rsidRPr="008A0DCE">
        <w:t>.</w:t>
      </w:r>
    </w:p>
    <w:p w:rsidR="00B873A7" w:rsidRPr="008A0DCE" w:rsidRDefault="00B873A7" w:rsidP="00B873A7"/>
    <w:p w:rsidR="00B873A7" w:rsidRPr="008A0DCE" w:rsidRDefault="00B873A7" w:rsidP="00B873A7">
      <w:pPr>
        <w:pStyle w:val="Titleaddress"/>
      </w:pPr>
      <w:r w:rsidRPr="008A0DCE">
        <w:t>Analysys Mason Limited</w:t>
      </w:r>
    </w:p>
    <w:p w:rsidR="00B873A7" w:rsidRPr="008A0DCE" w:rsidRDefault="00B873A7" w:rsidP="00B873A7">
      <w:pPr>
        <w:pStyle w:val="Titleaddress"/>
      </w:pPr>
      <w:r w:rsidRPr="008A0DCE">
        <w:t>Bush House, North West Wing</w:t>
      </w:r>
    </w:p>
    <w:p w:rsidR="00B873A7" w:rsidRPr="008A0DCE" w:rsidRDefault="00B873A7" w:rsidP="00B873A7">
      <w:pPr>
        <w:pStyle w:val="Titleaddress"/>
      </w:pPr>
      <w:r w:rsidRPr="008A0DCE">
        <w:t>Aldwych</w:t>
      </w:r>
    </w:p>
    <w:p w:rsidR="00B873A7" w:rsidRPr="008A0DCE" w:rsidRDefault="00B873A7" w:rsidP="00B873A7">
      <w:pPr>
        <w:pStyle w:val="Titleaddress"/>
      </w:pPr>
      <w:r w:rsidRPr="008A0DCE">
        <w:t>London WC2B 4PJ</w:t>
      </w:r>
    </w:p>
    <w:p w:rsidR="00B873A7" w:rsidRPr="008A0DCE" w:rsidRDefault="00B873A7" w:rsidP="00B873A7">
      <w:pPr>
        <w:pStyle w:val="Titleaddress"/>
      </w:pPr>
      <w:r w:rsidRPr="008A0DCE">
        <w:t>UK</w:t>
      </w:r>
    </w:p>
    <w:p w:rsidR="00B873A7" w:rsidRPr="008A0DCE" w:rsidRDefault="00B873A7" w:rsidP="00B873A7">
      <w:pPr>
        <w:pStyle w:val="Titleaddress"/>
      </w:pPr>
      <w:r w:rsidRPr="008A0DCE">
        <w:t>Tel: +44 (0)20 7395 9000</w:t>
      </w:r>
    </w:p>
    <w:p w:rsidR="00B873A7" w:rsidRPr="00DB5E3B" w:rsidRDefault="00B873A7" w:rsidP="00B873A7">
      <w:pPr>
        <w:pStyle w:val="Titleaddress"/>
        <w:rPr>
          <w:lang w:val="fr-FR"/>
        </w:rPr>
      </w:pPr>
      <w:r w:rsidRPr="00DB5E3B">
        <w:rPr>
          <w:lang w:val="fr-FR"/>
        </w:rPr>
        <w:t>Fax: +44 (0)20 7395 9001</w:t>
      </w:r>
    </w:p>
    <w:p w:rsidR="00B873A7" w:rsidRPr="00DB5E3B" w:rsidRDefault="00B873A7" w:rsidP="00B873A7">
      <w:pPr>
        <w:pStyle w:val="Titleaddress"/>
        <w:rPr>
          <w:lang w:val="fr-FR"/>
        </w:rPr>
      </w:pPr>
      <w:r w:rsidRPr="00DB5E3B">
        <w:rPr>
          <w:lang w:val="fr-FR"/>
        </w:rPr>
        <w:t>london@analysysmason.com</w:t>
      </w:r>
    </w:p>
    <w:p w:rsidR="00B873A7" w:rsidRPr="00DB5E3B" w:rsidRDefault="00B873A7" w:rsidP="00B873A7">
      <w:pPr>
        <w:pStyle w:val="Titleaddress"/>
        <w:rPr>
          <w:lang w:val="fr-FR"/>
        </w:rPr>
      </w:pPr>
      <w:r w:rsidRPr="00DB5E3B">
        <w:rPr>
          <w:lang w:val="fr-FR"/>
        </w:rPr>
        <w:t>www.analysysmason.com</w:t>
      </w:r>
    </w:p>
    <w:p w:rsidR="00B873A7" w:rsidRPr="008A0DCE" w:rsidRDefault="00B873A7" w:rsidP="00B873A7">
      <w:pPr>
        <w:pStyle w:val="Titleaddress"/>
      </w:pPr>
      <w:r w:rsidRPr="008A0DCE">
        <w:t>Registered in England No. 5177472</w:t>
      </w:r>
    </w:p>
    <w:p w:rsidR="00B873A7" w:rsidRDefault="00B873A7" w:rsidP="00B873A7">
      <w:pPr>
        <w:sectPr w:rsidR="00B873A7" w:rsidSect="00B873A7">
          <w:headerReference w:type="even" r:id="rId11"/>
          <w:headerReference w:type="default" r:id="rId12"/>
          <w:footerReference w:type="even" r:id="rId13"/>
          <w:footerReference w:type="default" r:id="rId14"/>
          <w:headerReference w:type="first" r:id="rId15"/>
          <w:footerReference w:type="first" r:id="rId16"/>
          <w:type w:val="oddPage"/>
          <w:pgSz w:w="11907" w:h="16840" w:code="9"/>
          <w:pgMar w:top="1418" w:right="1588" w:bottom="1418" w:left="1588" w:header="567" w:footer="567" w:gutter="0"/>
          <w:pgNumType w:fmt="lowerRoman" w:start="1"/>
          <w:cols w:space="720"/>
          <w:titlePg/>
          <w:docGrid w:linePitch="299"/>
        </w:sectPr>
      </w:pPr>
    </w:p>
    <w:p w:rsidR="00CC7F56" w:rsidRDefault="00CC7F56" w:rsidP="00CC7F56">
      <w:pPr>
        <w:pStyle w:val="Heading1"/>
        <w:numPr>
          <w:ilvl w:val="0"/>
          <w:numId w:val="0"/>
        </w:numPr>
      </w:pPr>
      <w:bookmarkStart w:id="1" w:name="_Toc399178478"/>
      <w:bookmarkStart w:id="2" w:name="_Toc402102945"/>
      <w:bookmarkStart w:id="3" w:name="_Toc409445575"/>
      <w:bookmarkStart w:id="4" w:name="_Toc373161386"/>
      <w:bookmarkStart w:id="5" w:name="SectionReportBody"/>
      <w:bookmarkStart w:id="6" w:name="_Toc170555204"/>
      <w:bookmarkStart w:id="7" w:name="_Toc184809591"/>
      <w:r>
        <w:lastRenderedPageBreak/>
        <w:t>Glossary of acronyms</w:t>
      </w:r>
      <w:bookmarkEnd w:id="1"/>
      <w:bookmarkEnd w:id="2"/>
      <w:bookmarkEnd w:id="3"/>
    </w:p>
    <w:p w:rsidR="00CC7F56" w:rsidRDefault="00CC7F56" w:rsidP="00CC7F56">
      <w:pPr>
        <w:pStyle w:val="01"/>
      </w:pPr>
      <w:r w:rsidRPr="004F378A">
        <w:t>ABS</w:t>
      </w:r>
      <w:r>
        <w:tab/>
      </w:r>
      <w:r>
        <w:tab/>
      </w:r>
      <w:r w:rsidRPr="004F50AE">
        <w:t>Australian Bureau of Statistics</w:t>
      </w:r>
    </w:p>
    <w:p w:rsidR="00CC7F56" w:rsidRDefault="00CC7F56" w:rsidP="00CC7F56">
      <w:pPr>
        <w:pStyle w:val="01"/>
      </w:pPr>
      <w:r>
        <w:t>ACMA</w:t>
      </w:r>
      <w:r>
        <w:tab/>
      </w:r>
      <w:r>
        <w:tab/>
      </w:r>
      <w:r w:rsidRPr="004F50AE">
        <w:t>Australian Communications and Media Authority</w:t>
      </w:r>
    </w:p>
    <w:p w:rsidR="00CC7F56" w:rsidRDefault="00CC7F56" w:rsidP="00CC7F56">
      <w:pPr>
        <w:pStyle w:val="01"/>
      </w:pPr>
      <w:r>
        <w:t>ARPU</w:t>
      </w:r>
      <w:r>
        <w:tab/>
      </w:r>
      <w:r>
        <w:tab/>
        <w:t>Average revenue per user</w:t>
      </w:r>
    </w:p>
    <w:p w:rsidR="00CC7F56" w:rsidRDefault="00CC7F56" w:rsidP="00CC7F56">
      <w:pPr>
        <w:pStyle w:val="01"/>
      </w:pPr>
      <w:r>
        <w:t>BH</w:t>
      </w:r>
      <w:r>
        <w:tab/>
      </w:r>
      <w:r>
        <w:tab/>
        <w:t>Busy hour</w:t>
      </w:r>
    </w:p>
    <w:p w:rsidR="00CC7F56" w:rsidRDefault="00CC7F56" w:rsidP="00CC7F56">
      <w:pPr>
        <w:pStyle w:val="01"/>
        <w:ind w:left="1440" w:hanging="1440"/>
      </w:pPr>
      <w:r>
        <w:t>BITRE</w:t>
      </w:r>
      <w:r>
        <w:tab/>
      </w:r>
      <w:r w:rsidRPr="004F50AE">
        <w:t>Department of Infrastructure and Transport Bureau of Infrastructure, Transport and Regional Economics</w:t>
      </w:r>
    </w:p>
    <w:p w:rsidR="00CC7F56" w:rsidRDefault="00CC7F56" w:rsidP="00CC7F56">
      <w:pPr>
        <w:pStyle w:val="01"/>
      </w:pPr>
      <w:r>
        <w:t>C</w:t>
      </w:r>
      <w:r w:rsidRPr="008A0DCE">
        <w:t>AGR</w:t>
      </w:r>
      <w:r>
        <w:tab/>
      </w:r>
      <w:r>
        <w:tab/>
        <w:t>Compound annual growth rate</w:t>
      </w:r>
    </w:p>
    <w:p w:rsidR="00CC7F56" w:rsidRDefault="00CC7F56" w:rsidP="00CC7F56">
      <w:pPr>
        <w:pStyle w:val="01"/>
      </w:pPr>
      <w:r w:rsidRPr="004F378A">
        <w:t>DSL</w:t>
      </w:r>
      <w:r>
        <w:tab/>
      </w:r>
      <w:r>
        <w:tab/>
        <w:t>Digital subscriber line</w:t>
      </w:r>
    </w:p>
    <w:p w:rsidR="00CC7F56" w:rsidRDefault="00CC7F56" w:rsidP="00CC7F56">
      <w:pPr>
        <w:pStyle w:val="01"/>
      </w:pPr>
      <w:r w:rsidRPr="008A0DCE">
        <w:t>FBB</w:t>
      </w:r>
      <w:r>
        <w:tab/>
      </w:r>
      <w:r>
        <w:tab/>
        <w:t>Fixed broadband</w:t>
      </w:r>
    </w:p>
    <w:p w:rsidR="00CC7F56" w:rsidRDefault="00CC7F56" w:rsidP="00CC7F56">
      <w:pPr>
        <w:pStyle w:val="01"/>
      </w:pPr>
      <w:r>
        <w:t>FCC</w:t>
      </w:r>
      <w:r>
        <w:tab/>
      </w:r>
      <w:r>
        <w:tab/>
        <w:t>Federal Communications Commission</w:t>
      </w:r>
    </w:p>
    <w:p w:rsidR="00CC7F56" w:rsidRDefault="00CC7F56" w:rsidP="00CC7F56">
      <w:pPr>
        <w:pStyle w:val="01"/>
      </w:pPr>
      <w:r w:rsidRPr="00D17A84">
        <w:t>FD</w:t>
      </w:r>
      <w:r>
        <w:t>-LTE</w:t>
      </w:r>
      <w:r>
        <w:tab/>
        <w:t>F</w:t>
      </w:r>
      <w:r w:rsidRPr="004F50AE">
        <w:t>requency</w:t>
      </w:r>
      <w:r>
        <w:t xml:space="preserve"> </w:t>
      </w:r>
      <w:r w:rsidRPr="004F50AE">
        <w:t xml:space="preserve">division </w:t>
      </w:r>
      <w:r>
        <w:t>l</w:t>
      </w:r>
      <w:r w:rsidRPr="004F50AE">
        <w:t>ong-</w:t>
      </w:r>
      <w:r>
        <w:t>t</w:t>
      </w:r>
      <w:r w:rsidRPr="004F50AE">
        <w:t xml:space="preserve">erm </w:t>
      </w:r>
      <w:r>
        <w:t>e</w:t>
      </w:r>
      <w:r w:rsidRPr="004F50AE">
        <w:t>volution</w:t>
      </w:r>
    </w:p>
    <w:p w:rsidR="00CC7F56" w:rsidRDefault="00CC7F56" w:rsidP="00CC7F56">
      <w:pPr>
        <w:pStyle w:val="01"/>
      </w:pPr>
      <w:r>
        <w:t>FWA</w:t>
      </w:r>
      <w:r>
        <w:tab/>
      </w:r>
      <w:r>
        <w:tab/>
        <w:t>Fixed wireless access</w:t>
      </w:r>
    </w:p>
    <w:p w:rsidR="00CC7F56" w:rsidRDefault="00CC7F56" w:rsidP="00CC7F56">
      <w:pPr>
        <w:pStyle w:val="01"/>
      </w:pPr>
      <w:r w:rsidRPr="008A0DCE">
        <w:t>HSPA</w:t>
      </w:r>
      <w:r>
        <w:tab/>
      </w:r>
      <w:r>
        <w:tab/>
        <w:t>High-speed packet access</w:t>
      </w:r>
    </w:p>
    <w:p w:rsidR="00CC7F56" w:rsidRDefault="00CC7F56" w:rsidP="00CC7F56">
      <w:pPr>
        <w:pStyle w:val="01"/>
      </w:pPr>
      <w:r w:rsidRPr="004E1BCC">
        <w:t>IEEE</w:t>
      </w:r>
      <w:r>
        <w:tab/>
      </w:r>
      <w:r>
        <w:tab/>
      </w:r>
      <w:r w:rsidRPr="004F50AE">
        <w:t>Institute of Electrical and Electronics Engineers</w:t>
      </w:r>
    </w:p>
    <w:p w:rsidR="00CC7F56" w:rsidRDefault="00CC7F56" w:rsidP="00CC7F56">
      <w:pPr>
        <w:pStyle w:val="01"/>
      </w:pPr>
      <w:r w:rsidRPr="00A42B4A">
        <w:t>ITU</w:t>
      </w:r>
      <w:r>
        <w:tab/>
      </w:r>
      <w:r>
        <w:tab/>
        <w:t>International Telecommunication Union</w:t>
      </w:r>
    </w:p>
    <w:p w:rsidR="00CC7F56" w:rsidRDefault="00CC7F56" w:rsidP="00CC7F56">
      <w:pPr>
        <w:pStyle w:val="01"/>
      </w:pPr>
      <w:r>
        <w:t>LTE</w:t>
      </w:r>
      <w:r>
        <w:tab/>
      </w:r>
      <w:r>
        <w:tab/>
        <w:t>Long-term evolution</w:t>
      </w:r>
    </w:p>
    <w:p w:rsidR="00CC7F56" w:rsidRDefault="00CC7F56" w:rsidP="00CC7F56">
      <w:pPr>
        <w:pStyle w:val="01"/>
      </w:pPr>
      <w:r w:rsidRPr="00D17A84">
        <w:t>LTSAS</w:t>
      </w:r>
      <w:r>
        <w:tab/>
      </w:r>
      <w:r>
        <w:tab/>
        <w:t>L</w:t>
      </w:r>
      <w:r w:rsidRPr="004F50AE">
        <w:t>ong-term satellite access service</w:t>
      </w:r>
    </w:p>
    <w:p w:rsidR="00CC7F56" w:rsidRDefault="00CC7F56" w:rsidP="00CC7F56">
      <w:pPr>
        <w:pStyle w:val="01"/>
      </w:pPr>
      <w:r>
        <w:t>M2M</w:t>
      </w:r>
      <w:r>
        <w:tab/>
      </w:r>
      <w:r>
        <w:tab/>
        <w:t>Machine-to-machine</w:t>
      </w:r>
    </w:p>
    <w:p w:rsidR="00CC7F56" w:rsidRDefault="00CC7F56" w:rsidP="00CC7F56">
      <w:pPr>
        <w:pStyle w:val="01"/>
      </w:pPr>
      <w:r w:rsidRPr="008A0DCE">
        <w:t>MBB</w:t>
      </w:r>
      <w:r>
        <w:tab/>
      </w:r>
      <w:r>
        <w:tab/>
        <w:t>Mobile broadband</w:t>
      </w:r>
    </w:p>
    <w:p w:rsidR="00CC7F56" w:rsidRDefault="00CC7F56" w:rsidP="00CC7F56">
      <w:pPr>
        <w:pStyle w:val="01"/>
        <w:ind w:left="1440" w:hanging="1440"/>
      </w:pPr>
      <w:r w:rsidRPr="008A0DCE">
        <w:t>METIS</w:t>
      </w:r>
      <w:r>
        <w:tab/>
      </w:r>
      <w:r w:rsidRPr="004F50AE">
        <w:t>Mobile and wireless communications Enablers for the Twenty-twenty Information Society</w:t>
      </w:r>
    </w:p>
    <w:p w:rsidR="00CC7F56" w:rsidRDefault="00CC7F56" w:rsidP="00CC7F56">
      <w:pPr>
        <w:pStyle w:val="01"/>
      </w:pPr>
      <w:r>
        <w:t>MIIT</w:t>
      </w:r>
      <w:r>
        <w:tab/>
      </w:r>
      <w:r>
        <w:tab/>
      </w:r>
      <w:r w:rsidRPr="004F50AE">
        <w:t>Ministry of Industry and Information Technology</w:t>
      </w:r>
    </w:p>
    <w:p w:rsidR="00CC7F56" w:rsidRDefault="00CC7F56" w:rsidP="00CC7F56">
      <w:pPr>
        <w:pStyle w:val="01"/>
      </w:pPr>
      <w:r>
        <w:t>MIMO</w:t>
      </w:r>
      <w:r>
        <w:tab/>
      </w:r>
      <w:r>
        <w:tab/>
        <w:t>Multiple-input multiple-output</w:t>
      </w:r>
    </w:p>
    <w:p w:rsidR="00CC7F56" w:rsidRDefault="00CC7F56" w:rsidP="00CC7F56">
      <w:pPr>
        <w:pStyle w:val="01"/>
      </w:pPr>
      <w:r>
        <w:t>OECD</w:t>
      </w:r>
      <w:r>
        <w:tab/>
      </w:r>
      <w:r>
        <w:tab/>
      </w:r>
      <w:r w:rsidRPr="004F50AE">
        <w:t>Organisation for Economic Co-operation and Development</w:t>
      </w:r>
    </w:p>
    <w:p w:rsidR="00CC7F56" w:rsidRDefault="00CC7F56" w:rsidP="00CC7F56">
      <w:pPr>
        <w:pStyle w:val="01"/>
      </w:pPr>
      <w:r>
        <w:t>PB</w:t>
      </w:r>
      <w:r>
        <w:tab/>
      </w:r>
      <w:r>
        <w:tab/>
        <w:t>P</w:t>
      </w:r>
      <w:r w:rsidRPr="004F50AE">
        <w:t>etabyte</w:t>
      </w:r>
    </w:p>
    <w:p w:rsidR="00CC7F56" w:rsidRDefault="00CC7F56" w:rsidP="00CC7F56">
      <w:pPr>
        <w:pStyle w:val="01"/>
      </w:pPr>
      <w:r w:rsidRPr="0002692A">
        <w:t>RATG</w:t>
      </w:r>
      <w:r>
        <w:tab/>
      </w:r>
      <w:r>
        <w:tab/>
      </w:r>
      <w:r w:rsidRPr="0002692A">
        <w:t>Radio Access Technology Group</w:t>
      </w:r>
    </w:p>
    <w:p w:rsidR="00CC7F56" w:rsidRDefault="00CC7F56" w:rsidP="00CC7F56">
      <w:pPr>
        <w:pStyle w:val="01"/>
      </w:pPr>
      <w:r>
        <w:t>SIM</w:t>
      </w:r>
      <w:r>
        <w:tab/>
      </w:r>
      <w:r>
        <w:tab/>
        <w:t>S</w:t>
      </w:r>
      <w:r w:rsidRPr="004F50AE">
        <w:t>ubscriber identity module</w:t>
      </w:r>
    </w:p>
    <w:p w:rsidR="00CC7F56" w:rsidRDefault="00CC7F56" w:rsidP="00CC7F56">
      <w:pPr>
        <w:pStyle w:val="01"/>
      </w:pPr>
      <w:r>
        <w:t>TD-LTE</w:t>
      </w:r>
      <w:r>
        <w:tab/>
        <w:t>T</w:t>
      </w:r>
      <w:r w:rsidRPr="004F50AE">
        <w:t>ime</w:t>
      </w:r>
      <w:r>
        <w:t>-</w:t>
      </w:r>
      <w:r w:rsidRPr="004F50AE">
        <w:t xml:space="preserve">division </w:t>
      </w:r>
      <w:r>
        <w:t>l</w:t>
      </w:r>
      <w:r w:rsidRPr="004F50AE">
        <w:t>ong</w:t>
      </w:r>
      <w:r>
        <w:t>-t</w:t>
      </w:r>
      <w:r w:rsidRPr="004F50AE">
        <w:t xml:space="preserve">erm </w:t>
      </w:r>
      <w:r>
        <w:t>e</w:t>
      </w:r>
      <w:r w:rsidRPr="004F50AE">
        <w:t xml:space="preserve">volution </w:t>
      </w:r>
    </w:p>
    <w:p w:rsidR="00CC7F56" w:rsidRDefault="00CC7F56" w:rsidP="00CC7F56">
      <w:pPr>
        <w:pStyle w:val="01"/>
      </w:pPr>
      <w:r w:rsidRPr="00D17A84">
        <w:t>TV</w:t>
      </w:r>
      <w:r>
        <w:tab/>
      </w:r>
      <w:r>
        <w:tab/>
        <w:t>Television</w:t>
      </w:r>
    </w:p>
    <w:p w:rsidR="00CC7F56" w:rsidRDefault="00CC7F56" w:rsidP="00CC7F56">
      <w:pPr>
        <w:pStyle w:val="01"/>
      </w:pPr>
      <w:r w:rsidRPr="004F378A">
        <w:lastRenderedPageBreak/>
        <w:t>UHF</w:t>
      </w:r>
      <w:r>
        <w:tab/>
      </w:r>
      <w:r>
        <w:tab/>
      </w:r>
      <w:r w:rsidRPr="004F50AE">
        <w:t>Ultra-high frequency</w:t>
      </w:r>
    </w:p>
    <w:p w:rsidR="00CC7F56" w:rsidRDefault="00CC7F56" w:rsidP="00CC7F56">
      <w:pPr>
        <w:pStyle w:val="01"/>
      </w:pPr>
      <w:r w:rsidRPr="004F378A">
        <w:t>UK</w:t>
      </w:r>
      <w:r>
        <w:tab/>
      </w:r>
      <w:r>
        <w:tab/>
        <w:t>United Kingdom</w:t>
      </w:r>
    </w:p>
    <w:p w:rsidR="00CC7F56" w:rsidRDefault="00CC7F56" w:rsidP="00CC7F56">
      <w:pPr>
        <w:pStyle w:val="01"/>
      </w:pPr>
      <w:r w:rsidRPr="004F378A">
        <w:t>USA</w:t>
      </w:r>
      <w:r>
        <w:tab/>
      </w:r>
      <w:r>
        <w:tab/>
        <w:t>United States of America</w:t>
      </w:r>
    </w:p>
    <w:p w:rsidR="00CC7F56" w:rsidRDefault="00CC7F56" w:rsidP="00CC7F56">
      <w:pPr>
        <w:pStyle w:val="01"/>
      </w:pPr>
      <w:r>
        <w:t>V</w:t>
      </w:r>
      <w:r w:rsidRPr="00B8141D">
        <w:t>HA</w:t>
      </w:r>
      <w:r>
        <w:tab/>
      </w:r>
      <w:r>
        <w:tab/>
      </w:r>
      <w:r w:rsidRPr="004F50AE">
        <w:t>Vodafone Hutchison Australia</w:t>
      </w:r>
    </w:p>
    <w:p w:rsidR="00CC7F56" w:rsidRDefault="00CC7F56" w:rsidP="00CC7F56">
      <w:pPr>
        <w:pStyle w:val="01"/>
      </w:pPr>
      <w:r>
        <w:t>VNI</w:t>
      </w:r>
      <w:r>
        <w:tab/>
      </w:r>
      <w:r>
        <w:tab/>
      </w:r>
      <w:r w:rsidRPr="004F50AE">
        <w:t>Visual Networking Index</w:t>
      </w:r>
    </w:p>
    <w:p w:rsidR="00CC7F56" w:rsidRDefault="00CC7F56" w:rsidP="00CC7F56">
      <w:pPr>
        <w:sectPr w:rsidR="00CC7F56" w:rsidSect="00CC7F56">
          <w:headerReference w:type="even" r:id="rId17"/>
          <w:headerReference w:type="default" r:id="rId18"/>
          <w:footerReference w:type="even" r:id="rId19"/>
          <w:footerReference w:type="default" r:id="rId20"/>
          <w:headerReference w:type="first" r:id="rId21"/>
          <w:footerReference w:type="first" r:id="rId22"/>
          <w:type w:val="oddPage"/>
          <w:pgSz w:w="11907" w:h="16840" w:code="9"/>
          <w:pgMar w:top="1418" w:right="1588" w:bottom="1418" w:left="1588" w:header="567" w:footer="567" w:gutter="0"/>
          <w:pgNumType w:fmt="lowerRoman" w:start="1"/>
          <w:cols w:space="720"/>
          <w:titlePg/>
          <w:docGrid w:linePitch="299"/>
        </w:sectPr>
      </w:pPr>
    </w:p>
    <w:p w:rsidR="00B873A7" w:rsidRPr="008A0DCE" w:rsidRDefault="00B873A7" w:rsidP="00B873A7">
      <w:pPr>
        <w:pStyle w:val="Heading1"/>
      </w:pPr>
      <w:bookmarkStart w:id="8" w:name="_Toc399178479"/>
      <w:bookmarkStart w:id="9" w:name="_Toc402102946"/>
      <w:bookmarkStart w:id="10" w:name="_Toc409445576"/>
      <w:bookmarkStart w:id="11" w:name="_Toc367356565"/>
      <w:bookmarkStart w:id="12" w:name="_Ref369174665"/>
      <w:bookmarkStart w:id="13" w:name="_Ref369180962"/>
      <w:bookmarkStart w:id="14" w:name="_Ref369181402"/>
      <w:bookmarkStart w:id="15" w:name="_Toc373161409"/>
      <w:bookmarkStart w:id="16" w:name="_Ref380663306"/>
      <w:bookmarkStart w:id="17" w:name="_Toc399178495"/>
      <w:bookmarkEnd w:id="4"/>
      <w:r w:rsidRPr="008A0DCE">
        <w:lastRenderedPageBreak/>
        <w:t>Executive summary</w:t>
      </w:r>
      <w:bookmarkEnd w:id="8"/>
      <w:bookmarkEnd w:id="9"/>
      <w:bookmarkEnd w:id="10"/>
    </w:p>
    <w:p w:rsidR="00B873A7" w:rsidRDefault="00B873A7" w:rsidP="00B873A7">
      <w:r w:rsidRPr="008A0DCE">
        <w:t xml:space="preserve">This document is the </w:t>
      </w:r>
      <w:r>
        <w:t xml:space="preserve">updated final </w:t>
      </w:r>
      <w:r w:rsidRPr="008A0DCE">
        <w:t xml:space="preserve">report by Analysys Mason for the Australian Communications and Media Authority (ACMA) on </w:t>
      </w:r>
      <w:r w:rsidR="00F13239">
        <w:t xml:space="preserve"> mobile network </w:t>
      </w:r>
      <w:r w:rsidR="004709D9">
        <w:t>infrastructure</w:t>
      </w:r>
      <w:r w:rsidR="00F13239">
        <w:t xml:space="preserve"> forecasting</w:t>
      </w:r>
      <w:r w:rsidR="0058443D">
        <w:t xml:space="preserve"> and the relationship between the amount of mobile infrastructure required and the amount of mobile spectrum made available</w:t>
      </w:r>
      <w:r>
        <w:t xml:space="preserve">. </w:t>
      </w:r>
    </w:p>
    <w:p w:rsidR="00B873A7" w:rsidRPr="008A0DCE" w:rsidRDefault="00B873A7" w:rsidP="00B873A7">
      <w:r w:rsidRPr="008A0DCE">
        <w:t xml:space="preserve">The purpose of the study is to </w:t>
      </w:r>
      <w:r w:rsidR="00F13239">
        <w:t>develop an infrastructure forecasting model</w:t>
      </w:r>
      <w:r w:rsidRPr="008A0DCE">
        <w:t xml:space="preserve"> </w:t>
      </w:r>
      <w:r w:rsidR="00F13239">
        <w:t xml:space="preserve">which includes </w:t>
      </w:r>
      <w:r w:rsidRPr="008A0DCE">
        <w:t xml:space="preserve">market development forecasts and to undertake qualitative analysis </w:t>
      </w:r>
      <w:r>
        <w:t>of</w:t>
      </w:r>
      <w:r w:rsidRPr="008A0DCE">
        <w:t xml:space="preserve"> factors which may </w:t>
      </w:r>
      <w:r>
        <w:t xml:space="preserve">have an </w:t>
      </w:r>
      <w:r w:rsidRPr="008A0DCE">
        <w:t xml:space="preserve">impact on those forecasts for wireless access services in Australia for each year between 2015 and 2020 and </w:t>
      </w:r>
      <w:r>
        <w:t xml:space="preserve">also for </w:t>
      </w:r>
      <w:r w:rsidRPr="008A0DCE">
        <w:t>2025.</w:t>
      </w:r>
    </w:p>
    <w:p w:rsidR="00B873A7" w:rsidRDefault="00B873A7" w:rsidP="00B873A7">
      <w:pPr>
        <w:rPr>
          <w:color w:val="000000"/>
          <w:lang w:val="en-AU"/>
        </w:rPr>
      </w:pPr>
      <w:r>
        <w:t xml:space="preserve">The three cellular mobile operators in Australia – Optus, Telstra and Vodafone Hutchison Australia (VHA) – are by far the largest providers of wireless access services in Australia in terms of both customer numbers and revenue. We have built a spreadsheet model to examine the </w:t>
      </w:r>
      <w:r w:rsidR="00E539FF">
        <w:t xml:space="preserve">infrastructure </w:t>
      </w:r>
      <w:r>
        <w:t xml:space="preserve">requirements for each mobile operator, and this report presents the results from this model at an aggregate level. The operators </w:t>
      </w:r>
      <w:r w:rsidRPr="0054531A">
        <w:t xml:space="preserve">provided input to </w:t>
      </w:r>
      <w:r>
        <w:t>the model</w:t>
      </w:r>
      <w:r w:rsidRPr="0054531A">
        <w:t xml:space="preserve">, </w:t>
      </w:r>
      <w:r>
        <w:t xml:space="preserve">but </w:t>
      </w:r>
      <w:r w:rsidRPr="0054531A">
        <w:t xml:space="preserve">consensus was not reached </w:t>
      </w:r>
      <w:r w:rsidRPr="000E1771">
        <w:t xml:space="preserve">on the impact of all factors </w:t>
      </w:r>
      <w:r>
        <w:t>considered,</w:t>
      </w:r>
      <w:r w:rsidRPr="000E1771">
        <w:t xml:space="preserve"> </w:t>
      </w:r>
      <w:r w:rsidRPr="0054531A">
        <w:t xml:space="preserve">as the </w:t>
      </w:r>
      <w:r>
        <w:t>operators</w:t>
      </w:r>
      <w:r w:rsidRPr="0054531A">
        <w:t xml:space="preserve"> had </w:t>
      </w:r>
      <w:r>
        <w:t xml:space="preserve">a number of </w:t>
      </w:r>
      <w:r w:rsidRPr="0054531A">
        <w:t xml:space="preserve">different assumptions </w:t>
      </w:r>
      <w:r>
        <w:t>which resulted in different</w:t>
      </w:r>
      <w:r w:rsidRPr="0054531A">
        <w:t xml:space="preserve"> forecasts to 2025</w:t>
      </w:r>
      <w:r>
        <w:rPr>
          <w:color w:val="000000"/>
          <w:lang w:val="en-AU"/>
        </w:rPr>
        <w:t>. Consequently, the findings in this report should be regarded as those of Analysys Mason and not the operators.</w:t>
      </w:r>
    </w:p>
    <w:p w:rsidR="00B873A7" w:rsidRPr="008A0DCE" w:rsidRDefault="00B873A7" w:rsidP="00B873A7">
      <w:r>
        <w:t>Since we issued the previous version of this report on 24 March 2014, we have supported the ACMA in a public consultation on the model which ran from 22 May to 27 June 2014. Based on the responses received to the consultation, we agreed with the ACMA that a number of changes should be made to the model (see Annex A for details). This version of the report incorporates the new results from the updated model.</w:t>
      </w:r>
    </w:p>
    <w:p w:rsidR="00B873A7" w:rsidRDefault="00B873A7" w:rsidP="00B873A7">
      <w:r>
        <w:lastRenderedPageBreak/>
        <w:t xml:space="preserve">The model divides Australia into ‘geotypes’ (dense urban, urban, suburban, rural and remote) defined on the basis of population density, with a further split of the urban and suburban geotypes into metropolitan and regional areas since </w:t>
      </w:r>
      <w:r w:rsidR="00627D04">
        <w:t xml:space="preserve">in some bands </w:t>
      </w:r>
      <w:r>
        <w:t>there is less spectrum allocated in the regional areas. The model forecasts the amount of mobile traffic that will be generated in each geotype year by year using a set of assumptions about the number of handset, tablet and dongle/laptop subscribers and the average amount of traffic generated per subscription (after taking account of offloading from mobile networks onto Wi-Fi networks).</w:t>
      </w:r>
    </w:p>
    <w:p w:rsidR="00B873A7" w:rsidRDefault="00B873A7" w:rsidP="00B873A7">
      <w:r>
        <w:t xml:space="preserve">The model also calculates how many base stations are required to provide 100% coverage of the dense urban, urban and suburban geotypes and partial coverage of the rural and remote geotypes (the partial coverage of these geotypes is calibrated in order to give the levels of national coverage stated by the operators). The model then calculates how many additional base stations </w:t>
      </w:r>
      <w:r w:rsidR="00627D04">
        <w:t xml:space="preserve">(if any) </w:t>
      </w:r>
      <w:r>
        <w:t>are required to carry 100% of the traffic in the geotype.</w:t>
      </w:r>
    </w:p>
    <w:p w:rsidR="00B873A7" w:rsidRDefault="00B873A7" w:rsidP="00B873A7">
      <w:r>
        <w:t>The results are presented in terms of the total number of logical sites, by which we mean the total number of 2G sites plus the total number of 3G sites plus the total number of 4G sites. It should be noted that the total number of logical sites is considerably higher than the total number of physical sites in Australia, because it is quite common for the operators to co-locate more than one technology on a single physical site; and in some cases a single physical site may also be shared by more than one operator.</w:t>
      </w:r>
    </w:p>
    <w:p w:rsidR="00B873A7" w:rsidRDefault="00B873A7" w:rsidP="00B873A7">
      <w:r w:rsidRPr="002D2F9B">
        <w:fldChar w:fldCharType="begin"/>
      </w:r>
      <w:r w:rsidRPr="00196691">
        <w:instrText xml:space="preserve"> REF _Ref378254244 \h </w:instrText>
      </w:r>
      <w:r w:rsidRPr="002D2F9B">
        <w:fldChar w:fldCharType="separate"/>
      </w:r>
      <w:r w:rsidR="00A87B65">
        <w:t>Figure </w:t>
      </w:r>
      <w:r w:rsidR="00A87B65">
        <w:rPr>
          <w:noProof/>
        </w:rPr>
        <w:t>1</w:t>
      </w:r>
      <w:r w:rsidR="00A87B65">
        <w:t>.</w:t>
      </w:r>
      <w:r w:rsidR="00A87B65">
        <w:rPr>
          <w:noProof/>
        </w:rPr>
        <w:t>1</w:t>
      </w:r>
      <w:r w:rsidRPr="002D2F9B">
        <w:fldChar w:fldCharType="end"/>
      </w:r>
      <w:r>
        <w:t xml:space="preserve"> shows the results for our base case, in which the amount of spectrum used by the mobile operators is assumed to remain static once the bands assigned as a result of the recent 4G auction are brought into </w:t>
      </w:r>
      <w:r w:rsidRPr="004E4FD9">
        <w:t>use. In the base case the total number of logical sites grows from 3</w:t>
      </w:r>
      <w:r w:rsidR="00627D04" w:rsidRPr="004E4FD9">
        <w:t>5</w:t>
      </w:r>
      <w:r w:rsidRPr="004E4FD9">
        <w:t> </w:t>
      </w:r>
      <w:r w:rsidR="00627D04" w:rsidRPr="004E4FD9">
        <w:t>6</w:t>
      </w:r>
      <w:r w:rsidRPr="004E4FD9">
        <w:t>00 in 2013 to 3</w:t>
      </w:r>
      <w:r w:rsidR="00627D04" w:rsidRPr="004E4FD9">
        <w:t>8</w:t>
      </w:r>
      <w:r w:rsidRPr="004E4FD9">
        <w:t> </w:t>
      </w:r>
      <w:r w:rsidR="00627D04" w:rsidRPr="004E4FD9">
        <w:t>2</w:t>
      </w:r>
      <w:r w:rsidRPr="004E4FD9">
        <w:t xml:space="preserve">00 in 2020, an increase of </w:t>
      </w:r>
      <w:r w:rsidR="00627D04" w:rsidRPr="004E4FD9">
        <w:t>2</w:t>
      </w:r>
      <w:r w:rsidRPr="004E4FD9">
        <w:t> </w:t>
      </w:r>
      <w:r w:rsidR="00627D04" w:rsidRPr="004E4FD9">
        <w:t>6</w:t>
      </w:r>
      <w:r w:rsidRPr="004E4FD9">
        <w:t xml:space="preserve">00 (or </w:t>
      </w:r>
      <w:r w:rsidR="00627D04" w:rsidRPr="004E4FD9">
        <w:t>7</w:t>
      </w:r>
      <w:r w:rsidRPr="004E4FD9">
        <w:t>%). After</w:t>
      </w:r>
      <w:r>
        <w:t xml:space="preserve"> 201</w:t>
      </w:r>
      <w:r w:rsidR="00627D04">
        <w:t>5</w:t>
      </w:r>
      <w:r>
        <w:t xml:space="preserve">, growth in the number of sites is exclusively confined to 4G. We assume that Telstra’s 2G network is switched off at the end of 2016 (in line with the company’s stated position) </w:t>
      </w:r>
      <w:r>
        <w:lastRenderedPageBreak/>
        <w:t>and that Optus and VHA switch off their 2G networks at the end of 2018 (although neither company has yet announced a 2G switch-off date).</w:t>
      </w:r>
    </w:p>
    <w:p w:rsidR="00B873A7" w:rsidRPr="0030562D" w:rsidRDefault="00B873A7" w:rsidP="00B873A7">
      <w:r>
        <w:t xml:space="preserve">By 2020, there are around </w:t>
      </w:r>
      <w:r w:rsidR="00DA12CB">
        <w:t>5</w:t>
      </w:r>
      <w:r w:rsidR="00326421">
        <w:t>2</w:t>
      </w:r>
      <w:r>
        <w:t xml:space="preserve">0 4G sites that are required purely to provide additional capacity (as opposed to expanding 4G coverage), but it is worth noting that one of the main reasons for operators to build 4G networks in the first place is to provide more data capacity than their 3G networks can offer. We estimate that around </w:t>
      </w:r>
      <w:r w:rsidR="00326421">
        <w:t>30</w:t>
      </w:r>
      <w:r>
        <w:t xml:space="preserve">% of 4G macrocell </w:t>
      </w:r>
      <w:r w:rsidR="00DA12CB">
        <w:t xml:space="preserve">coverage </w:t>
      </w:r>
      <w:r>
        <w:t xml:space="preserve">sites will have been given a capacity upgrade by 2020. </w:t>
      </w:r>
      <w:bookmarkStart w:id="18" w:name="_Ref369279081"/>
      <w:r>
        <w:t xml:space="preserve">The total number of logical sites only increases by around </w:t>
      </w:r>
      <w:r w:rsidR="00DA12CB">
        <w:t>1</w:t>
      </w:r>
      <w:r>
        <w:t xml:space="preserve">00 between 2020 and 2025, since </w:t>
      </w:r>
      <w:r w:rsidR="008D6BE8">
        <w:t>t</w:t>
      </w:r>
      <w:r>
        <w:t xml:space="preserve">he addition of around </w:t>
      </w:r>
      <w:r w:rsidR="00DA12CB">
        <w:t>6</w:t>
      </w:r>
      <w:r>
        <w:t xml:space="preserve">00 4G capacity sites is </w:t>
      </w:r>
      <w:r w:rsidR="00DA12CB">
        <w:t>largely</w:t>
      </w:r>
      <w:r>
        <w:t xml:space="preserve"> offset by a reduction of around 500 3G capacity sites. However, the proportion of 4G macrocell </w:t>
      </w:r>
      <w:r w:rsidR="00DA12CB">
        <w:t xml:space="preserve">coverage </w:t>
      </w:r>
      <w:r>
        <w:t xml:space="preserve">sites requiring a capacity upgrade increases to </w:t>
      </w:r>
      <w:r w:rsidR="00DA12CB">
        <w:t>43</w:t>
      </w:r>
      <w:r>
        <w:t>%.</w:t>
      </w:r>
    </w:p>
    <w:p w:rsidR="00B873A7" w:rsidRDefault="00B873A7" w:rsidP="00B873A7">
      <w:pPr>
        <w:pStyle w:val="Caption"/>
      </w:pPr>
      <w:bookmarkStart w:id="19" w:name="_Ref378254244"/>
      <w:bookmarkEnd w:id="18"/>
      <w:r>
        <w:t>Figure </w:t>
      </w:r>
      <w:r w:rsidR="008B1006">
        <w:fldChar w:fldCharType="begin"/>
      </w:r>
      <w:r w:rsidR="008B1006">
        <w:instrText xml:space="preserve"> STYLEREF 1 \s \* MERGEFORMAT </w:instrText>
      </w:r>
      <w:r w:rsidR="008B1006">
        <w:fldChar w:fldCharType="separate"/>
      </w:r>
      <w:r w:rsidR="00A87B65">
        <w:rPr>
          <w:noProof/>
        </w:rPr>
        <w:t>1</w:t>
      </w:r>
      <w:r w:rsidR="008B1006">
        <w:rPr>
          <w:noProof/>
        </w:rPr>
        <w:fldChar w:fldCharType="end"/>
      </w:r>
      <w:r>
        <w:t>.</w:t>
      </w:r>
      <w:fldSimple w:instr=" SEQ Figure \* ARABIC \s 1 \* MERGEFORMAT ">
        <w:r w:rsidR="00A87B65">
          <w:rPr>
            <w:noProof/>
          </w:rPr>
          <w:t>1</w:t>
        </w:r>
      </w:fldSimple>
      <w:bookmarkEnd w:id="19"/>
      <w:r>
        <w:t xml:space="preserve">: </w:t>
      </w:r>
      <w:r w:rsidRPr="00AD321B">
        <w:t>Logical sites for all operators</w:t>
      </w:r>
      <w:r>
        <w:t>: base case</w:t>
      </w:r>
      <w:r w:rsidRPr="00AD321B">
        <w:t xml:space="preserve"> </w:t>
      </w:r>
      <w:r>
        <w:t>[Source: Analysys Mason, 2014] (‘M’ stands for macrocells; ‘s’ stands for small cells)</w:t>
      </w:r>
    </w:p>
    <w:p w:rsidR="00B873A7" w:rsidRDefault="00E15C32" w:rsidP="00E15C32">
      <w:pPr>
        <w:pStyle w:val="Border"/>
        <w:spacing w:after="240"/>
      </w:pPr>
      <w:r w:rsidRPr="00E15C32">
        <w:rPr>
          <w:noProof/>
          <w:lang w:val="en-AU" w:eastAsia="en-AU"/>
        </w:rPr>
        <w:drawing>
          <wp:inline distT="0" distB="0" distL="0" distR="0" wp14:anchorId="0868AAA8" wp14:editId="3267B158">
            <wp:extent cx="5362575" cy="3114675"/>
            <wp:effectExtent l="0" t="0" r="0" b="0"/>
            <wp:docPr id="102" name="Picture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362575" cy="3114675"/>
                    </a:xfrm>
                    <a:prstGeom prst="rect">
                      <a:avLst/>
                    </a:prstGeom>
                    <a:noFill/>
                    <a:ln>
                      <a:noFill/>
                    </a:ln>
                  </pic:spPr>
                </pic:pic>
              </a:graphicData>
            </a:graphic>
          </wp:inline>
        </w:drawing>
      </w:r>
    </w:p>
    <w:p w:rsidR="004846DC" w:rsidRDefault="004846DC" w:rsidP="004846DC">
      <w:r>
        <w:t>The public model produces results which differ from those presented in this report, which are based on the confidential version of the model. In the pub</w:t>
      </w:r>
      <w:r>
        <w:lastRenderedPageBreak/>
        <w:t>lic model, the coverage by operator and geotype, the market shares by geotype and the split of radio bands between technologies have been replaced by dummy data.</w:t>
      </w:r>
    </w:p>
    <w:p w:rsidR="00B873A7" w:rsidRDefault="00B873A7" w:rsidP="00B873A7">
      <w:r>
        <w:t>We have also modelled a number of sensitivities on the base case as follows:</w:t>
      </w:r>
    </w:p>
    <w:p w:rsidR="00B873A7" w:rsidRDefault="005A106E" w:rsidP="00B873A7">
      <w:pPr>
        <w:pStyle w:val="ListBulletCompact"/>
        <w:tabs>
          <w:tab w:val="num" w:pos="360"/>
        </w:tabs>
        <w:ind w:left="357" w:hanging="357"/>
      </w:pPr>
      <w:r>
        <w:t>t</w:t>
      </w:r>
      <w:r w:rsidR="00B873A7">
        <w:t>raffic per device increases more rapidly than in the base case so that overall there is 50% more traffic in 2020</w:t>
      </w:r>
    </w:p>
    <w:p w:rsidR="00B873A7" w:rsidRDefault="005A106E" w:rsidP="00B873A7">
      <w:pPr>
        <w:pStyle w:val="ListBulletCompact"/>
        <w:tabs>
          <w:tab w:val="num" w:pos="360"/>
        </w:tabs>
        <w:ind w:left="357" w:hanging="357"/>
      </w:pPr>
      <w:r>
        <w:t>t</w:t>
      </w:r>
      <w:r w:rsidR="00B873A7">
        <w:t>raffic per device increases more rapidly than in the base case so that overall there is 100% more traffic in 2020</w:t>
      </w:r>
    </w:p>
    <w:p w:rsidR="00B873A7" w:rsidRDefault="005A106E" w:rsidP="00B873A7">
      <w:pPr>
        <w:pStyle w:val="ListBulletCompact"/>
        <w:tabs>
          <w:tab w:val="num" w:pos="360"/>
        </w:tabs>
        <w:ind w:left="357" w:hanging="357"/>
      </w:pPr>
      <w:r>
        <w:t>t</w:t>
      </w:r>
      <w:r w:rsidR="00B873A7">
        <w:t>he average spectral efficiency of LTE networks increases more rapidly than in the base case (to 4.80bits/Hz/sector in 2027 rather than 3.0bits/Hz/sector)</w:t>
      </w:r>
    </w:p>
    <w:p w:rsidR="00B873A7" w:rsidRDefault="00B873A7" w:rsidP="00B873A7">
      <w:pPr>
        <w:pStyle w:val="ListBulletCompact"/>
        <w:tabs>
          <w:tab w:val="num" w:pos="360"/>
        </w:tabs>
        <w:ind w:left="357" w:hanging="357"/>
      </w:pPr>
      <w:r>
        <w:t xml:space="preserve">11% of data traffic is </w:t>
      </w:r>
      <w:r w:rsidR="005A106E">
        <w:t>in the busy hour, instead of 8%</w:t>
      </w:r>
    </w:p>
    <w:p w:rsidR="00B873A7" w:rsidRDefault="005A106E" w:rsidP="00B873A7">
      <w:pPr>
        <w:pStyle w:val="ListBulletCompact"/>
        <w:tabs>
          <w:tab w:val="num" w:pos="360"/>
        </w:tabs>
        <w:ind w:left="357" w:hanging="357"/>
      </w:pPr>
      <w:r>
        <w:t>a</w:t>
      </w:r>
      <w:r w:rsidR="00B873A7">
        <w:t>n additional 150MHz of spectrum is made available in 2015 (2×25MHz of sub-1GHz spectrum and 2×50MHz of 1–6GHz spectrum)</w:t>
      </w:r>
    </w:p>
    <w:p w:rsidR="00B873A7" w:rsidRDefault="005A106E" w:rsidP="00B873A7">
      <w:pPr>
        <w:pStyle w:val="ListBulletCompact"/>
        <w:tabs>
          <w:tab w:val="num" w:pos="360"/>
        </w:tabs>
        <w:ind w:left="357" w:hanging="357"/>
      </w:pPr>
      <w:r>
        <w:t>a</w:t>
      </w:r>
      <w:r w:rsidR="00B873A7">
        <w:t>n additional 240MHz of spectrum is made available in 2015 (2×25MHz of sub-1GHz spectrum and 2×95MHz of 1–6GHz spectrum)</w:t>
      </w:r>
    </w:p>
    <w:p w:rsidR="00B873A7" w:rsidRDefault="005A106E" w:rsidP="00B873A7">
      <w:pPr>
        <w:pStyle w:val="ListBulletCompact"/>
        <w:tabs>
          <w:tab w:val="num" w:pos="360"/>
        </w:tabs>
        <w:ind w:left="357" w:hanging="357"/>
      </w:pPr>
      <w:r>
        <w:t>a</w:t>
      </w:r>
      <w:r w:rsidR="00B873A7">
        <w:t>n additional 540MHz of spectrum is made available in 2015 (2×25MHz of sub-1GHz spectrum and 2×245MHz of 1–6GHz spectrum)</w:t>
      </w:r>
    </w:p>
    <w:p w:rsidR="00B873A7" w:rsidRDefault="00B873A7" w:rsidP="00162304">
      <w:pPr>
        <w:pStyle w:val="ListBulletCompact"/>
        <w:tabs>
          <w:tab w:val="num" w:pos="360"/>
        </w:tabs>
        <w:ind w:left="357" w:hanging="357"/>
      </w:pPr>
      <w:r>
        <w:t xml:space="preserve">700MHz and 2.5GHz spectrum is not available to the mobile operators (i.e. a counterfactual case in which the recent 4G auction did not take place). </w:t>
      </w:r>
      <w:r w:rsidR="00162304">
        <w:t>We assume that all three operators continue to roll out 4G coverage in the 1800MHz band</w:t>
      </w:r>
    </w:p>
    <w:p w:rsidR="00162304" w:rsidRDefault="00162304" w:rsidP="00162304">
      <w:pPr>
        <w:pStyle w:val="ListBullet"/>
      </w:pPr>
      <w:r>
        <w:t>VHA uses 800MHz for its 4G coverage layer. This would avoid the need for VHA to build a lot of new coverage sites for 4G</w:t>
      </w:r>
      <w:r w:rsidR="00BA5D25">
        <w:t xml:space="preserve"> </w:t>
      </w:r>
      <w:r w:rsidR="00BA5D25" w:rsidRPr="00A56FC9">
        <w:t>[</w:t>
      </w:r>
      <w:r w:rsidR="00BA5D25" w:rsidRPr="00A56FC9">
        <w:rPr>
          <w:rFonts w:ascii="Wingdings" w:hAnsi="Wingdings"/>
        </w:rPr>
        <w:t></w:t>
      </w:r>
      <w:r w:rsidR="00BA5D25" w:rsidRPr="00A56FC9">
        <w:t>]</w:t>
      </w:r>
      <w:r>
        <w:t xml:space="preserve">. </w:t>
      </w:r>
    </w:p>
    <w:p w:rsidR="00B873A7" w:rsidRDefault="00DA12CB" w:rsidP="005A106E">
      <w:r w:rsidRPr="002D2F9B">
        <w:fldChar w:fldCharType="begin"/>
      </w:r>
      <w:r w:rsidRPr="00196691">
        <w:instrText xml:space="preserve"> REF _Ref399578085 \h </w:instrText>
      </w:r>
      <w:r w:rsidRPr="002D2F9B">
        <w:fldChar w:fldCharType="separate"/>
      </w:r>
      <w:r w:rsidR="00A87B65">
        <w:t>Figure </w:t>
      </w:r>
      <w:r w:rsidR="00A87B65">
        <w:rPr>
          <w:noProof/>
        </w:rPr>
        <w:t>1</w:t>
      </w:r>
      <w:r w:rsidR="00A87B65">
        <w:t>.</w:t>
      </w:r>
      <w:r w:rsidR="00A87B65">
        <w:rPr>
          <w:noProof/>
        </w:rPr>
        <w:t>2</w:t>
      </w:r>
      <w:r w:rsidRPr="002D2F9B">
        <w:fldChar w:fldCharType="end"/>
      </w:r>
      <w:r w:rsidR="00B873A7">
        <w:t xml:space="preserve"> and </w:t>
      </w:r>
      <w:r w:rsidR="005A106E" w:rsidRPr="002D2F9B">
        <w:fldChar w:fldCharType="begin"/>
      </w:r>
      <w:r w:rsidR="005A106E" w:rsidRPr="00196691">
        <w:instrText xml:space="preserve"> REF _Ref399578086 \h </w:instrText>
      </w:r>
      <w:r w:rsidR="005A106E" w:rsidRPr="002D2F9B">
        <w:fldChar w:fldCharType="separate"/>
      </w:r>
      <w:r w:rsidR="00A87B65">
        <w:t>Figure </w:t>
      </w:r>
      <w:r w:rsidR="00A87B65">
        <w:rPr>
          <w:noProof/>
        </w:rPr>
        <w:t>1</w:t>
      </w:r>
      <w:r w:rsidR="00A87B65">
        <w:t>.</w:t>
      </w:r>
      <w:r w:rsidR="00A87B65">
        <w:rPr>
          <w:noProof/>
        </w:rPr>
        <w:t>3</w:t>
      </w:r>
      <w:r w:rsidR="005A106E" w:rsidRPr="002D2F9B">
        <w:fldChar w:fldCharType="end"/>
      </w:r>
      <w:r w:rsidR="005A106E">
        <w:t xml:space="preserve"> </w:t>
      </w:r>
      <w:r w:rsidR="00B873A7">
        <w:t>are summary tables showing the total number of sites by technology for each sensitivity in 2020 and comparing these numbers with the base case</w:t>
      </w:r>
      <w:r w:rsidR="00B873A7" w:rsidRPr="000C30C5">
        <w:t xml:space="preserve"> </w:t>
      </w:r>
      <w:r w:rsidR="00B873A7">
        <w:t xml:space="preserve">results, while </w:t>
      </w:r>
      <w:r w:rsidRPr="002D2F9B">
        <w:fldChar w:fldCharType="begin"/>
      </w:r>
      <w:r w:rsidRPr="00196691">
        <w:instrText xml:space="preserve"> REF _Ref399578092 \h </w:instrText>
      </w:r>
      <w:r w:rsidRPr="002D2F9B">
        <w:fldChar w:fldCharType="separate"/>
      </w:r>
      <w:r w:rsidR="00A87B65">
        <w:t>Figure </w:t>
      </w:r>
      <w:r w:rsidR="00A87B65">
        <w:rPr>
          <w:noProof/>
        </w:rPr>
        <w:t>1</w:t>
      </w:r>
      <w:r w:rsidR="00A87B65">
        <w:t>.</w:t>
      </w:r>
      <w:r w:rsidR="00A87B65">
        <w:rPr>
          <w:noProof/>
        </w:rPr>
        <w:t>4</w:t>
      </w:r>
      <w:r w:rsidRPr="002D2F9B">
        <w:fldChar w:fldCharType="end"/>
      </w:r>
      <w:r w:rsidR="00B873A7">
        <w:t xml:space="preserve"> and </w:t>
      </w:r>
      <w:r w:rsidRPr="002D2F9B">
        <w:fldChar w:fldCharType="begin"/>
      </w:r>
      <w:r w:rsidRPr="00196691">
        <w:instrText xml:space="preserve"> REF _Ref399578099 \h </w:instrText>
      </w:r>
      <w:r w:rsidRPr="002D2F9B">
        <w:fldChar w:fldCharType="separate"/>
      </w:r>
      <w:r w:rsidR="00A87B65">
        <w:t>Figure </w:t>
      </w:r>
      <w:r w:rsidR="00A87B65">
        <w:rPr>
          <w:noProof/>
        </w:rPr>
        <w:t>1</w:t>
      </w:r>
      <w:r w:rsidR="00A87B65">
        <w:t>.</w:t>
      </w:r>
      <w:r w:rsidR="00A87B65">
        <w:rPr>
          <w:noProof/>
        </w:rPr>
        <w:t>5</w:t>
      </w:r>
      <w:r w:rsidRPr="002D2F9B">
        <w:fldChar w:fldCharType="end"/>
      </w:r>
      <w:r w:rsidR="00B873A7">
        <w:t xml:space="preserve"> show the same information for 2025.</w:t>
      </w:r>
    </w:p>
    <w:p w:rsidR="00DA12CB" w:rsidRDefault="00DA12CB" w:rsidP="00DA12CB">
      <w:pPr>
        <w:pStyle w:val="Caption"/>
      </w:pPr>
      <w:bookmarkStart w:id="20" w:name="_Ref399578085"/>
      <w:r>
        <w:lastRenderedPageBreak/>
        <w:t>Figure </w:t>
      </w:r>
      <w:r w:rsidR="008B1006">
        <w:fldChar w:fldCharType="begin"/>
      </w:r>
      <w:r w:rsidR="008B1006">
        <w:instrText xml:space="preserve"> STYLEREF 1 \s \* MERGEFORMAT </w:instrText>
      </w:r>
      <w:r w:rsidR="008B1006">
        <w:fldChar w:fldCharType="separate"/>
      </w:r>
      <w:r w:rsidR="00A87B65">
        <w:rPr>
          <w:noProof/>
        </w:rPr>
        <w:t>1</w:t>
      </w:r>
      <w:r w:rsidR="008B1006">
        <w:rPr>
          <w:noProof/>
        </w:rPr>
        <w:fldChar w:fldCharType="end"/>
      </w:r>
      <w:r>
        <w:t>.</w:t>
      </w:r>
      <w:fldSimple w:instr=" SEQ Figure \* ARABIC \s 1 \* MERGEFORMAT ">
        <w:r w:rsidR="00A87B65">
          <w:rPr>
            <w:noProof/>
          </w:rPr>
          <w:t>2</w:t>
        </w:r>
      </w:fldSimple>
      <w:bookmarkEnd w:id="20"/>
      <w:r>
        <w:t>: Total number of sites in 2020 for the base case and each sensitivity,</w:t>
      </w:r>
      <w:r w:rsidRPr="005333FD">
        <w:t xml:space="preserve"> </w:t>
      </w:r>
      <w:r>
        <w:t>and the difference from the case (first part) [Source: Analysys Mason, 2014]</w:t>
      </w:r>
    </w:p>
    <w:tbl>
      <w:tblPr>
        <w:tblStyle w:val="MediumShading2-Accent1"/>
        <w:tblW w:w="8732" w:type="dxa"/>
        <w:tblInd w:w="108" w:type="dxa"/>
        <w:tblLook w:val="0420" w:firstRow="1" w:lastRow="0" w:firstColumn="0" w:lastColumn="0" w:noHBand="0" w:noVBand="1"/>
      </w:tblPr>
      <w:tblGrid>
        <w:gridCol w:w="1481"/>
        <w:gridCol w:w="1443"/>
        <w:gridCol w:w="1443"/>
        <w:gridCol w:w="1443"/>
        <w:gridCol w:w="1462"/>
        <w:gridCol w:w="1460"/>
      </w:tblGrid>
      <w:tr w:rsidR="00DA12CB" w:rsidRPr="00562241" w:rsidTr="003C6417">
        <w:trPr>
          <w:cnfStyle w:val="100000000000" w:firstRow="1" w:lastRow="0" w:firstColumn="0" w:lastColumn="0" w:oddVBand="0" w:evenVBand="0" w:oddHBand="0" w:evenHBand="0" w:firstRowFirstColumn="0" w:firstRowLastColumn="0" w:lastRowFirstColumn="0" w:lastRowLastColumn="0"/>
        </w:trPr>
        <w:tc>
          <w:tcPr>
            <w:tcW w:w="1481" w:type="dxa"/>
            <w:tcBorders>
              <w:top w:val="single" w:sz="18" w:space="0" w:color="221F72"/>
              <w:bottom w:val="nil"/>
            </w:tcBorders>
            <w:shd w:val="solid" w:color="221F72" w:fill="221F72"/>
          </w:tcPr>
          <w:p w:rsidR="00DA12CB" w:rsidRPr="00562241" w:rsidRDefault="00DA12CB" w:rsidP="00841EA0">
            <w:pPr>
              <w:pStyle w:val="Tableheading"/>
              <w:rPr>
                <w:b/>
              </w:rPr>
            </w:pPr>
          </w:p>
        </w:tc>
        <w:tc>
          <w:tcPr>
            <w:tcW w:w="1443" w:type="dxa"/>
            <w:tcBorders>
              <w:top w:val="single" w:sz="18" w:space="0" w:color="221F72"/>
              <w:bottom w:val="nil"/>
            </w:tcBorders>
            <w:shd w:val="solid" w:color="221F72" w:fill="221F72"/>
          </w:tcPr>
          <w:p w:rsidR="00DA12CB" w:rsidRDefault="00DA12CB" w:rsidP="00841EA0">
            <w:pPr>
              <w:pStyle w:val="Tableheading"/>
              <w:ind w:right="0"/>
              <w:jc w:val="right"/>
              <w:rPr>
                <w:b/>
              </w:rPr>
            </w:pPr>
            <w:r>
              <w:rPr>
                <w:b/>
              </w:rPr>
              <w:t>Base case</w:t>
            </w:r>
          </w:p>
        </w:tc>
        <w:tc>
          <w:tcPr>
            <w:tcW w:w="1443" w:type="dxa"/>
            <w:tcBorders>
              <w:top w:val="single" w:sz="18" w:space="0" w:color="221F72"/>
              <w:bottom w:val="nil"/>
            </w:tcBorders>
            <w:shd w:val="solid" w:color="221F72" w:fill="221F72"/>
          </w:tcPr>
          <w:p w:rsidR="00DA12CB" w:rsidRDefault="00DA12CB" w:rsidP="00841EA0">
            <w:pPr>
              <w:pStyle w:val="Tableheading"/>
              <w:ind w:right="0"/>
              <w:jc w:val="right"/>
              <w:rPr>
                <w:b/>
              </w:rPr>
            </w:pPr>
            <w:r>
              <w:rPr>
                <w:b/>
              </w:rPr>
              <w:t>50% more traffic</w:t>
            </w:r>
          </w:p>
        </w:tc>
        <w:tc>
          <w:tcPr>
            <w:tcW w:w="1443" w:type="dxa"/>
            <w:tcBorders>
              <w:top w:val="single" w:sz="18" w:space="0" w:color="221F72"/>
              <w:bottom w:val="nil"/>
            </w:tcBorders>
            <w:shd w:val="solid" w:color="221F72" w:fill="221F72"/>
          </w:tcPr>
          <w:p w:rsidR="00DA12CB" w:rsidRDefault="00DA12CB" w:rsidP="00841EA0">
            <w:pPr>
              <w:pStyle w:val="Tableheading"/>
              <w:ind w:right="0"/>
              <w:jc w:val="right"/>
              <w:rPr>
                <w:b/>
              </w:rPr>
            </w:pPr>
            <w:r>
              <w:rPr>
                <w:b/>
              </w:rPr>
              <w:t>100% more traffic</w:t>
            </w:r>
          </w:p>
        </w:tc>
        <w:tc>
          <w:tcPr>
            <w:tcW w:w="1462" w:type="dxa"/>
            <w:tcBorders>
              <w:top w:val="single" w:sz="18" w:space="0" w:color="221F72"/>
              <w:bottom w:val="nil"/>
            </w:tcBorders>
            <w:shd w:val="solid" w:color="221F72" w:fill="221F72"/>
          </w:tcPr>
          <w:p w:rsidR="00DA12CB" w:rsidRDefault="00DA12CB" w:rsidP="00841EA0">
            <w:pPr>
              <w:pStyle w:val="Tableheading"/>
              <w:ind w:right="0"/>
              <w:jc w:val="right"/>
              <w:rPr>
                <w:b/>
              </w:rPr>
            </w:pPr>
            <w:r>
              <w:rPr>
                <w:b/>
              </w:rPr>
              <w:t>Increased spectral efficiency</w:t>
            </w:r>
          </w:p>
        </w:tc>
        <w:tc>
          <w:tcPr>
            <w:tcW w:w="1460" w:type="dxa"/>
            <w:tcBorders>
              <w:top w:val="single" w:sz="18" w:space="0" w:color="221F72"/>
              <w:bottom w:val="nil"/>
            </w:tcBorders>
            <w:shd w:val="solid" w:color="221F72" w:fill="221F72"/>
          </w:tcPr>
          <w:p w:rsidR="00DA12CB" w:rsidRDefault="00DA12CB" w:rsidP="00841EA0">
            <w:pPr>
              <w:pStyle w:val="Tableheading"/>
              <w:ind w:right="0"/>
              <w:jc w:val="right"/>
              <w:rPr>
                <w:b/>
              </w:rPr>
            </w:pPr>
            <w:r>
              <w:rPr>
                <w:b/>
              </w:rPr>
              <w:t>11% data traffic in the busy hour</w:t>
            </w:r>
          </w:p>
        </w:tc>
      </w:tr>
      <w:tr w:rsidR="00DA12CB" w:rsidTr="003C6417">
        <w:trPr>
          <w:cnfStyle w:val="000000100000" w:firstRow="0" w:lastRow="0" w:firstColumn="0" w:lastColumn="0" w:oddVBand="0" w:evenVBand="0" w:oddHBand="1" w:evenHBand="0" w:firstRowFirstColumn="0" w:firstRowLastColumn="0" w:lastRowFirstColumn="0" w:lastRowLastColumn="0"/>
        </w:trPr>
        <w:tc>
          <w:tcPr>
            <w:tcW w:w="1481" w:type="dxa"/>
            <w:tcBorders>
              <w:top w:val="nil"/>
              <w:bottom w:val="nil"/>
            </w:tcBorders>
          </w:tcPr>
          <w:p w:rsidR="00DA12CB" w:rsidRPr="005468E5" w:rsidRDefault="00DA12CB" w:rsidP="00841EA0">
            <w:pPr>
              <w:pStyle w:val="Tablecells"/>
            </w:pPr>
            <w:r w:rsidRPr="005468E5">
              <w:t>Total 3G sites</w:t>
            </w:r>
          </w:p>
        </w:tc>
        <w:tc>
          <w:tcPr>
            <w:tcW w:w="1443" w:type="dxa"/>
            <w:tcBorders>
              <w:top w:val="nil"/>
              <w:bottom w:val="nil"/>
            </w:tcBorders>
            <w:vAlign w:val="center"/>
          </w:tcPr>
          <w:p w:rsidR="00DA12CB" w:rsidRDefault="00DA12CB" w:rsidP="00841EA0">
            <w:pPr>
              <w:pStyle w:val="Tablecells"/>
              <w:ind w:right="0"/>
              <w:jc w:val="right"/>
            </w:pPr>
            <w:r>
              <w:t xml:space="preserve">18,565 </w:t>
            </w:r>
          </w:p>
        </w:tc>
        <w:tc>
          <w:tcPr>
            <w:tcW w:w="1443" w:type="dxa"/>
            <w:tcBorders>
              <w:top w:val="nil"/>
              <w:bottom w:val="nil"/>
            </w:tcBorders>
          </w:tcPr>
          <w:p w:rsidR="00DA12CB" w:rsidRPr="00132E75" w:rsidRDefault="00DA12CB" w:rsidP="00841EA0">
            <w:pPr>
              <w:pStyle w:val="Tablecells"/>
              <w:ind w:right="0"/>
              <w:jc w:val="right"/>
            </w:pPr>
            <w:r w:rsidRPr="00132E75">
              <w:t xml:space="preserve">19,233 </w:t>
            </w:r>
          </w:p>
        </w:tc>
        <w:tc>
          <w:tcPr>
            <w:tcW w:w="1443" w:type="dxa"/>
            <w:tcBorders>
              <w:top w:val="nil"/>
              <w:bottom w:val="nil"/>
            </w:tcBorders>
          </w:tcPr>
          <w:p w:rsidR="00DA12CB" w:rsidRPr="00132E75" w:rsidRDefault="00DA12CB" w:rsidP="00841EA0">
            <w:pPr>
              <w:pStyle w:val="Tablecells"/>
              <w:ind w:right="0"/>
              <w:jc w:val="right"/>
            </w:pPr>
            <w:r w:rsidRPr="00132E75">
              <w:t xml:space="preserve">20,066 </w:t>
            </w:r>
          </w:p>
        </w:tc>
        <w:tc>
          <w:tcPr>
            <w:tcW w:w="1462" w:type="dxa"/>
            <w:tcBorders>
              <w:top w:val="nil"/>
              <w:bottom w:val="nil"/>
            </w:tcBorders>
          </w:tcPr>
          <w:p w:rsidR="00DA12CB" w:rsidRDefault="00DA12CB" w:rsidP="00841EA0">
            <w:pPr>
              <w:pStyle w:val="Tablecells"/>
              <w:ind w:right="0"/>
              <w:jc w:val="right"/>
            </w:pPr>
            <w:r w:rsidRPr="00132E75">
              <w:t xml:space="preserve">18,383 </w:t>
            </w:r>
          </w:p>
        </w:tc>
        <w:tc>
          <w:tcPr>
            <w:tcW w:w="1460" w:type="dxa"/>
            <w:tcBorders>
              <w:top w:val="nil"/>
              <w:bottom w:val="nil"/>
            </w:tcBorders>
            <w:vAlign w:val="center"/>
          </w:tcPr>
          <w:p w:rsidR="00DA12CB" w:rsidRPr="00F1754E" w:rsidRDefault="00DA12CB" w:rsidP="00841EA0">
            <w:pPr>
              <w:pStyle w:val="Tablecells"/>
              <w:ind w:right="0"/>
              <w:jc w:val="right"/>
            </w:pPr>
            <w:r w:rsidRPr="00F1754E">
              <w:t xml:space="preserve">19,215 </w:t>
            </w:r>
          </w:p>
        </w:tc>
      </w:tr>
      <w:tr w:rsidR="00DA12CB" w:rsidRPr="00BB78B9" w:rsidTr="00841EA0">
        <w:tc>
          <w:tcPr>
            <w:tcW w:w="1481" w:type="dxa"/>
            <w:tcBorders>
              <w:bottom w:val="nil"/>
            </w:tcBorders>
          </w:tcPr>
          <w:p w:rsidR="00DA12CB" w:rsidRPr="00BB78B9" w:rsidRDefault="00DA12CB" w:rsidP="00841EA0">
            <w:pPr>
              <w:pStyle w:val="Tablecells"/>
              <w:rPr>
                <w:i/>
              </w:rPr>
            </w:pPr>
            <w:r w:rsidRPr="00BB78B9">
              <w:rPr>
                <w:i/>
              </w:rPr>
              <w:t>(difference)</w:t>
            </w:r>
          </w:p>
        </w:tc>
        <w:tc>
          <w:tcPr>
            <w:tcW w:w="1443" w:type="dxa"/>
            <w:tcBorders>
              <w:bottom w:val="nil"/>
            </w:tcBorders>
            <w:vAlign w:val="center"/>
          </w:tcPr>
          <w:p w:rsidR="00DA12CB" w:rsidRPr="00F1754E" w:rsidRDefault="00DA12CB" w:rsidP="00841EA0">
            <w:pPr>
              <w:pStyle w:val="Tablecells"/>
              <w:ind w:right="0"/>
              <w:jc w:val="right"/>
              <w:rPr>
                <w:i/>
              </w:rPr>
            </w:pPr>
          </w:p>
        </w:tc>
        <w:tc>
          <w:tcPr>
            <w:tcW w:w="1443" w:type="dxa"/>
            <w:tcBorders>
              <w:bottom w:val="nil"/>
            </w:tcBorders>
          </w:tcPr>
          <w:p w:rsidR="00DA12CB" w:rsidRPr="00F1754E" w:rsidRDefault="00DA12CB" w:rsidP="00841EA0">
            <w:pPr>
              <w:pStyle w:val="Tablecells"/>
              <w:ind w:right="0"/>
              <w:jc w:val="right"/>
              <w:rPr>
                <w:i/>
              </w:rPr>
            </w:pPr>
            <w:r w:rsidRPr="00F1754E">
              <w:rPr>
                <w:i/>
              </w:rPr>
              <w:t xml:space="preserve">+668 </w:t>
            </w:r>
          </w:p>
        </w:tc>
        <w:tc>
          <w:tcPr>
            <w:tcW w:w="1443" w:type="dxa"/>
            <w:tcBorders>
              <w:bottom w:val="nil"/>
            </w:tcBorders>
          </w:tcPr>
          <w:p w:rsidR="00DA12CB" w:rsidRPr="00F1754E" w:rsidRDefault="00DA12CB" w:rsidP="00841EA0">
            <w:pPr>
              <w:pStyle w:val="Tablecells"/>
              <w:ind w:right="0"/>
              <w:jc w:val="right"/>
              <w:rPr>
                <w:i/>
              </w:rPr>
            </w:pPr>
            <w:r w:rsidRPr="00F1754E">
              <w:rPr>
                <w:i/>
              </w:rPr>
              <w:t xml:space="preserve">+1,501 </w:t>
            </w:r>
          </w:p>
        </w:tc>
        <w:tc>
          <w:tcPr>
            <w:tcW w:w="1462" w:type="dxa"/>
            <w:tcBorders>
              <w:bottom w:val="nil"/>
            </w:tcBorders>
          </w:tcPr>
          <w:p w:rsidR="00DA12CB" w:rsidRPr="00F1754E" w:rsidRDefault="00DA12CB" w:rsidP="00841EA0">
            <w:pPr>
              <w:pStyle w:val="Tablecells"/>
              <w:ind w:right="0"/>
              <w:jc w:val="right"/>
              <w:rPr>
                <w:i/>
              </w:rPr>
            </w:pPr>
            <w:r w:rsidRPr="00F1754E">
              <w:rPr>
                <w:i/>
                <w:color w:val="FF0000"/>
              </w:rPr>
              <w:t xml:space="preserve">-182 </w:t>
            </w:r>
          </w:p>
        </w:tc>
        <w:tc>
          <w:tcPr>
            <w:tcW w:w="1460" w:type="dxa"/>
            <w:tcBorders>
              <w:bottom w:val="nil"/>
            </w:tcBorders>
            <w:vAlign w:val="center"/>
          </w:tcPr>
          <w:p w:rsidR="00DA12CB" w:rsidRPr="00F1754E" w:rsidRDefault="00DA12CB" w:rsidP="00841EA0">
            <w:pPr>
              <w:pStyle w:val="Tablecells"/>
              <w:ind w:right="0"/>
              <w:jc w:val="right"/>
              <w:rPr>
                <w:i/>
              </w:rPr>
            </w:pPr>
            <w:r w:rsidRPr="00F1754E">
              <w:rPr>
                <w:i/>
              </w:rPr>
              <w:t xml:space="preserve">+650 </w:t>
            </w:r>
          </w:p>
        </w:tc>
      </w:tr>
      <w:tr w:rsidR="00DA12CB" w:rsidTr="00841EA0">
        <w:trPr>
          <w:cnfStyle w:val="000000100000" w:firstRow="0" w:lastRow="0" w:firstColumn="0" w:lastColumn="0" w:oddVBand="0" w:evenVBand="0" w:oddHBand="1" w:evenHBand="0" w:firstRowFirstColumn="0" w:firstRowLastColumn="0" w:lastRowFirstColumn="0" w:lastRowLastColumn="0"/>
        </w:trPr>
        <w:tc>
          <w:tcPr>
            <w:tcW w:w="1481" w:type="dxa"/>
            <w:tcBorders>
              <w:bottom w:val="nil"/>
            </w:tcBorders>
          </w:tcPr>
          <w:p w:rsidR="00DA12CB" w:rsidRPr="00B26ADF" w:rsidRDefault="00DA12CB" w:rsidP="00841EA0">
            <w:pPr>
              <w:pStyle w:val="Tablecells"/>
            </w:pPr>
            <w:r w:rsidRPr="00B26ADF">
              <w:t>Total 4G sites</w:t>
            </w:r>
          </w:p>
        </w:tc>
        <w:tc>
          <w:tcPr>
            <w:tcW w:w="1443" w:type="dxa"/>
            <w:tcBorders>
              <w:bottom w:val="nil"/>
            </w:tcBorders>
          </w:tcPr>
          <w:p w:rsidR="00DA12CB" w:rsidRPr="00965FCF" w:rsidRDefault="00DA12CB" w:rsidP="00841EA0">
            <w:pPr>
              <w:pStyle w:val="Tablecells"/>
              <w:ind w:right="0"/>
              <w:jc w:val="right"/>
            </w:pPr>
            <w:r w:rsidRPr="00965FCF">
              <w:t xml:space="preserve">19,662 </w:t>
            </w:r>
          </w:p>
        </w:tc>
        <w:tc>
          <w:tcPr>
            <w:tcW w:w="1443" w:type="dxa"/>
            <w:tcBorders>
              <w:bottom w:val="nil"/>
            </w:tcBorders>
          </w:tcPr>
          <w:p w:rsidR="00DA12CB" w:rsidRPr="00965FCF" w:rsidRDefault="00DA12CB" w:rsidP="00841EA0">
            <w:pPr>
              <w:pStyle w:val="Tablecells"/>
              <w:ind w:right="0"/>
              <w:jc w:val="right"/>
            </w:pPr>
            <w:r w:rsidRPr="00965FCF">
              <w:t xml:space="preserve">20,661 </w:t>
            </w:r>
          </w:p>
        </w:tc>
        <w:tc>
          <w:tcPr>
            <w:tcW w:w="1443" w:type="dxa"/>
            <w:tcBorders>
              <w:bottom w:val="nil"/>
            </w:tcBorders>
          </w:tcPr>
          <w:p w:rsidR="00DA12CB" w:rsidRPr="00965FCF" w:rsidRDefault="00DA12CB" w:rsidP="00841EA0">
            <w:pPr>
              <w:pStyle w:val="Tablecells"/>
              <w:ind w:right="0"/>
              <w:jc w:val="right"/>
            </w:pPr>
            <w:r w:rsidRPr="00965FCF">
              <w:t xml:space="preserve">21,891 </w:t>
            </w:r>
          </w:p>
        </w:tc>
        <w:tc>
          <w:tcPr>
            <w:tcW w:w="1462" w:type="dxa"/>
            <w:tcBorders>
              <w:bottom w:val="nil"/>
            </w:tcBorders>
          </w:tcPr>
          <w:p w:rsidR="00DA12CB" w:rsidRPr="00965FCF" w:rsidRDefault="00DA12CB" w:rsidP="00841EA0">
            <w:pPr>
              <w:pStyle w:val="Tablecells"/>
              <w:ind w:right="0"/>
              <w:jc w:val="right"/>
            </w:pPr>
            <w:r w:rsidRPr="00965FCF">
              <w:t xml:space="preserve">19,289 </w:t>
            </w:r>
          </w:p>
        </w:tc>
        <w:tc>
          <w:tcPr>
            <w:tcW w:w="1460" w:type="dxa"/>
            <w:tcBorders>
              <w:bottom w:val="nil"/>
            </w:tcBorders>
          </w:tcPr>
          <w:p w:rsidR="00DA12CB" w:rsidRDefault="00DA12CB" w:rsidP="00841EA0">
            <w:pPr>
              <w:pStyle w:val="Tablecells"/>
              <w:ind w:right="0"/>
              <w:jc w:val="right"/>
            </w:pPr>
            <w:r w:rsidRPr="00965FCF">
              <w:t xml:space="preserve">20,402 </w:t>
            </w:r>
          </w:p>
        </w:tc>
      </w:tr>
      <w:tr w:rsidR="00DA12CB" w:rsidRPr="00F1754E" w:rsidTr="00841EA0">
        <w:tc>
          <w:tcPr>
            <w:tcW w:w="1481" w:type="dxa"/>
            <w:tcBorders>
              <w:top w:val="nil"/>
              <w:bottom w:val="single" w:sz="4" w:space="0" w:color="808080"/>
            </w:tcBorders>
          </w:tcPr>
          <w:p w:rsidR="00DA12CB" w:rsidRPr="00BB78B9" w:rsidRDefault="00DA12CB" w:rsidP="00841EA0">
            <w:pPr>
              <w:pStyle w:val="Tablecells"/>
              <w:rPr>
                <w:i/>
              </w:rPr>
            </w:pPr>
            <w:r w:rsidRPr="00BB78B9">
              <w:rPr>
                <w:i/>
              </w:rPr>
              <w:t>(difference)</w:t>
            </w:r>
          </w:p>
        </w:tc>
        <w:tc>
          <w:tcPr>
            <w:tcW w:w="1443" w:type="dxa"/>
            <w:tcBorders>
              <w:top w:val="nil"/>
              <w:bottom w:val="single" w:sz="4" w:space="0" w:color="808080"/>
            </w:tcBorders>
            <w:vAlign w:val="center"/>
          </w:tcPr>
          <w:p w:rsidR="00DA12CB" w:rsidRPr="00CB3145" w:rsidRDefault="00DA12CB" w:rsidP="00841EA0">
            <w:pPr>
              <w:pStyle w:val="Tablecells"/>
              <w:ind w:right="0"/>
              <w:jc w:val="right"/>
              <w:rPr>
                <w:i/>
              </w:rPr>
            </w:pPr>
          </w:p>
        </w:tc>
        <w:tc>
          <w:tcPr>
            <w:tcW w:w="1443" w:type="dxa"/>
            <w:tcBorders>
              <w:top w:val="nil"/>
              <w:bottom w:val="single" w:sz="4" w:space="0" w:color="808080"/>
            </w:tcBorders>
          </w:tcPr>
          <w:p w:rsidR="00DA12CB" w:rsidRPr="00CB3145" w:rsidRDefault="00DA12CB" w:rsidP="00841EA0">
            <w:pPr>
              <w:pStyle w:val="Tablecells"/>
              <w:ind w:right="0"/>
              <w:jc w:val="right"/>
              <w:rPr>
                <w:i/>
              </w:rPr>
            </w:pPr>
            <w:r>
              <w:rPr>
                <w:i/>
              </w:rPr>
              <w:t>+</w:t>
            </w:r>
            <w:r w:rsidRPr="00CB3145">
              <w:rPr>
                <w:i/>
              </w:rPr>
              <w:t xml:space="preserve">999 </w:t>
            </w:r>
          </w:p>
        </w:tc>
        <w:tc>
          <w:tcPr>
            <w:tcW w:w="1443" w:type="dxa"/>
            <w:tcBorders>
              <w:top w:val="nil"/>
              <w:bottom w:val="single" w:sz="4" w:space="0" w:color="808080"/>
            </w:tcBorders>
          </w:tcPr>
          <w:p w:rsidR="00DA12CB" w:rsidRPr="00CB3145" w:rsidRDefault="00DA12CB" w:rsidP="00841EA0">
            <w:pPr>
              <w:pStyle w:val="Tablecells"/>
              <w:ind w:right="0"/>
              <w:jc w:val="right"/>
              <w:rPr>
                <w:i/>
              </w:rPr>
            </w:pPr>
            <w:r>
              <w:rPr>
                <w:i/>
              </w:rPr>
              <w:t>+</w:t>
            </w:r>
            <w:r w:rsidRPr="00CB3145">
              <w:rPr>
                <w:i/>
              </w:rPr>
              <w:t xml:space="preserve">2,229 </w:t>
            </w:r>
          </w:p>
        </w:tc>
        <w:tc>
          <w:tcPr>
            <w:tcW w:w="1462" w:type="dxa"/>
            <w:tcBorders>
              <w:top w:val="nil"/>
              <w:bottom w:val="single" w:sz="4" w:space="0" w:color="808080"/>
            </w:tcBorders>
          </w:tcPr>
          <w:p w:rsidR="00DA12CB" w:rsidRPr="00CB3145" w:rsidRDefault="00DA12CB" w:rsidP="00841EA0">
            <w:pPr>
              <w:pStyle w:val="Tablecells"/>
              <w:ind w:right="0"/>
              <w:jc w:val="right"/>
              <w:rPr>
                <w:i/>
              </w:rPr>
            </w:pPr>
            <w:r w:rsidRPr="00CB3145">
              <w:rPr>
                <w:i/>
                <w:color w:val="FF0000"/>
              </w:rPr>
              <w:t xml:space="preserve">-373 </w:t>
            </w:r>
          </w:p>
        </w:tc>
        <w:tc>
          <w:tcPr>
            <w:tcW w:w="1460" w:type="dxa"/>
            <w:tcBorders>
              <w:top w:val="nil"/>
              <w:bottom w:val="single" w:sz="4" w:space="0" w:color="808080"/>
            </w:tcBorders>
          </w:tcPr>
          <w:p w:rsidR="00DA12CB" w:rsidRPr="00CB3145" w:rsidRDefault="00DA12CB" w:rsidP="00841EA0">
            <w:pPr>
              <w:pStyle w:val="Tablecells"/>
              <w:ind w:right="0"/>
              <w:jc w:val="right"/>
              <w:rPr>
                <w:i/>
              </w:rPr>
            </w:pPr>
            <w:r>
              <w:rPr>
                <w:i/>
              </w:rPr>
              <w:t>+</w:t>
            </w:r>
            <w:r w:rsidRPr="00CB3145">
              <w:rPr>
                <w:i/>
              </w:rPr>
              <w:t xml:space="preserve">740 </w:t>
            </w:r>
          </w:p>
        </w:tc>
      </w:tr>
      <w:tr w:rsidR="00DA12CB" w:rsidTr="00841EA0">
        <w:trPr>
          <w:cnfStyle w:val="000000100000" w:firstRow="0" w:lastRow="0" w:firstColumn="0" w:lastColumn="0" w:oddVBand="0" w:evenVBand="0" w:oddHBand="1" w:evenHBand="0" w:firstRowFirstColumn="0" w:firstRowLastColumn="0" w:lastRowFirstColumn="0" w:lastRowLastColumn="0"/>
        </w:trPr>
        <w:tc>
          <w:tcPr>
            <w:tcW w:w="1481" w:type="dxa"/>
            <w:tcBorders>
              <w:top w:val="nil"/>
              <w:bottom w:val="nil"/>
            </w:tcBorders>
          </w:tcPr>
          <w:p w:rsidR="00DA12CB" w:rsidRPr="00FC54B4" w:rsidRDefault="00DA12CB" w:rsidP="00841EA0">
            <w:pPr>
              <w:pStyle w:val="Tablecells"/>
              <w:rPr>
                <w:b/>
              </w:rPr>
            </w:pPr>
            <w:r w:rsidRPr="00FC54B4">
              <w:rPr>
                <w:b/>
              </w:rPr>
              <w:t>Total sites</w:t>
            </w:r>
          </w:p>
        </w:tc>
        <w:tc>
          <w:tcPr>
            <w:tcW w:w="1443" w:type="dxa"/>
            <w:tcBorders>
              <w:top w:val="nil"/>
              <w:bottom w:val="nil"/>
            </w:tcBorders>
            <w:vAlign w:val="center"/>
          </w:tcPr>
          <w:p w:rsidR="00DA12CB" w:rsidRPr="00CB3145" w:rsidRDefault="00DA12CB" w:rsidP="00841EA0">
            <w:pPr>
              <w:pStyle w:val="Tablecells"/>
              <w:ind w:right="0"/>
              <w:jc w:val="right"/>
              <w:rPr>
                <w:b/>
              </w:rPr>
            </w:pPr>
            <w:r w:rsidRPr="00CB3145">
              <w:rPr>
                <w:b/>
              </w:rPr>
              <w:t xml:space="preserve">38,227 </w:t>
            </w:r>
          </w:p>
        </w:tc>
        <w:tc>
          <w:tcPr>
            <w:tcW w:w="1443" w:type="dxa"/>
            <w:tcBorders>
              <w:top w:val="nil"/>
              <w:bottom w:val="nil"/>
            </w:tcBorders>
            <w:vAlign w:val="center"/>
          </w:tcPr>
          <w:p w:rsidR="00DA12CB" w:rsidRPr="00CB3145" w:rsidRDefault="00DA12CB" w:rsidP="00841EA0">
            <w:pPr>
              <w:pStyle w:val="Tablecells"/>
              <w:ind w:right="0"/>
              <w:jc w:val="right"/>
              <w:rPr>
                <w:b/>
              </w:rPr>
            </w:pPr>
            <w:r w:rsidRPr="00CB3145">
              <w:rPr>
                <w:b/>
              </w:rPr>
              <w:t xml:space="preserve">39,894 </w:t>
            </w:r>
          </w:p>
        </w:tc>
        <w:tc>
          <w:tcPr>
            <w:tcW w:w="1443" w:type="dxa"/>
            <w:tcBorders>
              <w:top w:val="nil"/>
              <w:bottom w:val="nil"/>
            </w:tcBorders>
            <w:vAlign w:val="center"/>
          </w:tcPr>
          <w:p w:rsidR="00DA12CB" w:rsidRPr="00CB3145" w:rsidRDefault="00DA12CB" w:rsidP="00841EA0">
            <w:pPr>
              <w:pStyle w:val="Tablecells"/>
              <w:ind w:right="0"/>
              <w:jc w:val="right"/>
              <w:rPr>
                <w:b/>
              </w:rPr>
            </w:pPr>
            <w:r w:rsidRPr="00CB3145">
              <w:rPr>
                <w:b/>
              </w:rPr>
              <w:t xml:space="preserve">41,957 </w:t>
            </w:r>
          </w:p>
        </w:tc>
        <w:tc>
          <w:tcPr>
            <w:tcW w:w="1462" w:type="dxa"/>
            <w:tcBorders>
              <w:top w:val="nil"/>
              <w:bottom w:val="nil"/>
            </w:tcBorders>
            <w:vAlign w:val="center"/>
          </w:tcPr>
          <w:p w:rsidR="00DA12CB" w:rsidRPr="00CB3145" w:rsidRDefault="00DA12CB" w:rsidP="00841EA0">
            <w:pPr>
              <w:pStyle w:val="Tablecells"/>
              <w:ind w:right="0"/>
              <w:jc w:val="right"/>
              <w:rPr>
                <w:b/>
              </w:rPr>
            </w:pPr>
            <w:r w:rsidRPr="00CB3145">
              <w:rPr>
                <w:b/>
              </w:rPr>
              <w:t xml:space="preserve">37,672 </w:t>
            </w:r>
          </w:p>
        </w:tc>
        <w:tc>
          <w:tcPr>
            <w:tcW w:w="1460" w:type="dxa"/>
            <w:tcBorders>
              <w:top w:val="nil"/>
              <w:bottom w:val="nil"/>
            </w:tcBorders>
            <w:vAlign w:val="center"/>
          </w:tcPr>
          <w:p w:rsidR="00DA12CB" w:rsidRPr="00CB3145" w:rsidRDefault="00DA12CB" w:rsidP="00841EA0">
            <w:pPr>
              <w:pStyle w:val="Tablecells"/>
              <w:ind w:right="0"/>
              <w:jc w:val="right"/>
              <w:rPr>
                <w:b/>
              </w:rPr>
            </w:pPr>
            <w:r w:rsidRPr="00CB3145">
              <w:rPr>
                <w:b/>
              </w:rPr>
              <w:t xml:space="preserve">39,617 </w:t>
            </w:r>
          </w:p>
        </w:tc>
      </w:tr>
      <w:tr w:rsidR="00DA12CB" w:rsidRPr="00CB3145" w:rsidTr="00841EA0">
        <w:tc>
          <w:tcPr>
            <w:tcW w:w="1481" w:type="dxa"/>
            <w:tcBorders>
              <w:top w:val="nil"/>
              <w:bottom w:val="single" w:sz="4" w:space="0" w:color="808080"/>
            </w:tcBorders>
          </w:tcPr>
          <w:p w:rsidR="00DA12CB" w:rsidRPr="00BB78B9" w:rsidRDefault="00DA12CB" w:rsidP="00841EA0">
            <w:pPr>
              <w:pStyle w:val="Tablecells"/>
              <w:rPr>
                <w:b/>
                <w:i/>
              </w:rPr>
            </w:pPr>
            <w:r w:rsidRPr="00BB78B9">
              <w:rPr>
                <w:b/>
                <w:i/>
              </w:rPr>
              <w:t>(difference)</w:t>
            </w:r>
          </w:p>
        </w:tc>
        <w:tc>
          <w:tcPr>
            <w:tcW w:w="1443" w:type="dxa"/>
            <w:tcBorders>
              <w:top w:val="nil"/>
              <w:bottom w:val="single" w:sz="4" w:space="0" w:color="808080"/>
            </w:tcBorders>
            <w:vAlign w:val="center"/>
          </w:tcPr>
          <w:p w:rsidR="00DA12CB" w:rsidRPr="00CB3145" w:rsidRDefault="00DA12CB" w:rsidP="00841EA0">
            <w:pPr>
              <w:pStyle w:val="Tablecells"/>
              <w:ind w:right="0"/>
              <w:jc w:val="right"/>
              <w:rPr>
                <w:b/>
                <w:i/>
              </w:rPr>
            </w:pPr>
          </w:p>
        </w:tc>
        <w:tc>
          <w:tcPr>
            <w:tcW w:w="1443" w:type="dxa"/>
            <w:tcBorders>
              <w:top w:val="nil"/>
              <w:bottom w:val="single" w:sz="4" w:space="0" w:color="808080"/>
            </w:tcBorders>
            <w:vAlign w:val="center"/>
          </w:tcPr>
          <w:p w:rsidR="00DA12CB" w:rsidRPr="00CB3145" w:rsidRDefault="00DA12CB" w:rsidP="00841EA0">
            <w:pPr>
              <w:pStyle w:val="Tablecells"/>
              <w:ind w:right="0"/>
              <w:jc w:val="right"/>
              <w:rPr>
                <w:b/>
                <w:i/>
              </w:rPr>
            </w:pPr>
            <w:r w:rsidRPr="00CB3145">
              <w:rPr>
                <w:b/>
                <w:i/>
              </w:rPr>
              <w:t xml:space="preserve">+1,667 </w:t>
            </w:r>
          </w:p>
        </w:tc>
        <w:tc>
          <w:tcPr>
            <w:tcW w:w="1443" w:type="dxa"/>
            <w:tcBorders>
              <w:top w:val="nil"/>
              <w:bottom w:val="single" w:sz="4" w:space="0" w:color="808080"/>
            </w:tcBorders>
            <w:vAlign w:val="center"/>
          </w:tcPr>
          <w:p w:rsidR="00DA12CB" w:rsidRPr="00CB3145" w:rsidRDefault="00DA12CB" w:rsidP="00841EA0">
            <w:pPr>
              <w:pStyle w:val="Tablecells"/>
              <w:ind w:right="0"/>
              <w:jc w:val="right"/>
              <w:rPr>
                <w:b/>
                <w:i/>
              </w:rPr>
            </w:pPr>
            <w:r w:rsidRPr="00CB3145">
              <w:rPr>
                <w:b/>
                <w:i/>
              </w:rPr>
              <w:t xml:space="preserve">+3,730 </w:t>
            </w:r>
          </w:p>
        </w:tc>
        <w:tc>
          <w:tcPr>
            <w:tcW w:w="1462" w:type="dxa"/>
            <w:tcBorders>
              <w:top w:val="nil"/>
              <w:bottom w:val="single" w:sz="4" w:space="0" w:color="808080"/>
            </w:tcBorders>
            <w:vAlign w:val="center"/>
          </w:tcPr>
          <w:p w:rsidR="00DA12CB" w:rsidRPr="00CB3145" w:rsidRDefault="00DA12CB" w:rsidP="00841EA0">
            <w:pPr>
              <w:pStyle w:val="Tablecells"/>
              <w:ind w:right="0"/>
              <w:jc w:val="right"/>
              <w:rPr>
                <w:b/>
                <w:i/>
              </w:rPr>
            </w:pPr>
            <w:r w:rsidRPr="00CB3145">
              <w:rPr>
                <w:b/>
                <w:i/>
              </w:rPr>
              <w:t xml:space="preserve">-555 </w:t>
            </w:r>
          </w:p>
        </w:tc>
        <w:tc>
          <w:tcPr>
            <w:tcW w:w="1460" w:type="dxa"/>
            <w:tcBorders>
              <w:top w:val="nil"/>
              <w:bottom w:val="single" w:sz="4" w:space="0" w:color="808080"/>
            </w:tcBorders>
            <w:vAlign w:val="center"/>
          </w:tcPr>
          <w:p w:rsidR="00DA12CB" w:rsidRPr="00CB3145" w:rsidRDefault="00DA12CB" w:rsidP="00841EA0">
            <w:pPr>
              <w:pStyle w:val="Tablecells"/>
              <w:ind w:right="0"/>
              <w:jc w:val="right"/>
              <w:rPr>
                <w:b/>
                <w:i/>
              </w:rPr>
            </w:pPr>
            <w:r w:rsidRPr="00CB3145">
              <w:rPr>
                <w:b/>
                <w:i/>
              </w:rPr>
              <w:t xml:space="preserve">+1,390 </w:t>
            </w:r>
          </w:p>
        </w:tc>
      </w:tr>
    </w:tbl>
    <w:p w:rsidR="00DA12CB" w:rsidRDefault="00DA12CB" w:rsidP="005A106E"/>
    <w:p w:rsidR="005A106E" w:rsidRDefault="005A106E" w:rsidP="005A106E"/>
    <w:p w:rsidR="005A106E" w:rsidRDefault="005A106E" w:rsidP="005A106E"/>
    <w:p w:rsidR="00DA12CB" w:rsidRDefault="00DA12CB" w:rsidP="00DA12CB">
      <w:pPr>
        <w:pStyle w:val="Caption"/>
      </w:pPr>
      <w:bookmarkStart w:id="21" w:name="_Ref399578086"/>
      <w:r>
        <w:t>Figure </w:t>
      </w:r>
      <w:r w:rsidR="008B1006">
        <w:fldChar w:fldCharType="begin"/>
      </w:r>
      <w:r w:rsidR="008B1006">
        <w:instrText xml:space="preserve"> STYLEREF 1 \s \* MERGEFORMAT </w:instrText>
      </w:r>
      <w:r w:rsidR="008B1006">
        <w:fldChar w:fldCharType="separate"/>
      </w:r>
      <w:r w:rsidR="00A87B65">
        <w:rPr>
          <w:noProof/>
        </w:rPr>
        <w:t>1</w:t>
      </w:r>
      <w:r w:rsidR="008B1006">
        <w:rPr>
          <w:noProof/>
        </w:rPr>
        <w:fldChar w:fldCharType="end"/>
      </w:r>
      <w:r>
        <w:t>.</w:t>
      </w:r>
      <w:fldSimple w:instr=" SEQ Figure \* ARABIC \s 1 \* MERGEFORMAT ">
        <w:r w:rsidR="00A87B65">
          <w:rPr>
            <w:noProof/>
          </w:rPr>
          <w:t>3</w:t>
        </w:r>
      </w:fldSimple>
      <w:bookmarkEnd w:id="21"/>
      <w:r>
        <w:t>: Total number of sites in 2020 for the base case and each sensitivity, and the difference from the base case (second part) [Source: Analysys Mason, 2014]</w:t>
      </w:r>
    </w:p>
    <w:tbl>
      <w:tblPr>
        <w:tblStyle w:val="MediumShading2-Accent1"/>
        <w:tblW w:w="8732" w:type="dxa"/>
        <w:tblInd w:w="108" w:type="dxa"/>
        <w:tblLook w:val="0420" w:firstRow="1" w:lastRow="0" w:firstColumn="0" w:lastColumn="0" w:noHBand="0" w:noVBand="1"/>
      </w:tblPr>
      <w:tblGrid>
        <w:gridCol w:w="1761"/>
        <w:gridCol w:w="1746"/>
        <w:gridCol w:w="1746"/>
        <w:gridCol w:w="1747"/>
        <w:gridCol w:w="1732"/>
      </w:tblGrid>
      <w:tr w:rsidR="00DA12CB" w:rsidRPr="00562241" w:rsidTr="003C6417">
        <w:trPr>
          <w:cnfStyle w:val="100000000000" w:firstRow="1" w:lastRow="0" w:firstColumn="0" w:lastColumn="0" w:oddVBand="0" w:evenVBand="0" w:oddHBand="0" w:evenHBand="0" w:firstRowFirstColumn="0" w:firstRowLastColumn="0" w:lastRowFirstColumn="0" w:lastRowLastColumn="0"/>
        </w:trPr>
        <w:tc>
          <w:tcPr>
            <w:tcW w:w="1761" w:type="dxa"/>
            <w:tcBorders>
              <w:top w:val="single" w:sz="18" w:space="0" w:color="221F72"/>
              <w:bottom w:val="single" w:sz="4" w:space="0" w:color="FFFFFF" w:themeColor="background1"/>
            </w:tcBorders>
            <w:shd w:val="solid" w:color="221F72" w:fill="221F72"/>
          </w:tcPr>
          <w:p w:rsidR="00DA12CB" w:rsidRPr="00562241" w:rsidRDefault="00DA12CB" w:rsidP="00841EA0">
            <w:pPr>
              <w:pStyle w:val="Tableheading"/>
              <w:keepLines/>
              <w:rPr>
                <w:b/>
              </w:rPr>
            </w:pPr>
          </w:p>
        </w:tc>
        <w:tc>
          <w:tcPr>
            <w:tcW w:w="1746" w:type="dxa"/>
            <w:tcBorders>
              <w:top w:val="single" w:sz="18" w:space="0" w:color="221F72"/>
              <w:bottom w:val="single" w:sz="4" w:space="0" w:color="FFFFFF" w:themeColor="background1"/>
            </w:tcBorders>
            <w:shd w:val="solid" w:color="221F72" w:fill="221F72"/>
          </w:tcPr>
          <w:p w:rsidR="00DA12CB" w:rsidRDefault="00DA12CB" w:rsidP="00841EA0">
            <w:pPr>
              <w:pStyle w:val="Tableheading"/>
              <w:keepLines/>
              <w:ind w:right="0"/>
              <w:jc w:val="right"/>
              <w:rPr>
                <w:b/>
              </w:rPr>
            </w:pPr>
            <w:r>
              <w:rPr>
                <w:b/>
              </w:rPr>
              <w:t>No 700MHz or 2.5GHz spectrum</w:t>
            </w:r>
          </w:p>
        </w:tc>
        <w:tc>
          <w:tcPr>
            <w:tcW w:w="1746" w:type="dxa"/>
            <w:tcBorders>
              <w:top w:val="single" w:sz="18" w:space="0" w:color="221F72"/>
              <w:bottom w:val="single" w:sz="4" w:space="0" w:color="FFFFFF" w:themeColor="background1"/>
            </w:tcBorders>
            <w:shd w:val="solid" w:color="221F72" w:fill="221F72"/>
          </w:tcPr>
          <w:p w:rsidR="00DA12CB" w:rsidRDefault="00DA12CB" w:rsidP="00841EA0">
            <w:pPr>
              <w:pStyle w:val="Tableheading"/>
              <w:keepLines/>
              <w:ind w:right="0"/>
              <w:jc w:val="right"/>
              <w:rPr>
                <w:b/>
              </w:rPr>
            </w:pPr>
            <w:r>
              <w:rPr>
                <w:b/>
              </w:rPr>
              <w:t xml:space="preserve">+150MHz of spectrum in 2015 </w:t>
            </w:r>
          </w:p>
        </w:tc>
        <w:tc>
          <w:tcPr>
            <w:tcW w:w="1747" w:type="dxa"/>
            <w:tcBorders>
              <w:top w:val="single" w:sz="18" w:space="0" w:color="221F72"/>
              <w:bottom w:val="single" w:sz="4" w:space="0" w:color="FFFFFF" w:themeColor="background1"/>
            </w:tcBorders>
            <w:shd w:val="solid" w:color="221F72" w:fill="221F72"/>
          </w:tcPr>
          <w:p w:rsidR="00DA12CB" w:rsidRDefault="00DA12CB" w:rsidP="00841EA0">
            <w:pPr>
              <w:pStyle w:val="Tableheading"/>
              <w:keepLines/>
              <w:ind w:right="0"/>
              <w:jc w:val="right"/>
              <w:rPr>
                <w:b/>
              </w:rPr>
            </w:pPr>
            <w:r>
              <w:rPr>
                <w:b/>
              </w:rPr>
              <w:t xml:space="preserve">+240MHz of spectrum in 2015 </w:t>
            </w:r>
          </w:p>
        </w:tc>
        <w:tc>
          <w:tcPr>
            <w:tcW w:w="1732" w:type="dxa"/>
            <w:tcBorders>
              <w:top w:val="single" w:sz="18" w:space="0" w:color="221F72"/>
              <w:bottom w:val="single" w:sz="4" w:space="0" w:color="FFFFFF" w:themeColor="background1"/>
            </w:tcBorders>
            <w:shd w:val="solid" w:color="221F72" w:fill="221F72"/>
          </w:tcPr>
          <w:p w:rsidR="00DA12CB" w:rsidRDefault="00DA12CB" w:rsidP="00841EA0">
            <w:pPr>
              <w:pStyle w:val="Tableheading"/>
              <w:keepLines/>
              <w:ind w:right="0"/>
              <w:jc w:val="right"/>
              <w:rPr>
                <w:b/>
              </w:rPr>
            </w:pPr>
            <w:r>
              <w:rPr>
                <w:b/>
              </w:rPr>
              <w:t>+540MHz of spectrum in 2015</w:t>
            </w:r>
          </w:p>
        </w:tc>
      </w:tr>
      <w:tr w:rsidR="00DA12CB" w:rsidRPr="00F1754E" w:rsidTr="003C6417">
        <w:trPr>
          <w:cnfStyle w:val="000000100000" w:firstRow="0" w:lastRow="0" w:firstColumn="0" w:lastColumn="0" w:oddVBand="0" w:evenVBand="0" w:oddHBand="1" w:evenHBand="0" w:firstRowFirstColumn="0" w:firstRowLastColumn="0" w:lastRowFirstColumn="0" w:lastRowLastColumn="0"/>
        </w:trPr>
        <w:tc>
          <w:tcPr>
            <w:tcW w:w="1761" w:type="dxa"/>
            <w:tcBorders>
              <w:top w:val="single" w:sz="4" w:space="0" w:color="FFFFFF" w:themeColor="background1"/>
              <w:bottom w:val="nil"/>
            </w:tcBorders>
          </w:tcPr>
          <w:p w:rsidR="00DA12CB" w:rsidRPr="00B26ADF" w:rsidRDefault="00DA12CB" w:rsidP="00841EA0">
            <w:pPr>
              <w:pStyle w:val="Tablecells"/>
            </w:pPr>
            <w:r w:rsidRPr="00B26ADF">
              <w:t>Total 3G sites</w:t>
            </w:r>
          </w:p>
        </w:tc>
        <w:tc>
          <w:tcPr>
            <w:tcW w:w="1746" w:type="dxa"/>
            <w:tcBorders>
              <w:top w:val="single" w:sz="4" w:space="0" w:color="FFFFFF" w:themeColor="background1"/>
              <w:bottom w:val="nil"/>
            </w:tcBorders>
            <w:vAlign w:val="center"/>
          </w:tcPr>
          <w:p w:rsidR="00DA12CB" w:rsidRPr="00F1754E" w:rsidRDefault="00DA12CB" w:rsidP="00841EA0">
            <w:pPr>
              <w:pStyle w:val="Tablecells"/>
              <w:ind w:right="0"/>
              <w:jc w:val="right"/>
            </w:pPr>
            <w:r w:rsidRPr="00F1754E">
              <w:t xml:space="preserve">18,565 </w:t>
            </w:r>
          </w:p>
        </w:tc>
        <w:tc>
          <w:tcPr>
            <w:tcW w:w="1746" w:type="dxa"/>
            <w:tcBorders>
              <w:top w:val="single" w:sz="4" w:space="0" w:color="FFFFFF" w:themeColor="background1"/>
              <w:bottom w:val="nil"/>
            </w:tcBorders>
            <w:vAlign w:val="center"/>
          </w:tcPr>
          <w:p w:rsidR="00DA12CB" w:rsidRPr="00F1754E" w:rsidRDefault="00DA12CB" w:rsidP="00841EA0">
            <w:pPr>
              <w:pStyle w:val="Tablecells"/>
              <w:ind w:right="0"/>
              <w:jc w:val="right"/>
            </w:pPr>
            <w:r w:rsidRPr="00F1754E">
              <w:t xml:space="preserve">18,565 </w:t>
            </w:r>
          </w:p>
        </w:tc>
        <w:tc>
          <w:tcPr>
            <w:tcW w:w="1747" w:type="dxa"/>
            <w:tcBorders>
              <w:top w:val="single" w:sz="4" w:space="0" w:color="FFFFFF" w:themeColor="background1"/>
              <w:bottom w:val="nil"/>
            </w:tcBorders>
            <w:vAlign w:val="center"/>
          </w:tcPr>
          <w:p w:rsidR="00DA12CB" w:rsidRPr="00F1754E" w:rsidRDefault="00DA12CB" w:rsidP="00841EA0">
            <w:pPr>
              <w:pStyle w:val="Tablecells"/>
              <w:ind w:right="0"/>
              <w:jc w:val="right"/>
            </w:pPr>
            <w:r w:rsidRPr="00F1754E">
              <w:t xml:space="preserve">18,565 </w:t>
            </w:r>
          </w:p>
        </w:tc>
        <w:tc>
          <w:tcPr>
            <w:tcW w:w="1732" w:type="dxa"/>
            <w:tcBorders>
              <w:top w:val="single" w:sz="4" w:space="0" w:color="FFFFFF" w:themeColor="background1"/>
              <w:bottom w:val="nil"/>
            </w:tcBorders>
            <w:vAlign w:val="center"/>
          </w:tcPr>
          <w:p w:rsidR="00DA12CB" w:rsidRPr="00F1754E" w:rsidRDefault="00DA12CB" w:rsidP="00841EA0">
            <w:pPr>
              <w:pStyle w:val="Tablecells"/>
              <w:ind w:right="0"/>
              <w:jc w:val="right"/>
            </w:pPr>
            <w:r w:rsidRPr="00F1754E">
              <w:t xml:space="preserve">18,565 </w:t>
            </w:r>
          </w:p>
        </w:tc>
      </w:tr>
      <w:tr w:rsidR="00DA12CB" w:rsidRPr="00BB78B9" w:rsidTr="00841EA0">
        <w:tc>
          <w:tcPr>
            <w:tcW w:w="1761" w:type="dxa"/>
            <w:tcBorders>
              <w:bottom w:val="nil"/>
            </w:tcBorders>
          </w:tcPr>
          <w:p w:rsidR="00DA12CB" w:rsidRPr="00BB78B9" w:rsidRDefault="00DA12CB" w:rsidP="00841EA0">
            <w:pPr>
              <w:pStyle w:val="Tablecells"/>
              <w:keepNext/>
              <w:keepLines/>
              <w:rPr>
                <w:i/>
              </w:rPr>
            </w:pPr>
            <w:r w:rsidRPr="00BB78B9">
              <w:rPr>
                <w:i/>
              </w:rPr>
              <w:t>(difference)</w:t>
            </w:r>
          </w:p>
        </w:tc>
        <w:tc>
          <w:tcPr>
            <w:tcW w:w="1746" w:type="dxa"/>
            <w:tcBorders>
              <w:bottom w:val="nil"/>
            </w:tcBorders>
            <w:vAlign w:val="center"/>
          </w:tcPr>
          <w:p w:rsidR="00DA12CB" w:rsidRPr="00CB3145" w:rsidRDefault="00DA12CB" w:rsidP="00841EA0">
            <w:pPr>
              <w:pStyle w:val="Tablecells"/>
              <w:ind w:right="0"/>
              <w:jc w:val="right"/>
              <w:rPr>
                <w:i/>
              </w:rPr>
            </w:pPr>
            <w:r w:rsidRPr="00CB3145">
              <w:rPr>
                <w:i/>
              </w:rPr>
              <w:t xml:space="preserve">0 </w:t>
            </w:r>
          </w:p>
        </w:tc>
        <w:tc>
          <w:tcPr>
            <w:tcW w:w="1746" w:type="dxa"/>
            <w:tcBorders>
              <w:bottom w:val="nil"/>
            </w:tcBorders>
            <w:vAlign w:val="center"/>
          </w:tcPr>
          <w:p w:rsidR="00DA12CB" w:rsidRPr="00CB3145" w:rsidRDefault="00DA12CB" w:rsidP="00841EA0">
            <w:pPr>
              <w:pStyle w:val="Tablecells"/>
              <w:ind w:right="0"/>
              <w:jc w:val="right"/>
              <w:rPr>
                <w:i/>
              </w:rPr>
            </w:pPr>
            <w:r w:rsidRPr="00CB3145">
              <w:rPr>
                <w:i/>
              </w:rPr>
              <w:t xml:space="preserve">0 </w:t>
            </w:r>
          </w:p>
        </w:tc>
        <w:tc>
          <w:tcPr>
            <w:tcW w:w="1747" w:type="dxa"/>
            <w:tcBorders>
              <w:bottom w:val="nil"/>
            </w:tcBorders>
            <w:vAlign w:val="center"/>
          </w:tcPr>
          <w:p w:rsidR="00DA12CB" w:rsidRPr="00CB3145" w:rsidRDefault="00DA12CB" w:rsidP="00841EA0">
            <w:pPr>
              <w:pStyle w:val="Tablecells"/>
              <w:ind w:right="0"/>
              <w:jc w:val="right"/>
              <w:rPr>
                <w:i/>
              </w:rPr>
            </w:pPr>
            <w:r w:rsidRPr="00CB3145">
              <w:rPr>
                <w:i/>
              </w:rPr>
              <w:t xml:space="preserve">0 </w:t>
            </w:r>
          </w:p>
        </w:tc>
        <w:tc>
          <w:tcPr>
            <w:tcW w:w="1732" w:type="dxa"/>
            <w:tcBorders>
              <w:bottom w:val="nil"/>
            </w:tcBorders>
            <w:vAlign w:val="center"/>
          </w:tcPr>
          <w:p w:rsidR="00DA12CB" w:rsidRPr="00CB3145" w:rsidRDefault="00DA12CB" w:rsidP="00841EA0">
            <w:pPr>
              <w:pStyle w:val="Tablecells"/>
              <w:ind w:right="0"/>
              <w:jc w:val="right"/>
              <w:rPr>
                <w:i/>
              </w:rPr>
            </w:pPr>
            <w:r w:rsidRPr="00CB3145">
              <w:rPr>
                <w:i/>
              </w:rPr>
              <w:t xml:space="preserve">0 </w:t>
            </w:r>
          </w:p>
        </w:tc>
      </w:tr>
      <w:tr w:rsidR="00DA12CB" w:rsidTr="00841EA0">
        <w:trPr>
          <w:cnfStyle w:val="000000100000" w:firstRow="0" w:lastRow="0" w:firstColumn="0" w:lastColumn="0" w:oddVBand="0" w:evenVBand="0" w:oddHBand="1" w:evenHBand="0" w:firstRowFirstColumn="0" w:firstRowLastColumn="0" w:lastRowFirstColumn="0" w:lastRowLastColumn="0"/>
        </w:trPr>
        <w:tc>
          <w:tcPr>
            <w:tcW w:w="1761" w:type="dxa"/>
            <w:tcBorders>
              <w:bottom w:val="nil"/>
            </w:tcBorders>
          </w:tcPr>
          <w:p w:rsidR="00DA12CB" w:rsidRPr="00B26ADF" w:rsidRDefault="00DA12CB" w:rsidP="00841EA0">
            <w:pPr>
              <w:pStyle w:val="Tablecells"/>
              <w:keepNext/>
              <w:keepLines/>
            </w:pPr>
            <w:r w:rsidRPr="00B26ADF">
              <w:t>Total 4G sites</w:t>
            </w:r>
          </w:p>
        </w:tc>
        <w:tc>
          <w:tcPr>
            <w:tcW w:w="1746" w:type="dxa"/>
            <w:tcBorders>
              <w:bottom w:val="nil"/>
            </w:tcBorders>
          </w:tcPr>
          <w:p w:rsidR="00DA12CB" w:rsidRPr="006A1382" w:rsidRDefault="00DA12CB" w:rsidP="00841EA0">
            <w:pPr>
              <w:pStyle w:val="Tablecells"/>
              <w:ind w:right="0"/>
              <w:jc w:val="right"/>
            </w:pPr>
            <w:r w:rsidRPr="006A1382">
              <w:t xml:space="preserve">32,760 </w:t>
            </w:r>
          </w:p>
        </w:tc>
        <w:tc>
          <w:tcPr>
            <w:tcW w:w="1746" w:type="dxa"/>
            <w:tcBorders>
              <w:bottom w:val="nil"/>
            </w:tcBorders>
          </w:tcPr>
          <w:p w:rsidR="00DA12CB" w:rsidRPr="006A1382" w:rsidRDefault="00DA12CB" w:rsidP="00841EA0">
            <w:pPr>
              <w:pStyle w:val="Tablecells"/>
              <w:ind w:right="0"/>
              <w:jc w:val="right"/>
            </w:pPr>
            <w:r w:rsidRPr="006A1382">
              <w:t xml:space="preserve">14,737 </w:t>
            </w:r>
          </w:p>
        </w:tc>
        <w:tc>
          <w:tcPr>
            <w:tcW w:w="1747" w:type="dxa"/>
            <w:tcBorders>
              <w:bottom w:val="nil"/>
            </w:tcBorders>
          </w:tcPr>
          <w:p w:rsidR="00DA12CB" w:rsidRPr="006A1382" w:rsidRDefault="00DA12CB" w:rsidP="00841EA0">
            <w:pPr>
              <w:pStyle w:val="Tablecells"/>
              <w:ind w:right="0"/>
              <w:jc w:val="right"/>
            </w:pPr>
            <w:r w:rsidRPr="006A1382">
              <w:t xml:space="preserve">14,590 </w:t>
            </w:r>
          </w:p>
        </w:tc>
        <w:tc>
          <w:tcPr>
            <w:tcW w:w="1732" w:type="dxa"/>
            <w:tcBorders>
              <w:bottom w:val="nil"/>
            </w:tcBorders>
          </w:tcPr>
          <w:p w:rsidR="00DA12CB" w:rsidRDefault="00DA12CB" w:rsidP="00841EA0">
            <w:pPr>
              <w:pStyle w:val="Tablecells"/>
              <w:ind w:right="0"/>
              <w:jc w:val="right"/>
            </w:pPr>
            <w:r w:rsidRPr="006A1382">
              <w:t xml:space="preserve">14,444 </w:t>
            </w:r>
          </w:p>
        </w:tc>
      </w:tr>
      <w:tr w:rsidR="00DA12CB" w:rsidRPr="00BB78B9" w:rsidTr="00841EA0">
        <w:tc>
          <w:tcPr>
            <w:tcW w:w="1761" w:type="dxa"/>
            <w:tcBorders>
              <w:top w:val="nil"/>
              <w:bottom w:val="single" w:sz="4" w:space="0" w:color="808080"/>
            </w:tcBorders>
          </w:tcPr>
          <w:p w:rsidR="00DA12CB" w:rsidRPr="00BB78B9" w:rsidRDefault="00DA12CB" w:rsidP="00841EA0">
            <w:pPr>
              <w:pStyle w:val="Tablecells"/>
              <w:keepNext/>
              <w:keepLines/>
              <w:rPr>
                <w:i/>
              </w:rPr>
            </w:pPr>
            <w:r w:rsidRPr="00BB78B9">
              <w:rPr>
                <w:i/>
              </w:rPr>
              <w:t>(difference)</w:t>
            </w:r>
          </w:p>
        </w:tc>
        <w:tc>
          <w:tcPr>
            <w:tcW w:w="1746" w:type="dxa"/>
            <w:tcBorders>
              <w:top w:val="nil"/>
              <w:bottom w:val="single" w:sz="4" w:space="0" w:color="808080"/>
            </w:tcBorders>
          </w:tcPr>
          <w:p w:rsidR="00DA12CB" w:rsidRPr="00CB3145" w:rsidRDefault="00DA12CB" w:rsidP="00841EA0">
            <w:pPr>
              <w:pStyle w:val="Tablecells"/>
              <w:ind w:right="0"/>
              <w:jc w:val="right"/>
              <w:rPr>
                <w:i/>
              </w:rPr>
            </w:pPr>
            <w:r w:rsidRPr="00CB3145">
              <w:rPr>
                <w:i/>
              </w:rPr>
              <w:t xml:space="preserve">+13,098 </w:t>
            </w:r>
          </w:p>
        </w:tc>
        <w:tc>
          <w:tcPr>
            <w:tcW w:w="1746" w:type="dxa"/>
            <w:tcBorders>
              <w:top w:val="nil"/>
              <w:bottom w:val="single" w:sz="4" w:space="0" w:color="808080"/>
            </w:tcBorders>
          </w:tcPr>
          <w:p w:rsidR="00DA12CB" w:rsidRPr="00CB3145" w:rsidRDefault="00DA12CB" w:rsidP="00841EA0">
            <w:pPr>
              <w:pStyle w:val="Tablecells"/>
              <w:ind w:right="0"/>
              <w:jc w:val="right"/>
              <w:rPr>
                <w:i/>
                <w:color w:val="FF0000"/>
              </w:rPr>
            </w:pPr>
            <w:r w:rsidRPr="00CB3145">
              <w:rPr>
                <w:i/>
                <w:color w:val="FF0000"/>
              </w:rPr>
              <w:t xml:space="preserve">-4,925 </w:t>
            </w:r>
          </w:p>
        </w:tc>
        <w:tc>
          <w:tcPr>
            <w:tcW w:w="1747" w:type="dxa"/>
            <w:tcBorders>
              <w:top w:val="nil"/>
              <w:bottom w:val="single" w:sz="4" w:space="0" w:color="808080"/>
            </w:tcBorders>
          </w:tcPr>
          <w:p w:rsidR="00DA12CB" w:rsidRPr="00CB3145" w:rsidRDefault="00DA12CB" w:rsidP="00841EA0">
            <w:pPr>
              <w:pStyle w:val="Tablecells"/>
              <w:ind w:right="0"/>
              <w:jc w:val="right"/>
              <w:rPr>
                <w:i/>
                <w:color w:val="FF0000"/>
              </w:rPr>
            </w:pPr>
            <w:r w:rsidRPr="00CB3145">
              <w:rPr>
                <w:i/>
                <w:color w:val="FF0000"/>
              </w:rPr>
              <w:t xml:space="preserve">-5,072 </w:t>
            </w:r>
          </w:p>
        </w:tc>
        <w:tc>
          <w:tcPr>
            <w:tcW w:w="1732" w:type="dxa"/>
            <w:tcBorders>
              <w:top w:val="nil"/>
              <w:bottom w:val="single" w:sz="4" w:space="0" w:color="808080"/>
            </w:tcBorders>
          </w:tcPr>
          <w:p w:rsidR="00DA12CB" w:rsidRPr="00CB3145" w:rsidRDefault="00DA12CB" w:rsidP="00841EA0">
            <w:pPr>
              <w:pStyle w:val="Tablecells"/>
              <w:ind w:right="0"/>
              <w:jc w:val="right"/>
              <w:rPr>
                <w:i/>
                <w:color w:val="FF0000"/>
              </w:rPr>
            </w:pPr>
            <w:r w:rsidRPr="00CB3145">
              <w:rPr>
                <w:i/>
                <w:color w:val="FF0000"/>
              </w:rPr>
              <w:t xml:space="preserve">-5,218 </w:t>
            </w:r>
          </w:p>
        </w:tc>
      </w:tr>
      <w:tr w:rsidR="00DA12CB" w:rsidTr="00841EA0">
        <w:trPr>
          <w:cnfStyle w:val="000000100000" w:firstRow="0" w:lastRow="0" w:firstColumn="0" w:lastColumn="0" w:oddVBand="0" w:evenVBand="0" w:oddHBand="1" w:evenHBand="0" w:firstRowFirstColumn="0" w:firstRowLastColumn="0" w:lastRowFirstColumn="0" w:lastRowLastColumn="0"/>
        </w:trPr>
        <w:tc>
          <w:tcPr>
            <w:tcW w:w="1761" w:type="dxa"/>
            <w:tcBorders>
              <w:top w:val="nil"/>
              <w:bottom w:val="nil"/>
            </w:tcBorders>
          </w:tcPr>
          <w:p w:rsidR="00DA12CB" w:rsidRPr="00FC54B4" w:rsidRDefault="00DA12CB" w:rsidP="00841EA0">
            <w:pPr>
              <w:pStyle w:val="Tablecells"/>
              <w:keepNext/>
              <w:keepLines/>
              <w:rPr>
                <w:b/>
              </w:rPr>
            </w:pPr>
            <w:r w:rsidRPr="00FC54B4">
              <w:rPr>
                <w:b/>
              </w:rPr>
              <w:t>Total sites</w:t>
            </w:r>
          </w:p>
        </w:tc>
        <w:tc>
          <w:tcPr>
            <w:tcW w:w="1746" w:type="dxa"/>
            <w:tcBorders>
              <w:top w:val="nil"/>
              <w:bottom w:val="nil"/>
            </w:tcBorders>
            <w:vAlign w:val="center"/>
          </w:tcPr>
          <w:p w:rsidR="00DA12CB" w:rsidRPr="00CB3145" w:rsidRDefault="00DA12CB" w:rsidP="00841EA0">
            <w:pPr>
              <w:pStyle w:val="Tablecells"/>
              <w:ind w:right="0"/>
              <w:jc w:val="right"/>
              <w:rPr>
                <w:b/>
              </w:rPr>
            </w:pPr>
            <w:r w:rsidRPr="00CB3145">
              <w:rPr>
                <w:b/>
              </w:rPr>
              <w:t xml:space="preserve">51,325 </w:t>
            </w:r>
          </w:p>
        </w:tc>
        <w:tc>
          <w:tcPr>
            <w:tcW w:w="1746" w:type="dxa"/>
            <w:tcBorders>
              <w:top w:val="nil"/>
              <w:bottom w:val="nil"/>
            </w:tcBorders>
            <w:vAlign w:val="center"/>
          </w:tcPr>
          <w:p w:rsidR="00DA12CB" w:rsidRPr="00CB3145" w:rsidRDefault="00DA12CB" w:rsidP="00841EA0">
            <w:pPr>
              <w:pStyle w:val="Tablecells"/>
              <w:ind w:right="0"/>
              <w:jc w:val="right"/>
              <w:rPr>
                <w:b/>
              </w:rPr>
            </w:pPr>
            <w:r w:rsidRPr="00CB3145">
              <w:rPr>
                <w:b/>
              </w:rPr>
              <w:t xml:space="preserve">33,302 </w:t>
            </w:r>
          </w:p>
        </w:tc>
        <w:tc>
          <w:tcPr>
            <w:tcW w:w="1747" w:type="dxa"/>
            <w:tcBorders>
              <w:top w:val="nil"/>
              <w:bottom w:val="nil"/>
            </w:tcBorders>
            <w:vAlign w:val="center"/>
          </w:tcPr>
          <w:p w:rsidR="00DA12CB" w:rsidRPr="00CB3145" w:rsidRDefault="00DA12CB" w:rsidP="00841EA0">
            <w:pPr>
              <w:pStyle w:val="Tablecells"/>
              <w:ind w:right="0"/>
              <w:jc w:val="right"/>
              <w:rPr>
                <w:b/>
              </w:rPr>
            </w:pPr>
            <w:r w:rsidRPr="00CB3145">
              <w:rPr>
                <w:b/>
              </w:rPr>
              <w:t xml:space="preserve">33,155 </w:t>
            </w:r>
          </w:p>
        </w:tc>
        <w:tc>
          <w:tcPr>
            <w:tcW w:w="1732" w:type="dxa"/>
            <w:tcBorders>
              <w:top w:val="nil"/>
              <w:bottom w:val="nil"/>
            </w:tcBorders>
            <w:vAlign w:val="center"/>
          </w:tcPr>
          <w:p w:rsidR="00DA12CB" w:rsidRPr="00CB3145" w:rsidRDefault="00DA12CB" w:rsidP="00841EA0">
            <w:pPr>
              <w:pStyle w:val="Tablecells"/>
              <w:ind w:right="0"/>
              <w:jc w:val="right"/>
              <w:rPr>
                <w:b/>
              </w:rPr>
            </w:pPr>
            <w:r w:rsidRPr="00CB3145">
              <w:rPr>
                <w:b/>
              </w:rPr>
              <w:t xml:space="preserve">33,009 </w:t>
            </w:r>
          </w:p>
        </w:tc>
      </w:tr>
      <w:tr w:rsidR="00DA12CB" w:rsidRPr="00BB78B9" w:rsidTr="00841EA0">
        <w:tc>
          <w:tcPr>
            <w:tcW w:w="1761" w:type="dxa"/>
            <w:tcBorders>
              <w:top w:val="nil"/>
              <w:bottom w:val="single" w:sz="4" w:space="0" w:color="808080"/>
            </w:tcBorders>
          </w:tcPr>
          <w:p w:rsidR="00DA12CB" w:rsidRPr="00BB78B9" w:rsidRDefault="00DA12CB" w:rsidP="00841EA0">
            <w:pPr>
              <w:pStyle w:val="Tablecells"/>
              <w:keepNext/>
              <w:keepLines/>
              <w:rPr>
                <w:b/>
                <w:i/>
              </w:rPr>
            </w:pPr>
            <w:r w:rsidRPr="00BB78B9">
              <w:rPr>
                <w:b/>
                <w:i/>
              </w:rPr>
              <w:t>(difference)</w:t>
            </w:r>
          </w:p>
        </w:tc>
        <w:tc>
          <w:tcPr>
            <w:tcW w:w="1746" w:type="dxa"/>
            <w:tcBorders>
              <w:top w:val="nil"/>
              <w:bottom w:val="single" w:sz="4" w:space="0" w:color="808080"/>
            </w:tcBorders>
          </w:tcPr>
          <w:p w:rsidR="00DA12CB" w:rsidRPr="00CB3145" w:rsidRDefault="00DA12CB" w:rsidP="00841EA0">
            <w:pPr>
              <w:pStyle w:val="Tablecells"/>
              <w:ind w:right="0"/>
              <w:jc w:val="right"/>
              <w:rPr>
                <w:b/>
                <w:i/>
              </w:rPr>
            </w:pPr>
            <w:r w:rsidRPr="00CB3145">
              <w:rPr>
                <w:b/>
                <w:i/>
              </w:rPr>
              <w:t xml:space="preserve">+13,098 </w:t>
            </w:r>
          </w:p>
        </w:tc>
        <w:tc>
          <w:tcPr>
            <w:tcW w:w="1746" w:type="dxa"/>
            <w:tcBorders>
              <w:top w:val="nil"/>
              <w:bottom w:val="single" w:sz="4" w:space="0" w:color="808080"/>
            </w:tcBorders>
          </w:tcPr>
          <w:p w:rsidR="00DA12CB" w:rsidRPr="00CB3145" w:rsidRDefault="00DA12CB" w:rsidP="00841EA0">
            <w:pPr>
              <w:pStyle w:val="Tablecells"/>
              <w:ind w:right="0"/>
              <w:jc w:val="right"/>
              <w:rPr>
                <w:b/>
                <w:i/>
                <w:color w:val="FF0000"/>
              </w:rPr>
            </w:pPr>
            <w:r w:rsidRPr="00CB3145">
              <w:rPr>
                <w:b/>
                <w:i/>
                <w:color w:val="FF0000"/>
              </w:rPr>
              <w:t xml:space="preserve">-4,925 </w:t>
            </w:r>
          </w:p>
        </w:tc>
        <w:tc>
          <w:tcPr>
            <w:tcW w:w="1747" w:type="dxa"/>
            <w:tcBorders>
              <w:top w:val="nil"/>
              <w:bottom w:val="single" w:sz="4" w:space="0" w:color="808080"/>
            </w:tcBorders>
          </w:tcPr>
          <w:p w:rsidR="00DA12CB" w:rsidRPr="00CB3145" w:rsidRDefault="00DA12CB" w:rsidP="00841EA0">
            <w:pPr>
              <w:pStyle w:val="Tablecells"/>
              <w:ind w:right="0"/>
              <w:jc w:val="right"/>
              <w:rPr>
                <w:b/>
                <w:i/>
                <w:color w:val="FF0000"/>
              </w:rPr>
            </w:pPr>
            <w:r w:rsidRPr="00CB3145">
              <w:rPr>
                <w:b/>
                <w:i/>
                <w:color w:val="FF0000"/>
              </w:rPr>
              <w:t xml:space="preserve">-5,072 </w:t>
            </w:r>
          </w:p>
        </w:tc>
        <w:tc>
          <w:tcPr>
            <w:tcW w:w="1732" w:type="dxa"/>
            <w:tcBorders>
              <w:top w:val="nil"/>
              <w:bottom w:val="single" w:sz="4" w:space="0" w:color="808080"/>
            </w:tcBorders>
          </w:tcPr>
          <w:p w:rsidR="00DA12CB" w:rsidRPr="00CB3145" w:rsidRDefault="00DA12CB" w:rsidP="00841EA0">
            <w:pPr>
              <w:pStyle w:val="Tablecells"/>
              <w:ind w:right="0"/>
              <w:jc w:val="right"/>
              <w:rPr>
                <w:b/>
                <w:i/>
                <w:color w:val="FF0000"/>
              </w:rPr>
            </w:pPr>
            <w:r w:rsidRPr="00CB3145">
              <w:rPr>
                <w:b/>
                <w:i/>
                <w:color w:val="FF0000"/>
              </w:rPr>
              <w:t xml:space="preserve">-5,218 </w:t>
            </w:r>
          </w:p>
        </w:tc>
      </w:tr>
    </w:tbl>
    <w:p w:rsidR="00DA12CB" w:rsidRDefault="00DA12CB" w:rsidP="00DA12CB">
      <w:pPr>
        <w:pStyle w:val="01"/>
      </w:pPr>
    </w:p>
    <w:p w:rsidR="00DA12CB" w:rsidRDefault="00DA12CB" w:rsidP="00DA12CB">
      <w:pPr>
        <w:pStyle w:val="Caption"/>
      </w:pPr>
      <w:bookmarkStart w:id="22" w:name="_Ref399578092"/>
      <w:r>
        <w:t>Figure </w:t>
      </w:r>
      <w:r w:rsidR="008B1006">
        <w:fldChar w:fldCharType="begin"/>
      </w:r>
      <w:r w:rsidR="008B1006">
        <w:instrText xml:space="preserve"> STYLEREF 1 \s \* MERGEFORMAT </w:instrText>
      </w:r>
      <w:r w:rsidR="008B1006">
        <w:fldChar w:fldCharType="separate"/>
      </w:r>
      <w:r w:rsidR="00A87B65">
        <w:rPr>
          <w:noProof/>
        </w:rPr>
        <w:t>1</w:t>
      </w:r>
      <w:r w:rsidR="008B1006">
        <w:rPr>
          <w:noProof/>
        </w:rPr>
        <w:fldChar w:fldCharType="end"/>
      </w:r>
      <w:r>
        <w:t>.</w:t>
      </w:r>
      <w:fldSimple w:instr=" SEQ Figure \* ARABIC \s 1 \* MERGEFORMAT ">
        <w:r w:rsidR="00A87B65">
          <w:rPr>
            <w:noProof/>
          </w:rPr>
          <w:t>4</w:t>
        </w:r>
      </w:fldSimple>
      <w:bookmarkEnd w:id="22"/>
      <w:r>
        <w:t>: Total number of sites in 2025 for the base case and each sensitivity and difference with the base case (first part) [Source: Analysys Mason, 2014]</w:t>
      </w:r>
    </w:p>
    <w:tbl>
      <w:tblPr>
        <w:tblStyle w:val="MediumShading2-Accent1"/>
        <w:tblW w:w="8732" w:type="dxa"/>
        <w:tblInd w:w="108" w:type="dxa"/>
        <w:tblLook w:val="0420" w:firstRow="1" w:lastRow="0" w:firstColumn="0" w:lastColumn="0" w:noHBand="0" w:noVBand="1"/>
      </w:tblPr>
      <w:tblGrid>
        <w:gridCol w:w="1481"/>
        <w:gridCol w:w="1445"/>
        <w:gridCol w:w="1445"/>
        <w:gridCol w:w="1445"/>
        <w:gridCol w:w="1464"/>
        <w:gridCol w:w="1452"/>
      </w:tblGrid>
      <w:tr w:rsidR="00DA12CB" w:rsidRPr="00562241" w:rsidTr="003C6417">
        <w:trPr>
          <w:cnfStyle w:val="100000000000" w:firstRow="1" w:lastRow="0" w:firstColumn="0" w:lastColumn="0" w:oddVBand="0" w:evenVBand="0" w:oddHBand="0" w:evenHBand="0" w:firstRowFirstColumn="0" w:firstRowLastColumn="0" w:lastRowFirstColumn="0" w:lastRowLastColumn="0"/>
        </w:trPr>
        <w:tc>
          <w:tcPr>
            <w:tcW w:w="1481" w:type="dxa"/>
            <w:tcBorders>
              <w:top w:val="single" w:sz="18" w:space="0" w:color="221F72"/>
              <w:bottom w:val="single" w:sz="4" w:space="0" w:color="FFFFFF" w:themeColor="background1"/>
            </w:tcBorders>
            <w:shd w:val="solid" w:color="221F72" w:fill="221F72"/>
          </w:tcPr>
          <w:p w:rsidR="00DA12CB" w:rsidRPr="00562241" w:rsidRDefault="00DA12CB" w:rsidP="00841EA0">
            <w:pPr>
              <w:pStyle w:val="Tableheading"/>
              <w:rPr>
                <w:b/>
              </w:rPr>
            </w:pPr>
          </w:p>
        </w:tc>
        <w:tc>
          <w:tcPr>
            <w:tcW w:w="1445" w:type="dxa"/>
            <w:tcBorders>
              <w:top w:val="single" w:sz="18" w:space="0" w:color="221F72"/>
              <w:bottom w:val="single" w:sz="4" w:space="0" w:color="FFFFFF" w:themeColor="background1"/>
            </w:tcBorders>
            <w:shd w:val="solid" w:color="221F72" w:fill="221F72"/>
          </w:tcPr>
          <w:p w:rsidR="00DA12CB" w:rsidRDefault="00DA12CB" w:rsidP="00841EA0">
            <w:pPr>
              <w:pStyle w:val="Tableheading"/>
              <w:ind w:right="0"/>
              <w:jc w:val="right"/>
              <w:rPr>
                <w:b/>
              </w:rPr>
            </w:pPr>
            <w:r>
              <w:rPr>
                <w:b/>
              </w:rPr>
              <w:t>Base case</w:t>
            </w:r>
          </w:p>
        </w:tc>
        <w:tc>
          <w:tcPr>
            <w:tcW w:w="1445" w:type="dxa"/>
            <w:tcBorders>
              <w:top w:val="single" w:sz="18" w:space="0" w:color="221F72"/>
              <w:bottom w:val="single" w:sz="4" w:space="0" w:color="FFFFFF" w:themeColor="background1"/>
            </w:tcBorders>
            <w:shd w:val="solid" w:color="221F72" w:fill="221F72"/>
          </w:tcPr>
          <w:p w:rsidR="00DA12CB" w:rsidRDefault="00DA12CB" w:rsidP="00841EA0">
            <w:pPr>
              <w:pStyle w:val="Tableheading"/>
              <w:ind w:right="0"/>
              <w:jc w:val="right"/>
              <w:rPr>
                <w:b/>
              </w:rPr>
            </w:pPr>
            <w:r>
              <w:rPr>
                <w:b/>
              </w:rPr>
              <w:t>50% more traffic</w:t>
            </w:r>
          </w:p>
        </w:tc>
        <w:tc>
          <w:tcPr>
            <w:tcW w:w="1445" w:type="dxa"/>
            <w:tcBorders>
              <w:top w:val="single" w:sz="18" w:space="0" w:color="221F72"/>
              <w:bottom w:val="single" w:sz="4" w:space="0" w:color="FFFFFF" w:themeColor="background1"/>
            </w:tcBorders>
            <w:shd w:val="solid" w:color="221F72" w:fill="221F72"/>
          </w:tcPr>
          <w:p w:rsidR="00DA12CB" w:rsidRDefault="00DA12CB" w:rsidP="00841EA0">
            <w:pPr>
              <w:pStyle w:val="Tableheading"/>
              <w:ind w:right="0"/>
              <w:jc w:val="right"/>
              <w:rPr>
                <w:b/>
              </w:rPr>
            </w:pPr>
            <w:r>
              <w:rPr>
                <w:b/>
              </w:rPr>
              <w:t>100% more traffic</w:t>
            </w:r>
          </w:p>
        </w:tc>
        <w:tc>
          <w:tcPr>
            <w:tcW w:w="1464" w:type="dxa"/>
            <w:tcBorders>
              <w:top w:val="single" w:sz="18" w:space="0" w:color="221F72"/>
              <w:bottom w:val="single" w:sz="4" w:space="0" w:color="FFFFFF" w:themeColor="background1"/>
            </w:tcBorders>
            <w:shd w:val="solid" w:color="221F72" w:fill="221F72"/>
          </w:tcPr>
          <w:p w:rsidR="00DA12CB" w:rsidRDefault="00DA12CB" w:rsidP="00841EA0">
            <w:pPr>
              <w:pStyle w:val="Tableheading"/>
              <w:ind w:right="0"/>
              <w:jc w:val="right"/>
              <w:rPr>
                <w:b/>
              </w:rPr>
            </w:pPr>
            <w:r>
              <w:rPr>
                <w:b/>
              </w:rPr>
              <w:t>Increased spectral efficiency</w:t>
            </w:r>
          </w:p>
        </w:tc>
        <w:tc>
          <w:tcPr>
            <w:tcW w:w="1452" w:type="dxa"/>
            <w:tcBorders>
              <w:top w:val="single" w:sz="18" w:space="0" w:color="221F72"/>
              <w:bottom w:val="single" w:sz="4" w:space="0" w:color="FFFFFF" w:themeColor="background1"/>
            </w:tcBorders>
            <w:shd w:val="solid" w:color="221F72" w:fill="221F72"/>
          </w:tcPr>
          <w:p w:rsidR="00DA12CB" w:rsidRDefault="00DA12CB" w:rsidP="00841EA0">
            <w:pPr>
              <w:pStyle w:val="Tableheading"/>
              <w:ind w:right="0"/>
              <w:jc w:val="right"/>
              <w:rPr>
                <w:b/>
              </w:rPr>
            </w:pPr>
            <w:r>
              <w:rPr>
                <w:b/>
              </w:rPr>
              <w:t>11% data traffic in the busy hour</w:t>
            </w:r>
          </w:p>
        </w:tc>
      </w:tr>
      <w:tr w:rsidR="00DA12CB" w:rsidTr="003C6417">
        <w:trPr>
          <w:cnfStyle w:val="000000100000" w:firstRow="0" w:lastRow="0" w:firstColumn="0" w:lastColumn="0" w:oddVBand="0" w:evenVBand="0" w:oddHBand="1" w:evenHBand="0" w:firstRowFirstColumn="0" w:firstRowLastColumn="0" w:lastRowFirstColumn="0" w:lastRowLastColumn="0"/>
        </w:trPr>
        <w:tc>
          <w:tcPr>
            <w:tcW w:w="1481" w:type="dxa"/>
            <w:tcBorders>
              <w:top w:val="single" w:sz="4" w:space="0" w:color="FFFFFF" w:themeColor="background1"/>
              <w:bottom w:val="nil"/>
            </w:tcBorders>
          </w:tcPr>
          <w:p w:rsidR="00DA12CB" w:rsidRPr="0032094C" w:rsidRDefault="00DA12CB" w:rsidP="00841EA0">
            <w:pPr>
              <w:pStyle w:val="Tablecells"/>
            </w:pPr>
            <w:r w:rsidRPr="0032094C">
              <w:t>Total 3G sites</w:t>
            </w:r>
          </w:p>
        </w:tc>
        <w:tc>
          <w:tcPr>
            <w:tcW w:w="1445" w:type="dxa"/>
            <w:tcBorders>
              <w:top w:val="single" w:sz="4" w:space="0" w:color="FFFFFF" w:themeColor="background1"/>
              <w:bottom w:val="nil"/>
            </w:tcBorders>
            <w:vAlign w:val="center"/>
          </w:tcPr>
          <w:p w:rsidR="00DA12CB" w:rsidRDefault="00DA12CB" w:rsidP="00841EA0">
            <w:pPr>
              <w:pStyle w:val="Tablecells"/>
              <w:ind w:right="0"/>
              <w:jc w:val="right"/>
            </w:pPr>
            <w:r>
              <w:t xml:space="preserve">18,029 </w:t>
            </w:r>
          </w:p>
        </w:tc>
        <w:tc>
          <w:tcPr>
            <w:tcW w:w="1445" w:type="dxa"/>
            <w:tcBorders>
              <w:top w:val="single" w:sz="4" w:space="0" w:color="FFFFFF" w:themeColor="background1"/>
              <w:bottom w:val="nil"/>
            </w:tcBorders>
          </w:tcPr>
          <w:p w:rsidR="00DA12CB" w:rsidRPr="00E3748E" w:rsidRDefault="00DA12CB" w:rsidP="00841EA0">
            <w:pPr>
              <w:pStyle w:val="Tablecells"/>
              <w:ind w:right="0"/>
              <w:jc w:val="right"/>
            </w:pPr>
            <w:r w:rsidRPr="00E3748E">
              <w:t xml:space="preserve">18,029 </w:t>
            </w:r>
          </w:p>
        </w:tc>
        <w:tc>
          <w:tcPr>
            <w:tcW w:w="1445" w:type="dxa"/>
            <w:tcBorders>
              <w:top w:val="single" w:sz="4" w:space="0" w:color="FFFFFF" w:themeColor="background1"/>
              <w:bottom w:val="nil"/>
            </w:tcBorders>
          </w:tcPr>
          <w:p w:rsidR="00DA12CB" w:rsidRPr="00E3748E" w:rsidRDefault="00DA12CB" w:rsidP="00841EA0">
            <w:pPr>
              <w:pStyle w:val="Tablecells"/>
              <w:ind w:right="0"/>
              <w:jc w:val="right"/>
            </w:pPr>
            <w:r w:rsidRPr="00E3748E">
              <w:t xml:space="preserve">18,033 </w:t>
            </w:r>
          </w:p>
        </w:tc>
        <w:tc>
          <w:tcPr>
            <w:tcW w:w="1464" w:type="dxa"/>
            <w:tcBorders>
              <w:top w:val="single" w:sz="4" w:space="0" w:color="FFFFFF" w:themeColor="background1"/>
              <w:bottom w:val="nil"/>
            </w:tcBorders>
          </w:tcPr>
          <w:p w:rsidR="00DA12CB" w:rsidRDefault="00DA12CB" w:rsidP="00841EA0">
            <w:pPr>
              <w:pStyle w:val="Tablecells"/>
              <w:ind w:right="0"/>
              <w:jc w:val="right"/>
            </w:pPr>
            <w:r w:rsidRPr="00E3748E">
              <w:t xml:space="preserve">18,028 </w:t>
            </w:r>
          </w:p>
        </w:tc>
        <w:tc>
          <w:tcPr>
            <w:tcW w:w="1452" w:type="dxa"/>
            <w:tcBorders>
              <w:top w:val="single" w:sz="4" w:space="0" w:color="FFFFFF" w:themeColor="background1"/>
              <w:bottom w:val="nil"/>
            </w:tcBorders>
            <w:vAlign w:val="center"/>
          </w:tcPr>
          <w:p w:rsidR="00DA12CB" w:rsidRPr="00CB3145" w:rsidRDefault="00DA12CB" w:rsidP="00841EA0">
            <w:pPr>
              <w:pStyle w:val="Tablecells"/>
              <w:ind w:right="0"/>
              <w:jc w:val="right"/>
            </w:pPr>
            <w:r w:rsidRPr="00CB3145">
              <w:t xml:space="preserve">18,029 </w:t>
            </w:r>
          </w:p>
        </w:tc>
      </w:tr>
      <w:tr w:rsidR="00DA12CB" w:rsidRPr="00814A2B" w:rsidTr="00841EA0">
        <w:tc>
          <w:tcPr>
            <w:tcW w:w="1481" w:type="dxa"/>
            <w:tcBorders>
              <w:bottom w:val="nil"/>
            </w:tcBorders>
          </w:tcPr>
          <w:p w:rsidR="00DA12CB" w:rsidRPr="003214C3" w:rsidRDefault="00DA12CB" w:rsidP="00841EA0">
            <w:pPr>
              <w:pStyle w:val="Tablecells"/>
              <w:rPr>
                <w:i/>
              </w:rPr>
            </w:pPr>
            <w:r w:rsidRPr="003214C3">
              <w:rPr>
                <w:i/>
              </w:rPr>
              <w:t>(difference)</w:t>
            </w:r>
          </w:p>
        </w:tc>
        <w:tc>
          <w:tcPr>
            <w:tcW w:w="1445" w:type="dxa"/>
            <w:tcBorders>
              <w:bottom w:val="nil"/>
            </w:tcBorders>
            <w:vAlign w:val="center"/>
          </w:tcPr>
          <w:p w:rsidR="00DA12CB" w:rsidRPr="00CB3145" w:rsidRDefault="00DA12CB" w:rsidP="00841EA0">
            <w:pPr>
              <w:pStyle w:val="Tablecells"/>
              <w:ind w:right="0"/>
              <w:jc w:val="right"/>
              <w:rPr>
                <w:i/>
              </w:rPr>
            </w:pPr>
          </w:p>
        </w:tc>
        <w:tc>
          <w:tcPr>
            <w:tcW w:w="1445" w:type="dxa"/>
            <w:tcBorders>
              <w:bottom w:val="nil"/>
            </w:tcBorders>
            <w:vAlign w:val="center"/>
          </w:tcPr>
          <w:p w:rsidR="00DA12CB" w:rsidRPr="00CB3145" w:rsidRDefault="00DA12CB" w:rsidP="00841EA0">
            <w:pPr>
              <w:pStyle w:val="Tablecells"/>
              <w:ind w:right="0"/>
              <w:jc w:val="right"/>
              <w:rPr>
                <w:i/>
              </w:rPr>
            </w:pPr>
            <w:r w:rsidRPr="00CB3145">
              <w:rPr>
                <w:i/>
              </w:rPr>
              <w:t xml:space="preserve">0 </w:t>
            </w:r>
          </w:p>
        </w:tc>
        <w:tc>
          <w:tcPr>
            <w:tcW w:w="1445" w:type="dxa"/>
            <w:tcBorders>
              <w:bottom w:val="nil"/>
            </w:tcBorders>
            <w:vAlign w:val="center"/>
          </w:tcPr>
          <w:p w:rsidR="00DA12CB" w:rsidRPr="00CB3145" w:rsidRDefault="00DA12CB" w:rsidP="00841EA0">
            <w:pPr>
              <w:pStyle w:val="Tablecells"/>
              <w:ind w:right="0"/>
              <w:jc w:val="right"/>
              <w:rPr>
                <w:i/>
              </w:rPr>
            </w:pPr>
            <w:r w:rsidRPr="00CB3145">
              <w:rPr>
                <w:i/>
              </w:rPr>
              <w:t xml:space="preserve">+4 </w:t>
            </w:r>
          </w:p>
        </w:tc>
        <w:tc>
          <w:tcPr>
            <w:tcW w:w="1464" w:type="dxa"/>
            <w:tcBorders>
              <w:bottom w:val="nil"/>
            </w:tcBorders>
            <w:vAlign w:val="center"/>
          </w:tcPr>
          <w:p w:rsidR="00DA12CB" w:rsidRPr="00CB3145" w:rsidRDefault="00DA12CB" w:rsidP="00841EA0">
            <w:pPr>
              <w:pStyle w:val="Tablecells"/>
              <w:ind w:right="0"/>
              <w:jc w:val="right"/>
              <w:rPr>
                <w:i/>
              </w:rPr>
            </w:pPr>
            <w:r w:rsidRPr="00CB3145">
              <w:rPr>
                <w:i/>
                <w:color w:val="FF0000"/>
              </w:rPr>
              <w:t xml:space="preserve">-1 </w:t>
            </w:r>
          </w:p>
        </w:tc>
        <w:tc>
          <w:tcPr>
            <w:tcW w:w="1452" w:type="dxa"/>
            <w:tcBorders>
              <w:bottom w:val="nil"/>
            </w:tcBorders>
            <w:vAlign w:val="center"/>
          </w:tcPr>
          <w:p w:rsidR="00DA12CB" w:rsidRPr="00CB3145" w:rsidRDefault="00DA12CB" w:rsidP="00841EA0">
            <w:pPr>
              <w:pStyle w:val="Tablecells"/>
              <w:ind w:right="0"/>
              <w:jc w:val="right"/>
              <w:rPr>
                <w:i/>
              </w:rPr>
            </w:pPr>
            <w:r w:rsidRPr="00CB3145">
              <w:rPr>
                <w:i/>
              </w:rPr>
              <w:t xml:space="preserve">0 </w:t>
            </w:r>
          </w:p>
        </w:tc>
      </w:tr>
      <w:tr w:rsidR="00DA12CB" w:rsidTr="00841EA0">
        <w:trPr>
          <w:cnfStyle w:val="000000100000" w:firstRow="0" w:lastRow="0" w:firstColumn="0" w:lastColumn="0" w:oddVBand="0" w:evenVBand="0" w:oddHBand="1" w:evenHBand="0" w:firstRowFirstColumn="0" w:firstRowLastColumn="0" w:lastRowFirstColumn="0" w:lastRowLastColumn="0"/>
        </w:trPr>
        <w:tc>
          <w:tcPr>
            <w:tcW w:w="1481" w:type="dxa"/>
            <w:tcBorders>
              <w:bottom w:val="nil"/>
            </w:tcBorders>
          </w:tcPr>
          <w:p w:rsidR="00DA12CB" w:rsidRPr="0032094C" w:rsidRDefault="00DA12CB" w:rsidP="00841EA0">
            <w:pPr>
              <w:pStyle w:val="Tablecells"/>
            </w:pPr>
            <w:r w:rsidRPr="0032094C">
              <w:t>Total 4G sites</w:t>
            </w:r>
          </w:p>
        </w:tc>
        <w:tc>
          <w:tcPr>
            <w:tcW w:w="1445" w:type="dxa"/>
            <w:tcBorders>
              <w:bottom w:val="nil"/>
            </w:tcBorders>
            <w:vAlign w:val="center"/>
          </w:tcPr>
          <w:p w:rsidR="00DA12CB" w:rsidRPr="00CB3145" w:rsidRDefault="00DA12CB" w:rsidP="00841EA0">
            <w:pPr>
              <w:pStyle w:val="Tablecells"/>
              <w:ind w:right="0"/>
              <w:jc w:val="right"/>
            </w:pPr>
            <w:r w:rsidRPr="00CB3145">
              <w:t xml:space="preserve">20,312 </w:t>
            </w:r>
          </w:p>
        </w:tc>
        <w:tc>
          <w:tcPr>
            <w:tcW w:w="1445" w:type="dxa"/>
            <w:tcBorders>
              <w:bottom w:val="nil"/>
            </w:tcBorders>
            <w:vAlign w:val="center"/>
          </w:tcPr>
          <w:p w:rsidR="00DA12CB" w:rsidRPr="00CB3145" w:rsidRDefault="00DA12CB" w:rsidP="00841EA0">
            <w:pPr>
              <w:pStyle w:val="Tablecells"/>
              <w:ind w:right="0"/>
              <w:jc w:val="right"/>
            </w:pPr>
            <w:r w:rsidRPr="00CB3145">
              <w:t xml:space="preserve">22,204 </w:t>
            </w:r>
          </w:p>
        </w:tc>
        <w:tc>
          <w:tcPr>
            <w:tcW w:w="1445" w:type="dxa"/>
            <w:tcBorders>
              <w:bottom w:val="nil"/>
            </w:tcBorders>
            <w:vAlign w:val="center"/>
          </w:tcPr>
          <w:p w:rsidR="00DA12CB" w:rsidRPr="00CB3145" w:rsidRDefault="00DA12CB" w:rsidP="00841EA0">
            <w:pPr>
              <w:pStyle w:val="Tablecells"/>
              <w:ind w:right="0"/>
              <w:jc w:val="right"/>
            </w:pPr>
            <w:r w:rsidRPr="00CB3145">
              <w:t xml:space="preserve">24,257 </w:t>
            </w:r>
          </w:p>
        </w:tc>
        <w:tc>
          <w:tcPr>
            <w:tcW w:w="1464" w:type="dxa"/>
            <w:tcBorders>
              <w:bottom w:val="nil"/>
            </w:tcBorders>
            <w:vAlign w:val="center"/>
          </w:tcPr>
          <w:p w:rsidR="00DA12CB" w:rsidRPr="00CB3145" w:rsidRDefault="00DA12CB" w:rsidP="00841EA0">
            <w:pPr>
              <w:pStyle w:val="Tablecells"/>
              <w:ind w:right="0"/>
              <w:jc w:val="right"/>
            </w:pPr>
            <w:r w:rsidRPr="00CB3145">
              <w:t xml:space="preserve">19,490 </w:t>
            </w:r>
          </w:p>
        </w:tc>
        <w:tc>
          <w:tcPr>
            <w:tcW w:w="1452" w:type="dxa"/>
            <w:tcBorders>
              <w:bottom w:val="nil"/>
            </w:tcBorders>
            <w:vAlign w:val="center"/>
          </w:tcPr>
          <w:p w:rsidR="00DA12CB" w:rsidRPr="00CB3145" w:rsidRDefault="00DA12CB" w:rsidP="00841EA0">
            <w:pPr>
              <w:pStyle w:val="Tablecells"/>
              <w:ind w:right="0"/>
              <w:jc w:val="right"/>
            </w:pPr>
            <w:r w:rsidRPr="00CB3145">
              <w:t xml:space="preserve">21,527 </w:t>
            </w:r>
          </w:p>
        </w:tc>
      </w:tr>
      <w:tr w:rsidR="00DA12CB" w:rsidRPr="003214C3" w:rsidTr="00841EA0">
        <w:tc>
          <w:tcPr>
            <w:tcW w:w="1481" w:type="dxa"/>
            <w:tcBorders>
              <w:top w:val="nil"/>
              <w:bottom w:val="single" w:sz="4" w:space="0" w:color="808080"/>
            </w:tcBorders>
          </w:tcPr>
          <w:p w:rsidR="00DA12CB" w:rsidRPr="003214C3" w:rsidRDefault="00DA12CB" w:rsidP="00841EA0">
            <w:pPr>
              <w:pStyle w:val="Tablecells"/>
              <w:rPr>
                <w:i/>
              </w:rPr>
            </w:pPr>
            <w:r w:rsidRPr="003214C3">
              <w:rPr>
                <w:i/>
              </w:rPr>
              <w:t>(difference)</w:t>
            </w:r>
          </w:p>
        </w:tc>
        <w:tc>
          <w:tcPr>
            <w:tcW w:w="1445" w:type="dxa"/>
            <w:tcBorders>
              <w:top w:val="nil"/>
              <w:bottom w:val="single" w:sz="4" w:space="0" w:color="808080"/>
            </w:tcBorders>
            <w:vAlign w:val="center"/>
          </w:tcPr>
          <w:p w:rsidR="00DA12CB" w:rsidRPr="00CB3145" w:rsidRDefault="00DA12CB" w:rsidP="00841EA0">
            <w:pPr>
              <w:pStyle w:val="Tablecells"/>
              <w:ind w:right="0"/>
              <w:jc w:val="right"/>
              <w:rPr>
                <w:i/>
              </w:rPr>
            </w:pPr>
          </w:p>
        </w:tc>
        <w:tc>
          <w:tcPr>
            <w:tcW w:w="1445" w:type="dxa"/>
            <w:tcBorders>
              <w:top w:val="nil"/>
              <w:bottom w:val="single" w:sz="4" w:space="0" w:color="808080"/>
            </w:tcBorders>
            <w:vAlign w:val="center"/>
          </w:tcPr>
          <w:p w:rsidR="00DA12CB" w:rsidRPr="00CB3145" w:rsidRDefault="00DA12CB" w:rsidP="00841EA0">
            <w:pPr>
              <w:pStyle w:val="Tablecells"/>
              <w:ind w:right="0"/>
              <w:jc w:val="right"/>
              <w:rPr>
                <w:i/>
              </w:rPr>
            </w:pPr>
            <w:r w:rsidRPr="00CB3145">
              <w:rPr>
                <w:i/>
              </w:rPr>
              <w:t xml:space="preserve">+1,892 </w:t>
            </w:r>
          </w:p>
        </w:tc>
        <w:tc>
          <w:tcPr>
            <w:tcW w:w="1445" w:type="dxa"/>
            <w:tcBorders>
              <w:top w:val="nil"/>
              <w:bottom w:val="single" w:sz="4" w:space="0" w:color="808080"/>
            </w:tcBorders>
            <w:vAlign w:val="center"/>
          </w:tcPr>
          <w:p w:rsidR="00DA12CB" w:rsidRPr="00CB3145" w:rsidRDefault="00DA12CB" w:rsidP="00841EA0">
            <w:pPr>
              <w:pStyle w:val="Tablecells"/>
              <w:ind w:right="0"/>
              <w:jc w:val="right"/>
              <w:rPr>
                <w:i/>
              </w:rPr>
            </w:pPr>
            <w:r w:rsidRPr="00CB3145">
              <w:rPr>
                <w:i/>
              </w:rPr>
              <w:t xml:space="preserve">+3,945 </w:t>
            </w:r>
          </w:p>
        </w:tc>
        <w:tc>
          <w:tcPr>
            <w:tcW w:w="1464" w:type="dxa"/>
            <w:tcBorders>
              <w:top w:val="nil"/>
              <w:bottom w:val="single" w:sz="4" w:space="0" w:color="808080"/>
            </w:tcBorders>
            <w:vAlign w:val="center"/>
          </w:tcPr>
          <w:p w:rsidR="00DA12CB" w:rsidRPr="00CB3145" w:rsidRDefault="00DA12CB" w:rsidP="00841EA0">
            <w:pPr>
              <w:pStyle w:val="Tablecells"/>
              <w:ind w:right="0"/>
              <w:jc w:val="right"/>
              <w:rPr>
                <w:i/>
              </w:rPr>
            </w:pPr>
            <w:r w:rsidRPr="00CB3145">
              <w:rPr>
                <w:i/>
                <w:color w:val="FF0000"/>
              </w:rPr>
              <w:t xml:space="preserve">-822 </w:t>
            </w:r>
          </w:p>
        </w:tc>
        <w:tc>
          <w:tcPr>
            <w:tcW w:w="1452" w:type="dxa"/>
            <w:tcBorders>
              <w:top w:val="nil"/>
              <w:bottom w:val="single" w:sz="4" w:space="0" w:color="808080"/>
            </w:tcBorders>
            <w:vAlign w:val="center"/>
          </w:tcPr>
          <w:p w:rsidR="00DA12CB" w:rsidRPr="00CB3145" w:rsidRDefault="00DA12CB" w:rsidP="00841EA0">
            <w:pPr>
              <w:pStyle w:val="Tablecells"/>
              <w:ind w:right="0"/>
              <w:jc w:val="right"/>
              <w:rPr>
                <w:i/>
              </w:rPr>
            </w:pPr>
            <w:r w:rsidRPr="00CB3145">
              <w:rPr>
                <w:i/>
              </w:rPr>
              <w:t xml:space="preserve">+1,215 </w:t>
            </w:r>
          </w:p>
        </w:tc>
      </w:tr>
      <w:tr w:rsidR="00DA12CB" w:rsidTr="00841EA0">
        <w:trPr>
          <w:cnfStyle w:val="000000100000" w:firstRow="0" w:lastRow="0" w:firstColumn="0" w:lastColumn="0" w:oddVBand="0" w:evenVBand="0" w:oddHBand="1" w:evenHBand="0" w:firstRowFirstColumn="0" w:firstRowLastColumn="0" w:lastRowFirstColumn="0" w:lastRowLastColumn="0"/>
        </w:trPr>
        <w:tc>
          <w:tcPr>
            <w:tcW w:w="1481" w:type="dxa"/>
            <w:tcBorders>
              <w:top w:val="nil"/>
              <w:bottom w:val="nil"/>
            </w:tcBorders>
          </w:tcPr>
          <w:p w:rsidR="00DA12CB" w:rsidRPr="00FC54B4" w:rsidRDefault="00DA12CB" w:rsidP="00841EA0">
            <w:pPr>
              <w:pStyle w:val="Tablecells"/>
              <w:rPr>
                <w:b/>
              </w:rPr>
            </w:pPr>
            <w:r w:rsidRPr="00FC54B4">
              <w:rPr>
                <w:b/>
              </w:rPr>
              <w:t>Total sites</w:t>
            </w:r>
          </w:p>
        </w:tc>
        <w:tc>
          <w:tcPr>
            <w:tcW w:w="1445" w:type="dxa"/>
            <w:tcBorders>
              <w:top w:val="nil"/>
              <w:bottom w:val="nil"/>
            </w:tcBorders>
            <w:vAlign w:val="center"/>
          </w:tcPr>
          <w:p w:rsidR="00DA12CB" w:rsidRPr="00CB3145" w:rsidRDefault="00DA12CB" w:rsidP="00841EA0">
            <w:pPr>
              <w:pStyle w:val="Tablecells"/>
              <w:ind w:right="0"/>
              <w:jc w:val="right"/>
              <w:rPr>
                <w:b/>
              </w:rPr>
            </w:pPr>
            <w:r w:rsidRPr="00CB3145">
              <w:rPr>
                <w:b/>
              </w:rPr>
              <w:t xml:space="preserve">38,341 </w:t>
            </w:r>
          </w:p>
        </w:tc>
        <w:tc>
          <w:tcPr>
            <w:tcW w:w="1445" w:type="dxa"/>
            <w:tcBorders>
              <w:top w:val="nil"/>
              <w:bottom w:val="nil"/>
            </w:tcBorders>
            <w:vAlign w:val="center"/>
          </w:tcPr>
          <w:p w:rsidR="00DA12CB" w:rsidRPr="00CB3145" w:rsidRDefault="00DA12CB" w:rsidP="00841EA0">
            <w:pPr>
              <w:pStyle w:val="Tablecells"/>
              <w:ind w:right="0"/>
              <w:jc w:val="right"/>
              <w:rPr>
                <w:b/>
              </w:rPr>
            </w:pPr>
            <w:r w:rsidRPr="00CB3145">
              <w:rPr>
                <w:b/>
              </w:rPr>
              <w:t xml:space="preserve">40,233 </w:t>
            </w:r>
          </w:p>
        </w:tc>
        <w:tc>
          <w:tcPr>
            <w:tcW w:w="1445" w:type="dxa"/>
            <w:tcBorders>
              <w:top w:val="nil"/>
              <w:bottom w:val="nil"/>
            </w:tcBorders>
            <w:vAlign w:val="center"/>
          </w:tcPr>
          <w:p w:rsidR="00DA12CB" w:rsidRPr="00CB3145" w:rsidRDefault="00DA12CB" w:rsidP="00841EA0">
            <w:pPr>
              <w:pStyle w:val="Tablecells"/>
              <w:ind w:right="0"/>
              <w:jc w:val="right"/>
              <w:rPr>
                <w:b/>
              </w:rPr>
            </w:pPr>
            <w:r w:rsidRPr="00CB3145">
              <w:rPr>
                <w:b/>
              </w:rPr>
              <w:t xml:space="preserve">42,290 </w:t>
            </w:r>
          </w:p>
        </w:tc>
        <w:tc>
          <w:tcPr>
            <w:tcW w:w="1464" w:type="dxa"/>
            <w:tcBorders>
              <w:top w:val="nil"/>
              <w:bottom w:val="nil"/>
            </w:tcBorders>
            <w:vAlign w:val="center"/>
          </w:tcPr>
          <w:p w:rsidR="00DA12CB" w:rsidRPr="00CB3145" w:rsidRDefault="00DA12CB" w:rsidP="00841EA0">
            <w:pPr>
              <w:pStyle w:val="Tablecells"/>
              <w:ind w:right="0"/>
              <w:jc w:val="right"/>
              <w:rPr>
                <w:b/>
              </w:rPr>
            </w:pPr>
            <w:r w:rsidRPr="00CB3145">
              <w:rPr>
                <w:b/>
              </w:rPr>
              <w:t xml:space="preserve">37,518 </w:t>
            </w:r>
          </w:p>
        </w:tc>
        <w:tc>
          <w:tcPr>
            <w:tcW w:w="1452" w:type="dxa"/>
            <w:tcBorders>
              <w:top w:val="nil"/>
              <w:bottom w:val="nil"/>
            </w:tcBorders>
            <w:vAlign w:val="center"/>
          </w:tcPr>
          <w:p w:rsidR="00DA12CB" w:rsidRPr="00CB3145" w:rsidRDefault="00DA12CB" w:rsidP="00841EA0">
            <w:pPr>
              <w:pStyle w:val="Tablecells"/>
              <w:ind w:right="0"/>
              <w:jc w:val="right"/>
              <w:rPr>
                <w:b/>
              </w:rPr>
            </w:pPr>
            <w:r w:rsidRPr="00CB3145">
              <w:rPr>
                <w:b/>
              </w:rPr>
              <w:t xml:space="preserve">39,556 </w:t>
            </w:r>
          </w:p>
        </w:tc>
      </w:tr>
      <w:tr w:rsidR="00DA12CB" w:rsidRPr="003214C3" w:rsidTr="00841EA0">
        <w:tc>
          <w:tcPr>
            <w:tcW w:w="1481" w:type="dxa"/>
            <w:tcBorders>
              <w:top w:val="nil"/>
              <w:bottom w:val="single" w:sz="4" w:space="0" w:color="808080"/>
            </w:tcBorders>
          </w:tcPr>
          <w:p w:rsidR="00DA12CB" w:rsidRPr="003214C3" w:rsidRDefault="00DA12CB" w:rsidP="00841EA0">
            <w:pPr>
              <w:pStyle w:val="Tablecells"/>
              <w:rPr>
                <w:b/>
                <w:i/>
              </w:rPr>
            </w:pPr>
            <w:r w:rsidRPr="003214C3">
              <w:rPr>
                <w:b/>
                <w:i/>
              </w:rPr>
              <w:lastRenderedPageBreak/>
              <w:t>(difference)</w:t>
            </w:r>
          </w:p>
        </w:tc>
        <w:tc>
          <w:tcPr>
            <w:tcW w:w="1445" w:type="dxa"/>
            <w:tcBorders>
              <w:top w:val="nil"/>
              <w:bottom w:val="single" w:sz="4" w:space="0" w:color="808080"/>
            </w:tcBorders>
            <w:vAlign w:val="center"/>
          </w:tcPr>
          <w:p w:rsidR="00DA12CB" w:rsidRPr="00CB3145" w:rsidRDefault="00DA12CB" w:rsidP="00841EA0">
            <w:pPr>
              <w:pStyle w:val="Tablecells"/>
              <w:ind w:right="0"/>
              <w:jc w:val="right"/>
              <w:rPr>
                <w:b/>
                <w:i/>
              </w:rPr>
            </w:pPr>
          </w:p>
        </w:tc>
        <w:tc>
          <w:tcPr>
            <w:tcW w:w="1445" w:type="dxa"/>
            <w:tcBorders>
              <w:top w:val="nil"/>
              <w:bottom w:val="single" w:sz="4" w:space="0" w:color="808080"/>
            </w:tcBorders>
            <w:vAlign w:val="center"/>
          </w:tcPr>
          <w:p w:rsidR="00DA12CB" w:rsidRPr="00CB3145" w:rsidRDefault="00DA12CB" w:rsidP="00841EA0">
            <w:pPr>
              <w:pStyle w:val="Tablecells"/>
              <w:ind w:right="0"/>
              <w:jc w:val="right"/>
              <w:rPr>
                <w:b/>
                <w:i/>
              </w:rPr>
            </w:pPr>
            <w:r w:rsidRPr="00CB3145">
              <w:rPr>
                <w:b/>
                <w:i/>
              </w:rPr>
              <w:t xml:space="preserve">+1,892 </w:t>
            </w:r>
          </w:p>
        </w:tc>
        <w:tc>
          <w:tcPr>
            <w:tcW w:w="1445" w:type="dxa"/>
            <w:tcBorders>
              <w:top w:val="nil"/>
              <w:bottom w:val="single" w:sz="4" w:space="0" w:color="808080"/>
            </w:tcBorders>
            <w:vAlign w:val="center"/>
          </w:tcPr>
          <w:p w:rsidR="00DA12CB" w:rsidRPr="00CB3145" w:rsidRDefault="00DA12CB" w:rsidP="00841EA0">
            <w:pPr>
              <w:pStyle w:val="Tablecells"/>
              <w:ind w:right="0"/>
              <w:jc w:val="right"/>
              <w:rPr>
                <w:b/>
                <w:i/>
              </w:rPr>
            </w:pPr>
            <w:r w:rsidRPr="00CB3145">
              <w:rPr>
                <w:b/>
                <w:i/>
              </w:rPr>
              <w:t xml:space="preserve">+3,949 </w:t>
            </w:r>
          </w:p>
        </w:tc>
        <w:tc>
          <w:tcPr>
            <w:tcW w:w="1464" w:type="dxa"/>
            <w:tcBorders>
              <w:top w:val="nil"/>
              <w:bottom w:val="single" w:sz="4" w:space="0" w:color="808080"/>
            </w:tcBorders>
            <w:vAlign w:val="center"/>
          </w:tcPr>
          <w:p w:rsidR="00DA12CB" w:rsidRPr="00CB3145" w:rsidRDefault="00DA12CB" w:rsidP="00841EA0">
            <w:pPr>
              <w:pStyle w:val="Tablecells"/>
              <w:ind w:right="0"/>
              <w:jc w:val="right"/>
              <w:rPr>
                <w:b/>
                <w:i/>
              </w:rPr>
            </w:pPr>
            <w:r w:rsidRPr="00CB3145">
              <w:rPr>
                <w:b/>
                <w:i/>
                <w:color w:val="FF0000"/>
              </w:rPr>
              <w:t xml:space="preserve">-823 </w:t>
            </w:r>
          </w:p>
        </w:tc>
        <w:tc>
          <w:tcPr>
            <w:tcW w:w="1452" w:type="dxa"/>
            <w:tcBorders>
              <w:top w:val="nil"/>
              <w:bottom w:val="single" w:sz="4" w:space="0" w:color="808080"/>
            </w:tcBorders>
            <w:vAlign w:val="center"/>
          </w:tcPr>
          <w:p w:rsidR="00DA12CB" w:rsidRPr="00CB3145" w:rsidRDefault="00DA12CB" w:rsidP="00841EA0">
            <w:pPr>
              <w:pStyle w:val="Tablecells"/>
              <w:ind w:right="0"/>
              <w:jc w:val="right"/>
              <w:rPr>
                <w:b/>
                <w:i/>
              </w:rPr>
            </w:pPr>
            <w:r w:rsidRPr="00CB3145">
              <w:rPr>
                <w:b/>
                <w:i/>
              </w:rPr>
              <w:t xml:space="preserve">+1,215 </w:t>
            </w:r>
          </w:p>
        </w:tc>
      </w:tr>
    </w:tbl>
    <w:p w:rsidR="00DA12CB" w:rsidRDefault="00DA12CB" w:rsidP="00162304">
      <w:pPr>
        <w:pStyle w:val="01"/>
      </w:pPr>
    </w:p>
    <w:p w:rsidR="00DA12CB" w:rsidRDefault="00DA12CB" w:rsidP="00DA12CB">
      <w:pPr>
        <w:pStyle w:val="Caption"/>
      </w:pPr>
      <w:bookmarkStart w:id="23" w:name="_Ref399578099"/>
      <w:r>
        <w:t>Figure </w:t>
      </w:r>
      <w:r w:rsidR="008B1006">
        <w:fldChar w:fldCharType="begin"/>
      </w:r>
      <w:r w:rsidR="008B1006">
        <w:instrText xml:space="preserve"> STYLEREF 1 \s \* MERGEFORMAT </w:instrText>
      </w:r>
      <w:r w:rsidR="008B1006">
        <w:fldChar w:fldCharType="separate"/>
      </w:r>
      <w:r w:rsidR="00A87B65">
        <w:rPr>
          <w:noProof/>
        </w:rPr>
        <w:t>1</w:t>
      </w:r>
      <w:r w:rsidR="008B1006">
        <w:rPr>
          <w:noProof/>
        </w:rPr>
        <w:fldChar w:fldCharType="end"/>
      </w:r>
      <w:r>
        <w:t>.</w:t>
      </w:r>
      <w:fldSimple w:instr=" SEQ Figure \* ARABIC \s 1 \* MERGEFORMAT ">
        <w:r w:rsidR="00A87B65">
          <w:rPr>
            <w:noProof/>
          </w:rPr>
          <w:t>5</w:t>
        </w:r>
      </w:fldSimple>
      <w:bookmarkEnd w:id="23"/>
      <w:r>
        <w:t>: Total number of sites in 2025 for the base case and each sensitivity, and difference from the base case (second part) [Source: Analysys Mason, 2014]</w:t>
      </w:r>
    </w:p>
    <w:tbl>
      <w:tblPr>
        <w:tblStyle w:val="MediumShading2-Accent1"/>
        <w:tblW w:w="8732" w:type="dxa"/>
        <w:tblInd w:w="108" w:type="dxa"/>
        <w:tblLook w:val="0420" w:firstRow="1" w:lastRow="0" w:firstColumn="0" w:lastColumn="0" w:noHBand="0" w:noVBand="1"/>
      </w:tblPr>
      <w:tblGrid>
        <w:gridCol w:w="1759"/>
        <w:gridCol w:w="1742"/>
        <w:gridCol w:w="1743"/>
        <w:gridCol w:w="1744"/>
        <w:gridCol w:w="1744"/>
      </w:tblGrid>
      <w:tr w:rsidR="00DA12CB" w:rsidRPr="00562241" w:rsidTr="003C6417">
        <w:trPr>
          <w:cnfStyle w:val="100000000000" w:firstRow="1" w:lastRow="0" w:firstColumn="0" w:lastColumn="0" w:oddVBand="0" w:evenVBand="0" w:oddHBand="0" w:evenHBand="0" w:firstRowFirstColumn="0" w:firstRowLastColumn="0" w:lastRowFirstColumn="0" w:lastRowLastColumn="0"/>
        </w:trPr>
        <w:tc>
          <w:tcPr>
            <w:tcW w:w="1759" w:type="dxa"/>
            <w:tcBorders>
              <w:top w:val="single" w:sz="18" w:space="0" w:color="221F72"/>
              <w:bottom w:val="single" w:sz="4" w:space="0" w:color="FFFFFF" w:themeColor="background1"/>
            </w:tcBorders>
            <w:shd w:val="solid" w:color="221F72" w:fill="221F72"/>
          </w:tcPr>
          <w:p w:rsidR="00DA12CB" w:rsidRPr="00562241" w:rsidRDefault="00DA12CB" w:rsidP="00841EA0">
            <w:pPr>
              <w:pStyle w:val="Tableheading"/>
              <w:rPr>
                <w:b/>
              </w:rPr>
            </w:pPr>
          </w:p>
        </w:tc>
        <w:tc>
          <w:tcPr>
            <w:tcW w:w="1742" w:type="dxa"/>
            <w:tcBorders>
              <w:top w:val="single" w:sz="18" w:space="0" w:color="221F72"/>
              <w:bottom w:val="single" w:sz="4" w:space="0" w:color="FFFFFF" w:themeColor="background1"/>
            </w:tcBorders>
            <w:shd w:val="solid" w:color="221F72" w:fill="221F72"/>
          </w:tcPr>
          <w:p w:rsidR="00DA12CB" w:rsidRDefault="00DA12CB" w:rsidP="00841EA0">
            <w:pPr>
              <w:pStyle w:val="Tableheading"/>
              <w:keepLines/>
              <w:ind w:right="0"/>
              <w:jc w:val="right"/>
              <w:rPr>
                <w:b/>
              </w:rPr>
            </w:pPr>
            <w:r>
              <w:rPr>
                <w:b/>
              </w:rPr>
              <w:t>No 700MHz or 2.5GHz spectrum</w:t>
            </w:r>
          </w:p>
        </w:tc>
        <w:tc>
          <w:tcPr>
            <w:tcW w:w="1743" w:type="dxa"/>
            <w:tcBorders>
              <w:top w:val="single" w:sz="18" w:space="0" w:color="221F72"/>
              <w:bottom w:val="single" w:sz="4" w:space="0" w:color="FFFFFF" w:themeColor="background1"/>
            </w:tcBorders>
            <w:shd w:val="solid" w:color="221F72" w:fill="221F72"/>
          </w:tcPr>
          <w:p w:rsidR="00DA12CB" w:rsidRDefault="00DA12CB" w:rsidP="00841EA0">
            <w:pPr>
              <w:pStyle w:val="Tableheading"/>
              <w:keepLines/>
              <w:ind w:right="0"/>
              <w:jc w:val="right"/>
              <w:rPr>
                <w:b/>
              </w:rPr>
            </w:pPr>
            <w:r>
              <w:rPr>
                <w:b/>
              </w:rPr>
              <w:t xml:space="preserve">+150MHz of spectrum in 2015 </w:t>
            </w:r>
          </w:p>
        </w:tc>
        <w:tc>
          <w:tcPr>
            <w:tcW w:w="1744" w:type="dxa"/>
            <w:tcBorders>
              <w:top w:val="single" w:sz="18" w:space="0" w:color="221F72"/>
              <w:bottom w:val="single" w:sz="4" w:space="0" w:color="FFFFFF" w:themeColor="background1"/>
            </w:tcBorders>
            <w:shd w:val="solid" w:color="221F72" w:fill="221F72"/>
          </w:tcPr>
          <w:p w:rsidR="00DA12CB" w:rsidRDefault="00DA12CB" w:rsidP="00841EA0">
            <w:pPr>
              <w:pStyle w:val="Tableheading"/>
              <w:keepLines/>
              <w:ind w:right="0"/>
              <w:jc w:val="right"/>
              <w:rPr>
                <w:b/>
              </w:rPr>
            </w:pPr>
            <w:r>
              <w:rPr>
                <w:b/>
              </w:rPr>
              <w:t xml:space="preserve">+240MHz of spectrum in 2015 </w:t>
            </w:r>
          </w:p>
        </w:tc>
        <w:tc>
          <w:tcPr>
            <w:tcW w:w="1744" w:type="dxa"/>
            <w:tcBorders>
              <w:top w:val="single" w:sz="18" w:space="0" w:color="221F72"/>
              <w:bottom w:val="single" w:sz="4" w:space="0" w:color="FFFFFF" w:themeColor="background1"/>
            </w:tcBorders>
            <w:shd w:val="solid" w:color="221F72" w:fill="221F72"/>
          </w:tcPr>
          <w:p w:rsidR="00DA12CB" w:rsidRDefault="00DA12CB" w:rsidP="00841EA0">
            <w:pPr>
              <w:pStyle w:val="Tableheading"/>
              <w:keepLines/>
              <w:ind w:right="0"/>
              <w:jc w:val="right"/>
              <w:rPr>
                <w:b/>
              </w:rPr>
            </w:pPr>
            <w:r>
              <w:rPr>
                <w:b/>
              </w:rPr>
              <w:t>+540MHz of spectrum in 2015</w:t>
            </w:r>
          </w:p>
        </w:tc>
      </w:tr>
      <w:tr w:rsidR="00DA12CB" w:rsidTr="003C6417">
        <w:trPr>
          <w:cnfStyle w:val="000000100000" w:firstRow="0" w:lastRow="0" w:firstColumn="0" w:lastColumn="0" w:oddVBand="0" w:evenVBand="0" w:oddHBand="1" w:evenHBand="0" w:firstRowFirstColumn="0" w:firstRowLastColumn="0" w:lastRowFirstColumn="0" w:lastRowLastColumn="0"/>
        </w:trPr>
        <w:tc>
          <w:tcPr>
            <w:tcW w:w="1759" w:type="dxa"/>
            <w:tcBorders>
              <w:top w:val="single" w:sz="4" w:space="0" w:color="FFFFFF" w:themeColor="background1"/>
              <w:bottom w:val="nil"/>
            </w:tcBorders>
          </w:tcPr>
          <w:p w:rsidR="00DA12CB" w:rsidRPr="0032094C" w:rsidRDefault="00DA12CB" w:rsidP="00841EA0">
            <w:pPr>
              <w:pStyle w:val="Tablecells"/>
            </w:pPr>
            <w:r w:rsidRPr="0032094C">
              <w:t>Total 3G sites</w:t>
            </w:r>
          </w:p>
        </w:tc>
        <w:tc>
          <w:tcPr>
            <w:tcW w:w="1742" w:type="dxa"/>
            <w:tcBorders>
              <w:top w:val="single" w:sz="4" w:space="0" w:color="FFFFFF" w:themeColor="background1"/>
              <w:bottom w:val="nil"/>
            </w:tcBorders>
          </w:tcPr>
          <w:p w:rsidR="00DA12CB" w:rsidRPr="00B6296F" w:rsidRDefault="00DA12CB" w:rsidP="00841EA0">
            <w:pPr>
              <w:pStyle w:val="Tablecells"/>
              <w:ind w:right="0"/>
              <w:jc w:val="right"/>
            </w:pPr>
            <w:r w:rsidRPr="00B6296F">
              <w:t xml:space="preserve">18,029 </w:t>
            </w:r>
          </w:p>
        </w:tc>
        <w:tc>
          <w:tcPr>
            <w:tcW w:w="1743" w:type="dxa"/>
            <w:tcBorders>
              <w:top w:val="single" w:sz="4" w:space="0" w:color="FFFFFF" w:themeColor="background1"/>
              <w:bottom w:val="nil"/>
            </w:tcBorders>
          </w:tcPr>
          <w:p w:rsidR="00DA12CB" w:rsidRPr="00B6296F" w:rsidRDefault="00DA12CB" w:rsidP="00841EA0">
            <w:pPr>
              <w:pStyle w:val="Tablecells"/>
              <w:ind w:right="0"/>
              <w:jc w:val="right"/>
            </w:pPr>
            <w:r w:rsidRPr="00B6296F">
              <w:t xml:space="preserve">18,029 </w:t>
            </w:r>
          </w:p>
        </w:tc>
        <w:tc>
          <w:tcPr>
            <w:tcW w:w="1744" w:type="dxa"/>
            <w:tcBorders>
              <w:top w:val="single" w:sz="4" w:space="0" w:color="FFFFFF" w:themeColor="background1"/>
              <w:bottom w:val="nil"/>
            </w:tcBorders>
          </w:tcPr>
          <w:p w:rsidR="00DA12CB" w:rsidRPr="00B6296F" w:rsidRDefault="00DA12CB" w:rsidP="00841EA0">
            <w:pPr>
              <w:pStyle w:val="Tablecells"/>
              <w:ind w:right="0"/>
              <w:jc w:val="right"/>
            </w:pPr>
            <w:r w:rsidRPr="00B6296F">
              <w:t xml:space="preserve">18,029 </w:t>
            </w:r>
          </w:p>
        </w:tc>
        <w:tc>
          <w:tcPr>
            <w:tcW w:w="1744" w:type="dxa"/>
            <w:tcBorders>
              <w:top w:val="single" w:sz="4" w:space="0" w:color="FFFFFF" w:themeColor="background1"/>
              <w:bottom w:val="nil"/>
            </w:tcBorders>
          </w:tcPr>
          <w:p w:rsidR="00DA12CB" w:rsidRDefault="00DA12CB" w:rsidP="00841EA0">
            <w:pPr>
              <w:pStyle w:val="Tablecells"/>
              <w:ind w:right="0"/>
              <w:jc w:val="right"/>
            </w:pPr>
            <w:r w:rsidRPr="00B6296F">
              <w:t xml:space="preserve">18,029 </w:t>
            </w:r>
          </w:p>
        </w:tc>
      </w:tr>
      <w:tr w:rsidR="00DA12CB" w:rsidRPr="00BB78B9" w:rsidTr="00841EA0">
        <w:tc>
          <w:tcPr>
            <w:tcW w:w="1759" w:type="dxa"/>
            <w:tcBorders>
              <w:bottom w:val="nil"/>
            </w:tcBorders>
          </w:tcPr>
          <w:p w:rsidR="00DA12CB" w:rsidRPr="00BB78B9" w:rsidRDefault="00DA12CB" w:rsidP="00841EA0">
            <w:pPr>
              <w:pStyle w:val="Tablecells"/>
              <w:rPr>
                <w:i/>
              </w:rPr>
            </w:pPr>
            <w:r w:rsidRPr="00BB78B9">
              <w:rPr>
                <w:i/>
              </w:rPr>
              <w:t>(difference)</w:t>
            </w:r>
          </w:p>
        </w:tc>
        <w:tc>
          <w:tcPr>
            <w:tcW w:w="1742" w:type="dxa"/>
            <w:tcBorders>
              <w:bottom w:val="nil"/>
            </w:tcBorders>
            <w:vAlign w:val="center"/>
          </w:tcPr>
          <w:p w:rsidR="00DA12CB" w:rsidRPr="00CB3145" w:rsidRDefault="00DA12CB" w:rsidP="00841EA0">
            <w:pPr>
              <w:pStyle w:val="Tablecells"/>
              <w:ind w:right="0"/>
              <w:jc w:val="right"/>
              <w:rPr>
                <w:i/>
              </w:rPr>
            </w:pPr>
            <w:r w:rsidRPr="00CB3145">
              <w:rPr>
                <w:i/>
              </w:rPr>
              <w:t xml:space="preserve">0 </w:t>
            </w:r>
          </w:p>
        </w:tc>
        <w:tc>
          <w:tcPr>
            <w:tcW w:w="1743" w:type="dxa"/>
            <w:tcBorders>
              <w:bottom w:val="nil"/>
            </w:tcBorders>
            <w:vAlign w:val="center"/>
          </w:tcPr>
          <w:p w:rsidR="00DA12CB" w:rsidRPr="00CB3145" w:rsidRDefault="00DA12CB" w:rsidP="00841EA0">
            <w:pPr>
              <w:pStyle w:val="Tablecells"/>
              <w:ind w:right="0"/>
              <w:jc w:val="right"/>
              <w:rPr>
                <w:i/>
              </w:rPr>
            </w:pPr>
            <w:r w:rsidRPr="00CB3145">
              <w:rPr>
                <w:i/>
              </w:rPr>
              <w:t xml:space="preserve">0 </w:t>
            </w:r>
          </w:p>
        </w:tc>
        <w:tc>
          <w:tcPr>
            <w:tcW w:w="1744" w:type="dxa"/>
            <w:tcBorders>
              <w:bottom w:val="nil"/>
            </w:tcBorders>
            <w:vAlign w:val="center"/>
          </w:tcPr>
          <w:p w:rsidR="00DA12CB" w:rsidRPr="00CB3145" w:rsidRDefault="00DA12CB" w:rsidP="00841EA0">
            <w:pPr>
              <w:pStyle w:val="Tablecells"/>
              <w:ind w:right="0"/>
              <w:jc w:val="right"/>
              <w:rPr>
                <w:i/>
              </w:rPr>
            </w:pPr>
            <w:r w:rsidRPr="00CB3145">
              <w:rPr>
                <w:i/>
              </w:rPr>
              <w:t xml:space="preserve">0 </w:t>
            </w:r>
          </w:p>
        </w:tc>
        <w:tc>
          <w:tcPr>
            <w:tcW w:w="1744" w:type="dxa"/>
            <w:tcBorders>
              <w:bottom w:val="nil"/>
            </w:tcBorders>
            <w:vAlign w:val="center"/>
          </w:tcPr>
          <w:p w:rsidR="00DA12CB" w:rsidRPr="00CB3145" w:rsidRDefault="00DA12CB" w:rsidP="00841EA0">
            <w:pPr>
              <w:pStyle w:val="Tablecells"/>
              <w:ind w:right="0"/>
              <w:jc w:val="right"/>
              <w:rPr>
                <w:i/>
              </w:rPr>
            </w:pPr>
            <w:r w:rsidRPr="00CB3145">
              <w:rPr>
                <w:i/>
              </w:rPr>
              <w:t xml:space="preserve">0 </w:t>
            </w:r>
          </w:p>
        </w:tc>
      </w:tr>
      <w:tr w:rsidR="00DA12CB" w:rsidTr="00841EA0">
        <w:trPr>
          <w:cnfStyle w:val="000000100000" w:firstRow="0" w:lastRow="0" w:firstColumn="0" w:lastColumn="0" w:oddVBand="0" w:evenVBand="0" w:oddHBand="1" w:evenHBand="0" w:firstRowFirstColumn="0" w:firstRowLastColumn="0" w:lastRowFirstColumn="0" w:lastRowLastColumn="0"/>
        </w:trPr>
        <w:tc>
          <w:tcPr>
            <w:tcW w:w="1759" w:type="dxa"/>
            <w:tcBorders>
              <w:bottom w:val="nil"/>
            </w:tcBorders>
          </w:tcPr>
          <w:p w:rsidR="00DA12CB" w:rsidRPr="00CB73EE" w:rsidRDefault="00DA12CB" w:rsidP="00841EA0">
            <w:pPr>
              <w:pStyle w:val="Tablecells"/>
            </w:pPr>
            <w:r>
              <w:t>Total 4</w:t>
            </w:r>
            <w:r w:rsidRPr="00CB73EE">
              <w:t>G sites</w:t>
            </w:r>
          </w:p>
        </w:tc>
        <w:tc>
          <w:tcPr>
            <w:tcW w:w="1742" w:type="dxa"/>
            <w:tcBorders>
              <w:bottom w:val="nil"/>
            </w:tcBorders>
          </w:tcPr>
          <w:p w:rsidR="00DA12CB" w:rsidRPr="0090145A" w:rsidRDefault="003421C4" w:rsidP="00841EA0">
            <w:pPr>
              <w:pStyle w:val="Tablecells"/>
              <w:ind w:right="0"/>
              <w:jc w:val="right"/>
            </w:pPr>
            <w:r>
              <w:t>34,106</w:t>
            </w:r>
            <w:r w:rsidR="00DA12CB" w:rsidRPr="0090145A">
              <w:t xml:space="preserve"> </w:t>
            </w:r>
          </w:p>
        </w:tc>
        <w:tc>
          <w:tcPr>
            <w:tcW w:w="1743" w:type="dxa"/>
            <w:tcBorders>
              <w:bottom w:val="nil"/>
            </w:tcBorders>
          </w:tcPr>
          <w:p w:rsidR="00DA12CB" w:rsidRPr="0090145A" w:rsidRDefault="003421C4" w:rsidP="00841EA0">
            <w:pPr>
              <w:pStyle w:val="Tablecells"/>
              <w:ind w:right="0"/>
              <w:jc w:val="right"/>
            </w:pPr>
            <w:r>
              <w:t>15,189</w:t>
            </w:r>
          </w:p>
        </w:tc>
        <w:tc>
          <w:tcPr>
            <w:tcW w:w="1744" w:type="dxa"/>
            <w:tcBorders>
              <w:bottom w:val="nil"/>
            </w:tcBorders>
          </w:tcPr>
          <w:p w:rsidR="00DA12CB" w:rsidRPr="0090145A" w:rsidRDefault="003421C4" w:rsidP="00841EA0">
            <w:pPr>
              <w:pStyle w:val="Tablecells"/>
              <w:ind w:right="0"/>
              <w:jc w:val="right"/>
            </w:pPr>
            <w:r>
              <w:t>14,895</w:t>
            </w:r>
          </w:p>
        </w:tc>
        <w:tc>
          <w:tcPr>
            <w:tcW w:w="1744" w:type="dxa"/>
            <w:tcBorders>
              <w:bottom w:val="nil"/>
            </w:tcBorders>
          </w:tcPr>
          <w:p w:rsidR="00DA12CB" w:rsidRDefault="003421C4" w:rsidP="00841EA0">
            <w:pPr>
              <w:pStyle w:val="Tablecells"/>
              <w:ind w:right="0"/>
              <w:jc w:val="right"/>
            </w:pPr>
            <w:r>
              <w:t>14,532</w:t>
            </w:r>
            <w:r w:rsidR="00DA12CB" w:rsidRPr="0090145A">
              <w:t xml:space="preserve"> </w:t>
            </w:r>
          </w:p>
        </w:tc>
      </w:tr>
      <w:tr w:rsidR="00DA12CB" w:rsidRPr="00BB78B9" w:rsidTr="00841EA0">
        <w:tc>
          <w:tcPr>
            <w:tcW w:w="1759" w:type="dxa"/>
            <w:tcBorders>
              <w:top w:val="nil"/>
              <w:bottom w:val="single" w:sz="4" w:space="0" w:color="808080"/>
            </w:tcBorders>
          </w:tcPr>
          <w:p w:rsidR="00DA12CB" w:rsidRPr="00BB78B9" w:rsidRDefault="00DA12CB" w:rsidP="00841EA0">
            <w:pPr>
              <w:pStyle w:val="Tablecells"/>
              <w:rPr>
                <w:i/>
              </w:rPr>
            </w:pPr>
            <w:r w:rsidRPr="00BB78B9">
              <w:rPr>
                <w:i/>
              </w:rPr>
              <w:t>(difference)</w:t>
            </w:r>
          </w:p>
        </w:tc>
        <w:tc>
          <w:tcPr>
            <w:tcW w:w="1742" w:type="dxa"/>
            <w:tcBorders>
              <w:top w:val="nil"/>
              <w:bottom w:val="single" w:sz="4" w:space="0" w:color="808080"/>
            </w:tcBorders>
          </w:tcPr>
          <w:p w:rsidR="00DA12CB" w:rsidRPr="00CB3145" w:rsidRDefault="003421C4" w:rsidP="00841EA0">
            <w:pPr>
              <w:pStyle w:val="Tablecells"/>
              <w:ind w:right="0"/>
              <w:jc w:val="right"/>
              <w:rPr>
                <w:i/>
              </w:rPr>
            </w:pPr>
            <w:r>
              <w:rPr>
                <w:i/>
              </w:rPr>
              <w:t>13,794</w:t>
            </w:r>
            <w:r w:rsidR="00DA12CB" w:rsidRPr="00CB3145">
              <w:rPr>
                <w:i/>
              </w:rPr>
              <w:t xml:space="preserve"> </w:t>
            </w:r>
          </w:p>
        </w:tc>
        <w:tc>
          <w:tcPr>
            <w:tcW w:w="1743" w:type="dxa"/>
            <w:tcBorders>
              <w:top w:val="nil"/>
              <w:bottom w:val="single" w:sz="4" w:space="0" w:color="808080"/>
            </w:tcBorders>
          </w:tcPr>
          <w:p w:rsidR="00DA12CB" w:rsidRPr="00CB3145" w:rsidRDefault="003421C4" w:rsidP="00841EA0">
            <w:pPr>
              <w:pStyle w:val="Tablecells"/>
              <w:ind w:right="0"/>
              <w:jc w:val="right"/>
              <w:rPr>
                <w:i/>
                <w:color w:val="FF0000"/>
              </w:rPr>
            </w:pPr>
            <w:r>
              <w:rPr>
                <w:i/>
                <w:color w:val="FF0000"/>
              </w:rPr>
              <w:t>-5,123</w:t>
            </w:r>
            <w:r w:rsidR="00DA12CB" w:rsidRPr="00CB3145">
              <w:rPr>
                <w:i/>
                <w:color w:val="FF0000"/>
              </w:rPr>
              <w:t xml:space="preserve"> </w:t>
            </w:r>
          </w:p>
        </w:tc>
        <w:tc>
          <w:tcPr>
            <w:tcW w:w="1744" w:type="dxa"/>
            <w:tcBorders>
              <w:top w:val="nil"/>
              <w:bottom w:val="single" w:sz="4" w:space="0" w:color="808080"/>
            </w:tcBorders>
          </w:tcPr>
          <w:p w:rsidR="00DA12CB" w:rsidRPr="00CB3145" w:rsidRDefault="003421C4" w:rsidP="00841EA0">
            <w:pPr>
              <w:pStyle w:val="Tablecells"/>
              <w:ind w:right="0"/>
              <w:jc w:val="right"/>
              <w:rPr>
                <w:i/>
                <w:color w:val="FF0000"/>
              </w:rPr>
            </w:pPr>
            <w:r>
              <w:rPr>
                <w:i/>
                <w:color w:val="FF0000"/>
              </w:rPr>
              <w:t>-5,417</w:t>
            </w:r>
            <w:r w:rsidR="00DA12CB" w:rsidRPr="00CB3145">
              <w:rPr>
                <w:i/>
                <w:color w:val="FF0000"/>
              </w:rPr>
              <w:t xml:space="preserve"> </w:t>
            </w:r>
          </w:p>
        </w:tc>
        <w:tc>
          <w:tcPr>
            <w:tcW w:w="1744" w:type="dxa"/>
            <w:tcBorders>
              <w:top w:val="nil"/>
              <w:bottom w:val="single" w:sz="4" w:space="0" w:color="808080"/>
            </w:tcBorders>
          </w:tcPr>
          <w:p w:rsidR="00DA12CB" w:rsidRPr="00CB3145" w:rsidRDefault="003421C4" w:rsidP="00841EA0">
            <w:pPr>
              <w:pStyle w:val="Tablecells"/>
              <w:ind w:right="0"/>
              <w:jc w:val="right"/>
              <w:rPr>
                <w:i/>
                <w:color w:val="FF0000"/>
              </w:rPr>
            </w:pPr>
            <w:r>
              <w:rPr>
                <w:i/>
                <w:color w:val="FF0000"/>
              </w:rPr>
              <w:t>-5,780</w:t>
            </w:r>
            <w:r w:rsidR="00DA12CB" w:rsidRPr="00CB3145">
              <w:rPr>
                <w:i/>
                <w:color w:val="FF0000"/>
              </w:rPr>
              <w:t xml:space="preserve"> </w:t>
            </w:r>
          </w:p>
        </w:tc>
      </w:tr>
      <w:tr w:rsidR="00DA12CB" w:rsidTr="00841EA0">
        <w:trPr>
          <w:cnfStyle w:val="000000100000" w:firstRow="0" w:lastRow="0" w:firstColumn="0" w:lastColumn="0" w:oddVBand="0" w:evenVBand="0" w:oddHBand="1" w:evenHBand="0" w:firstRowFirstColumn="0" w:firstRowLastColumn="0" w:lastRowFirstColumn="0" w:lastRowLastColumn="0"/>
        </w:trPr>
        <w:tc>
          <w:tcPr>
            <w:tcW w:w="1759" w:type="dxa"/>
            <w:tcBorders>
              <w:top w:val="nil"/>
              <w:bottom w:val="nil"/>
            </w:tcBorders>
          </w:tcPr>
          <w:p w:rsidR="00DA12CB" w:rsidRPr="00FC54B4" w:rsidRDefault="00DA12CB" w:rsidP="00841EA0">
            <w:pPr>
              <w:pStyle w:val="Tablecells"/>
              <w:rPr>
                <w:b/>
              </w:rPr>
            </w:pPr>
            <w:r w:rsidRPr="00FC54B4">
              <w:rPr>
                <w:b/>
              </w:rPr>
              <w:t>Total sites</w:t>
            </w:r>
          </w:p>
        </w:tc>
        <w:tc>
          <w:tcPr>
            <w:tcW w:w="1742" w:type="dxa"/>
            <w:tcBorders>
              <w:top w:val="nil"/>
              <w:bottom w:val="nil"/>
            </w:tcBorders>
          </w:tcPr>
          <w:p w:rsidR="00DA12CB" w:rsidRPr="00CB3145" w:rsidRDefault="003421C4" w:rsidP="00841EA0">
            <w:pPr>
              <w:pStyle w:val="Tablecells"/>
              <w:ind w:right="0"/>
              <w:jc w:val="right"/>
              <w:rPr>
                <w:b/>
              </w:rPr>
            </w:pPr>
            <w:r>
              <w:rPr>
                <w:b/>
              </w:rPr>
              <w:t>52,135</w:t>
            </w:r>
          </w:p>
        </w:tc>
        <w:tc>
          <w:tcPr>
            <w:tcW w:w="1743" w:type="dxa"/>
            <w:tcBorders>
              <w:top w:val="nil"/>
              <w:bottom w:val="nil"/>
            </w:tcBorders>
          </w:tcPr>
          <w:p w:rsidR="00DA12CB" w:rsidRPr="00CB3145" w:rsidRDefault="003421C4" w:rsidP="00841EA0">
            <w:pPr>
              <w:pStyle w:val="Tablecells"/>
              <w:ind w:right="0"/>
              <w:jc w:val="right"/>
              <w:rPr>
                <w:b/>
              </w:rPr>
            </w:pPr>
            <w:r>
              <w:rPr>
                <w:b/>
              </w:rPr>
              <w:t>33,218</w:t>
            </w:r>
          </w:p>
        </w:tc>
        <w:tc>
          <w:tcPr>
            <w:tcW w:w="1744" w:type="dxa"/>
            <w:tcBorders>
              <w:top w:val="nil"/>
              <w:bottom w:val="nil"/>
            </w:tcBorders>
          </w:tcPr>
          <w:p w:rsidR="00DA12CB" w:rsidRPr="00CB3145" w:rsidRDefault="003421C4" w:rsidP="00841EA0">
            <w:pPr>
              <w:pStyle w:val="Tablecells"/>
              <w:ind w:right="0"/>
              <w:jc w:val="right"/>
              <w:rPr>
                <w:b/>
              </w:rPr>
            </w:pPr>
            <w:r>
              <w:rPr>
                <w:b/>
              </w:rPr>
              <w:t>32,924</w:t>
            </w:r>
            <w:r w:rsidR="00DA12CB" w:rsidRPr="00CB3145">
              <w:rPr>
                <w:b/>
              </w:rPr>
              <w:t xml:space="preserve"> </w:t>
            </w:r>
          </w:p>
        </w:tc>
        <w:tc>
          <w:tcPr>
            <w:tcW w:w="1744" w:type="dxa"/>
            <w:tcBorders>
              <w:top w:val="nil"/>
              <w:bottom w:val="nil"/>
            </w:tcBorders>
          </w:tcPr>
          <w:p w:rsidR="00DA12CB" w:rsidRPr="00CB3145" w:rsidRDefault="003421C4" w:rsidP="00841EA0">
            <w:pPr>
              <w:pStyle w:val="Tablecells"/>
              <w:ind w:right="0"/>
              <w:jc w:val="right"/>
              <w:rPr>
                <w:b/>
              </w:rPr>
            </w:pPr>
            <w:r>
              <w:rPr>
                <w:b/>
              </w:rPr>
              <w:t>32,561</w:t>
            </w:r>
            <w:r w:rsidR="00DA12CB" w:rsidRPr="00CB3145">
              <w:rPr>
                <w:b/>
              </w:rPr>
              <w:t xml:space="preserve"> </w:t>
            </w:r>
          </w:p>
        </w:tc>
      </w:tr>
      <w:tr w:rsidR="00DA12CB" w:rsidRPr="00BB78B9" w:rsidTr="00841EA0">
        <w:tc>
          <w:tcPr>
            <w:tcW w:w="1759" w:type="dxa"/>
            <w:tcBorders>
              <w:top w:val="nil"/>
              <w:bottom w:val="single" w:sz="4" w:space="0" w:color="808080"/>
            </w:tcBorders>
          </w:tcPr>
          <w:p w:rsidR="00DA12CB" w:rsidRPr="00BB78B9" w:rsidRDefault="00DA12CB" w:rsidP="00841EA0">
            <w:pPr>
              <w:pStyle w:val="Tablecells"/>
              <w:rPr>
                <w:b/>
                <w:i/>
              </w:rPr>
            </w:pPr>
            <w:r w:rsidRPr="00BB78B9">
              <w:rPr>
                <w:b/>
                <w:i/>
              </w:rPr>
              <w:t>(difference)</w:t>
            </w:r>
          </w:p>
        </w:tc>
        <w:tc>
          <w:tcPr>
            <w:tcW w:w="1742" w:type="dxa"/>
            <w:tcBorders>
              <w:top w:val="nil"/>
              <w:bottom w:val="single" w:sz="4" w:space="0" w:color="808080"/>
            </w:tcBorders>
          </w:tcPr>
          <w:p w:rsidR="00DA12CB" w:rsidRPr="00CB3145" w:rsidRDefault="003421C4" w:rsidP="00841EA0">
            <w:pPr>
              <w:pStyle w:val="Tablecells"/>
              <w:ind w:right="0"/>
              <w:jc w:val="right"/>
              <w:rPr>
                <w:b/>
                <w:i/>
              </w:rPr>
            </w:pPr>
            <w:r>
              <w:rPr>
                <w:b/>
                <w:i/>
              </w:rPr>
              <w:t>13,794</w:t>
            </w:r>
            <w:r w:rsidR="00DA12CB" w:rsidRPr="00CB3145">
              <w:rPr>
                <w:b/>
                <w:i/>
              </w:rPr>
              <w:t xml:space="preserve"> </w:t>
            </w:r>
          </w:p>
        </w:tc>
        <w:tc>
          <w:tcPr>
            <w:tcW w:w="1743" w:type="dxa"/>
            <w:tcBorders>
              <w:top w:val="nil"/>
              <w:bottom w:val="single" w:sz="4" w:space="0" w:color="808080"/>
            </w:tcBorders>
          </w:tcPr>
          <w:p w:rsidR="00DA12CB" w:rsidRPr="00CB3145" w:rsidRDefault="003421C4" w:rsidP="00841EA0">
            <w:pPr>
              <w:pStyle w:val="Tablecells"/>
              <w:ind w:right="0"/>
              <w:jc w:val="right"/>
              <w:rPr>
                <w:b/>
                <w:i/>
                <w:color w:val="FF0000"/>
              </w:rPr>
            </w:pPr>
            <w:r>
              <w:rPr>
                <w:b/>
                <w:i/>
                <w:color w:val="FF0000"/>
              </w:rPr>
              <w:t>-5,123</w:t>
            </w:r>
            <w:r w:rsidR="00DA12CB" w:rsidRPr="00CB3145">
              <w:rPr>
                <w:b/>
                <w:i/>
                <w:color w:val="FF0000"/>
              </w:rPr>
              <w:t xml:space="preserve"> </w:t>
            </w:r>
          </w:p>
        </w:tc>
        <w:tc>
          <w:tcPr>
            <w:tcW w:w="1744" w:type="dxa"/>
            <w:tcBorders>
              <w:top w:val="nil"/>
              <w:bottom w:val="single" w:sz="4" w:space="0" w:color="808080"/>
            </w:tcBorders>
          </w:tcPr>
          <w:p w:rsidR="00DA12CB" w:rsidRPr="00CB3145" w:rsidRDefault="003421C4" w:rsidP="00841EA0">
            <w:pPr>
              <w:pStyle w:val="Tablecells"/>
              <w:ind w:right="0"/>
              <w:jc w:val="right"/>
              <w:rPr>
                <w:b/>
                <w:i/>
                <w:color w:val="FF0000"/>
              </w:rPr>
            </w:pPr>
            <w:r>
              <w:rPr>
                <w:b/>
                <w:i/>
                <w:color w:val="FF0000"/>
              </w:rPr>
              <w:t>-5,417</w:t>
            </w:r>
            <w:r w:rsidR="00DA12CB" w:rsidRPr="00CB3145">
              <w:rPr>
                <w:b/>
                <w:i/>
                <w:color w:val="FF0000"/>
              </w:rPr>
              <w:t xml:space="preserve"> </w:t>
            </w:r>
          </w:p>
        </w:tc>
        <w:tc>
          <w:tcPr>
            <w:tcW w:w="1744" w:type="dxa"/>
            <w:tcBorders>
              <w:top w:val="nil"/>
              <w:bottom w:val="single" w:sz="4" w:space="0" w:color="808080"/>
            </w:tcBorders>
          </w:tcPr>
          <w:p w:rsidR="00DA12CB" w:rsidRPr="00CB3145" w:rsidRDefault="003421C4" w:rsidP="003421C4">
            <w:pPr>
              <w:pStyle w:val="Tablecells"/>
              <w:ind w:right="0"/>
              <w:jc w:val="right"/>
              <w:rPr>
                <w:b/>
                <w:i/>
                <w:color w:val="FF0000"/>
              </w:rPr>
            </w:pPr>
            <w:r>
              <w:rPr>
                <w:b/>
                <w:i/>
                <w:color w:val="FF0000"/>
              </w:rPr>
              <w:t>-5,780</w:t>
            </w:r>
            <w:r w:rsidR="00DA12CB" w:rsidRPr="00CB3145">
              <w:rPr>
                <w:b/>
                <w:i/>
                <w:color w:val="FF0000"/>
              </w:rPr>
              <w:t xml:space="preserve"> </w:t>
            </w:r>
          </w:p>
        </w:tc>
      </w:tr>
    </w:tbl>
    <w:p w:rsidR="00DA12CB" w:rsidRDefault="00DA12CB" w:rsidP="00DA12CB"/>
    <w:p w:rsidR="00D673BA" w:rsidRDefault="00D673BA" w:rsidP="00D673BA">
      <w:r>
        <w:t>It can be seen that overall the number of 4G logical sites required is relatively insensitive to the assumptions on traffic levels and spectral efficiency: the number of 4G logical sites required in 2020 increases by no more than 11% (+2,229 sites, in the sensitivity with 100% more traffic) and in 2025 by no more than 19% (+3,945 sites, again in the sensitivity with 100% more traffic). This is because the number of 4G sites required purely to provide additional capacity is fairly small compared to the number of 4G coverage sites.</w:t>
      </w:r>
      <w:r w:rsidRPr="00834A70">
        <w:t xml:space="preserve"> </w:t>
      </w:r>
      <w:r>
        <w:t>3G logical sites barely change in any of the sensitivities.</w:t>
      </w:r>
    </w:p>
    <w:p w:rsidR="00D673BA" w:rsidRDefault="00D673BA" w:rsidP="00D673BA">
      <w:r>
        <w:t>The assumptions about the amounts of spectrum available have a larger impact on the results of the model but their influence should not be misinterpreted. In the case of less spectrum and the case of more spectrum most of the impact is due to the assumptions regarding the coverage band used from 2015 onwards for LTE deployments:</w:t>
      </w:r>
    </w:p>
    <w:p w:rsidR="00D673BA" w:rsidRDefault="00D673BA" w:rsidP="00D673BA">
      <w:pPr>
        <w:pStyle w:val="ListBulletCompact"/>
        <w:tabs>
          <w:tab w:val="num" w:pos="360"/>
        </w:tabs>
        <w:ind w:left="357" w:hanging="357"/>
      </w:pPr>
      <w:r>
        <w:t>the 700MHz band for Optus and Telstra and the 1800MHz band for VHA in the base case</w:t>
      </w:r>
    </w:p>
    <w:p w:rsidR="00D673BA" w:rsidRDefault="00D673BA" w:rsidP="00D673BA">
      <w:pPr>
        <w:pStyle w:val="ListBulletCompact"/>
        <w:tabs>
          <w:tab w:val="num" w:pos="360"/>
        </w:tabs>
        <w:ind w:left="357" w:hanging="357"/>
      </w:pPr>
      <w:r>
        <w:t>the 1800MHz band for all operators  in the sensitivity with no 700MHz or 2.5GHz spectrum</w:t>
      </w:r>
    </w:p>
    <w:p w:rsidR="00D673BA" w:rsidRDefault="00D673BA" w:rsidP="00D673BA">
      <w:pPr>
        <w:pStyle w:val="ListBullet"/>
        <w:tabs>
          <w:tab w:val="num" w:pos="360"/>
        </w:tabs>
        <w:ind w:left="357" w:hanging="357"/>
      </w:pPr>
      <w:r>
        <w:t>the 700MHz band</w:t>
      </w:r>
      <w:r w:rsidRPr="00B04533">
        <w:t xml:space="preserve"> </w:t>
      </w:r>
      <w:r>
        <w:t>for all operators in the sensitivities with additional spectrum.</w:t>
      </w:r>
    </w:p>
    <w:p w:rsidR="00D673BA" w:rsidRDefault="00D673BA" w:rsidP="005A106E">
      <w:pPr>
        <w:spacing w:after="160"/>
      </w:pPr>
      <w:r>
        <w:lastRenderedPageBreak/>
        <w:t>We have also included an additional sensitivity in which VHA is assumed to roll out LTE coverage at 800MHz rather than 1800MHz from 2015 onwards</w:t>
      </w:r>
      <w:r w:rsidR="00C0134D">
        <w:t xml:space="preserve"> </w:t>
      </w:r>
      <w:r w:rsidR="00C0134D" w:rsidRPr="00A56FC9">
        <w:t>[</w:t>
      </w:r>
      <w:r w:rsidR="00C0134D" w:rsidRPr="00A56FC9">
        <w:rPr>
          <w:rFonts w:ascii="Wingdings" w:hAnsi="Wingdings"/>
        </w:rPr>
        <w:t></w:t>
      </w:r>
      <w:r w:rsidR="00C0134D" w:rsidRPr="00A56FC9">
        <w:t>]</w:t>
      </w:r>
      <w:r>
        <w:t xml:space="preserve">. In this sensitivity the total number of 4G sites required by VHA in 2020 is reduced from around 7500 in the base case to around 3500. We believe that VHA has </w:t>
      </w:r>
      <w:r w:rsidR="007039BA" w:rsidRPr="00A56FC9">
        <w:t>[</w:t>
      </w:r>
      <w:r w:rsidR="007039BA" w:rsidRPr="00A56FC9">
        <w:rPr>
          <w:rFonts w:ascii="Wingdings" w:hAnsi="Wingdings"/>
        </w:rPr>
        <w:t></w:t>
      </w:r>
      <w:r w:rsidR="007039BA" w:rsidRPr="00A56FC9">
        <w:t>]</w:t>
      </w:r>
      <w:r>
        <w:t xml:space="preserve"> physical sites today so the base case requires a significant increase in VHA’s total number of sites.</w:t>
      </w:r>
    </w:p>
    <w:p w:rsidR="00D673BA" w:rsidRPr="00550C5F" w:rsidRDefault="00103173" w:rsidP="005A106E">
      <w:pPr>
        <w:spacing w:after="160"/>
      </w:pPr>
      <w:r w:rsidRPr="00A56FC9">
        <w:t>[</w:t>
      </w:r>
      <w:r w:rsidRPr="00A56FC9">
        <w:rPr>
          <w:rFonts w:ascii="Wingdings" w:hAnsi="Wingdings"/>
        </w:rPr>
        <w:t></w:t>
      </w:r>
      <w:r w:rsidRPr="00A56FC9">
        <w:t>]</w:t>
      </w:r>
    </w:p>
    <w:p w:rsidR="00D673BA" w:rsidRDefault="00D673BA" w:rsidP="005A106E">
      <w:pPr>
        <w:spacing w:after="160"/>
      </w:pPr>
      <w:r>
        <w:t>It is however, important to note that there are a number of factors that can affect an operator’s desire to seek out additional spectrum besides the cost of adding additional spectrum bands to existing sites versus building new capacity sites. The impact of many of these factors is difficult to quantify, and for this reason most spectrum forecasting modelling to date has focussed on projected network demand. Other factors may include:</w:t>
      </w:r>
    </w:p>
    <w:p w:rsidR="00D673BA" w:rsidRDefault="00D673BA" w:rsidP="005A106E">
      <w:pPr>
        <w:pStyle w:val="ListBullet"/>
        <w:spacing w:after="160"/>
        <w:ind w:left="357" w:hanging="357"/>
      </w:pPr>
      <w:r w:rsidRPr="00645EF9">
        <w:rPr>
          <w:i/>
        </w:rPr>
        <w:t>Consumer demand and market supply for technology or services</w:t>
      </w:r>
      <w:r>
        <w:t>: for example, historically operators possessing large blocks of contiguous spectrum have been able to offer higher headline data rates to customers, which has been seen as a source of competitive advantage. However, the recent emergence of carrier aggregation technology which enables operators to use certain combinations of non-contiguous spectrum as a single virtual block may mean that large blocks are less valuable in the future than they were in the past.</w:t>
      </w:r>
    </w:p>
    <w:p w:rsidR="00D673BA" w:rsidRPr="005A106E" w:rsidRDefault="00D673BA" w:rsidP="005A106E">
      <w:pPr>
        <w:pStyle w:val="ListBullet"/>
        <w:spacing w:after="160"/>
        <w:ind w:left="357" w:hanging="357"/>
        <w:rPr>
          <w:spacing w:val="-4"/>
        </w:rPr>
      </w:pPr>
      <w:r w:rsidRPr="005A106E">
        <w:rPr>
          <w:i/>
          <w:spacing w:val="-4"/>
        </w:rPr>
        <w:t>Technological advancements (not related to spectral efficiency)</w:t>
      </w:r>
      <w:r w:rsidRPr="005A106E">
        <w:rPr>
          <w:spacing w:val="-4"/>
        </w:rPr>
        <w:t xml:space="preserve">: for example, the possibility of 5G technology using microwave technologies to deliver ultra-fast download speeds in urban hotspots could create demand amongst mobile operators to acquire blocks of spectrum </w:t>
      </w:r>
      <w:r w:rsidR="0044304B">
        <w:t xml:space="preserve">in bands far higher in frequency than </w:t>
      </w:r>
      <w:r w:rsidR="00A45C91">
        <w:t xml:space="preserve">those that </w:t>
      </w:r>
      <w:r w:rsidR="0044304B">
        <w:t>they</w:t>
      </w:r>
      <w:r w:rsidR="00A45C91">
        <w:t xml:space="preserve"> have</w:t>
      </w:r>
      <w:r w:rsidR="0044304B">
        <w:t xml:space="preserve"> traditionally used</w:t>
      </w:r>
      <w:r w:rsidRPr="005A106E">
        <w:rPr>
          <w:spacing w:val="-4"/>
        </w:rPr>
        <w:t>.</w:t>
      </w:r>
    </w:p>
    <w:p w:rsidR="00D673BA" w:rsidRDefault="00D673BA" w:rsidP="00645EF9">
      <w:pPr>
        <w:pStyle w:val="ListBullet"/>
      </w:pPr>
      <w:r w:rsidRPr="00645EF9">
        <w:rPr>
          <w:i/>
        </w:rPr>
        <w:t>Uncertainty about whether and when more spectrum will be released in the future</w:t>
      </w:r>
      <w:r>
        <w:t>: for example, at the time of the 700MHz auction i</w:t>
      </w:r>
      <w:r w:rsidR="00BD57E2">
        <w:t>t</w:t>
      </w:r>
      <w:r>
        <w:t xml:space="preserve"> was not clear if or when any more new low frequency spectrum would be offered to mobile operators. Telstra and Optus may therefore have been willing to </w:t>
      </w:r>
      <w:r>
        <w:lastRenderedPageBreak/>
        <w:t>acquire spectrum over and above what they could immediately justify on cost-saving grounds in order to be certain of having enough spectrum in the future.</w:t>
      </w:r>
    </w:p>
    <w:p w:rsidR="00D673BA" w:rsidRDefault="00D673BA" w:rsidP="00645EF9">
      <w:pPr>
        <w:pStyle w:val="ListBullet"/>
      </w:pPr>
      <w:r w:rsidRPr="00645EF9">
        <w:rPr>
          <w:i/>
        </w:rPr>
        <w:t>State and local planning and installation processes</w:t>
      </w:r>
      <w:r>
        <w:t>: the time required to acquire additional macrocell sites in urban and suburban areas and the potential for negative publicity arising out of local opposition to new sites may mean that operators place a higher value on being able to add new spectrum to existing sites than the financial savings would imply.</w:t>
      </w:r>
    </w:p>
    <w:p w:rsidR="00D673BA" w:rsidRDefault="00D673BA" w:rsidP="00645EF9">
      <w:pPr>
        <w:pStyle w:val="ListBullet"/>
      </w:pPr>
      <w:r>
        <w:rPr>
          <w:i/>
        </w:rPr>
        <w:t>P</w:t>
      </w:r>
      <w:r w:rsidRPr="00645EF9">
        <w:rPr>
          <w:i/>
        </w:rPr>
        <w:t>opulation migration</w:t>
      </w:r>
      <w:r>
        <w:rPr>
          <w:i/>
        </w:rPr>
        <w:t xml:space="preserve"> and social trends</w:t>
      </w:r>
      <w:r>
        <w:t>: an increase in home working may increase the demand for spectrum in suburban and rural areas to a greater extent than our modelling indicates. Similarly, if demand for mobile broadband amongst commuters increases (e.g. as a result of widespread adoption of streaming audio as an alternative to conventional car radio) this may increase the demand for mobile spectrum along commuter routes.</w:t>
      </w:r>
    </w:p>
    <w:p w:rsidR="00B873A7" w:rsidRDefault="00B873A7" w:rsidP="00B873A7">
      <w:r>
        <w:t>In the final section of the report we discuss three technological developments which may have an impact on the future demand for spectrum</w:t>
      </w:r>
      <w:r w:rsidR="00E539FF">
        <w:t xml:space="preserve"> and </w:t>
      </w:r>
      <w:r w:rsidR="00BD57E2">
        <w:t>more</w:t>
      </w:r>
      <w:r w:rsidR="00E539FF">
        <w:t xml:space="preserve"> mobile network infrastructure</w:t>
      </w:r>
      <w:r>
        <w:t xml:space="preserve"> for wireless access services: 5G mobile technologies, advances in Wi-Fi technology and white-space devices.</w:t>
      </w:r>
    </w:p>
    <w:p w:rsidR="00B873A7" w:rsidRDefault="00B873A7" w:rsidP="00B873A7">
      <w:r>
        <w:t xml:space="preserve">It is not yet clear what 5G mobile will be like, but one possibility is that </w:t>
      </w:r>
      <w:r w:rsidR="00A45C91">
        <w:t xml:space="preserve">to deliver ultrafast broadband in urban areas </w:t>
      </w:r>
      <w:r>
        <w:t xml:space="preserve">it will make use of </w:t>
      </w:r>
      <w:r w:rsidR="0044304B">
        <w:t xml:space="preserve">spectrum in bands far higher in frequency than </w:t>
      </w:r>
      <w:r w:rsidR="00A45C91">
        <w:t xml:space="preserve">those that </w:t>
      </w:r>
      <w:r w:rsidR="0044304B">
        <w:t>are traditionally used by mobile carriers, which may affect the demand for other types of spectrum in these areas. A form of Wi-Fi operating in the 60GHz frequency range has also been specified</w:t>
      </w:r>
      <w:r>
        <w:t>, but at present it appears that this will mainly be used over very short distances indoors. Increasing congestion in the 2.4GHz Wi-Fi band is, however, likely to encourage greater use of the 5GHz band, and at some point this may also become congested. There may also be demand for more class-licensed or lightly-licensed spectrum to be made available for specialist applications such as backhaul using Wi-Fi.</w:t>
      </w:r>
    </w:p>
    <w:p w:rsidR="00B873A7" w:rsidRPr="004F378A" w:rsidRDefault="00B873A7" w:rsidP="00B873A7">
      <w:pPr>
        <w:rPr>
          <w:spacing w:val="-4"/>
        </w:rPr>
      </w:pPr>
      <w:r w:rsidRPr="004F378A">
        <w:rPr>
          <w:spacing w:val="-4"/>
        </w:rPr>
        <w:lastRenderedPageBreak/>
        <w:t>Trials of white-space devices, which typically use parts of the UHF spectrum that are not required by broadcasters in some areas as a result of their geographical spectrum re-use plans, have taken place in a number of countries, though not yet Australia. The technology looks likely to be commercialised, at least in the USA and the UK, in the next couple of years. If successful, this may lead to increased interest in the development of a licensing framework for white-space devices in Australia.</w:t>
      </w:r>
    </w:p>
    <w:p w:rsidR="00B873A7" w:rsidRDefault="00B873A7" w:rsidP="00B873A7">
      <w:r>
        <w:t>Lastly, the report considers the</w:t>
      </w:r>
      <w:bookmarkStart w:id="24" w:name="_Toc280791250"/>
      <w:r>
        <w:t xml:space="preserve"> likelihood of substitution between fixed and wireless services and between the various forms of wireless service, although our conclusion is that there is limited potential for substitution to affect our baseline conclusions about the future demand for spectrum</w:t>
      </w:r>
      <w:r w:rsidR="00BD57E2">
        <w:t xml:space="preserve"> and more</w:t>
      </w:r>
      <w:r w:rsidR="00E539FF">
        <w:t xml:space="preserve"> mobile network infrastructure</w:t>
      </w:r>
      <w:r>
        <w:t xml:space="preserve"> for wireless access services in Australia.</w:t>
      </w:r>
    </w:p>
    <w:p w:rsidR="00B873A7" w:rsidRPr="008A0DCE" w:rsidRDefault="00B873A7" w:rsidP="00B873A7">
      <w:pPr>
        <w:pStyle w:val="Heading1"/>
      </w:pPr>
      <w:bookmarkStart w:id="25" w:name="_Toc373161387"/>
      <w:bookmarkStart w:id="26" w:name="_Toc399178480"/>
      <w:bookmarkStart w:id="27" w:name="_Toc402102947"/>
      <w:bookmarkStart w:id="28" w:name="_Toc409445577"/>
      <w:r w:rsidRPr="008A0DCE">
        <w:lastRenderedPageBreak/>
        <w:t>Introduction</w:t>
      </w:r>
      <w:bookmarkEnd w:id="24"/>
      <w:bookmarkEnd w:id="25"/>
      <w:bookmarkEnd w:id="26"/>
      <w:bookmarkEnd w:id="27"/>
      <w:bookmarkEnd w:id="28"/>
    </w:p>
    <w:p w:rsidR="00F13239" w:rsidRPr="001050A1" w:rsidRDefault="00B873A7" w:rsidP="00F13239">
      <w:pPr>
        <w:rPr>
          <w:spacing w:val="-4"/>
        </w:rPr>
      </w:pPr>
      <w:r w:rsidRPr="001050A1">
        <w:rPr>
          <w:spacing w:val="-4"/>
        </w:rPr>
        <w:t>This document is the updated final report by Analysys Mason for the Australian Communications and Media Authority (ACMA) on</w:t>
      </w:r>
      <w:r w:rsidR="00F13239" w:rsidRPr="001050A1">
        <w:rPr>
          <w:spacing w:val="-4"/>
        </w:rPr>
        <w:t xml:space="preserve"> mobile network capacity forecasting</w:t>
      </w:r>
      <w:r w:rsidR="0058443D" w:rsidRPr="001050A1">
        <w:rPr>
          <w:spacing w:val="-4"/>
        </w:rPr>
        <w:t xml:space="preserve"> and the relationship between the amount of mobile infrastructure required and the amount of mobile spectrum made available</w:t>
      </w:r>
      <w:r w:rsidR="00F13239" w:rsidRPr="001050A1">
        <w:rPr>
          <w:spacing w:val="-4"/>
        </w:rPr>
        <w:t xml:space="preserve">. </w:t>
      </w:r>
    </w:p>
    <w:p w:rsidR="00B873A7" w:rsidRPr="008A0DCE" w:rsidRDefault="00F13239" w:rsidP="00E15C32">
      <w:r w:rsidRPr="008A0DCE">
        <w:t xml:space="preserve">The purpose of the study is to </w:t>
      </w:r>
      <w:r>
        <w:t>develop an infrastructure forecasting model</w:t>
      </w:r>
      <w:r w:rsidRPr="008A0DCE">
        <w:t xml:space="preserve"> </w:t>
      </w:r>
      <w:r>
        <w:t xml:space="preserve">which includes </w:t>
      </w:r>
      <w:r w:rsidR="00B873A7" w:rsidRPr="008A0DCE">
        <w:t xml:space="preserve">market development forecasts and to undertake qualitative analysis </w:t>
      </w:r>
      <w:r w:rsidR="00B873A7">
        <w:t>of</w:t>
      </w:r>
      <w:r w:rsidR="00B873A7" w:rsidRPr="008A0DCE">
        <w:t xml:space="preserve"> factors which may </w:t>
      </w:r>
      <w:r w:rsidR="00B873A7">
        <w:t xml:space="preserve">have an </w:t>
      </w:r>
      <w:r w:rsidR="00B873A7" w:rsidRPr="008A0DCE">
        <w:t>impact on those forecasts for wireless access services in Australia for each year between 201</w:t>
      </w:r>
      <w:r w:rsidR="00B873A7">
        <w:t>4</w:t>
      </w:r>
      <w:r w:rsidR="00B873A7" w:rsidRPr="008A0DCE">
        <w:t xml:space="preserve"> and 2020 and </w:t>
      </w:r>
      <w:r w:rsidR="00B873A7">
        <w:t xml:space="preserve">also for </w:t>
      </w:r>
      <w:r w:rsidR="00B873A7" w:rsidRPr="008A0DCE">
        <w:t>2025.</w:t>
      </w:r>
    </w:p>
    <w:p w:rsidR="00B873A7" w:rsidRDefault="00B873A7" w:rsidP="00B873A7">
      <w:pPr>
        <w:rPr>
          <w:color w:val="000000"/>
          <w:lang w:val="en-AU"/>
        </w:rPr>
      </w:pPr>
      <w:r>
        <w:t xml:space="preserve">A number of </w:t>
      </w:r>
      <w:r w:rsidRPr="0054531A">
        <w:t xml:space="preserve">operators </w:t>
      </w:r>
      <w:r>
        <w:t xml:space="preserve">of wireless access services </w:t>
      </w:r>
      <w:r w:rsidRPr="0054531A">
        <w:t xml:space="preserve">provided input to this report, </w:t>
      </w:r>
      <w:r>
        <w:t xml:space="preserve">and the model used to forecast the cellular mobile </w:t>
      </w:r>
      <w:r w:rsidR="00F13239">
        <w:t xml:space="preserve">infrastructure requirements </w:t>
      </w:r>
      <w:r>
        <w:t xml:space="preserve">was released for public consultation, but </w:t>
      </w:r>
      <w:r w:rsidRPr="0054531A">
        <w:t xml:space="preserve">consensus was not reached as the </w:t>
      </w:r>
      <w:r>
        <w:t>operators</w:t>
      </w:r>
      <w:r w:rsidRPr="0054531A">
        <w:t xml:space="preserve"> had </w:t>
      </w:r>
      <w:r>
        <w:t xml:space="preserve">a number of </w:t>
      </w:r>
      <w:r w:rsidRPr="0054531A">
        <w:t xml:space="preserve">different assumptions </w:t>
      </w:r>
      <w:r>
        <w:t>which resulted in different</w:t>
      </w:r>
      <w:r w:rsidRPr="0054531A">
        <w:t xml:space="preserve"> forecasts to 2025</w:t>
      </w:r>
      <w:r>
        <w:rPr>
          <w:color w:val="000000"/>
          <w:lang w:val="en-AU"/>
        </w:rPr>
        <w:t>. Consequently, the findings in this report should be regarded as those of Analysys Mason and not the operators.</w:t>
      </w:r>
    </w:p>
    <w:p w:rsidR="00B873A7" w:rsidRPr="008A0DCE" w:rsidRDefault="00B873A7" w:rsidP="00B873A7">
      <w:r w:rsidRPr="008A0DCE">
        <w:t>The remainder of this document is laid out as follows:</w:t>
      </w:r>
    </w:p>
    <w:p w:rsidR="00B873A7" w:rsidRPr="008A0DCE" w:rsidRDefault="00B873A7" w:rsidP="00B873A7">
      <w:pPr>
        <w:pStyle w:val="ListBullet"/>
        <w:tabs>
          <w:tab w:val="num" w:pos="360"/>
        </w:tabs>
        <w:ind w:left="357" w:hanging="357"/>
      </w:pPr>
      <w:r>
        <w:t xml:space="preserve">Section </w:t>
      </w:r>
      <w:r w:rsidRPr="002D2F9B">
        <w:fldChar w:fldCharType="begin"/>
      </w:r>
      <w:r w:rsidRPr="00196691">
        <w:instrText xml:space="preserve"> REF _Ref380663271 \r \h </w:instrText>
      </w:r>
      <w:r w:rsidRPr="002D2F9B">
        <w:fldChar w:fldCharType="separate"/>
      </w:r>
      <w:r w:rsidR="00A87B65">
        <w:t>3</w:t>
      </w:r>
      <w:r w:rsidRPr="002D2F9B">
        <w:fldChar w:fldCharType="end"/>
      </w:r>
      <w:r w:rsidRPr="008A0DCE">
        <w:t xml:space="preserve"> contains our assumptions about </w:t>
      </w:r>
      <w:r>
        <w:t xml:space="preserve">population </w:t>
      </w:r>
      <w:r w:rsidRPr="008A0DCE">
        <w:t>growth and the number of households in Australia</w:t>
      </w:r>
      <w:r>
        <w:t>,</w:t>
      </w:r>
      <w:r w:rsidRPr="008A0DCE">
        <w:t xml:space="preserve"> which are used as common inputs for all of our </w:t>
      </w:r>
      <w:r w:rsidRPr="00F62C40">
        <w:t>forecasts.</w:t>
      </w:r>
      <w:r w:rsidRPr="008A0DCE">
        <w:t xml:space="preserve"> This </w:t>
      </w:r>
      <w:r>
        <w:t>chapter</w:t>
      </w:r>
      <w:r w:rsidRPr="008A0DCE">
        <w:t xml:space="preserve"> also </w:t>
      </w:r>
      <w:r>
        <w:t>sets out</w:t>
      </w:r>
      <w:r w:rsidRPr="008A0DCE">
        <w:t xml:space="preserve"> our assumptions about the overall number of fixed and fixed </w:t>
      </w:r>
      <w:r w:rsidR="0044304B">
        <w:t xml:space="preserve">wireless </w:t>
      </w:r>
      <w:r w:rsidRPr="008A0DCE">
        <w:t xml:space="preserve">broadband connections in Australia and </w:t>
      </w:r>
      <w:r>
        <w:t xml:space="preserve">discusses </w:t>
      </w:r>
      <w:r w:rsidRPr="008A0DCE">
        <w:t>the evidence on price elasticity</w:t>
      </w:r>
      <w:r>
        <w:t>,</w:t>
      </w:r>
      <w:r w:rsidRPr="008A0DCE">
        <w:t xml:space="preserve"> </w:t>
      </w:r>
      <w:r>
        <w:t xml:space="preserve">to provide </w:t>
      </w:r>
      <w:r w:rsidRPr="008A0DCE">
        <w:t xml:space="preserve">background information for our subsequent discussion of mobile broadband </w:t>
      </w:r>
      <w:r>
        <w:t xml:space="preserve">connections </w:t>
      </w:r>
      <w:r w:rsidRPr="008A0DCE">
        <w:t>and fixed wireless connections.</w:t>
      </w:r>
    </w:p>
    <w:p w:rsidR="00B873A7" w:rsidRPr="005A106E" w:rsidRDefault="00B873A7" w:rsidP="00B873A7">
      <w:pPr>
        <w:pStyle w:val="ListBullet"/>
        <w:tabs>
          <w:tab w:val="num" w:pos="360"/>
        </w:tabs>
        <w:ind w:left="357" w:hanging="357"/>
        <w:rPr>
          <w:spacing w:val="-4"/>
        </w:rPr>
      </w:pPr>
      <w:r w:rsidRPr="005A106E">
        <w:rPr>
          <w:spacing w:val="-4"/>
        </w:rPr>
        <w:t xml:space="preserve">Section </w:t>
      </w:r>
      <w:r w:rsidR="00196691">
        <w:rPr>
          <w:spacing w:val="-4"/>
        </w:rPr>
        <w:fldChar w:fldCharType="begin"/>
      </w:r>
      <w:r w:rsidR="00196691">
        <w:rPr>
          <w:spacing w:val="-4"/>
        </w:rPr>
        <w:instrText xml:space="preserve"> REF _Ref404157193 \r \h </w:instrText>
      </w:r>
      <w:r w:rsidR="00196691">
        <w:rPr>
          <w:spacing w:val="-4"/>
        </w:rPr>
      </w:r>
      <w:r w:rsidR="00196691">
        <w:rPr>
          <w:spacing w:val="-4"/>
        </w:rPr>
        <w:fldChar w:fldCharType="separate"/>
      </w:r>
      <w:r w:rsidR="00A87B65">
        <w:rPr>
          <w:spacing w:val="-4"/>
        </w:rPr>
        <w:t>0</w:t>
      </w:r>
      <w:r w:rsidR="00196691">
        <w:rPr>
          <w:spacing w:val="-4"/>
        </w:rPr>
        <w:fldChar w:fldCharType="end"/>
      </w:r>
      <w:r w:rsidRPr="005A106E">
        <w:rPr>
          <w:spacing w:val="-4"/>
        </w:rPr>
        <w:t xml:space="preserve"> describes our approach to forecasting cellular mobile</w:t>
      </w:r>
      <w:r w:rsidR="00F13239" w:rsidRPr="00F13239">
        <w:t xml:space="preserve"> </w:t>
      </w:r>
      <w:r w:rsidR="00F13239">
        <w:t>infrastructure requirements</w:t>
      </w:r>
      <w:r w:rsidRPr="005A106E">
        <w:rPr>
          <w:spacing w:val="-4"/>
        </w:rPr>
        <w:t xml:space="preserve">, which is the </w:t>
      </w:r>
      <w:r w:rsidR="00072644">
        <w:rPr>
          <w:spacing w:val="-4"/>
        </w:rPr>
        <w:t>largest</w:t>
      </w:r>
      <w:r w:rsidRPr="005A106E">
        <w:rPr>
          <w:spacing w:val="-4"/>
        </w:rPr>
        <w:t xml:space="preserve"> wireless access service in Australia in terms of subscriber numbers and retail revenue generated. Since we </w:t>
      </w:r>
      <w:r w:rsidRPr="005A106E">
        <w:rPr>
          <w:spacing w:val="-4"/>
        </w:rPr>
        <w:lastRenderedPageBreak/>
        <w:t xml:space="preserve">issued the previous version of this report on 24 March 2014, we have supported the ACMA in a public consultation on the cellular mobile </w:t>
      </w:r>
      <w:r w:rsidR="00F13239">
        <w:rPr>
          <w:spacing w:val="-4"/>
        </w:rPr>
        <w:t>infrastructure</w:t>
      </w:r>
      <w:r w:rsidR="00F13239" w:rsidRPr="005A106E">
        <w:rPr>
          <w:spacing w:val="-4"/>
        </w:rPr>
        <w:t xml:space="preserve"> </w:t>
      </w:r>
      <w:r w:rsidRPr="005A106E">
        <w:rPr>
          <w:spacing w:val="-4"/>
        </w:rPr>
        <w:t>forecasting model which ran from 22 May to 27 June 2014. Based on the responses received to the consultation, we agreed with the ACMA that a number of changes should be made to the model (see Annex A for details). This version of the report incorporates the new results from the updated model.</w:t>
      </w:r>
    </w:p>
    <w:p w:rsidR="00B873A7" w:rsidRDefault="00B873A7" w:rsidP="00B873A7">
      <w:pPr>
        <w:pStyle w:val="ListBullet"/>
        <w:tabs>
          <w:tab w:val="num" w:pos="360"/>
        </w:tabs>
        <w:ind w:left="357" w:hanging="357"/>
      </w:pPr>
      <w:r>
        <w:t xml:space="preserve">Section </w:t>
      </w:r>
      <w:r w:rsidR="0058443D">
        <w:fldChar w:fldCharType="begin"/>
      </w:r>
      <w:r w:rsidR="0058443D">
        <w:instrText xml:space="preserve"> REF _Ref404270550 \r \h </w:instrText>
      </w:r>
      <w:r w:rsidR="0058443D">
        <w:fldChar w:fldCharType="separate"/>
      </w:r>
      <w:r w:rsidR="00A87B65">
        <w:t>5</w:t>
      </w:r>
      <w:r w:rsidR="0058443D">
        <w:fldChar w:fldCharType="end"/>
      </w:r>
      <w:r w:rsidRPr="008A0DCE">
        <w:t xml:space="preserve"> </w:t>
      </w:r>
      <w:r>
        <w:t xml:space="preserve">reviews </w:t>
      </w:r>
      <w:r w:rsidRPr="008A0DCE">
        <w:t>technical developments in wireless access services and the potential alternatives for delivering applications, both in terms of substitutability of wireless access services (e.g. between fixed and mobile wireless services, between licensed and class-licensed spectrum, and between satellite and terrestrial wireless services) and the extent to which wired technologies could be used in place of wireless.</w:t>
      </w:r>
    </w:p>
    <w:p w:rsidR="003421C4" w:rsidRPr="005A106E" w:rsidRDefault="003421C4" w:rsidP="00F70981">
      <w:pPr>
        <w:pStyle w:val="ListBullet"/>
        <w:tabs>
          <w:tab w:val="num" w:pos="360"/>
        </w:tabs>
        <w:spacing w:after="120"/>
        <w:ind w:left="357" w:hanging="357"/>
        <w:rPr>
          <w:spacing w:val="-4"/>
        </w:rPr>
      </w:pPr>
      <w:r w:rsidRPr="005A106E">
        <w:rPr>
          <w:spacing w:val="-4"/>
        </w:rPr>
        <w:t>Annex A provides a summary of the changes made to the model following the public consultation</w:t>
      </w:r>
      <w:r w:rsidR="005A106E" w:rsidRPr="005A106E">
        <w:rPr>
          <w:spacing w:val="-4"/>
        </w:rPr>
        <w:t>.</w:t>
      </w:r>
    </w:p>
    <w:p w:rsidR="003421C4" w:rsidRPr="00645EF9" w:rsidRDefault="00DD51B2" w:rsidP="003C6417">
      <w:pPr>
        <w:pStyle w:val="ListBullet"/>
        <w:numPr>
          <w:ilvl w:val="0"/>
          <w:numId w:val="0"/>
        </w:numPr>
        <w:ind w:left="360"/>
      </w:pPr>
      <w:r w:rsidRPr="00A56FC9">
        <w:t>[</w:t>
      </w:r>
      <w:r w:rsidRPr="00A56FC9">
        <w:rPr>
          <w:rFonts w:ascii="Wingdings" w:hAnsi="Wingdings"/>
        </w:rPr>
        <w:t></w:t>
      </w:r>
      <w:r w:rsidRPr="00A56FC9">
        <w:t>]</w:t>
      </w:r>
    </w:p>
    <w:p w:rsidR="00B873A7" w:rsidRPr="008A0DCE" w:rsidRDefault="00B873A7" w:rsidP="00B873A7">
      <w:pPr>
        <w:pStyle w:val="Heading1"/>
      </w:pPr>
      <w:bookmarkStart w:id="29" w:name="_Toc373161388"/>
      <w:bookmarkStart w:id="30" w:name="_Ref380663271"/>
      <w:bookmarkStart w:id="31" w:name="_Toc399178481"/>
      <w:bookmarkStart w:id="32" w:name="_Toc402102948"/>
      <w:bookmarkStart w:id="33" w:name="_Toc409445578"/>
      <w:r w:rsidRPr="008A0DCE">
        <w:lastRenderedPageBreak/>
        <w:t>Demographic assumptions, overview of fixed/fixed wireless connections in Australia and evidence on price elasticity</w:t>
      </w:r>
      <w:bookmarkEnd w:id="29"/>
      <w:bookmarkEnd w:id="30"/>
      <w:bookmarkEnd w:id="31"/>
      <w:bookmarkEnd w:id="32"/>
      <w:bookmarkEnd w:id="33"/>
    </w:p>
    <w:p w:rsidR="00B873A7" w:rsidRDefault="00B873A7" w:rsidP="00B873A7">
      <w:pPr>
        <w:pStyle w:val="Heading2"/>
      </w:pPr>
      <w:bookmarkStart w:id="34" w:name="_Toc373161389"/>
      <w:bookmarkStart w:id="35" w:name="_Toc399178482"/>
      <w:bookmarkStart w:id="36" w:name="_Toc402102949"/>
      <w:bookmarkStart w:id="37" w:name="_Toc409445579"/>
      <w:r w:rsidRPr="008A0DCE">
        <w:t>Introduction</w:t>
      </w:r>
      <w:bookmarkEnd w:id="34"/>
      <w:bookmarkEnd w:id="35"/>
      <w:bookmarkEnd w:id="36"/>
      <w:bookmarkEnd w:id="37"/>
    </w:p>
    <w:p w:rsidR="00B873A7" w:rsidRPr="00AE4749" w:rsidRDefault="00B873A7" w:rsidP="00B873A7">
      <w:r>
        <w:t>This chapter summarises the assumptions that we have made on demographic factors. It also contains our forecast for the total number of fixed plus fixed wireless broadband connections in Australia to provide some context for our assumptions about the number of mobile, fixed wireless and satellite connections. Finally it summarises the evidence available on the price elasticity of demand for mobile broadband services.</w:t>
      </w:r>
      <w:r>
        <w:rPr>
          <w:rStyle w:val="FootnoteReference"/>
        </w:rPr>
        <w:footnoteReference w:id="1"/>
      </w:r>
    </w:p>
    <w:p w:rsidR="00B873A7" w:rsidRPr="008A0DCE" w:rsidRDefault="00B873A7" w:rsidP="00B873A7">
      <w:pPr>
        <w:pStyle w:val="Heading2"/>
      </w:pPr>
      <w:bookmarkStart w:id="38" w:name="_Toc373161390"/>
      <w:bookmarkStart w:id="39" w:name="_Toc399178483"/>
      <w:bookmarkStart w:id="40" w:name="_Toc402102950"/>
      <w:bookmarkStart w:id="41" w:name="_Toc409445580"/>
      <w:r w:rsidRPr="008A0DCE">
        <w:t>Population</w:t>
      </w:r>
      <w:bookmarkEnd w:id="38"/>
      <w:bookmarkEnd w:id="39"/>
      <w:bookmarkEnd w:id="40"/>
      <w:bookmarkEnd w:id="41"/>
    </w:p>
    <w:p w:rsidR="00B873A7" w:rsidRDefault="00B873A7" w:rsidP="00B873A7">
      <w:r w:rsidRPr="008A0DCE">
        <w:t xml:space="preserve">The Australian population grew by roughly 20% between 2000 and 2012 to 22.9 million in December 2012. The Australian Bureau of Statistics (ABS) published three population forecasts in 2008, the most optimistic of which (Series A), predicts a 2012 to 2025 </w:t>
      </w:r>
      <w:r>
        <w:t>compound annual growth rate (</w:t>
      </w:r>
      <w:r w:rsidRPr="008A0DCE">
        <w:t>CAGR</w:t>
      </w:r>
      <w:r>
        <w:t>)</w:t>
      </w:r>
      <w:r w:rsidRPr="008A0DCE">
        <w:t xml:space="preserve"> of 1.7%, while the most conservative (Series C) </w:t>
      </w:r>
      <w:r>
        <w:t>has</w:t>
      </w:r>
      <w:r w:rsidRPr="008A0DCE">
        <w:t xml:space="preserve"> a CAGR of 1.1%.</w:t>
      </w:r>
      <w:r w:rsidRPr="008A0DCE">
        <w:rPr>
          <w:rStyle w:val="FootnoteReference"/>
        </w:rPr>
        <w:footnoteReference w:id="2"/>
      </w:r>
    </w:p>
    <w:p w:rsidR="00B873A7" w:rsidRPr="004F378A" w:rsidRDefault="00B873A7" w:rsidP="00B873A7">
      <w:pPr>
        <w:rPr>
          <w:spacing w:val="-4"/>
        </w:rPr>
      </w:pPr>
      <w:r w:rsidRPr="004F378A">
        <w:rPr>
          <w:spacing w:val="-4"/>
        </w:rPr>
        <w:t xml:space="preserve">This report uses the moderate growth scenario produced by the ABS (Series B), which has a CAGR of 1.3%. </w:t>
      </w:r>
      <w:r w:rsidRPr="00196691">
        <w:fldChar w:fldCharType="begin"/>
      </w:r>
      <w:r w:rsidRPr="00196691">
        <w:instrText xml:space="preserve"> REF _Ref367969752 \h </w:instrText>
      </w:r>
      <w:r w:rsidRPr="00196691">
        <w:fldChar w:fldCharType="separate"/>
      </w:r>
      <w:r w:rsidR="00A87B65">
        <w:t>Figure </w:t>
      </w:r>
      <w:r w:rsidR="00A87B65">
        <w:rPr>
          <w:noProof/>
        </w:rPr>
        <w:t>3</w:t>
      </w:r>
      <w:r w:rsidR="00A87B65">
        <w:t>.</w:t>
      </w:r>
      <w:r w:rsidR="00A87B65">
        <w:rPr>
          <w:noProof/>
        </w:rPr>
        <w:t>1</w:t>
      </w:r>
      <w:r w:rsidRPr="00196691">
        <w:fldChar w:fldCharType="end"/>
      </w:r>
      <w:r w:rsidRPr="004F378A">
        <w:rPr>
          <w:spacing w:val="-4"/>
        </w:rPr>
        <w:t xml:space="preserve"> shows historical end-of-year </w:t>
      </w:r>
      <w:r w:rsidRPr="004F378A">
        <w:rPr>
          <w:spacing w:val="-4"/>
        </w:rPr>
        <w:lastRenderedPageBreak/>
        <w:t>population figures as reported by the ABS from 2000 to 2012 and, from 2013 onwards, applies the annual growth rates implied by the Series B projection.</w:t>
      </w:r>
      <w:r w:rsidRPr="004F378A">
        <w:rPr>
          <w:rStyle w:val="FootnoteReference"/>
          <w:spacing w:val="-4"/>
        </w:rPr>
        <w:footnoteReference w:id="3"/>
      </w:r>
    </w:p>
    <w:p w:rsidR="00B873A7" w:rsidRDefault="00B873A7" w:rsidP="00B873A7">
      <w:r w:rsidRPr="008A0DCE">
        <w:t xml:space="preserve">As a result, we forecast </w:t>
      </w:r>
      <w:r>
        <w:t xml:space="preserve">that </w:t>
      </w:r>
      <w:r w:rsidRPr="008A0DCE">
        <w:t xml:space="preserve">the Australian population </w:t>
      </w:r>
      <w:r>
        <w:t xml:space="preserve">will </w:t>
      </w:r>
      <w:r w:rsidRPr="008A0DCE">
        <w:t xml:space="preserve">rise by approximately 19% between 2012 and 2025, </w:t>
      </w:r>
      <w:r>
        <w:t>to reach</w:t>
      </w:r>
      <w:r w:rsidRPr="008A0DCE">
        <w:t xml:space="preserve"> 27.2 million. Annual growth rates are expected to decline gradually from a high of 1.75% in 2012 to around 1.2% by 2025.</w:t>
      </w:r>
      <w:r>
        <w:t xml:space="preserve"> </w:t>
      </w:r>
    </w:p>
    <w:tbl>
      <w:tblPr>
        <w:tblW w:w="8730" w:type="dxa"/>
        <w:tblLayout w:type="fixed"/>
        <w:tblCellMar>
          <w:left w:w="0" w:type="dxa"/>
          <w:right w:w="0" w:type="dxa"/>
        </w:tblCellMar>
        <w:tblLook w:val="0000" w:firstRow="0" w:lastRow="0" w:firstColumn="0" w:lastColumn="0" w:noHBand="0" w:noVBand="0"/>
      </w:tblPr>
      <w:tblGrid>
        <w:gridCol w:w="6576"/>
        <w:gridCol w:w="2154"/>
      </w:tblGrid>
      <w:tr w:rsidR="00B873A7" w:rsidRPr="008A0DCE" w:rsidTr="00841EA0">
        <w:tc>
          <w:tcPr>
            <w:tcW w:w="6576" w:type="dxa"/>
            <w:tcBorders>
              <w:right w:val="single" w:sz="4" w:space="0" w:color="auto"/>
            </w:tcBorders>
            <w:shd w:val="clear" w:color="auto" w:fill="auto"/>
          </w:tcPr>
          <w:p w:rsidR="00B873A7" w:rsidRPr="008A0DCE" w:rsidRDefault="00B873A7" w:rsidP="00841EA0">
            <w:pPr>
              <w:pStyle w:val="Bordersmall"/>
            </w:pPr>
            <w:r w:rsidRPr="008A0DCE">
              <w:rPr>
                <w:noProof/>
                <w:lang w:val="en-AU" w:eastAsia="en-AU"/>
              </w:rPr>
              <mc:AlternateContent>
                <mc:Choice Requires="wps">
                  <w:drawing>
                    <wp:anchor distT="0" distB="0" distL="114300" distR="114300" simplePos="0" relativeHeight="251664384" behindDoc="0" locked="0" layoutInCell="1" allowOverlap="1" wp14:anchorId="4F0B4D4B" wp14:editId="7FA1054B">
                      <wp:simplePos x="0" y="0"/>
                      <wp:positionH relativeFrom="column">
                        <wp:posOffset>1004570</wp:posOffset>
                      </wp:positionH>
                      <wp:positionV relativeFrom="paragraph">
                        <wp:posOffset>1487805</wp:posOffset>
                      </wp:positionV>
                      <wp:extent cx="1229360" cy="518795"/>
                      <wp:effectExtent l="0" t="0" r="27940" b="14605"/>
                      <wp:wrapNone/>
                      <wp:docPr id="8" name="Rounded Rectangle 5"/>
                      <wp:cNvGraphicFramePr/>
                      <a:graphic xmlns:a="http://schemas.openxmlformats.org/drawingml/2006/main">
                        <a:graphicData uri="http://schemas.microsoft.com/office/word/2010/wordprocessingShape">
                          <wps:wsp>
                            <wps:cNvSpPr/>
                            <wps:spPr>
                              <a:xfrm>
                                <a:off x="0" y="0"/>
                                <a:ext cx="1229360" cy="518795"/>
                              </a:xfrm>
                              <a:prstGeom prst="roundRect">
                                <a:avLst/>
                              </a:prstGeom>
                              <a:solidFill>
                                <a:srgbClr val="94D7FF"/>
                              </a:solidFill>
                              <a:ln w="12700">
                                <a:solidFill>
                                  <a:srgbClr val="00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05766B" w:rsidRPr="00080F67" w:rsidRDefault="0005766B" w:rsidP="00B873A7">
                                  <w:pPr>
                                    <w:pStyle w:val="ListBullet2"/>
                                    <w:numPr>
                                      <w:ilvl w:val="0"/>
                                      <w:numId w:val="0"/>
                                    </w:numPr>
                                    <w:spacing w:after="0" w:line="240" w:lineRule="auto"/>
                                    <w:jc w:val="center"/>
                                    <w:textAlignment w:val="baseline"/>
                                    <w:rPr>
                                      <w:rFonts w:ascii="Arial" w:hAnsi="Arial" w:cs="Arial"/>
                                      <w:sz w:val="18"/>
                                      <w:szCs w:val="18"/>
                                    </w:rPr>
                                  </w:pPr>
                                  <w:r w:rsidRPr="00080F67">
                                    <w:rPr>
                                      <w:rFonts w:ascii="Arial" w:hAnsi="Arial" w:cs="Arial"/>
                                      <w:color w:val="000000" w:themeColor="text1"/>
                                      <w:kern w:val="24"/>
                                      <w:sz w:val="18"/>
                                      <w:szCs w:val="18"/>
                                    </w:rPr>
                                    <w:t xml:space="preserve">2000–12 </w:t>
                                  </w:r>
                                  <w:r>
                                    <w:rPr>
                                      <w:rFonts w:ascii="Arial" w:hAnsi="Arial" w:cs="Arial"/>
                                      <w:color w:val="000000" w:themeColor="text1"/>
                                      <w:kern w:val="24"/>
                                      <w:sz w:val="18"/>
                                      <w:szCs w:val="18"/>
                                    </w:rPr>
                                    <w:t>CAGR</w:t>
                                  </w:r>
                                  <w:r>
                                    <w:rPr>
                                      <w:rFonts w:ascii="Arial" w:hAnsi="Arial" w:cs="Arial"/>
                                      <w:color w:val="000000" w:themeColor="text1"/>
                                      <w:kern w:val="24"/>
                                      <w:sz w:val="18"/>
                                      <w:szCs w:val="18"/>
                                    </w:rPr>
                                    <w:br/>
                                  </w:r>
                                  <w:r w:rsidRPr="00080F67">
                                    <w:rPr>
                                      <w:rFonts w:ascii="Arial" w:hAnsi="Arial" w:cs="Arial"/>
                                      <w:color w:val="000000" w:themeColor="text1"/>
                                      <w:kern w:val="24"/>
                                      <w:sz w:val="18"/>
                                      <w:szCs w:val="18"/>
                                    </w:rPr>
                                    <w:t>=</w:t>
                                  </w:r>
                                  <w:r>
                                    <w:rPr>
                                      <w:rFonts w:ascii="Arial" w:hAnsi="Arial" w:cs="Arial"/>
                                      <w:color w:val="000000" w:themeColor="text1"/>
                                      <w:kern w:val="24"/>
                                      <w:sz w:val="18"/>
                                      <w:szCs w:val="18"/>
                                    </w:rPr>
                                    <w:t xml:space="preserve"> </w:t>
                                  </w:r>
                                  <w:r w:rsidRPr="00080F67">
                                    <w:rPr>
                                      <w:rFonts w:ascii="Arial" w:hAnsi="Arial" w:cs="Arial"/>
                                      <w:color w:val="000000" w:themeColor="text1"/>
                                      <w:kern w:val="24"/>
                                      <w:sz w:val="18"/>
                                      <w:szCs w:val="18"/>
                                    </w:rPr>
                                    <w:t>1.5%</w:t>
                                  </w:r>
                                </w:p>
                              </w:txbxContent>
                            </wps:txbx>
                            <wps:bodyPr wrap="square" lIns="63500" tIns="38100" rIns="63500" bIns="38100" rtlCol="0" anchor="ctr">
                              <a:noAutofit/>
                            </wps:bodyPr>
                          </wps:wsp>
                        </a:graphicData>
                      </a:graphic>
                      <wp14:sizeRelH relativeFrom="margin">
                        <wp14:pctWidth>0</wp14:pctWidth>
                      </wp14:sizeRelH>
                      <wp14:sizeRelV relativeFrom="margin">
                        <wp14:pctHeight>0</wp14:pctHeight>
                      </wp14:sizeRelV>
                    </wp:anchor>
                  </w:drawing>
                </mc:Choice>
                <mc:Fallback>
                  <w:pict>
                    <v:roundrect w14:anchorId="4F0B4D4B" id="Rounded Rectangle 5" o:spid="_x0000_s1026" style="position:absolute;left:0;text-align:left;margin-left:79.1pt;margin-top:117.15pt;width:96.8pt;height:40.8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" fillcolor="#94d7ff" strokeweight="1pt">
                      <v:textbox inset="5pt,3pt,5pt,3pt">
                        <w:txbxContent>
                          <w:p w:rsidR="0005766B" w:rsidRPr="00080F67" w:rsidRDefault="0005766B" w:rsidP="00B873A7">
                            <w:pPr>
                              <w:pStyle w:val="ListBullet2"/>
                              <w:numPr>
                                <w:ilvl w:val="0"/>
                                <w:numId w:val="0"/>
                              </w:numPr>
                              <w:spacing w:after="0" w:line="240" w:lineRule="auto"/>
                              <w:jc w:val="center"/>
                              <w:textAlignment w:val="baseline"/>
                              <w:rPr>
                                <w:rFonts w:ascii="Arial" w:hAnsi="Arial" w:cs="Arial"/>
                                <w:sz w:val="18"/>
                                <w:szCs w:val="18"/>
                              </w:rPr>
                            </w:pPr>
                            <w:r w:rsidRPr="00080F67">
                              <w:rPr>
                                <w:rFonts w:ascii="Arial" w:hAnsi="Arial" w:cs="Arial"/>
                                <w:color w:val="000000" w:themeColor="text1"/>
                                <w:kern w:val="24"/>
                                <w:sz w:val="18"/>
                                <w:szCs w:val="18"/>
                              </w:rPr>
                              <w:t xml:space="preserve">2000–12 </w:t>
                            </w:r>
                            <w:r>
                              <w:rPr>
                                <w:rFonts w:ascii="Arial" w:hAnsi="Arial" w:cs="Arial"/>
                                <w:color w:val="000000" w:themeColor="text1"/>
                                <w:kern w:val="24"/>
                                <w:sz w:val="18"/>
                                <w:szCs w:val="18"/>
                              </w:rPr>
                              <w:t>CAGR</w:t>
                            </w:r>
                            <w:r>
                              <w:rPr>
                                <w:rFonts w:ascii="Arial" w:hAnsi="Arial" w:cs="Arial"/>
                                <w:color w:val="000000" w:themeColor="text1"/>
                                <w:kern w:val="24"/>
                                <w:sz w:val="18"/>
                                <w:szCs w:val="18"/>
                              </w:rPr>
                              <w:br/>
                            </w:r>
                            <w:r w:rsidRPr="00080F67">
                              <w:rPr>
                                <w:rFonts w:ascii="Arial" w:hAnsi="Arial" w:cs="Arial"/>
                                <w:color w:val="000000" w:themeColor="text1"/>
                                <w:kern w:val="24"/>
                                <w:sz w:val="18"/>
                                <w:szCs w:val="18"/>
                              </w:rPr>
                              <w:t>=</w:t>
                            </w:r>
                            <w:r>
                              <w:rPr>
                                <w:rFonts w:ascii="Arial" w:hAnsi="Arial" w:cs="Arial"/>
                                <w:color w:val="000000" w:themeColor="text1"/>
                                <w:kern w:val="24"/>
                                <w:sz w:val="18"/>
                                <w:szCs w:val="18"/>
                              </w:rPr>
                              <w:t xml:space="preserve"> </w:t>
                            </w:r>
                            <w:r w:rsidRPr="00080F67">
                              <w:rPr>
                                <w:rFonts w:ascii="Arial" w:hAnsi="Arial" w:cs="Arial"/>
                                <w:color w:val="000000" w:themeColor="text1"/>
                                <w:kern w:val="24"/>
                                <w:sz w:val="18"/>
                                <w:szCs w:val="18"/>
                              </w:rPr>
                              <w:t>1.5%</w:t>
                            </w:r>
                          </w:p>
                        </w:txbxContent>
                      </v:textbox>
                    </v:roundrect>
                  </w:pict>
                </mc:Fallback>
              </mc:AlternateContent>
            </w:r>
            <w:r w:rsidRPr="008A0DCE">
              <w:rPr>
                <w:noProof/>
                <w:lang w:val="en-AU" w:eastAsia="en-AU"/>
              </w:rPr>
              <mc:AlternateContent>
                <mc:Choice Requires="wps">
                  <w:drawing>
                    <wp:anchor distT="0" distB="0" distL="114300" distR="114300" simplePos="0" relativeHeight="251663360" behindDoc="0" locked="0" layoutInCell="1" allowOverlap="1" wp14:anchorId="5F550049" wp14:editId="5AF8DBE4">
                      <wp:simplePos x="0" y="0"/>
                      <wp:positionH relativeFrom="column">
                        <wp:posOffset>2374900</wp:posOffset>
                      </wp:positionH>
                      <wp:positionV relativeFrom="paragraph">
                        <wp:posOffset>144145</wp:posOffset>
                      </wp:positionV>
                      <wp:extent cx="772795" cy="290830"/>
                      <wp:effectExtent l="0" t="0" r="0" b="0"/>
                      <wp:wrapNone/>
                      <wp:docPr id="18" name="TextBox 10"/>
                      <wp:cNvGraphicFramePr/>
                      <a:graphic xmlns:a="http://schemas.openxmlformats.org/drawingml/2006/main">
                        <a:graphicData uri="http://schemas.microsoft.com/office/word/2010/wordprocessingShape">
                          <wps:wsp>
                            <wps:cNvSpPr txBox="1"/>
                            <wps:spPr>
                              <a:xfrm>
                                <a:off x="0" y="0"/>
                                <a:ext cx="772795" cy="290830"/>
                              </a:xfrm>
                              <a:prstGeom prst="rect">
                                <a:avLst/>
                              </a:prstGeom>
                              <a:noFill/>
                            </wps:spPr>
                            <wps:txbx>
                              <w:txbxContent>
                                <w:p w:rsidR="0005766B" w:rsidRPr="001330BB" w:rsidRDefault="0005766B" w:rsidP="00B873A7">
                                  <w:pPr>
                                    <w:spacing w:after="0"/>
                                    <w:textAlignment w:val="baseline"/>
                                    <w:rPr>
                                      <w:sz w:val="18"/>
                                      <w:szCs w:val="18"/>
                                    </w:rPr>
                                  </w:pPr>
                                  <w:r w:rsidRPr="001330BB">
                                    <w:rPr>
                                      <w:rFonts w:ascii="Arial" w:eastAsia="MS PGothic" w:hAnsi="Arial"/>
                                      <w:b/>
                                      <w:bCs/>
                                      <w:i/>
                                      <w:iCs/>
                                      <w:color w:val="808080" w:themeColor="background1" w:themeShade="80"/>
                                      <w:kern w:val="24"/>
                                      <w:sz w:val="18"/>
                                      <w:szCs w:val="18"/>
                                    </w:rPr>
                                    <w:t>Forecast</w:t>
                                  </w:r>
                                </w:p>
                              </w:txbxContent>
                            </wps:txbx>
                            <wps:bodyPr wrap="square" rtlCol="0">
                              <a:noAutofit/>
                            </wps:bodyPr>
                          </wps:wsp>
                        </a:graphicData>
                      </a:graphic>
                      <wp14:sizeRelH relativeFrom="margin">
                        <wp14:pctWidth>0</wp14:pctWidth>
                      </wp14:sizeRelH>
                      <wp14:sizeRelV relativeFrom="margin">
                        <wp14:pctHeight>0</wp14:pctHeight>
                      </wp14:sizeRelV>
                    </wp:anchor>
                  </w:drawing>
                </mc:Choice>
                <mc:Fallback>
                  <w:pict>
                    <v:shapetype w14:anchorId="5F550049" id="_x0000_t202" coordsize="21600,21600" o:spt="202" path="m,l,21600r21600,l21600,xe">
                      <v:stroke joinstyle="miter"/>
                      <v:path gradientshapeok="t" o:connecttype="rect"/>
                    </v:shapetype>
                    <v:shape id="TextBox 10" o:spid="_x0000_s1027" type="#_x0000_t202" style="position:absolute;left:0;text-align:left;margin-left:187pt;margin-top:11.35pt;width:60.85pt;height:22.9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" filled="f" stroked="f">
                      <v:textbox>
                        <w:txbxContent>
                          <w:p w:rsidR="0005766B" w:rsidRPr="001330BB" w:rsidRDefault="0005766B" w:rsidP="00B873A7">
                            <w:pPr>
                              <w:spacing w:after="0"/>
                              <w:textAlignment w:val="baseline"/>
                              <w:rPr>
                                <w:sz w:val="18"/>
                                <w:szCs w:val="18"/>
                              </w:rPr>
                            </w:pPr>
                            <w:r w:rsidRPr="001330BB">
                              <w:rPr>
                                <w:rFonts w:ascii="Arial" w:eastAsia="MS PGothic" w:hAnsi="Arial"/>
                                <w:b/>
                                <w:bCs/>
                                <w:i/>
                                <w:iCs/>
                                <w:color w:val="808080" w:themeColor="background1" w:themeShade="80"/>
                                <w:kern w:val="24"/>
                                <w:sz w:val="18"/>
                                <w:szCs w:val="18"/>
                              </w:rPr>
                              <w:t>Forecast</w:t>
                            </w:r>
                          </w:p>
                        </w:txbxContent>
                      </v:textbox>
                    </v:shape>
                  </w:pict>
                </mc:Fallback>
              </mc:AlternateContent>
            </w:r>
            <w:r w:rsidRPr="008A0DCE">
              <w:rPr>
                <w:noProof/>
                <w:lang w:val="en-AU" w:eastAsia="en-AU"/>
              </w:rPr>
              <mc:AlternateContent>
                <mc:Choice Requires="wps">
                  <w:drawing>
                    <wp:anchor distT="0" distB="0" distL="114300" distR="114300" simplePos="0" relativeHeight="251662336" behindDoc="0" locked="0" layoutInCell="1" allowOverlap="1" wp14:anchorId="18189ED6" wp14:editId="03922587">
                      <wp:simplePos x="0" y="0"/>
                      <wp:positionH relativeFrom="column">
                        <wp:posOffset>1651635</wp:posOffset>
                      </wp:positionH>
                      <wp:positionV relativeFrom="paragraph">
                        <wp:posOffset>144145</wp:posOffset>
                      </wp:positionV>
                      <wp:extent cx="725805" cy="290830"/>
                      <wp:effectExtent l="0" t="0" r="0" b="0"/>
                      <wp:wrapNone/>
                      <wp:docPr id="17" name="TextBox 9"/>
                      <wp:cNvGraphicFramePr/>
                      <a:graphic xmlns:a="http://schemas.openxmlformats.org/drawingml/2006/main">
                        <a:graphicData uri="http://schemas.microsoft.com/office/word/2010/wordprocessingShape">
                          <wps:wsp>
                            <wps:cNvSpPr txBox="1"/>
                            <wps:spPr>
                              <a:xfrm>
                                <a:off x="0" y="0"/>
                                <a:ext cx="725805" cy="290830"/>
                              </a:xfrm>
                              <a:prstGeom prst="rect">
                                <a:avLst/>
                              </a:prstGeom>
                              <a:noFill/>
                            </wps:spPr>
                            <wps:txbx>
                              <w:txbxContent>
                                <w:p w:rsidR="0005766B" w:rsidRPr="001330BB" w:rsidRDefault="0005766B" w:rsidP="00B873A7">
                                  <w:pPr>
                                    <w:spacing w:after="0"/>
                                    <w:jc w:val="center"/>
                                    <w:textAlignment w:val="baseline"/>
                                    <w:rPr>
                                      <w:sz w:val="18"/>
                                      <w:szCs w:val="18"/>
                                    </w:rPr>
                                  </w:pPr>
                                  <w:r w:rsidRPr="001330BB">
                                    <w:rPr>
                                      <w:rFonts w:ascii="Arial" w:eastAsia="MS PGothic" w:hAnsi="Arial"/>
                                      <w:b/>
                                      <w:bCs/>
                                      <w:i/>
                                      <w:iCs/>
                                      <w:color w:val="808080" w:themeColor="background1" w:themeShade="80"/>
                                      <w:kern w:val="24"/>
                                      <w:sz w:val="18"/>
                                      <w:szCs w:val="18"/>
                                    </w:rPr>
                                    <w:t>Historical</w:t>
                                  </w:r>
                                </w:p>
                              </w:txbxContent>
                            </wps:txbx>
                            <wps:bodyPr wrap="square" rtlCol="0">
                              <a:noAutofit/>
                            </wps:bodyPr>
                          </wps:wsp>
                        </a:graphicData>
                      </a:graphic>
                      <wp14:sizeRelH relativeFrom="margin">
                        <wp14:pctWidth>0</wp14:pctWidth>
                      </wp14:sizeRelH>
                      <wp14:sizeRelV relativeFrom="margin">
                        <wp14:pctHeight>0</wp14:pctHeight>
                      </wp14:sizeRelV>
                    </wp:anchor>
                  </w:drawing>
                </mc:Choice>
                <mc:Fallback>
                  <w:pict>
                    <v:shape w14:anchorId="18189ED6" id="TextBox 9" o:spid="_x0000_s1028" type="#_x0000_t202" style="position:absolute;left:0;text-align:left;margin-left:130.05pt;margin-top:11.35pt;width:57.15pt;height:22.9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" filled="f" stroked="f">
                      <v:textbox>
                        <w:txbxContent>
                          <w:p w:rsidR="0005766B" w:rsidRPr="001330BB" w:rsidRDefault="0005766B" w:rsidP="00B873A7">
                            <w:pPr>
                              <w:spacing w:after="0"/>
                              <w:jc w:val="center"/>
                              <w:textAlignment w:val="baseline"/>
                              <w:rPr>
                                <w:sz w:val="18"/>
                                <w:szCs w:val="18"/>
                              </w:rPr>
                            </w:pPr>
                            <w:r w:rsidRPr="001330BB">
                              <w:rPr>
                                <w:rFonts w:ascii="Arial" w:eastAsia="MS PGothic" w:hAnsi="Arial"/>
                                <w:b/>
                                <w:bCs/>
                                <w:i/>
                                <w:iCs/>
                                <w:color w:val="808080" w:themeColor="background1" w:themeShade="80"/>
                                <w:kern w:val="24"/>
                                <w:sz w:val="18"/>
                                <w:szCs w:val="18"/>
                              </w:rPr>
                              <w:t>Historical</w:t>
                            </w:r>
                          </w:p>
                        </w:txbxContent>
                      </v:textbox>
                    </v:shape>
                  </w:pict>
                </mc:Fallback>
              </mc:AlternateContent>
            </w:r>
            <w:r w:rsidRPr="008A0DCE">
              <w:rPr>
                <w:noProof/>
                <w:lang w:val="en-AU" w:eastAsia="en-AU"/>
              </w:rPr>
              <mc:AlternateContent>
                <mc:Choice Requires="wps">
                  <w:drawing>
                    <wp:anchor distT="0" distB="0" distL="114300" distR="114300" simplePos="0" relativeHeight="251665408" behindDoc="0" locked="0" layoutInCell="1" allowOverlap="1" wp14:anchorId="18B65ED9" wp14:editId="27616427">
                      <wp:simplePos x="0" y="0"/>
                      <wp:positionH relativeFrom="column">
                        <wp:posOffset>2482850</wp:posOffset>
                      </wp:positionH>
                      <wp:positionV relativeFrom="paragraph">
                        <wp:posOffset>1487805</wp:posOffset>
                      </wp:positionV>
                      <wp:extent cx="1130531" cy="523702"/>
                      <wp:effectExtent l="0" t="0" r="12700" b="10160"/>
                      <wp:wrapNone/>
                      <wp:docPr id="27" name="Rounded Rectangle 5"/>
                      <wp:cNvGraphicFramePr/>
                      <a:graphic xmlns:a="http://schemas.openxmlformats.org/drawingml/2006/main">
                        <a:graphicData uri="http://schemas.microsoft.com/office/word/2010/wordprocessingShape">
                          <wps:wsp>
                            <wps:cNvSpPr/>
                            <wps:spPr>
                              <a:xfrm>
                                <a:off x="0" y="0"/>
                                <a:ext cx="1130531" cy="523702"/>
                              </a:xfrm>
                              <a:prstGeom prst="roundRect">
                                <a:avLst/>
                              </a:prstGeom>
                              <a:solidFill>
                                <a:srgbClr val="94D7FF"/>
                              </a:solidFill>
                              <a:ln w="12700">
                                <a:solidFill>
                                  <a:srgbClr val="00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05766B" w:rsidRPr="00080F67" w:rsidRDefault="0005766B" w:rsidP="00B873A7">
                                  <w:pPr>
                                    <w:pStyle w:val="ListBullet2"/>
                                    <w:numPr>
                                      <w:ilvl w:val="0"/>
                                      <w:numId w:val="0"/>
                                    </w:numPr>
                                    <w:spacing w:after="0" w:line="240" w:lineRule="auto"/>
                                    <w:jc w:val="center"/>
                                    <w:textAlignment w:val="baseline"/>
                                    <w:rPr>
                                      <w:rFonts w:ascii="Arial" w:hAnsi="Arial" w:cs="Arial"/>
                                      <w:sz w:val="18"/>
                                      <w:szCs w:val="18"/>
                                    </w:rPr>
                                  </w:pPr>
                                  <w:r w:rsidRPr="00080F67">
                                    <w:rPr>
                                      <w:rFonts w:ascii="Arial" w:hAnsi="Arial" w:cs="Arial"/>
                                      <w:color w:val="000000" w:themeColor="text1"/>
                                      <w:kern w:val="24"/>
                                      <w:sz w:val="18"/>
                                      <w:szCs w:val="18"/>
                                    </w:rPr>
                                    <w:t>2012–</w:t>
                                  </w:r>
                                  <w:r>
                                    <w:rPr>
                                      <w:rFonts w:ascii="Arial" w:hAnsi="Arial" w:cs="Arial"/>
                                      <w:color w:val="000000" w:themeColor="text1"/>
                                      <w:kern w:val="24"/>
                                      <w:sz w:val="18"/>
                                      <w:szCs w:val="18"/>
                                    </w:rPr>
                                    <w:t>25 CAGR</w:t>
                                  </w:r>
                                  <w:r>
                                    <w:rPr>
                                      <w:rFonts w:ascii="Arial" w:hAnsi="Arial" w:cs="Arial"/>
                                      <w:color w:val="000000" w:themeColor="text1"/>
                                      <w:kern w:val="24"/>
                                      <w:sz w:val="18"/>
                                      <w:szCs w:val="18"/>
                                    </w:rPr>
                                    <w:br/>
                                  </w:r>
                                  <w:r w:rsidRPr="00080F67">
                                    <w:rPr>
                                      <w:rFonts w:ascii="Arial" w:hAnsi="Arial" w:cs="Arial"/>
                                      <w:color w:val="000000" w:themeColor="text1"/>
                                      <w:kern w:val="24"/>
                                      <w:sz w:val="18"/>
                                      <w:szCs w:val="18"/>
                                    </w:rPr>
                                    <w:t>= 1.3%</w:t>
                                  </w:r>
                                </w:p>
                              </w:txbxContent>
                            </wps:txbx>
                            <wps:bodyPr wrap="square" lIns="63500" tIns="38100" rIns="63500" bIns="38100" rtlCol="0" anchor="ctr">
                              <a:noAutofit/>
                            </wps:bodyPr>
                          </wps:wsp>
                        </a:graphicData>
                      </a:graphic>
                      <wp14:sizeRelH relativeFrom="margin">
                        <wp14:pctWidth>0</wp14:pctWidth>
                      </wp14:sizeRelH>
                      <wp14:sizeRelV relativeFrom="margin">
                        <wp14:pctHeight>0</wp14:pctHeight>
                      </wp14:sizeRelV>
                    </wp:anchor>
                  </w:drawing>
                </mc:Choice>
                <mc:Fallback>
                  <w:pict>
                    <v:roundrect w14:anchorId="18B65ED9" id="_x0000_s1029" style="position:absolute;left:0;text-align:left;margin-left:195.5pt;margin-top:117.15pt;width:89pt;height:41.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" fillcolor="#94d7ff" strokeweight="1pt">
                      <v:textbox inset="5pt,3pt,5pt,3pt">
                        <w:txbxContent>
                          <w:p w:rsidR="0005766B" w:rsidRPr="00080F67" w:rsidRDefault="0005766B" w:rsidP="00B873A7">
                            <w:pPr>
                              <w:pStyle w:val="ListBullet2"/>
                              <w:numPr>
                                <w:ilvl w:val="0"/>
                                <w:numId w:val="0"/>
                              </w:numPr>
                              <w:spacing w:after="0" w:line="240" w:lineRule="auto"/>
                              <w:jc w:val="center"/>
                              <w:textAlignment w:val="baseline"/>
                              <w:rPr>
                                <w:rFonts w:ascii="Arial" w:hAnsi="Arial" w:cs="Arial"/>
                                <w:sz w:val="18"/>
                                <w:szCs w:val="18"/>
                              </w:rPr>
                            </w:pPr>
                            <w:r w:rsidRPr="00080F67">
                              <w:rPr>
                                <w:rFonts w:ascii="Arial" w:hAnsi="Arial" w:cs="Arial"/>
                                <w:color w:val="000000" w:themeColor="text1"/>
                                <w:kern w:val="24"/>
                                <w:sz w:val="18"/>
                                <w:szCs w:val="18"/>
                              </w:rPr>
                              <w:t>2012–</w:t>
                            </w:r>
                            <w:r>
                              <w:rPr>
                                <w:rFonts w:ascii="Arial" w:hAnsi="Arial" w:cs="Arial"/>
                                <w:color w:val="000000" w:themeColor="text1"/>
                                <w:kern w:val="24"/>
                                <w:sz w:val="18"/>
                                <w:szCs w:val="18"/>
                              </w:rPr>
                              <w:t>25 CAGR</w:t>
                            </w:r>
                            <w:r>
                              <w:rPr>
                                <w:rFonts w:ascii="Arial" w:hAnsi="Arial" w:cs="Arial"/>
                                <w:color w:val="000000" w:themeColor="text1"/>
                                <w:kern w:val="24"/>
                                <w:sz w:val="18"/>
                                <w:szCs w:val="18"/>
                              </w:rPr>
                              <w:br/>
                            </w:r>
                            <w:r w:rsidRPr="00080F67">
                              <w:rPr>
                                <w:rFonts w:ascii="Arial" w:hAnsi="Arial" w:cs="Arial"/>
                                <w:color w:val="000000" w:themeColor="text1"/>
                                <w:kern w:val="24"/>
                                <w:sz w:val="18"/>
                                <w:szCs w:val="18"/>
                              </w:rPr>
                              <w:t>= 1.3%</w:t>
                            </w:r>
                          </w:p>
                        </w:txbxContent>
                      </v:textbox>
                    </v:roundrect>
                  </w:pict>
                </mc:Fallback>
              </mc:AlternateContent>
            </w:r>
            <w:r w:rsidRPr="008A0DCE">
              <w:rPr>
                <w:noProof/>
                <w:lang w:val="en-AU" w:eastAsia="en-AU"/>
              </w:rPr>
              <mc:AlternateContent>
                <mc:Choice Requires="wps">
                  <w:drawing>
                    <wp:anchor distT="0" distB="0" distL="114300" distR="114300" simplePos="0" relativeHeight="251661312" behindDoc="0" locked="0" layoutInCell="1" allowOverlap="1" wp14:anchorId="5E4C0448" wp14:editId="254D2F60">
                      <wp:simplePos x="0" y="0"/>
                      <wp:positionH relativeFrom="column">
                        <wp:posOffset>2374900</wp:posOffset>
                      </wp:positionH>
                      <wp:positionV relativeFrom="paragraph">
                        <wp:posOffset>149746</wp:posOffset>
                      </wp:positionV>
                      <wp:extent cx="1437640" cy="2235604"/>
                      <wp:effectExtent l="0" t="0" r="0" b="0"/>
                      <wp:wrapNone/>
                      <wp:docPr id="16" name="Rectangle 8"/>
                      <wp:cNvGraphicFramePr/>
                      <a:graphic xmlns:a="http://schemas.openxmlformats.org/drawingml/2006/main">
                        <a:graphicData uri="http://schemas.microsoft.com/office/word/2010/wordprocessingShape">
                          <wps:wsp>
                            <wps:cNvSpPr/>
                            <wps:spPr>
                              <a:xfrm>
                                <a:off x="0" y="0"/>
                                <a:ext cx="1437640" cy="2235604"/>
                              </a:xfrm>
                              <a:prstGeom prst="rect">
                                <a:avLst/>
                              </a:prstGeom>
                              <a:solidFill>
                                <a:schemeClr val="bg1">
                                  <a:lumMod val="85000"/>
                                  <a:alpha val="3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rect w14:anchorId="03A6FB01" id="Rectangle 8" o:spid="_x0000_s1026" style="position:absolute;margin-left:187pt;margin-top:11.8pt;width:113.2pt;height:176.0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" fillcolor="#d8d8d8 [2732]" stroked="f" strokeweight="2pt">
                      <v:fill opacity="19789f"/>
                    </v:rect>
                  </w:pict>
                </mc:Fallback>
              </mc:AlternateContent>
            </w:r>
            <w:r w:rsidRPr="008A0DCE">
              <w:rPr>
                <w:noProof/>
                <w:lang w:val="en-AU" w:eastAsia="en-AU"/>
              </w:rPr>
              <w:drawing>
                <wp:inline distT="0" distB="0" distL="0" distR="0" wp14:anchorId="1D1F3AF6" wp14:editId="5225B4FA">
                  <wp:extent cx="3757295" cy="311721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3757295" cy="3117215"/>
                          </a:xfrm>
                          <a:prstGeom prst="rect">
                            <a:avLst/>
                          </a:prstGeom>
                          <a:noFill/>
                          <a:ln>
                            <a:noFill/>
                          </a:ln>
                        </pic:spPr>
                      </pic:pic>
                    </a:graphicData>
                  </a:graphic>
                </wp:inline>
              </w:drawing>
            </w:r>
          </w:p>
        </w:tc>
        <w:tc>
          <w:tcPr>
            <w:tcW w:w="2154" w:type="dxa"/>
            <w:tcBorders>
              <w:left w:val="single" w:sz="4" w:space="0" w:color="auto"/>
            </w:tcBorders>
            <w:shd w:val="clear" w:color="auto" w:fill="auto"/>
          </w:tcPr>
          <w:p w:rsidR="00B873A7" w:rsidRPr="008A0DCE" w:rsidRDefault="00B873A7" w:rsidP="00841EA0">
            <w:pPr>
              <w:pStyle w:val="Captionsmall"/>
            </w:pPr>
            <w:bookmarkStart w:id="42" w:name="_Ref367969752"/>
            <w:r>
              <w:t>Figure </w:t>
            </w:r>
            <w:r w:rsidR="008B1006">
              <w:fldChar w:fldCharType="begin"/>
            </w:r>
            <w:r w:rsidR="008B1006">
              <w:instrText xml:space="preserve"> STYLEREF 1 \s \* MERGEFORMAT </w:instrText>
            </w:r>
            <w:r w:rsidR="008B1006">
              <w:fldChar w:fldCharType="separate"/>
            </w:r>
            <w:r w:rsidR="00A87B65">
              <w:rPr>
                <w:noProof/>
              </w:rPr>
              <w:t>3</w:t>
            </w:r>
            <w:r w:rsidR="008B1006">
              <w:rPr>
                <w:noProof/>
              </w:rPr>
              <w:fldChar w:fldCharType="end"/>
            </w:r>
            <w:r>
              <w:t>.</w:t>
            </w:r>
            <w:r w:rsidR="008B1006">
              <w:fldChar w:fldCharType="begin"/>
            </w:r>
            <w:r w:rsidR="008B1006">
              <w:instrText xml:space="preserve"> SEQ Figure \* ARABIC \s 1 \* MERGEFORMAT </w:instrText>
            </w:r>
            <w:r w:rsidR="008B1006">
              <w:fldChar w:fldCharType="separate"/>
            </w:r>
            <w:r w:rsidR="00A87B65">
              <w:rPr>
                <w:noProof/>
              </w:rPr>
              <w:t>1</w:t>
            </w:r>
            <w:r w:rsidR="008B1006">
              <w:rPr>
                <w:noProof/>
              </w:rPr>
              <w:fldChar w:fldCharType="end"/>
            </w:r>
            <w:bookmarkEnd w:id="42"/>
            <w:r>
              <w:t>:</w:t>
            </w:r>
            <w:r w:rsidRPr="008A0DCE">
              <w:t xml:space="preserve"> Estimated resident population of Australia [Source: Analysys Mason</w:t>
            </w:r>
            <w:r>
              <w:t>,</w:t>
            </w:r>
            <w:r w:rsidRPr="008A0DCE">
              <w:t xml:space="preserve"> based on figures from the Australian Bureau of Statistics, </w:t>
            </w:r>
            <w:r>
              <w:t>2014</w:t>
            </w:r>
            <w:r w:rsidRPr="008A0DCE">
              <w:t>]</w:t>
            </w:r>
          </w:p>
        </w:tc>
      </w:tr>
    </w:tbl>
    <w:p w:rsidR="00B873A7" w:rsidRPr="008A0DCE" w:rsidRDefault="00B873A7" w:rsidP="00B873A7">
      <w:pPr>
        <w:pStyle w:val="Heading2"/>
        <w:tabs>
          <w:tab w:val="left" w:pos="3261"/>
        </w:tabs>
      </w:pPr>
      <w:bookmarkStart w:id="43" w:name="_Toc373161391"/>
      <w:bookmarkStart w:id="44" w:name="_Toc399178484"/>
      <w:bookmarkStart w:id="45" w:name="_Toc402102951"/>
      <w:bookmarkStart w:id="46" w:name="_Toc409445581"/>
      <w:r>
        <w:t>Businesses and h</w:t>
      </w:r>
      <w:r w:rsidRPr="008A0DCE">
        <w:t>ouseholds</w:t>
      </w:r>
      <w:bookmarkEnd w:id="43"/>
      <w:bookmarkEnd w:id="44"/>
      <w:bookmarkEnd w:id="45"/>
      <w:bookmarkEnd w:id="46"/>
    </w:p>
    <w:p w:rsidR="00B873A7" w:rsidRDefault="00B873A7" w:rsidP="00B873A7">
      <w:r w:rsidRPr="008A0DCE">
        <w:t xml:space="preserve">We use the </w:t>
      </w:r>
      <w:r w:rsidRPr="0093568A">
        <w:t>number of businesses</w:t>
      </w:r>
      <w:r w:rsidRPr="008A0DCE">
        <w:t xml:space="preserve"> with at least one employee in addition to the owner (i.e. which can be reasonably expected to </w:t>
      </w:r>
      <w:r>
        <w:t xml:space="preserve">have their </w:t>
      </w:r>
      <w:r w:rsidRPr="008A0DCE">
        <w:t>own separate premise</w:t>
      </w:r>
      <w:r>
        <w:t>s</w:t>
      </w:r>
      <w:r w:rsidRPr="008A0DCE">
        <w:t>)</w:t>
      </w:r>
      <w:r>
        <w:t xml:space="preserve"> </w:t>
      </w:r>
      <w:r w:rsidRPr="008A0DCE">
        <w:t xml:space="preserve">and the number of residential households to forecast growth in the demand </w:t>
      </w:r>
      <w:r>
        <w:t>for fixed broadband connections.</w:t>
      </w:r>
    </w:p>
    <w:p w:rsidR="00B873A7" w:rsidRPr="008A0DCE" w:rsidRDefault="00B873A7" w:rsidP="00B873A7">
      <w:r w:rsidRPr="008A0DCE">
        <w:lastRenderedPageBreak/>
        <w:t>The number of businesses slightly declined in 2008 and 2009, according to the ABS (</w:t>
      </w:r>
      <w:r>
        <w:t xml:space="preserve">growth of </w:t>
      </w:r>
      <w:r>
        <w:noBreakHyphen/>
      </w:r>
      <w:r w:rsidRPr="008A0DCE">
        <w:t xml:space="preserve">0.3% and </w:t>
      </w:r>
      <w:r>
        <w:noBreakHyphen/>
      </w:r>
      <w:r w:rsidRPr="008A0DCE">
        <w:t>1.7% respectively).</w:t>
      </w:r>
      <w:r w:rsidRPr="008A0DCE">
        <w:rPr>
          <w:rStyle w:val="FootnoteReference"/>
        </w:rPr>
        <w:footnoteReference w:id="4"/>
      </w:r>
      <w:r w:rsidRPr="008A0DCE">
        <w:t xml:space="preserve"> Nevertheless, business numbers rebounded in 2010</w:t>
      </w:r>
      <w:r>
        <w:t xml:space="preserve"> and </w:t>
      </w:r>
      <w:r w:rsidRPr="008A0DCE">
        <w:t>2011</w:t>
      </w:r>
      <w:r>
        <w:t>,</w:t>
      </w:r>
      <w:r w:rsidRPr="008A0DCE">
        <w:t xml:space="preserve"> and given the cyclical nature of business activity we think it is reasonable to assume a gradual rise in the number of businesses over the next 12 years (we use a CAGR of 0.8%</w:t>
      </w:r>
      <w:r>
        <w:t>,</w:t>
      </w:r>
      <w:r w:rsidRPr="008A0DCE">
        <w:t xml:space="preserve"> which reflects the average rate of increase over the period 2007</w:t>
      </w:r>
      <w:r>
        <w:t>–</w:t>
      </w:r>
      <w:r w:rsidRPr="008A0DCE">
        <w:t>2012). Based on these assumptions, we forecast that the number of businesses with at least one employee will rise from approximately 850</w:t>
      </w:r>
      <w:r>
        <w:t> </w:t>
      </w:r>
      <w:r w:rsidRPr="008A0DCE">
        <w:t>000 in 2012 to 940</w:t>
      </w:r>
      <w:r>
        <w:t> </w:t>
      </w:r>
      <w:r w:rsidRPr="008A0DCE">
        <w:t xml:space="preserve">000 in 2025. </w:t>
      </w:r>
    </w:p>
    <w:p w:rsidR="00B873A7" w:rsidRPr="008A0DCE" w:rsidRDefault="00B873A7" w:rsidP="00B873A7">
      <w:r w:rsidRPr="008A0DCE">
        <w:t xml:space="preserve">The </w:t>
      </w:r>
      <w:r w:rsidRPr="0093568A">
        <w:t>number of households in Australia</w:t>
      </w:r>
      <w:r w:rsidRPr="008A0DCE">
        <w:t xml:space="preserve"> rose at a CAGR of 1.9% between 2006 and 2012</w:t>
      </w:r>
      <w:r>
        <w:t>,</w:t>
      </w:r>
      <w:r w:rsidRPr="008A0DCE">
        <w:t xml:space="preserve"> and we predict that it will grow at a CAGR of 1.6% between 2012 and 2025. Consequently, we assume that the number of households will rise from about 8.7 million in 2012 to 10.7 million in 2025. These figures are based on projections regarding the number of households made by the ABS in 2006. Our projection is based on the ABS’s moderate growth scenario (Series II),</w:t>
      </w:r>
      <w:r w:rsidRPr="008A0DCE">
        <w:rPr>
          <w:rStyle w:val="FootnoteReference"/>
        </w:rPr>
        <w:footnoteReference w:id="5"/>
      </w:r>
      <w:r w:rsidRPr="008A0DCE">
        <w:t xml:space="preserve"> which is corroborated by Euromonitor </w:t>
      </w:r>
      <w:r w:rsidR="009B0305">
        <w:t xml:space="preserve">International’s </w:t>
      </w:r>
      <w:r w:rsidRPr="008A0DCE">
        <w:t>household estimates for 2013</w:t>
      </w:r>
      <w:r>
        <w:t>–</w:t>
      </w:r>
      <w:r w:rsidRPr="008A0DCE">
        <w:t>2020.</w:t>
      </w:r>
      <w:r w:rsidR="00C42CC4">
        <w:rPr>
          <w:rStyle w:val="FootnoteReference"/>
        </w:rPr>
        <w:footnoteReference w:id="6"/>
      </w:r>
    </w:p>
    <w:tbl>
      <w:tblPr>
        <w:tblW w:w="8730" w:type="dxa"/>
        <w:tblLayout w:type="fixed"/>
        <w:tblCellMar>
          <w:left w:w="0" w:type="dxa"/>
          <w:right w:w="0" w:type="dxa"/>
        </w:tblCellMar>
        <w:tblLook w:val="0000" w:firstRow="0" w:lastRow="0" w:firstColumn="0" w:lastColumn="0" w:noHBand="0" w:noVBand="0"/>
      </w:tblPr>
      <w:tblGrid>
        <w:gridCol w:w="6576"/>
        <w:gridCol w:w="2154"/>
      </w:tblGrid>
      <w:tr w:rsidR="00B873A7" w:rsidRPr="008A0DCE" w:rsidTr="00841EA0">
        <w:tc>
          <w:tcPr>
            <w:tcW w:w="6576" w:type="dxa"/>
            <w:tcBorders>
              <w:right w:val="single" w:sz="4" w:space="0" w:color="auto"/>
            </w:tcBorders>
            <w:shd w:val="clear" w:color="auto" w:fill="auto"/>
          </w:tcPr>
          <w:p w:rsidR="00B873A7" w:rsidRPr="008A0DCE" w:rsidRDefault="00B873A7" w:rsidP="00841EA0">
            <w:pPr>
              <w:pStyle w:val="Bordersmall"/>
            </w:pPr>
            <w:r w:rsidRPr="008A0DCE">
              <w:rPr>
                <w:noProof/>
                <w:lang w:val="en-AU" w:eastAsia="en-AU"/>
              </w:rPr>
              <w:lastRenderedPageBreak/>
              <w:drawing>
                <wp:inline distT="0" distB="0" distL="0" distR="0" wp14:anchorId="0B9CAAD9" wp14:editId="1452FA03">
                  <wp:extent cx="3757295" cy="3117215"/>
                  <wp:effectExtent l="0" t="0" r="0" b="698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3757295" cy="3117215"/>
                          </a:xfrm>
                          <a:prstGeom prst="rect">
                            <a:avLst/>
                          </a:prstGeom>
                          <a:noFill/>
                          <a:ln>
                            <a:noFill/>
                          </a:ln>
                        </pic:spPr>
                      </pic:pic>
                    </a:graphicData>
                  </a:graphic>
                </wp:inline>
              </w:drawing>
            </w:r>
          </w:p>
        </w:tc>
        <w:tc>
          <w:tcPr>
            <w:tcW w:w="2154" w:type="dxa"/>
            <w:tcBorders>
              <w:left w:val="single" w:sz="4" w:space="0" w:color="auto"/>
            </w:tcBorders>
            <w:shd w:val="clear" w:color="auto" w:fill="auto"/>
          </w:tcPr>
          <w:p w:rsidR="00B873A7" w:rsidRPr="008A0DCE" w:rsidRDefault="00B873A7" w:rsidP="00841EA0">
            <w:pPr>
              <w:pStyle w:val="Captionsmall"/>
            </w:pPr>
            <w:r>
              <w:t>Figure </w:t>
            </w:r>
            <w:r w:rsidR="008B1006">
              <w:fldChar w:fldCharType="begin"/>
            </w:r>
            <w:r w:rsidR="008B1006">
              <w:instrText xml:space="preserve"> STYLEREF 1 \s \* MERGEFORMAT </w:instrText>
            </w:r>
            <w:r w:rsidR="008B1006">
              <w:fldChar w:fldCharType="separate"/>
            </w:r>
            <w:r w:rsidR="00A87B65">
              <w:rPr>
                <w:noProof/>
              </w:rPr>
              <w:t>3</w:t>
            </w:r>
            <w:r w:rsidR="008B1006">
              <w:rPr>
                <w:noProof/>
              </w:rPr>
              <w:fldChar w:fldCharType="end"/>
            </w:r>
            <w:r>
              <w:t>.</w:t>
            </w:r>
            <w:r w:rsidR="008B1006">
              <w:fldChar w:fldCharType="begin"/>
            </w:r>
            <w:r w:rsidR="008B1006">
              <w:instrText xml:space="preserve"> SEQ Figure \* ARABIC \s 1 \* MERGEFORMAT </w:instrText>
            </w:r>
            <w:r w:rsidR="008B1006">
              <w:fldChar w:fldCharType="separate"/>
            </w:r>
            <w:r w:rsidR="00A87B65">
              <w:rPr>
                <w:noProof/>
              </w:rPr>
              <w:t>2</w:t>
            </w:r>
            <w:r w:rsidR="008B1006">
              <w:rPr>
                <w:noProof/>
              </w:rPr>
              <w:fldChar w:fldCharType="end"/>
            </w:r>
            <w:r>
              <w:t>:</w:t>
            </w:r>
            <w:r w:rsidRPr="008A0DCE">
              <w:t xml:space="preserve"> Number of residential households and businesses with at least one employee [Source: Analysys Mason, based on figure</w:t>
            </w:r>
            <w:r>
              <w:t>s</w:t>
            </w:r>
            <w:r w:rsidRPr="008A0DCE">
              <w:t xml:space="preserve"> from the Australian Bureau of Statistics, 2013]</w:t>
            </w:r>
          </w:p>
        </w:tc>
      </w:tr>
    </w:tbl>
    <w:p w:rsidR="00B873A7" w:rsidRDefault="00B873A7" w:rsidP="00B873A7">
      <w:pPr>
        <w:pStyle w:val="Heading2"/>
      </w:pPr>
      <w:bookmarkStart w:id="47" w:name="_Toc373161393"/>
      <w:bookmarkStart w:id="48" w:name="_Toc399178486"/>
      <w:bookmarkStart w:id="49" w:name="_Toc402102953"/>
      <w:bookmarkStart w:id="50" w:name="_Toc409445582"/>
      <w:r w:rsidRPr="008A0DCE">
        <w:t>Evidence on price elasticity</w:t>
      </w:r>
      <w:bookmarkEnd w:id="47"/>
      <w:bookmarkEnd w:id="48"/>
      <w:bookmarkEnd w:id="49"/>
      <w:bookmarkEnd w:id="50"/>
    </w:p>
    <w:p w:rsidR="00B873A7" w:rsidRDefault="00B873A7" w:rsidP="00B873A7">
      <w:r>
        <w:t>One of the difficulties in forecasting future levels of data traffic, particularly mobile data which is a less mature market than that for fixed data, is to determine the extent to which pricing factors are likely to constrain growth. Some of the more aggressive forecasts of mobile data traffic appear to assume that demand and supply are unconstrained, whereas in reality the amount that mobile operators can invest is limited and they will tend to respond to excess demand by raising prices, either directly, or indirectly (by imposing usage caps).</w:t>
      </w:r>
    </w:p>
    <w:p w:rsidR="00B873A7" w:rsidRDefault="00B873A7" w:rsidP="00B873A7">
      <w:r>
        <w:t xml:space="preserve">Evidence on the price elasticity of demand for mobile data services is scant. A number of studies have examined the price elasticity of demand for mobile services in general and the findings from studies in high income countries are summarised in </w:t>
      </w:r>
      <w:r w:rsidRPr="002D2F9B">
        <w:fldChar w:fldCharType="begin"/>
      </w:r>
      <w:r w:rsidRPr="00196691">
        <w:instrText xml:space="preserve"> REF _Ref380703031 \h </w:instrText>
      </w:r>
      <w:r w:rsidRPr="002D2F9B">
        <w:fldChar w:fldCharType="separate"/>
      </w:r>
      <w:r w:rsidR="00A87B65">
        <w:t>Figure </w:t>
      </w:r>
      <w:r w:rsidR="00A87B65">
        <w:rPr>
          <w:noProof/>
        </w:rPr>
        <w:t>3</w:t>
      </w:r>
      <w:r w:rsidR="00A87B65">
        <w:t>.</w:t>
      </w:r>
      <w:r w:rsidR="00A87B65">
        <w:rPr>
          <w:noProof/>
        </w:rPr>
        <w:t>3</w:t>
      </w:r>
      <w:r w:rsidRPr="002D2F9B">
        <w:fldChar w:fldCharType="end"/>
      </w:r>
      <w:r>
        <w:t>, which is taken from a report prepared by Plum Consulting for Ericsson and Qualcomm</w:t>
      </w:r>
      <w:r>
        <w:rPr>
          <w:rStyle w:val="FootnoteReference"/>
        </w:rPr>
        <w:footnoteReference w:id="7"/>
      </w:r>
      <w:r>
        <w:t xml:space="preserve">. However, only one of these </w:t>
      </w:r>
      <w:r>
        <w:lastRenderedPageBreak/>
        <w:t xml:space="preserve">studies (Srinuan </w:t>
      </w:r>
      <w:r w:rsidRPr="001A17DC">
        <w:rPr>
          <w:i/>
        </w:rPr>
        <w:t>et al</w:t>
      </w:r>
      <w:r>
        <w:rPr>
          <w:rStyle w:val="FootnoteReference"/>
        </w:rPr>
        <w:footnoteReference w:id="8"/>
      </w:r>
      <w:r>
        <w:t>) focused specifically on mobile broadband, rather than mobile services in general.</w:t>
      </w:r>
    </w:p>
    <w:p w:rsidR="00B873A7" w:rsidRDefault="00B873A7" w:rsidP="005A106E">
      <w:pPr>
        <w:pStyle w:val="Caption"/>
        <w:pageBreakBefore/>
      </w:pPr>
      <w:bookmarkStart w:id="51" w:name="_Ref364243600"/>
      <w:bookmarkStart w:id="52" w:name="_Ref369186253"/>
      <w:bookmarkStart w:id="53" w:name="_Ref380703031"/>
      <w:r>
        <w:lastRenderedPageBreak/>
        <w:t>Figure</w:t>
      </w:r>
      <w:bookmarkEnd w:id="51"/>
      <w:r>
        <w:t> </w:t>
      </w:r>
      <w:r w:rsidR="008B1006">
        <w:fldChar w:fldCharType="begin"/>
      </w:r>
      <w:r w:rsidR="008B1006">
        <w:instrText xml:space="preserve"> STYLEREF 1 \s \* MERGEFORMAT </w:instrText>
      </w:r>
      <w:r w:rsidR="008B1006">
        <w:fldChar w:fldCharType="separate"/>
      </w:r>
      <w:r w:rsidR="00A87B65">
        <w:rPr>
          <w:noProof/>
        </w:rPr>
        <w:t>3</w:t>
      </w:r>
      <w:r w:rsidR="008B1006">
        <w:rPr>
          <w:noProof/>
        </w:rPr>
        <w:fldChar w:fldCharType="end"/>
      </w:r>
      <w:r>
        <w:t>.</w:t>
      </w:r>
      <w:fldSimple w:instr=" SEQ Figure \* ARABIC \s 1 \* MERGEFORMAT ">
        <w:r w:rsidR="00A87B65">
          <w:rPr>
            <w:noProof/>
          </w:rPr>
          <w:t>3</w:t>
        </w:r>
      </w:fldSimple>
      <w:bookmarkEnd w:id="52"/>
      <w:bookmarkEnd w:id="53"/>
      <w:r>
        <w:t xml:space="preserve">: </w:t>
      </w:r>
      <w:r w:rsidRPr="006A105C">
        <w:t xml:space="preserve">Summary of literature </w:t>
      </w:r>
      <w:r>
        <w:t>of price elasticity of mobile services for high-</w:t>
      </w:r>
      <w:r w:rsidRPr="006A105C">
        <w:t xml:space="preserve">income countries </w:t>
      </w:r>
      <w:r>
        <w:t>[Source: Plum Consulting, from various other sources, 2012]</w:t>
      </w:r>
    </w:p>
    <w:tbl>
      <w:tblPr>
        <w:tblStyle w:val="MediumShading2-Accent1"/>
        <w:tblW w:w="8731" w:type="dxa"/>
        <w:tblInd w:w="108" w:type="dxa"/>
        <w:tblLook w:val="0420" w:firstRow="1" w:lastRow="0" w:firstColumn="0" w:lastColumn="0" w:noHBand="0" w:noVBand="1"/>
      </w:tblPr>
      <w:tblGrid>
        <w:gridCol w:w="2552"/>
        <w:gridCol w:w="2126"/>
        <w:gridCol w:w="4053"/>
      </w:tblGrid>
      <w:tr w:rsidR="00B873A7" w:rsidRPr="00B548A1" w:rsidTr="003C6417">
        <w:trPr>
          <w:cnfStyle w:val="100000000000" w:firstRow="1" w:lastRow="0" w:firstColumn="0" w:lastColumn="0" w:oddVBand="0" w:evenVBand="0" w:oddHBand="0" w:evenHBand="0" w:firstRowFirstColumn="0" w:firstRowLastColumn="0" w:lastRowFirstColumn="0" w:lastRowLastColumn="0"/>
        </w:trPr>
        <w:tc>
          <w:tcPr>
            <w:tcW w:w="2552" w:type="dxa"/>
            <w:tcBorders>
              <w:top w:val="single" w:sz="18" w:space="0" w:color="221F72"/>
              <w:bottom w:val="single" w:sz="4" w:space="0" w:color="FFFFFF" w:themeColor="background1"/>
            </w:tcBorders>
            <w:shd w:val="solid" w:color="221F72" w:fill="221F72"/>
          </w:tcPr>
          <w:p w:rsidR="00B873A7" w:rsidRPr="00B548A1" w:rsidRDefault="00B873A7" w:rsidP="00841EA0">
            <w:pPr>
              <w:pStyle w:val="Tableheading"/>
              <w:rPr>
                <w:b/>
                <w:i/>
              </w:rPr>
            </w:pPr>
            <w:r w:rsidRPr="00B548A1">
              <w:rPr>
                <w:b/>
              </w:rPr>
              <w:t xml:space="preserve">Authors </w:t>
            </w:r>
          </w:p>
        </w:tc>
        <w:tc>
          <w:tcPr>
            <w:tcW w:w="2126" w:type="dxa"/>
            <w:tcBorders>
              <w:top w:val="single" w:sz="18" w:space="0" w:color="221F72"/>
              <w:bottom w:val="single" w:sz="4" w:space="0" w:color="FFFFFF" w:themeColor="background1"/>
            </w:tcBorders>
            <w:shd w:val="solid" w:color="221F72" w:fill="221F72"/>
          </w:tcPr>
          <w:p w:rsidR="00B873A7" w:rsidRPr="00B548A1" w:rsidRDefault="00B873A7" w:rsidP="00841EA0">
            <w:pPr>
              <w:pStyle w:val="Tableheading"/>
              <w:rPr>
                <w:b/>
                <w:i/>
              </w:rPr>
            </w:pPr>
            <w:r w:rsidRPr="00B548A1">
              <w:rPr>
                <w:b/>
              </w:rPr>
              <w:t xml:space="preserve">Countries </w:t>
            </w:r>
          </w:p>
        </w:tc>
        <w:tc>
          <w:tcPr>
            <w:tcW w:w="4053" w:type="dxa"/>
            <w:tcBorders>
              <w:top w:val="single" w:sz="18" w:space="0" w:color="221F72"/>
              <w:bottom w:val="single" w:sz="4" w:space="0" w:color="FFFFFF" w:themeColor="background1"/>
            </w:tcBorders>
            <w:shd w:val="solid" w:color="221F72" w:fill="221F72"/>
          </w:tcPr>
          <w:p w:rsidR="00B873A7" w:rsidRPr="00B548A1" w:rsidRDefault="00B873A7" w:rsidP="00841EA0">
            <w:pPr>
              <w:pStyle w:val="Tableheading"/>
              <w:keepNext w:val="0"/>
              <w:ind w:right="0"/>
              <w:rPr>
                <w:b/>
                <w:i/>
              </w:rPr>
            </w:pPr>
            <w:r w:rsidRPr="00B548A1">
              <w:rPr>
                <w:b/>
              </w:rPr>
              <w:t xml:space="preserve">Price elasticity of demand for mobile services </w:t>
            </w:r>
          </w:p>
        </w:tc>
      </w:tr>
      <w:tr w:rsidR="00B873A7" w:rsidTr="003C6417">
        <w:trPr>
          <w:cnfStyle w:val="000000100000" w:firstRow="0" w:lastRow="0" w:firstColumn="0" w:lastColumn="0" w:oddVBand="0" w:evenVBand="0" w:oddHBand="1" w:evenHBand="0" w:firstRowFirstColumn="0" w:firstRowLastColumn="0" w:lastRowFirstColumn="0" w:lastRowLastColumn="0"/>
        </w:trPr>
        <w:tc>
          <w:tcPr>
            <w:tcW w:w="2552" w:type="dxa"/>
            <w:tcBorders>
              <w:top w:val="single" w:sz="4" w:space="0" w:color="FFFFFF" w:themeColor="background1"/>
            </w:tcBorders>
          </w:tcPr>
          <w:p w:rsidR="00B873A7" w:rsidRDefault="00B873A7" w:rsidP="00841EA0">
            <w:pPr>
              <w:pStyle w:val="Tablecells"/>
              <w:rPr>
                <w:sz w:val="12"/>
                <w:szCs w:val="12"/>
              </w:rPr>
            </w:pPr>
            <w:r>
              <w:t>Srinuan et al (2012)</w:t>
            </w:r>
          </w:p>
        </w:tc>
        <w:tc>
          <w:tcPr>
            <w:tcW w:w="2126" w:type="dxa"/>
            <w:tcBorders>
              <w:top w:val="single" w:sz="4" w:space="0" w:color="FFFFFF" w:themeColor="background1"/>
            </w:tcBorders>
          </w:tcPr>
          <w:p w:rsidR="00B873A7" w:rsidRDefault="00B873A7" w:rsidP="00841EA0">
            <w:pPr>
              <w:pStyle w:val="Tablecells"/>
            </w:pPr>
            <w:r>
              <w:t xml:space="preserve">Sweden </w:t>
            </w:r>
          </w:p>
        </w:tc>
        <w:tc>
          <w:tcPr>
            <w:tcW w:w="4053" w:type="dxa"/>
            <w:tcBorders>
              <w:top w:val="single" w:sz="4" w:space="0" w:color="FFFFFF" w:themeColor="background1"/>
            </w:tcBorders>
          </w:tcPr>
          <w:p w:rsidR="00B873A7" w:rsidRPr="003E7C5E" w:rsidRDefault="00B873A7" w:rsidP="00841EA0">
            <w:pPr>
              <w:pStyle w:val="Tablecells"/>
              <w:ind w:right="0"/>
              <w:rPr>
                <w:szCs w:val="18"/>
              </w:rPr>
            </w:pPr>
            <w:r>
              <w:rPr>
                <w:szCs w:val="18"/>
              </w:rPr>
              <w:t>–</w:t>
            </w:r>
            <w:r w:rsidRPr="003E7C5E">
              <w:rPr>
                <w:szCs w:val="18"/>
              </w:rPr>
              <w:t xml:space="preserve">0.479 to </w:t>
            </w:r>
            <w:r>
              <w:rPr>
                <w:szCs w:val="18"/>
              </w:rPr>
              <w:t>–</w:t>
            </w:r>
            <w:r w:rsidRPr="003E7C5E">
              <w:rPr>
                <w:szCs w:val="18"/>
              </w:rPr>
              <w:t>3.623 (mobile broadband)</w:t>
            </w:r>
            <w:r w:rsidRPr="003E7C5E">
              <w:rPr>
                <w:szCs w:val="18"/>
                <w:vertAlign w:val="superscript"/>
              </w:rPr>
              <w:t xml:space="preserve">(1) </w:t>
            </w:r>
          </w:p>
        </w:tc>
      </w:tr>
      <w:tr w:rsidR="00B873A7" w:rsidTr="00841EA0">
        <w:tc>
          <w:tcPr>
            <w:tcW w:w="2552" w:type="dxa"/>
            <w:tcBorders>
              <w:bottom w:val="nil"/>
            </w:tcBorders>
          </w:tcPr>
          <w:p w:rsidR="00B873A7" w:rsidRDefault="00B873A7" w:rsidP="00841EA0">
            <w:pPr>
              <w:pStyle w:val="Tablecells"/>
              <w:rPr>
                <w:sz w:val="12"/>
                <w:szCs w:val="12"/>
              </w:rPr>
            </w:pPr>
            <w:r>
              <w:t>Hazlett and Munoz (2009)</w:t>
            </w:r>
          </w:p>
        </w:tc>
        <w:tc>
          <w:tcPr>
            <w:tcW w:w="2126" w:type="dxa"/>
            <w:tcBorders>
              <w:bottom w:val="nil"/>
            </w:tcBorders>
          </w:tcPr>
          <w:p w:rsidR="00B873A7" w:rsidRDefault="00B873A7" w:rsidP="00841EA0">
            <w:pPr>
              <w:pStyle w:val="Tablecells"/>
            </w:pPr>
            <w:r>
              <w:t xml:space="preserve">USA </w:t>
            </w:r>
          </w:p>
        </w:tc>
        <w:tc>
          <w:tcPr>
            <w:tcW w:w="4053" w:type="dxa"/>
            <w:tcBorders>
              <w:bottom w:val="nil"/>
            </w:tcBorders>
          </w:tcPr>
          <w:p w:rsidR="00B873A7" w:rsidRPr="003E7C5E" w:rsidRDefault="00B873A7" w:rsidP="00841EA0">
            <w:pPr>
              <w:pStyle w:val="Tablecells"/>
              <w:ind w:right="0"/>
              <w:rPr>
                <w:szCs w:val="18"/>
              </w:rPr>
            </w:pPr>
            <w:r>
              <w:rPr>
                <w:szCs w:val="18"/>
              </w:rPr>
              <w:t>–</w:t>
            </w:r>
            <w:r w:rsidRPr="003E7C5E">
              <w:rPr>
                <w:szCs w:val="18"/>
              </w:rPr>
              <w:t xml:space="preserve">1.12 </w:t>
            </w:r>
            <w:r>
              <w:rPr>
                <w:szCs w:val="18"/>
              </w:rPr>
              <w:t>(mobile services)</w:t>
            </w:r>
          </w:p>
        </w:tc>
      </w:tr>
      <w:tr w:rsidR="00B873A7" w:rsidTr="00841EA0">
        <w:trPr>
          <w:cnfStyle w:val="000000100000" w:firstRow="0" w:lastRow="0" w:firstColumn="0" w:lastColumn="0" w:oddVBand="0" w:evenVBand="0" w:oddHBand="1" w:evenHBand="0" w:firstRowFirstColumn="0" w:firstRowLastColumn="0" w:lastRowFirstColumn="0" w:lastRowLastColumn="0"/>
        </w:trPr>
        <w:tc>
          <w:tcPr>
            <w:tcW w:w="2552" w:type="dxa"/>
            <w:tcBorders>
              <w:bottom w:val="nil"/>
            </w:tcBorders>
          </w:tcPr>
          <w:p w:rsidR="00B873A7" w:rsidRDefault="00B873A7" w:rsidP="00841EA0">
            <w:pPr>
              <w:pStyle w:val="Tablecells"/>
              <w:rPr>
                <w:sz w:val="12"/>
                <w:szCs w:val="12"/>
              </w:rPr>
            </w:pPr>
            <w:r>
              <w:t>Dewenter and Haucap (2008)</w:t>
            </w:r>
          </w:p>
        </w:tc>
        <w:tc>
          <w:tcPr>
            <w:tcW w:w="2126" w:type="dxa"/>
            <w:tcBorders>
              <w:bottom w:val="nil"/>
            </w:tcBorders>
          </w:tcPr>
          <w:p w:rsidR="00B873A7" w:rsidRDefault="00B873A7" w:rsidP="00841EA0">
            <w:pPr>
              <w:pStyle w:val="Tablecells"/>
            </w:pPr>
            <w:r>
              <w:t xml:space="preserve">Austria </w:t>
            </w:r>
          </w:p>
        </w:tc>
        <w:tc>
          <w:tcPr>
            <w:tcW w:w="4053" w:type="dxa"/>
            <w:tcBorders>
              <w:bottom w:val="nil"/>
            </w:tcBorders>
          </w:tcPr>
          <w:p w:rsidR="00B873A7" w:rsidRPr="003E7C5E" w:rsidRDefault="00B873A7" w:rsidP="00841EA0">
            <w:pPr>
              <w:pStyle w:val="Tablecells"/>
              <w:ind w:right="0"/>
              <w:rPr>
                <w:szCs w:val="18"/>
              </w:rPr>
            </w:pPr>
            <w:r>
              <w:rPr>
                <w:szCs w:val="18"/>
              </w:rPr>
              <w:t>–</w:t>
            </w:r>
            <w:r w:rsidRPr="003E7C5E">
              <w:rPr>
                <w:szCs w:val="18"/>
              </w:rPr>
              <w:t>0.74 (</w:t>
            </w:r>
            <w:r>
              <w:rPr>
                <w:szCs w:val="18"/>
              </w:rPr>
              <w:t xml:space="preserve">mobile services for </w:t>
            </w:r>
            <w:r w:rsidRPr="003E7C5E">
              <w:rPr>
                <w:szCs w:val="18"/>
              </w:rPr>
              <w:t xml:space="preserve">business customers) </w:t>
            </w:r>
          </w:p>
          <w:p w:rsidR="00B873A7" w:rsidRPr="003E7C5E" w:rsidRDefault="00B873A7" w:rsidP="00841EA0">
            <w:pPr>
              <w:pStyle w:val="Tablecells"/>
              <w:ind w:right="0"/>
              <w:rPr>
                <w:szCs w:val="18"/>
              </w:rPr>
            </w:pPr>
            <w:r>
              <w:rPr>
                <w:szCs w:val="18"/>
              </w:rPr>
              <w:t>–</w:t>
            </w:r>
            <w:r w:rsidRPr="003E7C5E">
              <w:rPr>
                <w:szCs w:val="18"/>
              </w:rPr>
              <w:t>0.36 (</w:t>
            </w:r>
            <w:r>
              <w:rPr>
                <w:szCs w:val="18"/>
              </w:rPr>
              <w:t xml:space="preserve">mobile services for </w:t>
            </w:r>
            <w:r w:rsidRPr="003E7C5E">
              <w:rPr>
                <w:szCs w:val="18"/>
              </w:rPr>
              <w:t xml:space="preserve">consumers) </w:t>
            </w:r>
          </w:p>
        </w:tc>
      </w:tr>
      <w:tr w:rsidR="00B873A7" w:rsidTr="00841EA0">
        <w:tc>
          <w:tcPr>
            <w:tcW w:w="2552" w:type="dxa"/>
            <w:tcBorders>
              <w:bottom w:val="nil"/>
            </w:tcBorders>
          </w:tcPr>
          <w:p w:rsidR="00B873A7" w:rsidRDefault="00B873A7" w:rsidP="00841EA0">
            <w:pPr>
              <w:pStyle w:val="Tablecells"/>
              <w:rPr>
                <w:sz w:val="12"/>
                <w:szCs w:val="12"/>
              </w:rPr>
            </w:pPr>
            <w:r>
              <w:t>Cadman and Dineen (2008)</w:t>
            </w:r>
          </w:p>
        </w:tc>
        <w:tc>
          <w:tcPr>
            <w:tcW w:w="2126" w:type="dxa"/>
            <w:tcBorders>
              <w:bottom w:val="nil"/>
            </w:tcBorders>
          </w:tcPr>
          <w:p w:rsidR="00B873A7" w:rsidRDefault="00B873A7" w:rsidP="00841EA0">
            <w:pPr>
              <w:pStyle w:val="Tablecells"/>
            </w:pPr>
            <w:r>
              <w:t xml:space="preserve">28 OECD countries (mainly high income) </w:t>
            </w:r>
          </w:p>
        </w:tc>
        <w:tc>
          <w:tcPr>
            <w:tcW w:w="4053" w:type="dxa"/>
            <w:tcBorders>
              <w:bottom w:val="nil"/>
            </w:tcBorders>
          </w:tcPr>
          <w:p w:rsidR="00B873A7" w:rsidRPr="003E7C5E" w:rsidRDefault="00B873A7" w:rsidP="00841EA0">
            <w:pPr>
              <w:pStyle w:val="Tablecells"/>
              <w:ind w:right="0"/>
              <w:rPr>
                <w:szCs w:val="18"/>
              </w:rPr>
            </w:pPr>
            <w:r>
              <w:rPr>
                <w:szCs w:val="18"/>
              </w:rPr>
              <w:t>–</w:t>
            </w:r>
            <w:r w:rsidRPr="003E7C5E">
              <w:rPr>
                <w:szCs w:val="18"/>
              </w:rPr>
              <w:t>0.43 (broadband</w:t>
            </w:r>
            <w:r>
              <w:rPr>
                <w:szCs w:val="18"/>
              </w:rPr>
              <w:t>, not specifically mobile</w:t>
            </w:r>
            <w:r w:rsidRPr="003E7C5E">
              <w:rPr>
                <w:szCs w:val="18"/>
              </w:rPr>
              <w:t>)</w:t>
            </w:r>
            <w:r w:rsidRPr="003E7C5E">
              <w:rPr>
                <w:szCs w:val="18"/>
                <w:vertAlign w:val="superscript"/>
              </w:rPr>
              <w:t>(2)</w:t>
            </w:r>
            <w:r w:rsidRPr="003E7C5E">
              <w:rPr>
                <w:szCs w:val="18"/>
              </w:rPr>
              <w:t xml:space="preserve"> </w:t>
            </w:r>
          </w:p>
        </w:tc>
      </w:tr>
      <w:tr w:rsidR="00B873A7" w:rsidTr="00841EA0">
        <w:trPr>
          <w:cnfStyle w:val="000000100000" w:firstRow="0" w:lastRow="0" w:firstColumn="0" w:lastColumn="0" w:oddVBand="0" w:evenVBand="0" w:oddHBand="1" w:evenHBand="0" w:firstRowFirstColumn="0" w:firstRowLastColumn="0" w:lastRowFirstColumn="0" w:lastRowLastColumn="0"/>
        </w:trPr>
        <w:tc>
          <w:tcPr>
            <w:tcW w:w="2552" w:type="dxa"/>
            <w:tcBorders>
              <w:bottom w:val="nil"/>
            </w:tcBorders>
          </w:tcPr>
          <w:p w:rsidR="00B873A7" w:rsidRDefault="00B873A7" w:rsidP="00841EA0">
            <w:pPr>
              <w:pStyle w:val="Tablecells"/>
              <w:rPr>
                <w:sz w:val="12"/>
                <w:szCs w:val="12"/>
              </w:rPr>
            </w:pPr>
            <w:r>
              <w:t>Hausman and Sidak (2007)</w:t>
            </w:r>
          </w:p>
        </w:tc>
        <w:tc>
          <w:tcPr>
            <w:tcW w:w="2126" w:type="dxa"/>
            <w:tcBorders>
              <w:bottom w:val="nil"/>
            </w:tcBorders>
          </w:tcPr>
          <w:p w:rsidR="00B873A7" w:rsidRDefault="00B873A7" w:rsidP="00841EA0">
            <w:pPr>
              <w:pStyle w:val="Tablecells"/>
            </w:pPr>
            <w:r>
              <w:t xml:space="preserve">Ireland </w:t>
            </w:r>
          </w:p>
        </w:tc>
        <w:tc>
          <w:tcPr>
            <w:tcW w:w="4053" w:type="dxa"/>
            <w:tcBorders>
              <w:bottom w:val="nil"/>
            </w:tcBorders>
          </w:tcPr>
          <w:p w:rsidR="00B873A7" w:rsidRPr="003E7C5E" w:rsidRDefault="00B873A7" w:rsidP="00841EA0">
            <w:pPr>
              <w:pStyle w:val="Tablecells"/>
              <w:ind w:right="0"/>
              <w:rPr>
                <w:szCs w:val="18"/>
              </w:rPr>
            </w:pPr>
            <w:r>
              <w:rPr>
                <w:szCs w:val="18"/>
              </w:rPr>
              <w:t>–</w:t>
            </w:r>
            <w:r w:rsidRPr="003E7C5E">
              <w:rPr>
                <w:szCs w:val="18"/>
              </w:rPr>
              <w:t xml:space="preserve">0.84 </w:t>
            </w:r>
            <w:r>
              <w:rPr>
                <w:szCs w:val="18"/>
              </w:rPr>
              <w:t>(mobile services)</w:t>
            </w:r>
          </w:p>
        </w:tc>
      </w:tr>
      <w:tr w:rsidR="00B873A7" w:rsidTr="00841EA0">
        <w:tc>
          <w:tcPr>
            <w:tcW w:w="2552" w:type="dxa"/>
            <w:tcBorders>
              <w:bottom w:val="nil"/>
            </w:tcBorders>
          </w:tcPr>
          <w:p w:rsidR="00B873A7" w:rsidRDefault="00B873A7" w:rsidP="00841EA0">
            <w:pPr>
              <w:pStyle w:val="Tablecells"/>
              <w:rPr>
                <w:sz w:val="12"/>
                <w:szCs w:val="12"/>
              </w:rPr>
            </w:pPr>
            <w:r>
              <w:t>Europe Economics (2006)</w:t>
            </w:r>
          </w:p>
        </w:tc>
        <w:tc>
          <w:tcPr>
            <w:tcW w:w="2126" w:type="dxa"/>
            <w:tcBorders>
              <w:bottom w:val="nil"/>
            </w:tcBorders>
          </w:tcPr>
          <w:p w:rsidR="00B873A7" w:rsidRDefault="00B873A7" w:rsidP="00841EA0">
            <w:pPr>
              <w:pStyle w:val="Tablecells"/>
            </w:pPr>
            <w:r>
              <w:t>UK (based on review of secondary sources)</w:t>
            </w:r>
          </w:p>
        </w:tc>
        <w:tc>
          <w:tcPr>
            <w:tcW w:w="4053" w:type="dxa"/>
            <w:tcBorders>
              <w:bottom w:val="nil"/>
            </w:tcBorders>
          </w:tcPr>
          <w:p w:rsidR="00B873A7" w:rsidRPr="003E7C5E" w:rsidRDefault="00B873A7" w:rsidP="00841EA0">
            <w:pPr>
              <w:pStyle w:val="Tablecells"/>
              <w:ind w:right="0"/>
              <w:rPr>
                <w:szCs w:val="18"/>
              </w:rPr>
            </w:pPr>
            <w:r>
              <w:rPr>
                <w:szCs w:val="18"/>
              </w:rPr>
              <w:t>–</w:t>
            </w:r>
            <w:r w:rsidRPr="003E7C5E">
              <w:rPr>
                <w:szCs w:val="18"/>
              </w:rPr>
              <w:t xml:space="preserve">0.3 to </w:t>
            </w:r>
            <w:r>
              <w:rPr>
                <w:szCs w:val="18"/>
              </w:rPr>
              <w:t>–</w:t>
            </w:r>
            <w:r w:rsidRPr="003E7C5E">
              <w:rPr>
                <w:szCs w:val="18"/>
              </w:rPr>
              <w:t xml:space="preserve">0.47 </w:t>
            </w:r>
            <w:r>
              <w:rPr>
                <w:szCs w:val="18"/>
              </w:rPr>
              <w:t>(mobile services)</w:t>
            </w:r>
          </w:p>
        </w:tc>
      </w:tr>
      <w:tr w:rsidR="00B873A7" w:rsidTr="00841EA0">
        <w:trPr>
          <w:cnfStyle w:val="000000100000" w:firstRow="0" w:lastRow="0" w:firstColumn="0" w:lastColumn="0" w:oddVBand="0" w:evenVBand="0" w:oddHBand="1" w:evenHBand="0" w:firstRowFirstColumn="0" w:firstRowLastColumn="0" w:lastRowFirstColumn="0" w:lastRowLastColumn="0"/>
        </w:trPr>
        <w:tc>
          <w:tcPr>
            <w:tcW w:w="2552" w:type="dxa"/>
            <w:tcBorders>
              <w:bottom w:val="nil"/>
            </w:tcBorders>
          </w:tcPr>
          <w:p w:rsidR="00B873A7" w:rsidRDefault="00B873A7" w:rsidP="00841EA0">
            <w:pPr>
              <w:pStyle w:val="Tablecells"/>
              <w:rPr>
                <w:sz w:val="12"/>
                <w:szCs w:val="12"/>
              </w:rPr>
            </w:pPr>
            <w:r>
              <w:t>Garbacz and Thompson Jr (2005)</w:t>
            </w:r>
          </w:p>
        </w:tc>
        <w:tc>
          <w:tcPr>
            <w:tcW w:w="2126" w:type="dxa"/>
            <w:tcBorders>
              <w:bottom w:val="nil"/>
            </w:tcBorders>
          </w:tcPr>
          <w:p w:rsidR="00B873A7" w:rsidRDefault="00B873A7" w:rsidP="00841EA0">
            <w:pPr>
              <w:pStyle w:val="Tablecells"/>
            </w:pPr>
            <w:r>
              <w:t xml:space="preserve">Developed countries </w:t>
            </w:r>
          </w:p>
        </w:tc>
        <w:tc>
          <w:tcPr>
            <w:tcW w:w="4053" w:type="dxa"/>
            <w:tcBorders>
              <w:bottom w:val="nil"/>
            </w:tcBorders>
          </w:tcPr>
          <w:p w:rsidR="00B873A7" w:rsidRPr="003E7C5E" w:rsidRDefault="00B873A7" w:rsidP="00841EA0">
            <w:pPr>
              <w:pStyle w:val="Tablecells"/>
              <w:ind w:right="0"/>
              <w:rPr>
                <w:szCs w:val="18"/>
              </w:rPr>
            </w:pPr>
            <w:r>
              <w:rPr>
                <w:szCs w:val="18"/>
              </w:rPr>
              <w:t>–</w:t>
            </w:r>
            <w:r w:rsidRPr="003E7C5E">
              <w:rPr>
                <w:szCs w:val="18"/>
              </w:rPr>
              <w:t xml:space="preserve">0.5 </w:t>
            </w:r>
            <w:r>
              <w:rPr>
                <w:szCs w:val="18"/>
              </w:rPr>
              <w:t>(mobile services)</w:t>
            </w:r>
          </w:p>
        </w:tc>
      </w:tr>
      <w:tr w:rsidR="00B873A7" w:rsidTr="00841EA0">
        <w:tc>
          <w:tcPr>
            <w:tcW w:w="2552" w:type="dxa"/>
            <w:tcBorders>
              <w:top w:val="nil"/>
              <w:bottom w:val="single" w:sz="4" w:space="0" w:color="808080"/>
            </w:tcBorders>
          </w:tcPr>
          <w:p w:rsidR="00B873A7" w:rsidRDefault="00B873A7" w:rsidP="00841EA0">
            <w:pPr>
              <w:pStyle w:val="Tablecells"/>
              <w:rPr>
                <w:sz w:val="12"/>
                <w:szCs w:val="12"/>
              </w:rPr>
            </w:pPr>
            <w:r>
              <w:t>Ida and Kuroda (2005)</w:t>
            </w:r>
          </w:p>
        </w:tc>
        <w:tc>
          <w:tcPr>
            <w:tcW w:w="2126" w:type="dxa"/>
            <w:tcBorders>
              <w:top w:val="nil"/>
              <w:bottom w:val="single" w:sz="4" w:space="0" w:color="808080"/>
            </w:tcBorders>
          </w:tcPr>
          <w:p w:rsidR="00B873A7" w:rsidRDefault="00B873A7" w:rsidP="00841EA0">
            <w:pPr>
              <w:pStyle w:val="Tablecells"/>
            </w:pPr>
            <w:r>
              <w:t xml:space="preserve">Japan </w:t>
            </w:r>
          </w:p>
        </w:tc>
        <w:tc>
          <w:tcPr>
            <w:tcW w:w="4053" w:type="dxa"/>
            <w:tcBorders>
              <w:top w:val="nil"/>
              <w:bottom w:val="single" w:sz="4" w:space="0" w:color="808080"/>
            </w:tcBorders>
          </w:tcPr>
          <w:p w:rsidR="00B873A7" w:rsidRPr="003E7C5E" w:rsidRDefault="00B873A7" w:rsidP="00841EA0">
            <w:pPr>
              <w:pStyle w:val="Tablecells"/>
              <w:ind w:right="0"/>
              <w:rPr>
                <w:szCs w:val="18"/>
              </w:rPr>
            </w:pPr>
            <w:r>
              <w:rPr>
                <w:szCs w:val="18"/>
              </w:rPr>
              <w:t>–</w:t>
            </w:r>
            <w:r w:rsidRPr="003E7C5E">
              <w:rPr>
                <w:szCs w:val="18"/>
              </w:rPr>
              <w:t xml:space="preserve">0.564 to </w:t>
            </w:r>
            <w:r>
              <w:rPr>
                <w:szCs w:val="18"/>
              </w:rPr>
              <w:t>–</w:t>
            </w:r>
            <w:r w:rsidRPr="003E7C5E">
              <w:rPr>
                <w:szCs w:val="18"/>
              </w:rPr>
              <w:t>0.783 (3G</w:t>
            </w:r>
            <w:r>
              <w:rPr>
                <w:szCs w:val="18"/>
              </w:rPr>
              <w:t xml:space="preserve"> mobile services</w:t>
            </w:r>
            <w:r w:rsidRPr="003E7C5E">
              <w:rPr>
                <w:szCs w:val="18"/>
              </w:rPr>
              <w:t xml:space="preserve">) </w:t>
            </w:r>
          </w:p>
          <w:p w:rsidR="00B873A7" w:rsidRPr="003E7C5E" w:rsidRDefault="00B873A7" w:rsidP="00841EA0">
            <w:pPr>
              <w:pStyle w:val="Tablecells"/>
              <w:ind w:right="0"/>
              <w:rPr>
                <w:szCs w:val="18"/>
              </w:rPr>
            </w:pPr>
            <w:r>
              <w:rPr>
                <w:szCs w:val="18"/>
              </w:rPr>
              <w:t>–</w:t>
            </w:r>
            <w:r w:rsidRPr="003E7C5E">
              <w:rPr>
                <w:szCs w:val="18"/>
              </w:rPr>
              <w:t xml:space="preserve">0.231 to </w:t>
            </w:r>
            <w:r>
              <w:rPr>
                <w:szCs w:val="18"/>
              </w:rPr>
              <w:t>–</w:t>
            </w:r>
            <w:r w:rsidRPr="003E7C5E">
              <w:rPr>
                <w:szCs w:val="18"/>
              </w:rPr>
              <w:t>0.303 (2G</w:t>
            </w:r>
            <w:r>
              <w:rPr>
                <w:szCs w:val="18"/>
              </w:rPr>
              <w:t xml:space="preserve"> mobile services</w:t>
            </w:r>
            <w:r w:rsidRPr="003E7C5E">
              <w:rPr>
                <w:szCs w:val="18"/>
              </w:rPr>
              <w:t xml:space="preserve">) </w:t>
            </w:r>
          </w:p>
        </w:tc>
      </w:tr>
    </w:tbl>
    <w:p w:rsidR="00B873A7" w:rsidRPr="004F378A" w:rsidRDefault="00B873A7" w:rsidP="00B873A7">
      <w:pPr>
        <w:pBdr>
          <w:bottom w:val="single" w:sz="4" w:space="1" w:color="BFBFBF" w:themeColor="background1" w:themeShade="BF"/>
        </w:pBdr>
        <w:spacing w:line="200" w:lineRule="atLeast"/>
        <w:rPr>
          <w:rFonts w:ascii="Arial" w:hAnsi="Arial" w:cs="Arial"/>
          <w:sz w:val="14"/>
          <w:szCs w:val="14"/>
        </w:rPr>
      </w:pPr>
      <w:r w:rsidRPr="004F378A">
        <w:rPr>
          <w:rFonts w:ascii="Arial" w:hAnsi="Arial" w:cs="Arial"/>
          <w:sz w:val="14"/>
          <w:szCs w:val="14"/>
        </w:rPr>
        <w:t xml:space="preserve">Notes: (1) Price elasticity for mobile broadband </w:t>
      </w:r>
      <w:r>
        <w:rPr>
          <w:rFonts w:ascii="Arial" w:hAnsi="Arial" w:cs="Arial"/>
          <w:sz w:val="14"/>
          <w:szCs w:val="14"/>
        </w:rPr>
        <w:t xml:space="preserve">is </w:t>
      </w:r>
      <w:r w:rsidRPr="004F378A">
        <w:rPr>
          <w:rFonts w:ascii="Arial" w:hAnsi="Arial" w:cs="Arial"/>
          <w:sz w:val="14"/>
          <w:szCs w:val="14"/>
        </w:rPr>
        <w:t xml:space="preserve">higher in areas </w:t>
      </w:r>
      <w:r>
        <w:rPr>
          <w:rFonts w:ascii="Arial" w:hAnsi="Arial" w:cs="Arial"/>
          <w:sz w:val="14"/>
          <w:szCs w:val="14"/>
        </w:rPr>
        <w:t xml:space="preserve">where three </w:t>
      </w:r>
      <w:r w:rsidRPr="004F378A">
        <w:rPr>
          <w:rFonts w:ascii="Arial" w:hAnsi="Arial" w:cs="Arial"/>
          <w:sz w:val="14"/>
          <w:szCs w:val="14"/>
        </w:rPr>
        <w:t xml:space="preserve">or </w:t>
      </w:r>
      <w:r>
        <w:rPr>
          <w:rFonts w:ascii="Arial" w:hAnsi="Arial" w:cs="Arial"/>
          <w:sz w:val="14"/>
          <w:szCs w:val="14"/>
        </w:rPr>
        <w:t xml:space="preserve">four </w:t>
      </w:r>
      <w:r w:rsidRPr="004F378A">
        <w:rPr>
          <w:rFonts w:ascii="Arial" w:hAnsi="Arial" w:cs="Arial"/>
          <w:sz w:val="14"/>
          <w:szCs w:val="14"/>
        </w:rPr>
        <w:t xml:space="preserve">alternative broadband options (e.g. DSL, cable, fibre) are available. Price elasticity for mobile broadband </w:t>
      </w:r>
      <w:r>
        <w:rPr>
          <w:rFonts w:ascii="Arial" w:hAnsi="Arial" w:cs="Arial"/>
          <w:sz w:val="14"/>
          <w:szCs w:val="14"/>
        </w:rPr>
        <w:t xml:space="preserve">is </w:t>
      </w:r>
      <w:r w:rsidRPr="004F378A">
        <w:rPr>
          <w:rFonts w:ascii="Arial" w:hAnsi="Arial" w:cs="Arial"/>
          <w:sz w:val="14"/>
          <w:szCs w:val="14"/>
        </w:rPr>
        <w:t xml:space="preserve">lower in rural areas where broadband infrastructures are underdeveloped. Mobile broadband </w:t>
      </w:r>
      <w:r>
        <w:rPr>
          <w:rFonts w:ascii="Arial" w:hAnsi="Arial" w:cs="Arial"/>
          <w:sz w:val="14"/>
          <w:szCs w:val="14"/>
        </w:rPr>
        <w:t xml:space="preserve">is </w:t>
      </w:r>
      <w:r w:rsidRPr="004F378A">
        <w:rPr>
          <w:rFonts w:ascii="Arial" w:hAnsi="Arial" w:cs="Arial"/>
          <w:sz w:val="14"/>
          <w:szCs w:val="14"/>
        </w:rPr>
        <w:t>considered a significant substitute f</w:t>
      </w:r>
      <w:r>
        <w:rPr>
          <w:rFonts w:ascii="Arial" w:hAnsi="Arial" w:cs="Arial"/>
          <w:sz w:val="14"/>
          <w:szCs w:val="14"/>
        </w:rPr>
        <w:t>or DSL in rural areas; (2) Long-</w:t>
      </w:r>
      <w:r w:rsidRPr="004F378A">
        <w:rPr>
          <w:rFonts w:ascii="Arial" w:hAnsi="Arial" w:cs="Arial"/>
          <w:sz w:val="14"/>
          <w:szCs w:val="14"/>
        </w:rPr>
        <w:t>run elasticity.</w:t>
      </w:r>
    </w:p>
    <w:p w:rsidR="00B873A7" w:rsidRDefault="00B873A7" w:rsidP="00B873A7">
      <w:pPr>
        <w:spacing w:before="480"/>
      </w:pPr>
      <w:r>
        <w:t xml:space="preserve">The studies listed in </w:t>
      </w:r>
      <w:r w:rsidRPr="002D2F9B">
        <w:fldChar w:fldCharType="begin"/>
      </w:r>
      <w:r w:rsidRPr="00196691">
        <w:instrText xml:space="preserve"> REF _Ref380703031 \h </w:instrText>
      </w:r>
      <w:r w:rsidRPr="002D2F9B">
        <w:fldChar w:fldCharType="separate"/>
      </w:r>
      <w:r w:rsidR="00A87B65">
        <w:t>Figure </w:t>
      </w:r>
      <w:r w:rsidR="00A87B65">
        <w:rPr>
          <w:noProof/>
        </w:rPr>
        <w:t>3</w:t>
      </w:r>
      <w:r w:rsidR="00A87B65">
        <w:t>.</w:t>
      </w:r>
      <w:r w:rsidR="00A87B65">
        <w:rPr>
          <w:noProof/>
        </w:rPr>
        <w:t>3</w:t>
      </w:r>
      <w:r w:rsidRPr="002D2F9B">
        <w:fldChar w:fldCharType="end"/>
      </w:r>
      <w:r>
        <w:t xml:space="preserve"> mostly indicate that demand for mobile services is relatively inelastic (i.e. altering the price charged has relatively little impact on the volume demanded). At first sight it might appear as if Ida and Kuroda’s study provides evidence that demand for mobile data services is more elastic than that for mobile voice services, but the authors point out that the study was conducted at a time when 3G services were still in their infancy in Japan and were priced at a premium to 2G services. They conclude that at the time there was a lack of evidence to show that 3G subscribers were making full use of 3G services and thus it seems premature to conclude from this study that demand for mobile data is more elastic.</w:t>
      </w:r>
    </w:p>
    <w:p w:rsidR="00B873A7" w:rsidRDefault="00B873A7" w:rsidP="00B873A7">
      <w:r>
        <w:t xml:space="preserve">The study by Srinuan </w:t>
      </w:r>
      <w:r w:rsidRPr="001A17DC">
        <w:rPr>
          <w:i/>
        </w:rPr>
        <w:t>et al</w:t>
      </w:r>
      <w:r>
        <w:t xml:space="preserve">, the most recent study that we identified in our literature review, provides stronger evidence that demand for mobile data services is elastic. The study makes a distinction between areas where two, </w:t>
      </w:r>
      <w:r>
        <w:lastRenderedPageBreak/>
        <w:t xml:space="preserve">three or four broadband technologies are available, as presented in </w:t>
      </w:r>
      <w:r w:rsidRPr="002D2F9B">
        <w:fldChar w:fldCharType="begin"/>
      </w:r>
      <w:r w:rsidRPr="00196691">
        <w:instrText xml:space="preserve"> REF _Ref369349265 \h </w:instrText>
      </w:r>
      <w:r w:rsidRPr="002D2F9B">
        <w:fldChar w:fldCharType="separate"/>
      </w:r>
      <w:r w:rsidR="00A87B65">
        <w:t>Figure </w:t>
      </w:r>
      <w:r w:rsidR="00A87B65">
        <w:rPr>
          <w:noProof/>
        </w:rPr>
        <w:t>3</w:t>
      </w:r>
      <w:r w:rsidR="00A87B65">
        <w:t>.</w:t>
      </w:r>
      <w:r w:rsidR="00A87B65">
        <w:rPr>
          <w:noProof/>
        </w:rPr>
        <w:t>4</w:t>
      </w:r>
      <w:r w:rsidRPr="002D2F9B">
        <w:fldChar w:fldCharType="end"/>
      </w:r>
      <w:r>
        <w:t xml:space="preserve">. In areas where three and four technologies are available, the elasticity is significantly less than </w:t>
      </w:r>
      <w:r>
        <w:rPr>
          <w:szCs w:val="18"/>
        </w:rPr>
        <w:t>–</w:t>
      </w:r>
      <w:r>
        <w:t>1 (meaning that a 1% reduction in the price of mobile broadband results in an increase in demand of significantly more than 1%). The Swedish study concludes that the price elasticity increases in line with the number of broadband technologies available to a given (potential) subscriber because a subscriber has a higher willingness to pay when offered only a limited range of options (as there is only limited substitutable services).</w:t>
      </w:r>
    </w:p>
    <w:p w:rsidR="00B873A7" w:rsidRDefault="00B873A7" w:rsidP="00B873A7">
      <w:pPr>
        <w:pStyle w:val="Caption"/>
      </w:pPr>
      <w:bookmarkStart w:id="54" w:name="_Ref369349265"/>
      <w:r>
        <w:t>Figure </w:t>
      </w:r>
      <w:r w:rsidR="008B1006">
        <w:fldChar w:fldCharType="begin"/>
      </w:r>
      <w:r w:rsidR="008B1006">
        <w:instrText xml:space="preserve"> STYLEREF 1 \s \* MERGEFORMAT </w:instrText>
      </w:r>
      <w:r w:rsidR="008B1006">
        <w:fldChar w:fldCharType="separate"/>
      </w:r>
      <w:r w:rsidR="00A87B65">
        <w:rPr>
          <w:noProof/>
        </w:rPr>
        <w:t>3</w:t>
      </w:r>
      <w:r w:rsidR="008B1006">
        <w:rPr>
          <w:noProof/>
        </w:rPr>
        <w:fldChar w:fldCharType="end"/>
      </w:r>
      <w:r>
        <w:t>.</w:t>
      </w:r>
      <w:fldSimple w:instr=" SEQ Figure \* ARABIC \s 1 \* MERGEFORMAT ">
        <w:r w:rsidR="00A87B65">
          <w:rPr>
            <w:noProof/>
          </w:rPr>
          <w:t>4</w:t>
        </w:r>
      </w:fldSimple>
      <w:bookmarkEnd w:id="54"/>
      <w:r>
        <w:t>: Own-price elasticity in Sweden in areas with four, three or two broadband technologies available [Source: Srinuan et al, 2012]</w:t>
      </w:r>
    </w:p>
    <w:tbl>
      <w:tblPr>
        <w:tblStyle w:val="MediumShading2-Accent1"/>
        <w:tblW w:w="8731" w:type="dxa"/>
        <w:tblInd w:w="108" w:type="dxa"/>
        <w:tblLook w:val="0420" w:firstRow="1" w:lastRow="0" w:firstColumn="0" w:lastColumn="0" w:noHBand="0" w:noVBand="1"/>
      </w:tblPr>
      <w:tblGrid>
        <w:gridCol w:w="2183"/>
        <w:gridCol w:w="2182"/>
        <w:gridCol w:w="2183"/>
        <w:gridCol w:w="2183"/>
      </w:tblGrid>
      <w:tr w:rsidR="00B873A7" w:rsidRPr="00B548A1" w:rsidTr="003C6417">
        <w:trPr>
          <w:cnfStyle w:val="100000000000" w:firstRow="1" w:lastRow="0" w:firstColumn="0" w:lastColumn="0" w:oddVBand="0" w:evenVBand="0" w:oddHBand="0" w:evenHBand="0" w:firstRowFirstColumn="0" w:firstRowLastColumn="0" w:lastRowFirstColumn="0" w:lastRowLastColumn="0"/>
        </w:trPr>
        <w:tc>
          <w:tcPr>
            <w:tcW w:w="2183" w:type="dxa"/>
            <w:tcBorders>
              <w:top w:val="single" w:sz="18" w:space="0" w:color="221F72"/>
              <w:bottom w:val="single" w:sz="4" w:space="0" w:color="FFFFFF" w:themeColor="background1"/>
            </w:tcBorders>
            <w:shd w:val="solid" w:color="221F72" w:fill="221F72"/>
          </w:tcPr>
          <w:p w:rsidR="00B873A7" w:rsidRPr="00B548A1" w:rsidRDefault="00B873A7" w:rsidP="00841EA0">
            <w:pPr>
              <w:pStyle w:val="Tableheading"/>
              <w:rPr>
                <w:b/>
                <w:i/>
              </w:rPr>
            </w:pPr>
          </w:p>
        </w:tc>
        <w:tc>
          <w:tcPr>
            <w:tcW w:w="2182" w:type="dxa"/>
            <w:tcBorders>
              <w:top w:val="single" w:sz="18" w:space="0" w:color="221F72"/>
              <w:bottom w:val="single" w:sz="4" w:space="0" w:color="FFFFFF" w:themeColor="background1"/>
            </w:tcBorders>
            <w:shd w:val="solid" w:color="221F72" w:fill="221F72"/>
          </w:tcPr>
          <w:p w:rsidR="00B873A7" w:rsidRPr="00B548A1" w:rsidRDefault="00B873A7" w:rsidP="00841EA0">
            <w:pPr>
              <w:pStyle w:val="Tableheading"/>
              <w:ind w:right="0"/>
              <w:rPr>
                <w:b/>
                <w:i/>
              </w:rPr>
            </w:pPr>
            <w:r w:rsidRPr="00B548A1">
              <w:rPr>
                <w:b/>
              </w:rPr>
              <w:t>Area 1 (four technologies available)</w:t>
            </w:r>
          </w:p>
        </w:tc>
        <w:tc>
          <w:tcPr>
            <w:tcW w:w="2183" w:type="dxa"/>
            <w:tcBorders>
              <w:top w:val="single" w:sz="18" w:space="0" w:color="221F72"/>
              <w:bottom w:val="single" w:sz="4" w:space="0" w:color="FFFFFF" w:themeColor="background1"/>
            </w:tcBorders>
            <w:shd w:val="solid" w:color="221F72" w:fill="221F72"/>
          </w:tcPr>
          <w:p w:rsidR="00B873A7" w:rsidRPr="00B548A1" w:rsidRDefault="00B873A7" w:rsidP="00841EA0">
            <w:pPr>
              <w:pStyle w:val="Tableheading"/>
              <w:ind w:right="0"/>
              <w:rPr>
                <w:b/>
                <w:i/>
              </w:rPr>
            </w:pPr>
            <w:r w:rsidRPr="00B548A1">
              <w:rPr>
                <w:b/>
              </w:rPr>
              <w:t>Area 2 (three technologies available)</w:t>
            </w:r>
          </w:p>
        </w:tc>
        <w:tc>
          <w:tcPr>
            <w:tcW w:w="2183" w:type="dxa"/>
            <w:tcBorders>
              <w:top w:val="single" w:sz="18" w:space="0" w:color="221F72"/>
              <w:bottom w:val="single" w:sz="4" w:space="0" w:color="FFFFFF" w:themeColor="background1"/>
            </w:tcBorders>
            <w:shd w:val="solid" w:color="221F72" w:fill="221F72"/>
          </w:tcPr>
          <w:p w:rsidR="00B873A7" w:rsidRPr="00B548A1" w:rsidRDefault="00B873A7" w:rsidP="00841EA0">
            <w:pPr>
              <w:pStyle w:val="Tableheading"/>
              <w:ind w:right="0"/>
              <w:rPr>
                <w:b/>
                <w:i/>
              </w:rPr>
            </w:pPr>
            <w:r w:rsidRPr="00B548A1">
              <w:rPr>
                <w:b/>
              </w:rPr>
              <w:t>Area 3 (two technologies available)</w:t>
            </w:r>
          </w:p>
        </w:tc>
      </w:tr>
      <w:tr w:rsidR="00B873A7" w:rsidTr="003C6417">
        <w:trPr>
          <w:cnfStyle w:val="000000100000" w:firstRow="0" w:lastRow="0" w:firstColumn="0" w:lastColumn="0" w:oddVBand="0" w:evenVBand="0" w:oddHBand="1" w:evenHBand="0" w:firstRowFirstColumn="0" w:firstRowLastColumn="0" w:lastRowFirstColumn="0" w:lastRowLastColumn="0"/>
        </w:trPr>
        <w:tc>
          <w:tcPr>
            <w:tcW w:w="2183" w:type="dxa"/>
            <w:tcBorders>
              <w:top w:val="single" w:sz="4" w:space="0" w:color="FFFFFF" w:themeColor="background1"/>
            </w:tcBorders>
          </w:tcPr>
          <w:p w:rsidR="00B873A7" w:rsidRPr="002D63B2" w:rsidRDefault="00B873A7" w:rsidP="00841EA0">
            <w:pPr>
              <w:pStyle w:val="Tablecells"/>
            </w:pPr>
            <w:r>
              <w:t>DSL</w:t>
            </w:r>
          </w:p>
        </w:tc>
        <w:tc>
          <w:tcPr>
            <w:tcW w:w="2182" w:type="dxa"/>
            <w:tcBorders>
              <w:top w:val="single" w:sz="4" w:space="0" w:color="FFFFFF" w:themeColor="background1"/>
            </w:tcBorders>
          </w:tcPr>
          <w:p w:rsidR="00B873A7" w:rsidRPr="002D63B2" w:rsidRDefault="00B873A7" w:rsidP="00841EA0">
            <w:pPr>
              <w:pStyle w:val="Tablecells"/>
              <w:ind w:right="0"/>
            </w:pPr>
            <w:r>
              <w:t>–2.727</w:t>
            </w:r>
          </w:p>
        </w:tc>
        <w:tc>
          <w:tcPr>
            <w:tcW w:w="2183" w:type="dxa"/>
            <w:tcBorders>
              <w:top w:val="single" w:sz="4" w:space="0" w:color="FFFFFF" w:themeColor="background1"/>
            </w:tcBorders>
          </w:tcPr>
          <w:p w:rsidR="00B873A7" w:rsidRPr="002D63B2" w:rsidRDefault="00B873A7" w:rsidP="00841EA0">
            <w:pPr>
              <w:pStyle w:val="Tablecells"/>
              <w:ind w:right="0"/>
            </w:pPr>
            <w:r>
              <w:t>–2.085</w:t>
            </w:r>
          </w:p>
        </w:tc>
        <w:tc>
          <w:tcPr>
            <w:tcW w:w="2183" w:type="dxa"/>
            <w:tcBorders>
              <w:top w:val="single" w:sz="4" w:space="0" w:color="FFFFFF" w:themeColor="background1"/>
            </w:tcBorders>
          </w:tcPr>
          <w:p w:rsidR="00B873A7" w:rsidRPr="002D63B2" w:rsidRDefault="00B873A7" w:rsidP="00841EA0">
            <w:pPr>
              <w:pStyle w:val="Tablecells"/>
              <w:ind w:right="0"/>
            </w:pPr>
            <w:r>
              <w:t>–0.275</w:t>
            </w:r>
          </w:p>
        </w:tc>
      </w:tr>
      <w:tr w:rsidR="00B873A7" w:rsidRPr="002D63B2" w:rsidTr="00841EA0">
        <w:tc>
          <w:tcPr>
            <w:tcW w:w="2183" w:type="dxa"/>
            <w:tcBorders>
              <w:bottom w:val="nil"/>
            </w:tcBorders>
          </w:tcPr>
          <w:p w:rsidR="00B873A7" w:rsidRPr="004B3DA7" w:rsidRDefault="00B873A7" w:rsidP="00841EA0">
            <w:pPr>
              <w:pStyle w:val="Tablecells"/>
            </w:pPr>
            <w:r w:rsidRPr="004B3DA7">
              <w:t>Cable</w:t>
            </w:r>
          </w:p>
        </w:tc>
        <w:tc>
          <w:tcPr>
            <w:tcW w:w="2182" w:type="dxa"/>
            <w:tcBorders>
              <w:bottom w:val="nil"/>
            </w:tcBorders>
          </w:tcPr>
          <w:p w:rsidR="00B873A7" w:rsidRPr="004B3DA7" w:rsidRDefault="00B873A7" w:rsidP="00841EA0">
            <w:pPr>
              <w:pStyle w:val="Tablecells"/>
              <w:ind w:right="0"/>
            </w:pPr>
            <w:r w:rsidRPr="004B3DA7">
              <w:t>–1.342</w:t>
            </w:r>
          </w:p>
        </w:tc>
        <w:tc>
          <w:tcPr>
            <w:tcW w:w="2183" w:type="dxa"/>
            <w:tcBorders>
              <w:bottom w:val="nil"/>
            </w:tcBorders>
          </w:tcPr>
          <w:p w:rsidR="00B873A7" w:rsidRPr="004B3DA7" w:rsidRDefault="00B873A7" w:rsidP="00841EA0">
            <w:pPr>
              <w:pStyle w:val="Tablecells"/>
              <w:ind w:right="0"/>
            </w:pPr>
            <w:r w:rsidRPr="004B3DA7">
              <w:t>Not available</w:t>
            </w:r>
          </w:p>
        </w:tc>
        <w:tc>
          <w:tcPr>
            <w:tcW w:w="2183" w:type="dxa"/>
            <w:tcBorders>
              <w:bottom w:val="nil"/>
            </w:tcBorders>
          </w:tcPr>
          <w:p w:rsidR="00B873A7" w:rsidRPr="004B3DA7" w:rsidRDefault="00B873A7" w:rsidP="00841EA0">
            <w:pPr>
              <w:pStyle w:val="Tablecells"/>
              <w:ind w:right="0"/>
            </w:pPr>
            <w:r w:rsidRPr="004B3DA7">
              <w:t>Not available</w:t>
            </w:r>
          </w:p>
        </w:tc>
      </w:tr>
      <w:tr w:rsidR="00B873A7" w:rsidRPr="002D63B2" w:rsidTr="00841EA0">
        <w:trPr>
          <w:cnfStyle w:val="000000100000" w:firstRow="0" w:lastRow="0" w:firstColumn="0" w:lastColumn="0" w:oddVBand="0" w:evenVBand="0" w:oddHBand="1" w:evenHBand="0" w:firstRowFirstColumn="0" w:firstRowLastColumn="0" w:lastRowFirstColumn="0" w:lastRowLastColumn="0"/>
        </w:trPr>
        <w:tc>
          <w:tcPr>
            <w:tcW w:w="2183" w:type="dxa"/>
            <w:tcBorders>
              <w:bottom w:val="nil"/>
            </w:tcBorders>
          </w:tcPr>
          <w:p w:rsidR="00B873A7" w:rsidRPr="004B3DA7" w:rsidRDefault="00B873A7" w:rsidP="00841EA0">
            <w:pPr>
              <w:pStyle w:val="Tablecells"/>
            </w:pPr>
            <w:r w:rsidRPr="004B3DA7">
              <w:t>LAN/fibre</w:t>
            </w:r>
          </w:p>
        </w:tc>
        <w:tc>
          <w:tcPr>
            <w:tcW w:w="2182" w:type="dxa"/>
            <w:tcBorders>
              <w:bottom w:val="nil"/>
            </w:tcBorders>
          </w:tcPr>
          <w:p w:rsidR="00B873A7" w:rsidRPr="004B3DA7" w:rsidRDefault="00B873A7" w:rsidP="00841EA0">
            <w:pPr>
              <w:pStyle w:val="Tablecells"/>
              <w:ind w:right="0"/>
            </w:pPr>
            <w:r w:rsidRPr="004B3DA7">
              <w:t>–1.439</w:t>
            </w:r>
          </w:p>
        </w:tc>
        <w:tc>
          <w:tcPr>
            <w:tcW w:w="2183" w:type="dxa"/>
            <w:tcBorders>
              <w:bottom w:val="nil"/>
            </w:tcBorders>
          </w:tcPr>
          <w:p w:rsidR="00B873A7" w:rsidRPr="004B3DA7" w:rsidRDefault="00B873A7" w:rsidP="00841EA0">
            <w:pPr>
              <w:pStyle w:val="Tablecells"/>
              <w:ind w:right="0"/>
            </w:pPr>
            <w:r w:rsidRPr="004B3DA7">
              <w:t>–1.553</w:t>
            </w:r>
          </w:p>
        </w:tc>
        <w:tc>
          <w:tcPr>
            <w:tcW w:w="2183" w:type="dxa"/>
            <w:tcBorders>
              <w:bottom w:val="nil"/>
            </w:tcBorders>
          </w:tcPr>
          <w:p w:rsidR="00B873A7" w:rsidRPr="004B3DA7" w:rsidRDefault="00B873A7" w:rsidP="00841EA0">
            <w:pPr>
              <w:pStyle w:val="Tablecells"/>
              <w:ind w:right="0"/>
            </w:pPr>
            <w:r w:rsidRPr="004B3DA7">
              <w:t>Not available</w:t>
            </w:r>
          </w:p>
        </w:tc>
      </w:tr>
      <w:tr w:rsidR="00B873A7" w:rsidRPr="002D63B2" w:rsidTr="00841EA0">
        <w:tc>
          <w:tcPr>
            <w:tcW w:w="2183" w:type="dxa"/>
            <w:tcBorders>
              <w:top w:val="nil"/>
              <w:bottom w:val="single" w:sz="4" w:space="0" w:color="808080"/>
            </w:tcBorders>
          </w:tcPr>
          <w:p w:rsidR="00B873A7" w:rsidRPr="004B3DA7" w:rsidRDefault="00B873A7" w:rsidP="00841EA0">
            <w:pPr>
              <w:pStyle w:val="Tablecells"/>
            </w:pPr>
            <w:r w:rsidRPr="004B3DA7">
              <w:t>Mobile broadband</w:t>
            </w:r>
          </w:p>
        </w:tc>
        <w:tc>
          <w:tcPr>
            <w:tcW w:w="2182" w:type="dxa"/>
            <w:tcBorders>
              <w:top w:val="nil"/>
              <w:bottom w:val="single" w:sz="4" w:space="0" w:color="808080"/>
            </w:tcBorders>
          </w:tcPr>
          <w:p w:rsidR="00B873A7" w:rsidRPr="004B3DA7" w:rsidRDefault="00B873A7" w:rsidP="00841EA0">
            <w:pPr>
              <w:pStyle w:val="Tablecells"/>
              <w:ind w:right="0"/>
            </w:pPr>
            <w:r w:rsidRPr="004B3DA7">
              <w:t>–3.623</w:t>
            </w:r>
          </w:p>
        </w:tc>
        <w:tc>
          <w:tcPr>
            <w:tcW w:w="2183" w:type="dxa"/>
            <w:tcBorders>
              <w:top w:val="nil"/>
              <w:bottom w:val="single" w:sz="4" w:space="0" w:color="808080"/>
            </w:tcBorders>
          </w:tcPr>
          <w:p w:rsidR="00B873A7" w:rsidRPr="004B3DA7" w:rsidRDefault="00B873A7" w:rsidP="00841EA0">
            <w:pPr>
              <w:pStyle w:val="Tablecells"/>
              <w:ind w:right="0"/>
            </w:pPr>
            <w:r w:rsidRPr="004B3DA7">
              <w:t>–2.667</w:t>
            </w:r>
          </w:p>
        </w:tc>
        <w:tc>
          <w:tcPr>
            <w:tcW w:w="2183" w:type="dxa"/>
            <w:tcBorders>
              <w:top w:val="nil"/>
              <w:bottom w:val="single" w:sz="4" w:space="0" w:color="808080"/>
            </w:tcBorders>
          </w:tcPr>
          <w:p w:rsidR="00B873A7" w:rsidRPr="004B3DA7" w:rsidRDefault="00B873A7" w:rsidP="00841EA0">
            <w:pPr>
              <w:pStyle w:val="Tablecells"/>
              <w:ind w:right="0"/>
            </w:pPr>
            <w:r w:rsidRPr="004B3DA7">
              <w:t>–0.479</w:t>
            </w:r>
          </w:p>
        </w:tc>
      </w:tr>
    </w:tbl>
    <w:p w:rsidR="00B873A7" w:rsidRDefault="00B873A7" w:rsidP="00B873A7">
      <w:r>
        <w:br/>
        <w:t xml:space="preserve">Our literature survey did not identify any surveys which considered the price elasticity of demand for mobile data in Australia. Information gathered from mobile operators in the course of this study indicates that the annual percentage increases in data volumes in recent years have been far higher than the percentage reductions in the unit price of mobile data. This might be taken as </w:t>
      </w:r>
      <w:r w:rsidRPr="001A17DC">
        <w:rPr>
          <w:i/>
        </w:rPr>
        <w:t>prima faci</w:t>
      </w:r>
      <w:r>
        <w:rPr>
          <w:i/>
        </w:rPr>
        <w:t>e</w:t>
      </w:r>
      <w:r>
        <w:t xml:space="preserve"> evidence that demand for mobile data is highly elastic but in reality it says little about the behaviour of individual consumers since the changes took place at a time when the penetration of smartphones and tablet devices was increasing rapidly. Consequently, we have not attempted to model price elasticity effects explicitly, although we have taken account of the downward trend in ARPU when assessing the likely future growth in mobile traffic.</w:t>
      </w:r>
    </w:p>
    <w:p w:rsidR="00B873A7" w:rsidRPr="00B8141D" w:rsidRDefault="00B873A7" w:rsidP="00B873A7">
      <w:r w:rsidRPr="00B8141D">
        <w:lastRenderedPageBreak/>
        <w:t>In terms of recent trends in pricing, blended monthly average revenue per user (ARPU)</w:t>
      </w:r>
      <w:r w:rsidRPr="00B8141D">
        <w:rPr>
          <w:rStyle w:val="FootnoteReference"/>
          <w:spacing w:val="-4"/>
        </w:rPr>
        <w:footnoteReference w:id="9"/>
      </w:r>
      <w:r w:rsidRPr="00B8141D">
        <w:t xml:space="preserve"> has fallen from AUD50 per month to AUD43 per month over the last three years in the case of Telstra and from AUD48 per month to AUD40 per month in the case of Optus (equivalent data is not available for VHA). However, although overall ARPU is falling, data ARPU is rising: over the same period Optus reports that non-SMS data as a proportion of service revenue has risen from 18% to 29%. Looking forward</w:t>
      </w:r>
      <w:r>
        <w:t>,</w:t>
      </w:r>
      <w:r w:rsidRPr="00B8141D">
        <w:t xml:space="preserve"> we expect that overall ARPU will eventually stabilise but that the proportion of ARPU which is accounted for by data will continue to rise for the foreseeable future. We expect that the amount of data bundled into standard tariffs will continue to rise as well as the penetration of 4G continues to rise.</w:t>
      </w:r>
    </w:p>
    <w:tbl>
      <w:tblPr>
        <w:tblW w:w="8730" w:type="dxa"/>
        <w:tblLayout w:type="fixed"/>
        <w:tblCellMar>
          <w:left w:w="0" w:type="dxa"/>
          <w:right w:w="0" w:type="dxa"/>
        </w:tblCellMar>
        <w:tblLook w:val="0000" w:firstRow="0" w:lastRow="0" w:firstColumn="0" w:lastColumn="0" w:noHBand="0" w:noVBand="0"/>
      </w:tblPr>
      <w:tblGrid>
        <w:gridCol w:w="4175"/>
        <w:gridCol w:w="272"/>
        <w:gridCol w:w="4176"/>
        <w:gridCol w:w="107"/>
      </w:tblGrid>
      <w:tr w:rsidR="00B873A7" w:rsidTr="002533A7">
        <w:tc>
          <w:tcPr>
            <w:tcW w:w="4175" w:type="dxa"/>
            <w:shd w:val="clear" w:color="auto" w:fill="auto"/>
          </w:tcPr>
          <w:p w:rsidR="00B873A7" w:rsidRDefault="00B873A7" w:rsidP="00841EA0">
            <w:pPr>
              <w:pStyle w:val="Caption"/>
            </w:pPr>
          </w:p>
        </w:tc>
        <w:tc>
          <w:tcPr>
            <w:tcW w:w="272" w:type="dxa"/>
            <w:shd w:val="clear" w:color="auto" w:fill="auto"/>
          </w:tcPr>
          <w:p w:rsidR="00B873A7" w:rsidRDefault="00B873A7" w:rsidP="00841EA0">
            <w:pPr>
              <w:pStyle w:val="Tablecells"/>
              <w:spacing w:before="0"/>
            </w:pPr>
          </w:p>
        </w:tc>
        <w:tc>
          <w:tcPr>
            <w:tcW w:w="4283" w:type="dxa"/>
            <w:gridSpan w:val="2"/>
            <w:shd w:val="clear" w:color="auto" w:fill="auto"/>
          </w:tcPr>
          <w:p w:rsidR="00B873A7" w:rsidRDefault="00B873A7" w:rsidP="00841EA0">
            <w:pPr>
              <w:pStyle w:val="Caption"/>
            </w:pPr>
          </w:p>
        </w:tc>
      </w:tr>
      <w:tr w:rsidR="00B873A7" w:rsidTr="002533A7">
        <w:tblPrEx>
          <w:tblCellMar>
            <w:left w:w="108" w:type="dxa"/>
            <w:right w:w="108" w:type="dxa"/>
          </w:tblCellMar>
        </w:tblPrEx>
        <w:trPr>
          <w:gridAfter w:val="1"/>
          <w:wAfter w:w="107" w:type="dxa"/>
        </w:trPr>
        <w:tc>
          <w:tcPr>
            <w:tcW w:w="4175" w:type="dxa"/>
            <w:shd w:val="clear" w:color="auto" w:fill="auto"/>
          </w:tcPr>
          <w:p w:rsidR="00B873A7" w:rsidRDefault="00B873A7" w:rsidP="00841EA0">
            <w:pPr>
              <w:pStyle w:val="Bordersmall"/>
            </w:pPr>
          </w:p>
        </w:tc>
        <w:tc>
          <w:tcPr>
            <w:tcW w:w="272" w:type="dxa"/>
            <w:shd w:val="clear" w:color="auto" w:fill="auto"/>
          </w:tcPr>
          <w:p w:rsidR="00B873A7" w:rsidRDefault="00B873A7" w:rsidP="00841EA0">
            <w:pPr>
              <w:pStyle w:val="Tablecells"/>
            </w:pPr>
          </w:p>
        </w:tc>
        <w:tc>
          <w:tcPr>
            <w:tcW w:w="4176" w:type="dxa"/>
            <w:shd w:val="clear" w:color="auto" w:fill="auto"/>
          </w:tcPr>
          <w:p w:rsidR="00B873A7" w:rsidRDefault="00B873A7" w:rsidP="00841EA0">
            <w:pPr>
              <w:pStyle w:val="Bordersmall"/>
            </w:pPr>
          </w:p>
        </w:tc>
      </w:tr>
      <w:tr w:rsidR="002533A7" w:rsidTr="002533A7">
        <w:tc>
          <w:tcPr>
            <w:tcW w:w="4175" w:type="dxa"/>
            <w:shd w:val="clear" w:color="auto" w:fill="auto"/>
          </w:tcPr>
          <w:p w:rsidR="002533A7" w:rsidRDefault="002533A7" w:rsidP="0041328C">
            <w:pPr>
              <w:pStyle w:val="Caption"/>
            </w:pPr>
            <w:r>
              <w:t>Figure </w:t>
            </w:r>
            <w:r w:rsidR="008B1006">
              <w:fldChar w:fldCharType="begin"/>
            </w:r>
            <w:r w:rsidR="008B1006">
              <w:instrText xml:space="preserve"> STYLEREF 1 \s \* MERGEFORMAT </w:instrText>
            </w:r>
            <w:r w:rsidR="008B1006">
              <w:fldChar w:fldCharType="separate"/>
            </w:r>
            <w:r w:rsidR="00A87B65">
              <w:rPr>
                <w:noProof/>
              </w:rPr>
              <w:t>3</w:t>
            </w:r>
            <w:r w:rsidR="008B1006">
              <w:rPr>
                <w:noProof/>
              </w:rPr>
              <w:fldChar w:fldCharType="end"/>
            </w:r>
            <w:r>
              <w:t>.</w:t>
            </w:r>
            <w:r w:rsidR="008B1006">
              <w:fldChar w:fldCharType="begin"/>
            </w:r>
            <w:r w:rsidR="008B1006">
              <w:instrText xml:space="preserve"> SEQ Figure \* ARABIC \s 1 \* MERGEFORMAT </w:instrText>
            </w:r>
            <w:r w:rsidR="008B1006">
              <w:fldChar w:fldCharType="separate"/>
            </w:r>
            <w:r w:rsidR="00A87B65">
              <w:rPr>
                <w:noProof/>
              </w:rPr>
              <w:t>5</w:t>
            </w:r>
            <w:r w:rsidR="008B1006">
              <w:rPr>
                <w:noProof/>
              </w:rPr>
              <w:fldChar w:fldCharType="end"/>
            </w:r>
            <w:r>
              <w:t>: Telstra monthly ARPU 2H 2009 to 1H 2014 [Source: Telstra financial reports]</w:t>
            </w:r>
          </w:p>
        </w:tc>
        <w:tc>
          <w:tcPr>
            <w:tcW w:w="272" w:type="dxa"/>
            <w:shd w:val="clear" w:color="auto" w:fill="auto"/>
          </w:tcPr>
          <w:p w:rsidR="002533A7" w:rsidRDefault="002533A7" w:rsidP="0041328C">
            <w:pPr>
              <w:pStyle w:val="Tablecells"/>
              <w:spacing w:before="0"/>
            </w:pPr>
          </w:p>
        </w:tc>
        <w:tc>
          <w:tcPr>
            <w:tcW w:w="4283" w:type="dxa"/>
            <w:gridSpan w:val="2"/>
            <w:shd w:val="clear" w:color="auto" w:fill="auto"/>
          </w:tcPr>
          <w:p w:rsidR="002533A7" w:rsidRDefault="002533A7" w:rsidP="0041328C">
            <w:pPr>
              <w:pStyle w:val="Caption"/>
            </w:pPr>
            <w:r>
              <w:t>Figure </w:t>
            </w:r>
            <w:r w:rsidR="008B1006">
              <w:fldChar w:fldCharType="begin"/>
            </w:r>
            <w:r w:rsidR="008B1006">
              <w:instrText xml:space="preserve"> STYLEREF 1 \s \* MERGEFORMAT </w:instrText>
            </w:r>
            <w:r w:rsidR="008B1006">
              <w:fldChar w:fldCharType="separate"/>
            </w:r>
            <w:r w:rsidR="00A87B65">
              <w:rPr>
                <w:noProof/>
              </w:rPr>
              <w:t>3</w:t>
            </w:r>
            <w:r w:rsidR="008B1006">
              <w:rPr>
                <w:noProof/>
              </w:rPr>
              <w:fldChar w:fldCharType="end"/>
            </w:r>
            <w:r>
              <w:t>.</w:t>
            </w:r>
            <w:r w:rsidR="008B1006">
              <w:fldChar w:fldCharType="begin"/>
            </w:r>
            <w:r w:rsidR="008B1006">
              <w:instrText xml:space="preserve"> SEQ Figure \* ARABIC \s 1 \* MERGEFORMAT </w:instrText>
            </w:r>
            <w:r w:rsidR="008B1006">
              <w:fldChar w:fldCharType="separate"/>
            </w:r>
            <w:r w:rsidR="00A87B65">
              <w:rPr>
                <w:noProof/>
              </w:rPr>
              <w:t>6</w:t>
            </w:r>
            <w:r w:rsidR="008B1006">
              <w:rPr>
                <w:noProof/>
              </w:rPr>
              <w:fldChar w:fldCharType="end"/>
            </w:r>
            <w:r>
              <w:t>: Optus monthly ARPU 3Q 2010 to 1Q 2013 [Source: SingTel Optus financial reports]</w:t>
            </w:r>
            <w:r>
              <w:rPr>
                <w:rStyle w:val="FootnoteReference"/>
              </w:rPr>
              <w:footnoteReference w:id="10"/>
            </w:r>
          </w:p>
        </w:tc>
      </w:tr>
      <w:tr w:rsidR="002533A7" w:rsidTr="002533A7">
        <w:tblPrEx>
          <w:tblCellMar>
            <w:left w:w="108" w:type="dxa"/>
            <w:right w:w="108" w:type="dxa"/>
          </w:tblCellMar>
        </w:tblPrEx>
        <w:trPr>
          <w:gridAfter w:val="1"/>
          <w:wAfter w:w="107" w:type="dxa"/>
        </w:trPr>
        <w:tc>
          <w:tcPr>
            <w:tcW w:w="4175" w:type="dxa"/>
            <w:shd w:val="clear" w:color="auto" w:fill="auto"/>
          </w:tcPr>
          <w:p w:rsidR="002533A7" w:rsidRDefault="002533A7" w:rsidP="0041328C">
            <w:pPr>
              <w:pStyle w:val="Bordersmall"/>
            </w:pPr>
            <w:r>
              <w:rPr>
                <w:noProof/>
                <w:lang w:val="en-AU" w:eastAsia="en-AU"/>
              </w:rPr>
              <w:drawing>
                <wp:inline distT="0" distB="0" distL="0" distR="0" wp14:anchorId="4E4DFAE3" wp14:editId="209EC057">
                  <wp:extent cx="2510155" cy="295783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510155" cy="2957830"/>
                          </a:xfrm>
                          <a:prstGeom prst="rect">
                            <a:avLst/>
                          </a:prstGeom>
                          <a:noFill/>
                          <a:ln>
                            <a:noFill/>
                          </a:ln>
                        </pic:spPr>
                      </pic:pic>
                    </a:graphicData>
                  </a:graphic>
                </wp:inline>
              </w:drawing>
            </w:r>
          </w:p>
        </w:tc>
        <w:tc>
          <w:tcPr>
            <w:tcW w:w="272" w:type="dxa"/>
            <w:shd w:val="clear" w:color="auto" w:fill="auto"/>
          </w:tcPr>
          <w:p w:rsidR="002533A7" w:rsidRDefault="002533A7" w:rsidP="0041328C">
            <w:pPr>
              <w:pStyle w:val="Tablecells"/>
            </w:pPr>
          </w:p>
        </w:tc>
        <w:tc>
          <w:tcPr>
            <w:tcW w:w="4176" w:type="dxa"/>
            <w:shd w:val="clear" w:color="auto" w:fill="auto"/>
          </w:tcPr>
          <w:p w:rsidR="002533A7" w:rsidRDefault="00CB339B" w:rsidP="00CB339B">
            <w:pPr>
              <w:pStyle w:val="Bordersmall"/>
            </w:pPr>
            <w:r>
              <w:rPr>
                <w:noProof/>
                <w:lang w:val="en-AU" w:eastAsia="en-AU"/>
              </w:rPr>
              <w:drawing>
                <wp:inline distT="0" distB="0" distL="0" distR="0">
                  <wp:extent cx="2514600" cy="2962275"/>
                  <wp:effectExtent l="0" t="0" r="0" b="9525"/>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514600" cy="2962275"/>
                          </a:xfrm>
                          <a:prstGeom prst="rect">
                            <a:avLst/>
                          </a:prstGeom>
                          <a:noFill/>
                          <a:ln>
                            <a:noFill/>
                          </a:ln>
                        </pic:spPr>
                      </pic:pic>
                    </a:graphicData>
                  </a:graphic>
                </wp:inline>
              </w:drawing>
            </w:r>
          </w:p>
        </w:tc>
      </w:tr>
    </w:tbl>
    <w:p w:rsidR="008F70D7" w:rsidRDefault="008F70D7" w:rsidP="008F70D7">
      <w:bookmarkStart w:id="55" w:name="_Toc373161394"/>
      <w:bookmarkStart w:id="56" w:name="_Ref380663291"/>
      <w:bookmarkStart w:id="57" w:name="_Toc399178487"/>
      <w:bookmarkStart w:id="58" w:name="_Toc402102954"/>
      <w:bookmarkStart w:id="59" w:name="_Ref404157193"/>
      <w:bookmarkStart w:id="60" w:name="_Toc409445583"/>
    </w:p>
    <w:p w:rsidR="008F70D7" w:rsidRDefault="008F70D7" w:rsidP="008F70D7"/>
    <w:p w:rsidR="00B873A7" w:rsidRPr="008A0DCE" w:rsidRDefault="0058443D" w:rsidP="00B873A7">
      <w:pPr>
        <w:pStyle w:val="Heading1"/>
      </w:pPr>
      <w:r>
        <w:lastRenderedPageBreak/>
        <w:t xml:space="preserve">Relationship between </w:t>
      </w:r>
      <w:r w:rsidR="00B873A7" w:rsidRPr="008A0DCE">
        <w:t xml:space="preserve">cellular mobile </w:t>
      </w:r>
      <w:r>
        <w:t xml:space="preserve">infrastructure and </w:t>
      </w:r>
      <w:r w:rsidR="00B873A7" w:rsidRPr="008A0DCE">
        <w:t>spectrum</w:t>
      </w:r>
      <w:bookmarkEnd w:id="55"/>
      <w:bookmarkEnd w:id="56"/>
      <w:bookmarkEnd w:id="57"/>
      <w:bookmarkEnd w:id="58"/>
      <w:bookmarkEnd w:id="59"/>
      <w:bookmarkEnd w:id="60"/>
    </w:p>
    <w:p w:rsidR="00B873A7" w:rsidRPr="008A0DCE" w:rsidRDefault="00B873A7" w:rsidP="00B873A7">
      <w:pPr>
        <w:pStyle w:val="Heading2"/>
      </w:pPr>
      <w:bookmarkStart w:id="61" w:name="_Ref367711124"/>
      <w:bookmarkStart w:id="62" w:name="_Toc373161395"/>
      <w:bookmarkStart w:id="63" w:name="_Toc399178488"/>
      <w:bookmarkStart w:id="64" w:name="_Toc402102955"/>
      <w:bookmarkStart w:id="65" w:name="_Toc409445584"/>
      <w:r w:rsidRPr="008A0DCE">
        <w:t>Introduction</w:t>
      </w:r>
      <w:bookmarkEnd w:id="61"/>
      <w:bookmarkEnd w:id="62"/>
      <w:bookmarkEnd w:id="63"/>
      <w:bookmarkEnd w:id="64"/>
      <w:bookmarkEnd w:id="65"/>
    </w:p>
    <w:p w:rsidR="00B873A7" w:rsidRDefault="00B873A7" w:rsidP="00B873A7">
      <w:r>
        <w:t xml:space="preserve">The three cellular mobile operators in Australia – Optus, Telstra and Vodafone Hutchison Australia (VHA) – are by far the largest providers of wireless access services in Australia in terms of both customer numbers and revenue. We have built a model to examine the </w:t>
      </w:r>
      <w:r w:rsidR="00AA1070">
        <w:t xml:space="preserve">infrastructure </w:t>
      </w:r>
      <w:r>
        <w:t>requirements by modelling the number of sites required for a given set of assumptions about traffic, spectrum availability, spectral efficiency and the extent of cellular coverage. The model calculates the number of sites required for each operator although the results in this report are presented at an aggregate level. This chapter describes the key assumptions in the model and the findings of the model.</w:t>
      </w:r>
    </w:p>
    <w:p w:rsidR="00B873A7" w:rsidRDefault="00B873A7" w:rsidP="00B873A7">
      <w:r w:rsidRPr="006361E9">
        <w:t>As traffic increases on its network</w:t>
      </w:r>
      <w:r>
        <w:t xml:space="preserve"> causing congestion at certain sites</w:t>
      </w:r>
      <w:r w:rsidRPr="006361E9">
        <w:t xml:space="preserve">, </w:t>
      </w:r>
      <w:r>
        <w:t>an</w:t>
      </w:r>
      <w:r w:rsidRPr="006361E9">
        <w:t xml:space="preserve"> operator </w:t>
      </w:r>
      <w:r>
        <w:t>will typically respond first of all by adding any additional carriers or bands that it already has available. Once the existing spectrum is fully utilised the operator has three options: acquiring</w:t>
      </w:r>
      <w:r w:rsidRPr="006361E9">
        <w:t xml:space="preserve"> </w:t>
      </w:r>
      <w:r>
        <w:t>additional</w:t>
      </w:r>
      <w:r w:rsidRPr="006361E9">
        <w:t xml:space="preserve"> spectrum</w:t>
      </w:r>
      <w:r>
        <w:t xml:space="preserve">, </w:t>
      </w:r>
      <w:r w:rsidRPr="006361E9">
        <w:t>deploy</w:t>
      </w:r>
      <w:r>
        <w:t>ing</w:t>
      </w:r>
      <w:r w:rsidRPr="006361E9">
        <w:t xml:space="preserve"> </w:t>
      </w:r>
      <w:r>
        <w:t>additional</w:t>
      </w:r>
      <w:r w:rsidRPr="006361E9">
        <w:t xml:space="preserve"> sites</w:t>
      </w:r>
      <w:r>
        <w:t xml:space="preserve"> or using more spectrally efficient technologies (e.g. refarming 2G and 3G spectrum for 4G, or adding MIMO technology) – leading to the balance shown in </w:t>
      </w:r>
      <w:r w:rsidRPr="002D2F9B">
        <w:fldChar w:fldCharType="begin"/>
      </w:r>
      <w:r w:rsidRPr="00196691">
        <w:instrText xml:space="preserve"> REF _Ref368269248 \h </w:instrText>
      </w:r>
      <w:r w:rsidRPr="002D2F9B">
        <w:fldChar w:fldCharType="separate"/>
      </w:r>
      <w:r w:rsidR="00A87B65">
        <w:t>Figure </w:t>
      </w:r>
      <w:r w:rsidR="00A87B65">
        <w:rPr>
          <w:noProof/>
        </w:rPr>
        <w:t>4</w:t>
      </w:r>
      <w:r w:rsidR="00A87B65">
        <w:t>.</w:t>
      </w:r>
      <w:r w:rsidR="00A87B65">
        <w:rPr>
          <w:noProof/>
        </w:rPr>
        <w:t>1</w:t>
      </w:r>
      <w:r w:rsidRPr="002D2F9B">
        <w:fldChar w:fldCharType="end"/>
      </w:r>
      <w:r>
        <w:t xml:space="preserve">. </w:t>
      </w:r>
    </w:p>
    <w:p w:rsidR="00B873A7" w:rsidRDefault="00B873A7" w:rsidP="00B873A7">
      <w:pPr>
        <w:pStyle w:val="Caption"/>
      </w:pPr>
      <w:bookmarkStart w:id="66" w:name="_Ref361751629"/>
      <w:bookmarkStart w:id="67" w:name="_Ref368269248"/>
      <w:r>
        <w:lastRenderedPageBreak/>
        <w:t>Figure</w:t>
      </w:r>
      <w:bookmarkEnd w:id="66"/>
      <w:r>
        <w:t>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fldSimple w:instr=" SEQ Figure \* ARABIC \s 1 \* MERGEFORMAT ">
        <w:r w:rsidR="00A87B65">
          <w:rPr>
            <w:noProof/>
          </w:rPr>
          <w:t>1</w:t>
        </w:r>
      </w:fldSimple>
      <w:bookmarkEnd w:id="67"/>
      <w:r>
        <w:t>: Spectrum / site / technology trade-off [Source: Analysys Mason, 2014]</w:t>
      </w:r>
    </w:p>
    <w:p w:rsidR="00B873A7" w:rsidRPr="004F378A" w:rsidRDefault="00B873A7" w:rsidP="00B873A7">
      <w:pPr>
        <w:pStyle w:val="Border"/>
      </w:pPr>
      <w:r w:rsidRPr="00227C89">
        <w:rPr>
          <w:noProof/>
          <w:lang w:val="en-AU" w:eastAsia="en-AU"/>
        </w:rPr>
        <w:drawing>
          <wp:inline distT="0" distB="0" distL="0" distR="0" wp14:anchorId="2D18A884" wp14:editId="2605A958">
            <wp:extent cx="3856382" cy="2576713"/>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861582" cy="2580187"/>
                    </a:xfrm>
                    <a:prstGeom prst="rect">
                      <a:avLst/>
                    </a:prstGeom>
                    <a:noFill/>
                    <a:ln>
                      <a:noFill/>
                    </a:ln>
                  </pic:spPr>
                </pic:pic>
              </a:graphicData>
            </a:graphic>
          </wp:inline>
        </w:drawing>
      </w:r>
    </w:p>
    <w:p w:rsidR="00306178" w:rsidRPr="005A106E" w:rsidRDefault="00306178" w:rsidP="00645EF9">
      <w:pPr>
        <w:rPr>
          <w:spacing w:val="-4"/>
        </w:rPr>
      </w:pPr>
      <w:r w:rsidRPr="005A106E">
        <w:rPr>
          <w:spacing w:val="-4"/>
        </w:rPr>
        <w:t>For a given level of traffic, if it is more commercially attractive (taking into account the trade-offs of capital/operating expenditure, the cost of acquiring spectrum and the time and effort required to acquire new sites) to deploy new sites rather than attempt to acquire spectrum, then rationally the operator would deploy new sites. However, it should be noted that opportunities to acquire spectrum in new bands occur infrequently so in practice each operator must try to predict likely future traffic levels and technical advances and then act accordingly when new spectrum is offered.</w:t>
      </w:r>
    </w:p>
    <w:p w:rsidR="00B873A7" w:rsidRDefault="00B873A7" w:rsidP="00B873A7">
      <w:r>
        <w:t xml:space="preserve">The existence of the trade-off shown in </w:t>
      </w:r>
      <w:r w:rsidRPr="002D2F9B">
        <w:fldChar w:fldCharType="begin"/>
      </w:r>
      <w:r w:rsidRPr="00196691">
        <w:instrText xml:space="preserve"> REF _Ref368269248 \h </w:instrText>
      </w:r>
      <w:r w:rsidRPr="002D2F9B">
        <w:fldChar w:fldCharType="separate"/>
      </w:r>
      <w:r w:rsidR="00A87B65">
        <w:t>Figure </w:t>
      </w:r>
      <w:r w:rsidR="00A87B65">
        <w:rPr>
          <w:noProof/>
        </w:rPr>
        <w:t>4</w:t>
      </w:r>
      <w:r w:rsidR="00A87B65">
        <w:t>.</w:t>
      </w:r>
      <w:r w:rsidR="00A87B65">
        <w:rPr>
          <w:noProof/>
        </w:rPr>
        <w:t>1</w:t>
      </w:r>
      <w:r w:rsidRPr="002D2F9B">
        <w:fldChar w:fldCharType="end"/>
      </w:r>
      <w:r>
        <w:t xml:space="preserve"> means that in practice it is very challenging to</w:t>
      </w:r>
      <w:r w:rsidRPr="006361E9">
        <w:t xml:space="preserve"> </w:t>
      </w:r>
      <w:r>
        <w:t xml:space="preserve">build a model that directly estimates the amount of spectrum required by an operator. Instead we have taken an indirect approach where we estimate the number of sites required given a certain amount of spectrum and then explore how the number of sites is reduced if more spectrum is made available. </w:t>
      </w:r>
      <w:r w:rsidRPr="00B70F52">
        <w:t>The approach we have taken has been accepted as a reasonable method for estimating asset numbers in the majority of mobile regulatory costing models that have been buil</w:t>
      </w:r>
      <w:r>
        <w:t>t</w:t>
      </w:r>
      <w:r w:rsidRPr="00B70F52">
        <w:t xml:space="preserve"> worldwide</w:t>
      </w:r>
      <w:r>
        <w:t>.</w:t>
      </w:r>
      <w:r w:rsidR="00C42CC4">
        <w:rPr>
          <w:rStyle w:val="FootnoteReference"/>
        </w:rPr>
        <w:footnoteReference w:id="11"/>
      </w:r>
      <w:r>
        <w:t xml:space="preserve"> </w:t>
      </w:r>
      <w:r>
        <w:lastRenderedPageBreak/>
        <w:t>There is considerable uncertainty about future levels of traffic and also some uncertainty about the average levels of spectral efficiency that will be achieved in future. We deal with these uncertainties by running a set of sensitivities on our base case assumptions.</w:t>
      </w:r>
    </w:p>
    <w:p w:rsidR="00306178" w:rsidRPr="005A106E" w:rsidRDefault="00306178" w:rsidP="00306178">
      <w:pPr>
        <w:rPr>
          <w:spacing w:val="-4"/>
        </w:rPr>
      </w:pPr>
      <w:r w:rsidRPr="005A106E">
        <w:rPr>
          <w:spacing w:val="-4"/>
        </w:rPr>
        <w:t>The model produces some high-level estimates of the cost of upgrading existing sites and adding new sites. However, it has not been designed to estimate the value to operators of acquiring additional spectrum, or to consider the cost of carrying traffic versus the revenue generated through carrying it. As such it may be the case that where spectrum and site growth are limited, operators could decide to tactically limit traffic growth through, for example, increasing the price of data or decreasing the size of bundles, or only competing for additional market share in specific areas.</w:t>
      </w:r>
    </w:p>
    <w:p w:rsidR="00306178" w:rsidRPr="006361E9" w:rsidRDefault="00306178" w:rsidP="00645EF9">
      <w:pPr>
        <w:pStyle w:val="Heading2"/>
      </w:pPr>
      <w:bookmarkStart w:id="68" w:name="_Toc409445585"/>
      <w:bookmarkStart w:id="69" w:name="_Ref410724594"/>
      <w:r>
        <w:t>Logical structure of the model</w:t>
      </w:r>
      <w:bookmarkEnd w:id="68"/>
      <w:bookmarkEnd w:id="69"/>
    </w:p>
    <w:p w:rsidR="00B873A7" w:rsidRPr="006361E9" w:rsidRDefault="00B873A7" w:rsidP="00B873A7">
      <w:r w:rsidRPr="006361E9">
        <w:t>The key inputs</w:t>
      </w:r>
      <w:r>
        <w:t xml:space="preserve"> to,</w:t>
      </w:r>
      <w:r w:rsidRPr="006361E9">
        <w:t xml:space="preserve"> calculations</w:t>
      </w:r>
      <w:r>
        <w:t xml:space="preserve"> within</w:t>
      </w:r>
      <w:r w:rsidRPr="006361E9">
        <w:t xml:space="preserve"> and outputs from the model are summarised in</w:t>
      </w:r>
      <w:r>
        <w:t xml:space="preserve"> </w:t>
      </w:r>
      <w:r w:rsidRPr="002D2F9B">
        <w:fldChar w:fldCharType="begin"/>
      </w:r>
      <w:r w:rsidRPr="00196691">
        <w:instrText xml:space="preserve"> REF _Ref368269250 \h </w:instrText>
      </w:r>
      <w:r w:rsidRPr="002D2F9B">
        <w:fldChar w:fldCharType="separate"/>
      </w:r>
      <w:r w:rsidR="00A87B65">
        <w:t>Figure </w:t>
      </w:r>
      <w:r w:rsidR="00A87B65">
        <w:rPr>
          <w:noProof/>
        </w:rPr>
        <w:t>4</w:t>
      </w:r>
      <w:r w:rsidR="00A87B65">
        <w:t>.</w:t>
      </w:r>
      <w:r w:rsidR="00A87B65">
        <w:rPr>
          <w:noProof/>
        </w:rPr>
        <w:t>2</w:t>
      </w:r>
      <w:r w:rsidRPr="002D2F9B">
        <w:fldChar w:fldCharType="end"/>
      </w:r>
      <w:r w:rsidRPr="006361E9">
        <w:t>.</w:t>
      </w:r>
    </w:p>
    <w:p w:rsidR="00B873A7" w:rsidRDefault="00B873A7" w:rsidP="00B873A7">
      <w:pPr>
        <w:pStyle w:val="Caption"/>
      </w:pPr>
      <w:bookmarkStart w:id="70" w:name="_Ref361751611"/>
      <w:bookmarkStart w:id="71" w:name="_Ref368269250"/>
      <w:bookmarkStart w:id="72" w:name="_Ref361751608"/>
      <w:r>
        <w:lastRenderedPageBreak/>
        <w:t>Figure</w:t>
      </w:r>
      <w:bookmarkEnd w:id="70"/>
      <w:r>
        <w:t>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fldSimple w:instr=" SEQ Figure \* ARABIC \s 1 \* MERGEFORMAT ">
        <w:r w:rsidR="00A87B65">
          <w:rPr>
            <w:noProof/>
          </w:rPr>
          <w:t>2</w:t>
        </w:r>
      </w:fldSimple>
      <w:bookmarkEnd w:id="71"/>
      <w:r>
        <w:t xml:space="preserve">: Flow of </w:t>
      </w:r>
      <w:r w:rsidR="0058443D">
        <w:t>infrastructure</w:t>
      </w:r>
      <w:r>
        <w:t xml:space="preserve"> requirement calculation methodology [Source: Analysys Mason, 2014]</w:t>
      </w:r>
      <w:bookmarkEnd w:id="72"/>
    </w:p>
    <w:p w:rsidR="00B873A7" w:rsidRPr="004F378A" w:rsidRDefault="00B873A7" w:rsidP="00B873A7">
      <w:pPr>
        <w:pStyle w:val="Border"/>
      </w:pPr>
      <w:r w:rsidRPr="00E6267D">
        <w:rPr>
          <w:noProof/>
          <w:lang w:val="en-AU" w:eastAsia="en-AU"/>
        </w:rPr>
        <w:drawing>
          <wp:inline distT="0" distB="0" distL="0" distR="0" wp14:anchorId="423E6332" wp14:editId="6E7040EA">
            <wp:extent cx="5544185" cy="2741917"/>
            <wp:effectExtent l="0" t="0" r="0" b="1905"/>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5544185" cy="2741917"/>
                    </a:xfrm>
                    <a:prstGeom prst="rect">
                      <a:avLst/>
                    </a:prstGeom>
                    <a:noFill/>
                    <a:ln>
                      <a:noFill/>
                    </a:ln>
                  </pic:spPr>
                </pic:pic>
              </a:graphicData>
            </a:graphic>
          </wp:inline>
        </w:drawing>
      </w:r>
    </w:p>
    <w:p w:rsidR="00B8748B" w:rsidRDefault="00B873A7" w:rsidP="00B873A7">
      <w:r>
        <w:t>The model starts with assumptions about the geographical area to be covered by each operator using each technology, the spectrum band used to provide coverage (usually the lowest frequency band available for that technology) and the average cell radius in that band (the radius varies by geotype, i.e. nationally-defined population density zones). From this it calculates the number of cell sites r</w:t>
      </w:r>
      <w:r w:rsidR="00B8748B">
        <w:t>equired for the coverage layer.</w:t>
      </w:r>
    </w:p>
    <w:p w:rsidR="00B8748B" w:rsidRDefault="00B873A7" w:rsidP="005A106E">
      <w:pPr>
        <w:spacing w:after="160"/>
      </w:pPr>
      <w:r>
        <w:t xml:space="preserve">The model then uses assumptions about the spectral efficiency and the amount of spectrum available, to calculate the amount of capacity available from the coverage layer in each geotype and compares this with the total amount of traffic that needs to be carried in that geotype during the busy </w:t>
      </w:r>
      <w:r w:rsidR="00B8748B">
        <w:t>hour in each year of the model.</w:t>
      </w:r>
    </w:p>
    <w:p w:rsidR="00B873A7" w:rsidRDefault="00B873A7" w:rsidP="005A106E">
      <w:pPr>
        <w:spacing w:after="160"/>
      </w:pPr>
      <w:r>
        <w:t xml:space="preserve">If the coverage layer does not provide sufficient capacity the model then adds additional capacity upgrades to the coverage sites and, if this still fails to provide sufficient capacity, calculates the number of additional pure capacity sites required. In calculating the number of capacity upgrades and pure capacity sites required, the model does not assume that the traffic is </w:t>
      </w:r>
      <w:r>
        <w:lastRenderedPageBreak/>
        <w:t xml:space="preserve">distributed uniformly within each geotype, but rather follows a distribution similar to that shown in </w:t>
      </w:r>
      <w:r w:rsidRPr="002D2F9B">
        <w:fldChar w:fldCharType="begin"/>
      </w:r>
      <w:r w:rsidRPr="00196691">
        <w:instrText xml:space="preserve"> REF _Ref380594120 \h </w:instrText>
      </w:r>
      <w:r w:rsidRPr="002D2F9B">
        <w:fldChar w:fldCharType="separate"/>
      </w:r>
      <w:r w:rsidR="00A87B65">
        <w:t>Figure </w:t>
      </w:r>
      <w:r w:rsidR="00A87B65">
        <w:rPr>
          <w:noProof/>
        </w:rPr>
        <w:t>4</w:t>
      </w:r>
      <w:r w:rsidR="00A87B65">
        <w:t>.</w:t>
      </w:r>
      <w:r w:rsidR="00A87B65">
        <w:rPr>
          <w:noProof/>
        </w:rPr>
        <w:t>3</w:t>
      </w:r>
      <w:r w:rsidRPr="002D2F9B">
        <w:fldChar w:fldCharType="end"/>
      </w:r>
      <w:r>
        <w:t>.</w:t>
      </w:r>
    </w:p>
    <w:tbl>
      <w:tblPr>
        <w:tblW w:w="8730" w:type="dxa"/>
        <w:tblLayout w:type="fixed"/>
        <w:tblCellMar>
          <w:left w:w="0" w:type="dxa"/>
          <w:right w:w="0" w:type="dxa"/>
        </w:tblCellMar>
        <w:tblLook w:val="0000" w:firstRow="0" w:lastRow="0" w:firstColumn="0" w:lastColumn="0" w:noHBand="0" w:noVBand="0"/>
      </w:tblPr>
      <w:tblGrid>
        <w:gridCol w:w="6576"/>
        <w:gridCol w:w="2154"/>
      </w:tblGrid>
      <w:tr w:rsidR="00B873A7" w:rsidTr="00841EA0">
        <w:tc>
          <w:tcPr>
            <w:tcW w:w="6576" w:type="dxa"/>
            <w:tcBorders>
              <w:right w:val="single" w:sz="4" w:space="0" w:color="auto"/>
            </w:tcBorders>
            <w:shd w:val="clear" w:color="auto" w:fill="auto"/>
          </w:tcPr>
          <w:p w:rsidR="00B873A7" w:rsidRDefault="00B873A7" w:rsidP="00841EA0">
            <w:pPr>
              <w:pStyle w:val="Bordersmall"/>
            </w:pPr>
            <w:r>
              <w:rPr>
                <w:noProof/>
                <w:lang w:val="en-AU" w:eastAsia="en-AU"/>
              </w:rPr>
              <w:drawing>
                <wp:inline distT="0" distB="0" distL="0" distR="0" wp14:anchorId="63774359" wp14:editId="715F8E36">
                  <wp:extent cx="3981600" cy="2944800"/>
                  <wp:effectExtent l="0" t="0" r="0" b="0"/>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981600" cy="2944800"/>
                          </a:xfrm>
                          <a:prstGeom prst="rect">
                            <a:avLst/>
                          </a:prstGeom>
                          <a:noFill/>
                          <a:ln>
                            <a:noFill/>
                          </a:ln>
                        </pic:spPr>
                      </pic:pic>
                    </a:graphicData>
                  </a:graphic>
                </wp:inline>
              </w:drawing>
            </w:r>
          </w:p>
        </w:tc>
        <w:tc>
          <w:tcPr>
            <w:tcW w:w="2154" w:type="dxa"/>
            <w:tcBorders>
              <w:left w:val="single" w:sz="4" w:space="0" w:color="auto"/>
            </w:tcBorders>
            <w:shd w:val="clear" w:color="auto" w:fill="auto"/>
          </w:tcPr>
          <w:p w:rsidR="00B873A7" w:rsidRDefault="00B873A7" w:rsidP="00841EA0">
            <w:pPr>
              <w:pStyle w:val="Captionsmall"/>
            </w:pPr>
            <w:bookmarkStart w:id="73" w:name="_Ref380594120"/>
            <w:r>
              <w:t>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r w:rsidR="008B1006">
              <w:fldChar w:fldCharType="begin"/>
            </w:r>
            <w:r w:rsidR="008B1006">
              <w:instrText xml:space="preserve"> SEQ Figure \* ARABIC \s 1 \* MERGEFORMAT </w:instrText>
            </w:r>
            <w:r w:rsidR="008B1006">
              <w:fldChar w:fldCharType="separate"/>
            </w:r>
            <w:r w:rsidR="00A87B65">
              <w:rPr>
                <w:noProof/>
              </w:rPr>
              <w:t>3</w:t>
            </w:r>
            <w:r w:rsidR="008B1006">
              <w:rPr>
                <w:noProof/>
              </w:rPr>
              <w:fldChar w:fldCharType="end"/>
            </w:r>
            <w:bookmarkEnd w:id="73"/>
            <w:r>
              <w:t>: Illustration of traffic distribution curve used to calculate number of sites requiring capacity upgrades [Source: Analysys Mason, 2014]</w:t>
            </w:r>
          </w:p>
        </w:tc>
      </w:tr>
    </w:tbl>
    <w:p w:rsidR="00B8748B" w:rsidRDefault="00B873A7" w:rsidP="005A106E">
      <w:pPr>
        <w:spacing w:after="160"/>
      </w:pPr>
      <w:r>
        <w:br/>
        <w:t xml:space="preserve">Since the model works on the basis of nationally-defined geotypes, the results only reveal the total number of capacity upgrades and pure capacity sites required in each geotype based on the total amount of spectrum available in the geotype. An additional assumption examines whether there is an appropriate balance between low- and high-frequency spectrum, namely in a cell that has both low- and high-frequency spectrum deployed, what proportion of the total traffic in the cell lies within the area served by the high-frequency spectrum (shown as area A in </w:t>
      </w:r>
      <w:r w:rsidRPr="002D2F9B">
        <w:fldChar w:fldCharType="begin"/>
      </w:r>
      <w:r w:rsidRPr="00196691">
        <w:instrText xml:space="preserve"> REF _Ref368269164 \h </w:instrText>
      </w:r>
      <w:r w:rsidRPr="002D2F9B">
        <w:fldChar w:fldCharType="separate"/>
      </w:r>
      <w:r w:rsidR="00A87B65">
        <w:t>Figure </w:t>
      </w:r>
      <w:r w:rsidR="00A87B65">
        <w:rPr>
          <w:noProof/>
        </w:rPr>
        <w:t>4</w:t>
      </w:r>
      <w:r w:rsidR="00A87B65">
        <w:t>.</w:t>
      </w:r>
      <w:r w:rsidR="00A87B65">
        <w:rPr>
          <w:noProof/>
        </w:rPr>
        <w:t>4</w:t>
      </w:r>
      <w:r w:rsidRPr="002D2F9B">
        <w:fldChar w:fldCharType="end"/>
      </w:r>
      <w:r w:rsidR="0058443D">
        <w:t xml:space="preserve"> below</w:t>
      </w:r>
      <w:r>
        <w:t>).</w:t>
      </w:r>
    </w:p>
    <w:p w:rsidR="0058217A" w:rsidRDefault="0058217A">
      <w:pPr>
        <w:spacing w:after="0" w:line="240" w:lineRule="auto"/>
        <w:jc w:val="left"/>
      </w:pPr>
      <w:r>
        <w:br w:type="page"/>
      </w:r>
    </w:p>
    <w:p w:rsidR="00B873A7" w:rsidRDefault="00B873A7" w:rsidP="005A106E">
      <w:pPr>
        <w:spacing w:after="160"/>
      </w:pPr>
      <w:r w:rsidRPr="005A53E7">
        <w:lastRenderedPageBreak/>
        <w:t xml:space="preserve">As a rule of thumb </w:t>
      </w:r>
      <w:r w:rsidR="009B0305" w:rsidRPr="005A53E7">
        <w:t xml:space="preserve">to ensure that cell edge users are properly </w:t>
      </w:r>
      <w:r w:rsidR="009B0305">
        <w:t>supported,</w:t>
      </w:r>
      <w:r w:rsidR="009B0305" w:rsidRPr="005A53E7">
        <w:t xml:space="preserve"> </w:t>
      </w:r>
      <w:r w:rsidRPr="005A53E7">
        <w:t>we want there to be sufficient spectrum</w:t>
      </w:r>
      <w:r>
        <w:t xml:space="preserve"> available in the coverage band (and lower bands if any</w:t>
      </w:r>
      <w:r>
        <w:rPr>
          <w:rStyle w:val="FootnoteReference"/>
        </w:rPr>
        <w:footnoteReference w:id="12"/>
      </w:r>
      <w:r>
        <w:t>)</w:t>
      </w:r>
      <w:r w:rsidRPr="005A53E7">
        <w:t xml:space="preserve"> to be able to carry at least </w:t>
      </w:r>
      <w:r w:rsidR="009B0305">
        <w:t>2</w:t>
      </w:r>
      <w:r w:rsidRPr="005A53E7">
        <w:t>0% of the traffic.</w:t>
      </w:r>
      <w:r w:rsidR="009B0305">
        <w:rPr>
          <w:rStyle w:val="FootnoteReference"/>
        </w:rPr>
        <w:footnoteReference w:id="13"/>
      </w:r>
      <w:r w:rsidRPr="005A53E7">
        <w:t xml:space="preserve"> T</w:t>
      </w:r>
      <w:r>
        <w:t>his condition is met in the base case</w:t>
      </w:r>
      <w:r w:rsidR="00133710">
        <w:t xml:space="preserve">, although </w:t>
      </w:r>
      <w:r w:rsidR="009B0305">
        <w:t xml:space="preserve">it </w:t>
      </w:r>
      <w:r w:rsidR="00133710">
        <w:t>requires us to assume that VHA continues to use 1800MHz rather than 800MHz as the 4G coverage layer (we have included a sensitivity in which we assume that VHA uses 800MHz for 4G coverage)</w:t>
      </w:r>
      <w:r>
        <w:t xml:space="preserve">. </w:t>
      </w:r>
    </w:p>
    <w:tbl>
      <w:tblPr>
        <w:tblW w:w="8730" w:type="dxa"/>
        <w:tblLayout w:type="fixed"/>
        <w:tblCellMar>
          <w:left w:w="0" w:type="dxa"/>
          <w:right w:w="0" w:type="dxa"/>
        </w:tblCellMar>
        <w:tblLook w:val="0000" w:firstRow="0" w:lastRow="0" w:firstColumn="0" w:lastColumn="0" w:noHBand="0" w:noVBand="0"/>
      </w:tblPr>
      <w:tblGrid>
        <w:gridCol w:w="6576"/>
        <w:gridCol w:w="2154"/>
      </w:tblGrid>
      <w:tr w:rsidR="00B873A7" w:rsidTr="00841EA0">
        <w:tc>
          <w:tcPr>
            <w:tcW w:w="6576" w:type="dxa"/>
            <w:tcBorders>
              <w:right w:val="single" w:sz="4" w:space="0" w:color="auto"/>
            </w:tcBorders>
            <w:shd w:val="clear" w:color="auto" w:fill="auto"/>
          </w:tcPr>
          <w:p w:rsidR="00B873A7" w:rsidRDefault="00B873A7" w:rsidP="00841EA0">
            <w:pPr>
              <w:pStyle w:val="Bordersmall"/>
            </w:pPr>
            <w:r>
              <w:rPr>
                <w:noProof/>
                <w:lang w:val="en-AU" w:eastAsia="en-AU"/>
              </w:rPr>
              <w:drawing>
                <wp:inline distT="0" distB="0" distL="0" distR="0" wp14:anchorId="79DFA87F" wp14:editId="14500C25">
                  <wp:extent cx="2340000" cy="2340000"/>
                  <wp:effectExtent l="0" t="0" r="3175" b="3175"/>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2340000" cy="2340000"/>
                          </a:xfrm>
                          <a:prstGeom prst="rect">
                            <a:avLst/>
                          </a:prstGeom>
                          <a:noFill/>
                          <a:ln>
                            <a:noFill/>
                          </a:ln>
                        </pic:spPr>
                      </pic:pic>
                    </a:graphicData>
                  </a:graphic>
                </wp:inline>
              </w:drawing>
            </w:r>
          </w:p>
        </w:tc>
        <w:tc>
          <w:tcPr>
            <w:tcW w:w="2154" w:type="dxa"/>
            <w:tcBorders>
              <w:left w:val="single" w:sz="4" w:space="0" w:color="auto"/>
            </w:tcBorders>
            <w:shd w:val="clear" w:color="auto" w:fill="auto"/>
          </w:tcPr>
          <w:p w:rsidR="00B873A7" w:rsidRDefault="00B873A7" w:rsidP="00841EA0">
            <w:pPr>
              <w:pStyle w:val="Captionsmall"/>
            </w:pPr>
            <w:bookmarkStart w:id="74" w:name="_Ref368269164"/>
            <w:r>
              <w:t>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r w:rsidR="008B1006">
              <w:fldChar w:fldCharType="begin"/>
            </w:r>
            <w:r w:rsidR="008B1006">
              <w:instrText xml:space="preserve"> SEQ Figure \* ARABIC \s 1 \* MERGEFORMAT </w:instrText>
            </w:r>
            <w:r w:rsidR="008B1006">
              <w:fldChar w:fldCharType="separate"/>
            </w:r>
            <w:r w:rsidR="00A87B65">
              <w:rPr>
                <w:noProof/>
              </w:rPr>
              <w:t>4</w:t>
            </w:r>
            <w:r w:rsidR="008B1006">
              <w:rPr>
                <w:noProof/>
              </w:rPr>
              <w:fldChar w:fldCharType="end"/>
            </w:r>
            <w:bookmarkEnd w:id="74"/>
            <w:r>
              <w:t>: Illustration of areas covered by low and high frequencies in a dual-frequency cell [Source: Analysys Mason, 2014]</w:t>
            </w:r>
          </w:p>
        </w:tc>
      </w:tr>
    </w:tbl>
    <w:p w:rsidR="00DB7A05" w:rsidRDefault="00DB7A05" w:rsidP="00B873A7">
      <w:pPr>
        <w:pStyle w:val="Heading2"/>
        <w:sectPr w:rsidR="00DB7A05" w:rsidSect="007E0913">
          <w:headerReference w:type="even" r:id="rId32"/>
          <w:footerReference w:type="even" r:id="rId33"/>
          <w:footerReference w:type="default" r:id="rId34"/>
          <w:headerReference w:type="first" r:id="rId35"/>
          <w:footerReference w:type="first" r:id="rId36"/>
          <w:pgSz w:w="11907" w:h="16840" w:code="9"/>
          <w:pgMar w:top="1418" w:right="1588" w:bottom="1418" w:left="1588" w:header="567" w:footer="567" w:gutter="0"/>
          <w:paperSrc w:first="15" w:other="15"/>
          <w:cols w:space="720"/>
          <w:titlePg/>
          <w:docGrid w:linePitch="299"/>
        </w:sectPr>
      </w:pPr>
      <w:bookmarkStart w:id="75" w:name="_Toc399178489"/>
      <w:bookmarkStart w:id="76" w:name="_Toc402102956"/>
      <w:bookmarkStart w:id="77" w:name="_Toc409445586"/>
      <w:bookmarkStart w:id="78" w:name="_Ref367713019"/>
      <w:bookmarkStart w:id="79" w:name="_Toc373161396"/>
    </w:p>
    <w:p w:rsidR="00B873A7" w:rsidRDefault="00B873A7" w:rsidP="00B873A7">
      <w:pPr>
        <w:pStyle w:val="Heading2"/>
      </w:pPr>
      <w:r>
        <w:lastRenderedPageBreak/>
        <w:t>Key assumptions</w:t>
      </w:r>
      <w:bookmarkEnd w:id="75"/>
      <w:bookmarkEnd w:id="76"/>
      <w:bookmarkEnd w:id="77"/>
    </w:p>
    <w:p w:rsidR="00B873A7" w:rsidRDefault="00B873A7" w:rsidP="005A106E">
      <w:pPr>
        <w:pStyle w:val="Heading3"/>
        <w:spacing w:after="120"/>
        <w:ind w:hanging="567"/>
      </w:pPr>
      <w:bookmarkStart w:id="80" w:name="_Ref380598776"/>
      <w:r>
        <w:t>Geotyping</w:t>
      </w:r>
      <w:bookmarkEnd w:id="78"/>
      <w:bookmarkEnd w:id="79"/>
      <w:bookmarkEnd w:id="80"/>
    </w:p>
    <w:p w:rsidR="00B873A7" w:rsidRDefault="00B873A7" w:rsidP="005A106E">
      <w:pPr>
        <w:spacing w:after="120"/>
      </w:pPr>
      <w:r>
        <w:t xml:space="preserve">For the purpose of the model, Australia has been split into </w:t>
      </w:r>
      <w:r w:rsidRPr="00937B9F">
        <w:t>five geotypes based on population density</w:t>
      </w:r>
      <w:r w:rsidR="00E36E08">
        <w:t xml:space="preserve"> </w:t>
      </w:r>
      <w:r w:rsidR="00196691">
        <w:t>in 2013</w:t>
      </w:r>
      <w:r>
        <w:t>.</w:t>
      </w:r>
      <w:r w:rsidR="00196691">
        <w:rPr>
          <w:rStyle w:val="FootnoteReference"/>
        </w:rPr>
        <w:footnoteReference w:id="14"/>
      </w:r>
      <w:r>
        <w:t xml:space="preserve"> These geotypes (presented in </w:t>
      </w:r>
      <w:r w:rsidRPr="002D2F9B">
        <w:fldChar w:fldCharType="begin"/>
      </w:r>
      <w:r w:rsidRPr="00196691">
        <w:instrText xml:space="preserve"> REF _Ref367717009 \h </w:instrText>
      </w:r>
      <w:r w:rsidRPr="002D2F9B">
        <w:fldChar w:fldCharType="separate"/>
      </w:r>
      <w:r w:rsidR="00A87B65">
        <w:t>Figure </w:t>
      </w:r>
      <w:r w:rsidR="00A87B65">
        <w:rPr>
          <w:noProof/>
        </w:rPr>
        <w:t>4</w:t>
      </w:r>
      <w:r w:rsidR="00A87B65">
        <w:t>.</w:t>
      </w:r>
      <w:r w:rsidR="00A87B65">
        <w:rPr>
          <w:noProof/>
        </w:rPr>
        <w:t>5</w:t>
      </w:r>
      <w:r w:rsidRPr="002D2F9B">
        <w:fldChar w:fldCharType="end"/>
      </w:r>
      <w:r w:rsidR="0058217A">
        <w:t xml:space="preserve"> below</w:t>
      </w:r>
      <w:r>
        <w:t xml:space="preserve">) are based on </w:t>
      </w:r>
      <w:r w:rsidR="00E36E08">
        <w:t>statistical area level 2 (</w:t>
      </w:r>
      <w:r>
        <w:t>SA2</w:t>
      </w:r>
      <w:r w:rsidR="00E36E08">
        <w:t>)</w:t>
      </w:r>
      <w:r>
        <w:t xml:space="preserve"> areas.</w:t>
      </w:r>
      <w:r w:rsidR="00196691">
        <w:rPr>
          <w:rStyle w:val="FootnoteReference"/>
        </w:rPr>
        <w:footnoteReference w:id="15"/>
      </w:r>
    </w:p>
    <w:p w:rsidR="00B873A7" w:rsidRDefault="00B873A7" w:rsidP="005A106E">
      <w:pPr>
        <w:pStyle w:val="Caption"/>
        <w:spacing w:before="360" w:after="120" w:line="240" w:lineRule="atLeast"/>
      </w:pPr>
      <w:bookmarkStart w:id="81" w:name="_Ref367717009"/>
      <w:r>
        <w:t>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fldSimple w:instr=" SEQ Figure \* ARABIC \s 1 \* MERGEFORMAT ">
        <w:r w:rsidR="00A87B65">
          <w:rPr>
            <w:noProof/>
          </w:rPr>
          <w:t>5</w:t>
        </w:r>
      </w:fldSimple>
      <w:bookmarkEnd w:id="81"/>
      <w:r>
        <w:t>: Definition of geotypes [Source: Analysys Mason, 2014]</w:t>
      </w:r>
    </w:p>
    <w:tbl>
      <w:tblPr>
        <w:tblStyle w:val="MediumShading2-Accent1"/>
        <w:tblW w:w="4879" w:type="pct"/>
        <w:tblInd w:w="108" w:type="dxa"/>
        <w:tblLayout w:type="fixed"/>
        <w:tblLook w:val="0420" w:firstRow="1" w:lastRow="0" w:firstColumn="0" w:lastColumn="0" w:noHBand="0" w:noVBand="1"/>
      </w:tblPr>
      <w:tblGrid>
        <w:gridCol w:w="1076"/>
        <w:gridCol w:w="1304"/>
        <w:gridCol w:w="1247"/>
        <w:gridCol w:w="1191"/>
        <w:gridCol w:w="1020"/>
        <w:gridCol w:w="964"/>
        <w:gridCol w:w="964"/>
        <w:gridCol w:w="964"/>
      </w:tblGrid>
      <w:tr w:rsidR="00645EF9" w:rsidRPr="004C1D0B" w:rsidTr="003C6417">
        <w:trPr>
          <w:cnfStyle w:val="100000000000" w:firstRow="1" w:lastRow="0" w:firstColumn="0" w:lastColumn="0" w:oddVBand="0" w:evenVBand="0" w:oddHBand="0" w:evenHBand="0" w:firstRowFirstColumn="0" w:firstRowLastColumn="0" w:lastRowFirstColumn="0" w:lastRowLastColumn="0"/>
        </w:trPr>
        <w:tc>
          <w:tcPr>
            <w:tcW w:w="1077" w:type="dxa"/>
            <w:tcBorders>
              <w:top w:val="single" w:sz="18" w:space="0" w:color="221F72"/>
              <w:bottom w:val="single" w:sz="4" w:space="0" w:color="FFFFFF" w:themeColor="background1"/>
            </w:tcBorders>
            <w:shd w:val="solid" w:color="221F72" w:fill="221F72"/>
          </w:tcPr>
          <w:p w:rsidR="00B873A7" w:rsidRPr="004C1D0B" w:rsidRDefault="00B873A7" w:rsidP="005A106E">
            <w:pPr>
              <w:pStyle w:val="Tableheading"/>
              <w:spacing w:before="20" w:after="20"/>
              <w:ind w:right="0"/>
              <w:rPr>
                <w:b/>
                <w:i/>
              </w:rPr>
            </w:pPr>
            <w:r w:rsidRPr="004C1D0B">
              <w:rPr>
                <w:b/>
              </w:rPr>
              <w:t>Geotype</w:t>
            </w:r>
          </w:p>
        </w:tc>
        <w:tc>
          <w:tcPr>
            <w:tcW w:w="1304" w:type="dxa"/>
            <w:tcBorders>
              <w:top w:val="single" w:sz="18" w:space="0" w:color="221F72"/>
              <w:bottom w:val="single" w:sz="4" w:space="0" w:color="FFFFFF" w:themeColor="background1"/>
            </w:tcBorders>
            <w:shd w:val="solid" w:color="221F72" w:fill="221F72"/>
          </w:tcPr>
          <w:p w:rsidR="00B873A7" w:rsidRPr="004C1D0B" w:rsidRDefault="00B873A7" w:rsidP="005A106E">
            <w:pPr>
              <w:pStyle w:val="Tableheading"/>
              <w:spacing w:before="20" w:after="20"/>
              <w:ind w:right="0"/>
              <w:jc w:val="center"/>
              <w:rPr>
                <w:b/>
                <w:bCs w:val="0"/>
                <w:i/>
              </w:rPr>
            </w:pPr>
            <w:r w:rsidRPr="004C1D0B">
              <w:rPr>
                <w:b/>
              </w:rPr>
              <w:t>Spectrum allocation</w:t>
            </w:r>
          </w:p>
        </w:tc>
        <w:tc>
          <w:tcPr>
            <w:tcW w:w="1247" w:type="dxa"/>
            <w:tcBorders>
              <w:top w:val="single" w:sz="18" w:space="0" w:color="221F72"/>
              <w:bottom w:val="single" w:sz="4" w:space="0" w:color="FFFFFF" w:themeColor="background1"/>
            </w:tcBorders>
            <w:shd w:val="solid" w:color="221F72" w:fill="221F72"/>
          </w:tcPr>
          <w:p w:rsidR="00B873A7" w:rsidRPr="004C1D0B" w:rsidRDefault="00B873A7" w:rsidP="005A106E">
            <w:pPr>
              <w:pStyle w:val="Tableheading"/>
              <w:spacing w:before="20" w:after="20"/>
              <w:ind w:right="0"/>
              <w:jc w:val="center"/>
              <w:rPr>
                <w:b/>
                <w:bCs w:val="0"/>
                <w:i/>
              </w:rPr>
            </w:pPr>
            <w:r w:rsidRPr="004C1D0B">
              <w:rPr>
                <w:b/>
                <w:bCs w:val="0"/>
              </w:rPr>
              <w:t>Density (pop</w:t>
            </w:r>
            <w:r w:rsidR="00306178">
              <w:rPr>
                <w:b/>
                <w:bCs w:val="0"/>
              </w:rPr>
              <w:t>ulation</w:t>
            </w:r>
            <w:r w:rsidRPr="004C1D0B">
              <w:rPr>
                <w:b/>
                <w:bCs w:val="0"/>
              </w:rPr>
              <w:t xml:space="preserve"> per sq km)</w:t>
            </w:r>
          </w:p>
        </w:tc>
        <w:tc>
          <w:tcPr>
            <w:tcW w:w="1191" w:type="dxa"/>
            <w:tcBorders>
              <w:top w:val="single" w:sz="18" w:space="0" w:color="221F72"/>
              <w:bottom w:val="single" w:sz="4" w:space="0" w:color="FFFFFF" w:themeColor="background1"/>
            </w:tcBorders>
            <w:shd w:val="solid" w:color="221F72" w:fill="221F72"/>
          </w:tcPr>
          <w:p w:rsidR="00306178" w:rsidRDefault="00B873A7" w:rsidP="005A106E">
            <w:pPr>
              <w:pStyle w:val="Tableheading"/>
              <w:spacing w:before="20" w:after="20"/>
              <w:ind w:right="0"/>
              <w:jc w:val="center"/>
              <w:rPr>
                <w:b/>
                <w:bCs w:val="0"/>
              </w:rPr>
            </w:pPr>
            <w:r w:rsidRPr="004C1D0B">
              <w:rPr>
                <w:b/>
                <w:bCs w:val="0"/>
              </w:rPr>
              <w:t>Pop</w:t>
            </w:r>
            <w:r w:rsidR="00306178">
              <w:rPr>
                <w:b/>
                <w:bCs w:val="0"/>
              </w:rPr>
              <w:t>ulation at time of 2011 census</w:t>
            </w:r>
          </w:p>
          <w:p w:rsidR="00B873A7" w:rsidRPr="004C1D0B" w:rsidRDefault="00B873A7" w:rsidP="005A106E">
            <w:pPr>
              <w:pStyle w:val="Tableheading"/>
              <w:spacing w:before="20" w:after="20"/>
              <w:ind w:right="0"/>
              <w:jc w:val="center"/>
              <w:rPr>
                <w:b/>
                <w:bCs w:val="0"/>
                <w:i/>
              </w:rPr>
            </w:pPr>
            <w:r w:rsidRPr="004C1D0B">
              <w:rPr>
                <w:b/>
                <w:bCs w:val="0"/>
              </w:rPr>
              <w:t>(m</w:t>
            </w:r>
            <w:r w:rsidR="00306178">
              <w:rPr>
                <w:b/>
                <w:bCs w:val="0"/>
              </w:rPr>
              <w:t>illion</w:t>
            </w:r>
            <w:r w:rsidRPr="004C1D0B">
              <w:rPr>
                <w:b/>
                <w:bCs w:val="0"/>
              </w:rPr>
              <w:t>)</w:t>
            </w:r>
          </w:p>
        </w:tc>
        <w:tc>
          <w:tcPr>
            <w:tcW w:w="1020" w:type="dxa"/>
            <w:tcBorders>
              <w:top w:val="single" w:sz="18" w:space="0" w:color="221F72"/>
              <w:bottom w:val="single" w:sz="4" w:space="0" w:color="FFFFFF" w:themeColor="background1"/>
            </w:tcBorders>
            <w:shd w:val="solid" w:color="221F72" w:fill="221F72"/>
          </w:tcPr>
          <w:p w:rsidR="00B873A7" w:rsidRPr="004C1D0B" w:rsidRDefault="00B873A7" w:rsidP="005A106E">
            <w:pPr>
              <w:pStyle w:val="Tableheading"/>
              <w:spacing w:before="20" w:after="20"/>
              <w:ind w:right="0"/>
              <w:jc w:val="center"/>
              <w:rPr>
                <w:b/>
                <w:bCs w:val="0"/>
                <w:i/>
              </w:rPr>
            </w:pPr>
            <w:r w:rsidRPr="004C1D0B">
              <w:rPr>
                <w:b/>
                <w:bCs w:val="0"/>
              </w:rPr>
              <w:t xml:space="preserve">Area </w:t>
            </w:r>
            <w:r w:rsidRPr="004C1D0B">
              <w:rPr>
                <w:b/>
                <w:bCs w:val="0"/>
              </w:rPr>
              <w:br/>
              <w:t>(sq km)</w:t>
            </w:r>
          </w:p>
        </w:tc>
        <w:tc>
          <w:tcPr>
            <w:tcW w:w="964" w:type="dxa"/>
            <w:tcBorders>
              <w:top w:val="single" w:sz="18" w:space="0" w:color="221F72"/>
              <w:bottom w:val="single" w:sz="4" w:space="0" w:color="FFFFFF" w:themeColor="background1"/>
            </w:tcBorders>
            <w:shd w:val="solid" w:color="221F72" w:fill="221F72"/>
          </w:tcPr>
          <w:p w:rsidR="00B873A7" w:rsidRPr="004C1D0B" w:rsidRDefault="00B873A7" w:rsidP="005A106E">
            <w:pPr>
              <w:pStyle w:val="Tableheading"/>
              <w:spacing w:before="20" w:after="20"/>
              <w:ind w:right="0"/>
              <w:jc w:val="center"/>
              <w:rPr>
                <w:b/>
                <w:bCs w:val="0"/>
                <w:i/>
              </w:rPr>
            </w:pPr>
            <w:r w:rsidRPr="004C1D0B">
              <w:rPr>
                <w:b/>
                <w:bCs w:val="0"/>
              </w:rPr>
              <w:t>Average pop</w:t>
            </w:r>
            <w:r w:rsidR="00306178">
              <w:rPr>
                <w:b/>
                <w:bCs w:val="0"/>
              </w:rPr>
              <w:t>n</w:t>
            </w:r>
            <w:r w:rsidRPr="004C1D0B">
              <w:rPr>
                <w:b/>
                <w:bCs w:val="0"/>
              </w:rPr>
              <w:t xml:space="preserve"> density</w:t>
            </w:r>
          </w:p>
        </w:tc>
        <w:tc>
          <w:tcPr>
            <w:tcW w:w="964" w:type="dxa"/>
            <w:tcBorders>
              <w:top w:val="single" w:sz="18" w:space="0" w:color="221F72"/>
              <w:bottom w:val="single" w:sz="4" w:space="0" w:color="FFFFFF" w:themeColor="background1"/>
            </w:tcBorders>
            <w:shd w:val="solid" w:color="221F72" w:fill="221F72"/>
          </w:tcPr>
          <w:p w:rsidR="00B873A7" w:rsidRPr="004C1D0B" w:rsidRDefault="00B873A7" w:rsidP="005A106E">
            <w:pPr>
              <w:pStyle w:val="Tableheading"/>
              <w:spacing w:before="20" w:after="20"/>
              <w:ind w:right="0"/>
              <w:jc w:val="center"/>
              <w:rPr>
                <w:b/>
                <w:bCs w:val="0"/>
                <w:i/>
              </w:rPr>
            </w:pPr>
            <w:r w:rsidRPr="004C1D0B">
              <w:rPr>
                <w:b/>
                <w:bCs w:val="0"/>
              </w:rPr>
              <w:t>% of total pop</w:t>
            </w:r>
            <w:r w:rsidR="00306178">
              <w:rPr>
                <w:b/>
                <w:bCs w:val="0"/>
              </w:rPr>
              <w:t>n</w:t>
            </w:r>
          </w:p>
        </w:tc>
        <w:tc>
          <w:tcPr>
            <w:tcW w:w="964" w:type="dxa"/>
            <w:tcBorders>
              <w:top w:val="single" w:sz="18" w:space="0" w:color="221F72"/>
              <w:bottom w:val="single" w:sz="4" w:space="0" w:color="FFFFFF" w:themeColor="background1"/>
            </w:tcBorders>
            <w:shd w:val="solid" w:color="221F72" w:fill="221F72"/>
          </w:tcPr>
          <w:p w:rsidR="00B873A7" w:rsidRPr="004C1D0B" w:rsidRDefault="00B873A7" w:rsidP="005A106E">
            <w:pPr>
              <w:pStyle w:val="Tableheading"/>
              <w:spacing w:before="20" w:after="20"/>
              <w:ind w:right="0"/>
              <w:jc w:val="center"/>
              <w:rPr>
                <w:b/>
                <w:bCs w:val="0"/>
                <w:i/>
              </w:rPr>
            </w:pPr>
            <w:r w:rsidRPr="004C1D0B">
              <w:rPr>
                <w:b/>
                <w:bCs w:val="0"/>
              </w:rPr>
              <w:t>% area</w:t>
            </w:r>
          </w:p>
        </w:tc>
      </w:tr>
      <w:tr w:rsidR="00306178" w:rsidRPr="00DD44FE" w:rsidTr="003C6417">
        <w:trPr>
          <w:cnfStyle w:val="000000100000" w:firstRow="0" w:lastRow="0" w:firstColumn="0" w:lastColumn="0" w:oddVBand="0" w:evenVBand="0" w:oddHBand="1" w:evenHBand="0" w:firstRowFirstColumn="0" w:firstRowLastColumn="0" w:lastRowFirstColumn="0" w:lastRowLastColumn="0"/>
        </w:trPr>
        <w:tc>
          <w:tcPr>
            <w:tcW w:w="1077" w:type="dxa"/>
            <w:tcBorders>
              <w:top w:val="single" w:sz="4" w:space="0" w:color="FFFFFF" w:themeColor="background1"/>
            </w:tcBorders>
            <w:vAlign w:val="center"/>
          </w:tcPr>
          <w:p w:rsidR="00B873A7" w:rsidRPr="00A96DDB" w:rsidRDefault="00B873A7" w:rsidP="00841EA0">
            <w:pPr>
              <w:pStyle w:val="Tablecells"/>
              <w:ind w:right="57"/>
            </w:pPr>
            <w:r w:rsidRPr="00DD44FE">
              <w:t>Dense urban</w:t>
            </w:r>
          </w:p>
        </w:tc>
        <w:tc>
          <w:tcPr>
            <w:tcW w:w="1304" w:type="dxa"/>
            <w:tcBorders>
              <w:top w:val="single" w:sz="4" w:space="0" w:color="FFFFFF" w:themeColor="background1"/>
            </w:tcBorders>
            <w:vAlign w:val="center"/>
          </w:tcPr>
          <w:p w:rsidR="00B873A7" w:rsidRPr="00A96DDB" w:rsidRDefault="00B873A7" w:rsidP="00841EA0">
            <w:pPr>
              <w:pStyle w:val="Tablecells"/>
              <w:ind w:right="0"/>
            </w:pPr>
            <w:r w:rsidRPr="00DD44FE">
              <w:t>Metropolitan</w:t>
            </w:r>
          </w:p>
        </w:tc>
        <w:tc>
          <w:tcPr>
            <w:tcW w:w="1247" w:type="dxa"/>
            <w:tcBorders>
              <w:top w:val="single" w:sz="4" w:space="0" w:color="FFFFFF" w:themeColor="background1"/>
            </w:tcBorders>
            <w:vAlign w:val="center"/>
          </w:tcPr>
          <w:p w:rsidR="00B873A7" w:rsidRPr="00A96DDB" w:rsidRDefault="00B873A7" w:rsidP="00841EA0">
            <w:pPr>
              <w:pStyle w:val="Tablecells"/>
              <w:ind w:right="0"/>
            </w:pPr>
            <w:r w:rsidRPr="00DD44FE">
              <w:t xml:space="preserve">&gt;3000 </w:t>
            </w:r>
          </w:p>
        </w:tc>
        <w:tc>
          <w:tcPr>
            <w:tcW w:w="1191" w:type="dxa"/>
            <w:tcBorders>
              <w:top w:val="single" w:sz="4" w:space="0" w:color="FFFFFF" w:themeColor="background1"/>
            </w:tcBorders>
            <w:vAlign w:val="center"/>
          </w:tcPr>
          <w:p w:rsidR="00B873A7" w:rsidRPr="00A96DDB" w:rsidRDefault="00B873A7" w:rsidP="00841EA0">
            <w:pPr>
              <w:pStyle w:val="Tablecells"/>
              <w:ind w:right="0"/>
              <w:jc w:val="right"/>
            </w:pPr>
            <w:bookmarkStart w:id="82" w:name="RANGE!H1359:H1363"/>
            <w:r w:rsidRPr="00DD44FE">
              <w:t xml:space="preserve">3.07 </w:t>
            </w:r>
            <w:bookmarkEnd w:id="82"/>
          </w:p>
        </w:tc>
        <w:tc>
          <w:tcPr>
            <w:tcW w:w="1020" w:type="dxa"/>
            <w:tcBorders>
              <w:top w:val="single" w:sz="4" w:space="0" w:color="FFFFFF" w:themeColor="background1"/>
            </w:tcBorders>
            <w:vAlign w:val="center"/>
          </w:tcPr>
          <w:p w:rsidR="00B873A7" w:rsidRPr="00A96DDB" w:rsidRDefault="00B873A7" w:rsidP="00841EA0">
            <w:pPr>
              <w:pStyle w:val="Tablecells"/>
              <w:ind w:right="0"/>
              <w:jc w:val="right"/>
            </w:pPr>
            <w:bookmarkStart w:id="83" w:name="RANGE!I1359:I1363"/>
            <w:r w:rsidRPr="00DD44FE">
              <w:t>740</w:t>
            </w:r>
            <w:bookmarkEnd w:id="83"/>
          </w:p>
        </w:tc>
        <w:tc>
          <w:tcPr>
            <w:tcW w:w="964" w:type="dxa"/>
            <w:tcBorders>
              <w:top w:val="single" w:sz="4" w:space="0" w:color="FFFFFF" w:themeColor="background1"/>
            </w:tcBorders>
            <w:vAlign w:val="center"/>
          </w:tcPr>
          <w:p w:rsidR="00B873A7" w:rsidRPr="00A96DDB" w:rsidRDefault="00B873A7" w:rsidP="00841EA0">
            <w:pPr>
              <w:pStyle w:val="Tablecells"/>
              <w:ind w:right="0"/>
              <w:jc w:val="right"/>
            </w:pPr>
            <w:r w:rsidRPr="00DD44FE">
              <w:t>4</w:t>
            </w:r>
            <w:r>
              <w:t> </w:t>
            </w:r>
            <w:r w:rsidRPr="00DD44FE">
              <w:t>146</w:t>
            </w:r>
          </w:p>
        </w:tc>
        <w:tc>
          <w:tcPr>
            <w:tcW w:w="964" w:type="dxa"/>
            <w:tcBorders>
              <w:top w:val="single" w:sz="4" w:space="0" w:color="FFFFFF" w:themeColor="background1"/>
            </w:tcBorders>
            <w:vAlign w:val="center"/>
          </w:tcPr>
          <w:p w:rsidR="00B873A7" w:rsidRPr="00A96DDB" w:rsidRDefault="00B873A7" w:rsidP="00841EA0">
            <w:pPr>
              <w:pStyle w:val="Tablecells"/>
              <w:ind w:right="0"/>
              <w:jc w:val="right"/>
            </w:pPr>
            <w:bookmarkStart w:id="84" w:name="RANGE!K1359:K1363"/>
            <w:r w:rsidRPr="00DD44FE">
              <w:t>13.75%</w:t>
            </w:r>
            <w:bookmarkEnd w:id="84"/>
          </w:p>
        </w:tc>
        <w:tc>
          <w:tcPr>
            <w:tcW w:w="964" w:type="dxa"/>
            <w:tcBorders>
              <w:top w:val="single" w:sz="4" w:space="0" w:color="FFFFFF" w:themeColor="background1"/>
            </w:tcBorders>
            <w:vAlign w:val="center"/>
          </w:tcPr>
          <w:p w:rsidR="00B873A7" w:rsidRPr="00A96DDB" w:rsidRDefault="00B873A7" w:rsidP="00841EA0">
            <w:pPr>
              <w:pStyle w:val="Tablecells"/>
              <w:ind w:right="0"/>
              <w:jc w:val="right"/>
            </w:pPr>
            <w:bookmarkStart w:id="85" w:name="RANGE!L1359:L1363"/>
            <w:r w:rsidRPr="00DD44FE">
              <w:t>0.01%</w:t>
            </w:r>
            <w:bookmarkEnd w:id="85"/>
          </w:p>
        </w:tc>
      </w:tr>
      <w:tr w:rsidR="00306178" w:rsidTr="00645EF9">
        <w:tc>
          <w:tcPr>
            <w:tcW w:w="1077" w:type="dxa"/>
            <w:tcBorders>
              <w:bottom w:val="nil"/>
            </w:tcBorders>
            <w:vAlign w:val="center"/>
          </w:tcPr>
          <w:p w:rsidR="00B873A7" w:rsidRPr="00CE4914" w:rsidRDefault="00B873A7" w:rsidP="00841EA0">
            <w:pPr>
              <w:pStyle w:val="Tablecells"/>
              <w:ind w:right="57"/>
            </w:pPr>
            <w:r w:rsidRPr="00CE4914">
              <w:t>Urban</w:t>
            </w:r>
          </w:p>
        </w:tc>
        <w:tc>
          <w:tcPr>
            <w:tcW w:w="1304" w:type="dxa"/>
            <w:tcBorders>
              <w:bottom w:val="nil"/>
            </w:tcBorders>
            <w:vAlign w:val="center"/>
          </w:tcPr>
          <w:p w:rsidR="00B873A7" w:rsidRPr="00CE4914" w:rsidRDefault="00B873A7" w:rsidP="00841EA0">
            <w:pPr>
              <w:pStyle w:val="Tablecells"/>
              <w:ind w:right="0"/>
            </w:pPr>
            <w:r w:rsidRPr="00CE4914">
              <w:t>Metropolitan</w:t>
            </w:r>
            <w:r>
              <w:t>/Regional</w:t>
            </w:r>
          </w:p>
        </w:tc>
        <w:tc>
          <w:tcPr>
            <w:tcW w:w="1247" w:type="dxa"/>
            <w:tcBorders>
              <w:bottom w:val="nil"/>
            </w:tcBorders>
            <w:vAlign w:val="center"/>
          </w:tcPr>
          <w:p w:rsidR="00B873A7" w:rsidRPr="00CE4914" w:rsidRDefault="00B873A7" w:rsidP="00841EA0">
            <w:pPr>
              <w:pStyle w:val="Tablecells"/>
              <w:ind w:right="0"/>
            </w:pPr>
            <w:r w:rsidRPr="00CE4914">
              <w:t>1250</w:t>
            </w:r>
            <w:r>
              <w:t>–3000</w:t>
            </w:r>
          </w:p>
        </w:tc>
        <w:tc>
          <w:tcPr>
            <w:tcW w:w="1191" w:type="dxa"/>
            <w:tcBorders>
              <w:bottom w:val="nil"/>
            </w:tcBorders>
            <w:vAlign w:val="center"/>
          </w:tcPr>
          <w:p w:rsidR="00B873A7" w:rsidRPr="00CE4914" w:rsidRDefault="00B873A7" w:rsidP="00841EA0">
            <w:pPr>
              <w:pStyle w:val="Tablecells"/>
              <w:ind w:right="0"/>
              <w:jc w:val="right"/>
            </w:pPr>
            <w:r w:rsidRPr="00CE4914">
              <w:t xml:space="preserve">7.83 </w:t>
            </w:r>
          </w:p>
        </w:tc>
        <w:tc>
          <w:tcPr>
            <w:tcW w:w="1020" w:type="dxa"/>
            <w:tcBorders>
              <w:bottom w:val="nil"/>
            </w:tcBorders>
            <w:vAlign w:val="center"/>
          </w:tcPr>
          <w:p w:rsidR="00B873A7" w:rsidRPr="00CE4914" w:rsidRDefault="00B873A7" w:rsidP="00841EA0">
            <w:pPr>
              <w:pStyle w:val="Tablecells"/>
              <w:ind w:right="0"/>
              <w:jc w:val="right"/>
            </w:pPr>
            <w:r w:rsidRPr="00CE4914">
              <w:t>4</w:t>
            </w:r>
            <w:r>
              <w:t> </w:t>
            </w:r>
            <w:r w:rsidRPr="00CE4914">
              <w:t>067</w:t>
            </w:r>
          </w:p>
        </w:tc>
        <w:tc>
          <w:tcPr>
            <w:tcW w:w="964" w:type="dxa"/>
            <w:tcBorders>
              <w:bottom w:val="nil"/>
            </w:tcBorders>
            <w:vAlign w:val="center"/>
          </w:tcPr>
          <w:p w:rsidR="00B873A7" w:rsidRPr="00CE4914" w:rsidRDefault="00B873A7" w:rsidP="00841EA0">
            <w:pPr>
              <w:pStyle w:val="Tablecells"/>
              <w:ind w:right="0"/>
              <w:jc w:val="right"/>
            </w:pPr>
            <w:r w:rsidRPr="00CE4914">
              <w:t>1</w:t>
            </w:r>
            <w:r>
              <w:t> </w:t>
            </w:r>
            <w:r w:rsidRPr="00CE4914">
              <w:t>924</w:t>
            </w:r>
          </w:p>
        </w:tc>
        <w:tc>
          <w:tcPr>
            <w:tcW w:w="964" w:type="dxa"/>
            <w:tcBorders>
              <w:bottom w:val="nil"/>
            </w:tcBorders>
            <w:vAlign w:val="center"/>
          </w:tcPr>
          <w:p w:rsidR="00B873A7" w:rsidRPr="00CE4914" w:rsidRDefault="00B873A7" w:rsidP="00841EA0">
            <w:pPr>
              <w:pStyle w:val="Tablecells"/>
              <w:ind w:right="0"/>
              <w:jc w:val="right"/>
            </w:pPr>
            <w:r w:rsidRPr="00CE4914">
              <w:t>35.05%</w:t>
            </w:r>
          </w:p>
        </w:tc>
        <w:tc>
          <w:tcPr>
            <w:tcW w:w="964" w:type="dxa"/>
            <w:tcBorders>
              <w:bottom w:val="nil"/>
            </w:tcBorders>
            <w:vAlign w:val="center"/>
          </w:tcPr>
          <w:p w:rsidR="00B873A7" w:rsidRPr="00CE4914" w:rsidRDefault="00B873A7" w:rsidP="00841EA0">
            <w:pPr>
              <w:pStyle w:val="Tablecells"/>
              <w:ind w:right="0"/>
              <w:jc w:val="right"/>
            </w:pPr>
            <w:r w:rsidRPr="00CE4914">
              <w:t>0.05%</w:t>
            </w:r>
          </w:p>
        </w:tc>
      </w:tr>
      <w:tr w:rsidR="00306178" w:rsidTr="00645EF9">
        <w:trPr>
          <w:cnfStyle w:val="000000100000" w:firstRow="0" w:lastRow="0" w:firstColumn="0" w:lastColumn="0" w:oddVBand="0" w:evenVBand="0" w:oddHBand="1" w:evenHBand="0" w:firstRowFirstColumn="0" w:firstRowLastColumn="0" w:lastRowFirstColumn="0" w:lastRowLastColumn="0"/>
        </w:trPr>
        <w:tc>
          <w:tcPr>
            <w:tcW w:w="1077" w:type="dxa"/>
            <w:tcBorders>
              <w:bottom w:val="nil"/>
            </w:tcBorders>
            <w:vAlign w:val="center"/>
          </w:tcPr>
          <w:p w:rsidR="00B873A7" w:rsidRPr="00CE4914" w:rsidRDefault="00B873A7" w:rsidP="00841EA0">
            <w:pPr>
              <w:pStyle w:val="Tablecells"/>
              <w:ind w:right="57"/>
            </w:pPr>
            <w:r w:rsidRPr="00CE4914">
              <w:t>Suburban</w:t>
            </w:r>
          </w:p>
        </w:tc>
        <w:tc>
          <w:tcPr>
            <w:tcW w:w="1304" w:type="dxa"/>
            <w:tcBorders>
              <w:bottom w:val="nil"/>
            </w:tcBorders>
            <w:vAlign w:val="center"/>
          </w:tcPr>
          <w:p w:rsidR="00B873A7" w:rsidRPr="00CE4914" w:rsidRDefault="00B873A7" w:rsidP="00841EA0">
            <w:pPr>
              <w:pStyle w:val="Tablecells"/>
              <w:ind w:right="0"/>
            </w:pPr>
            <w:r>
              <w:t>Metropolitan/Regional</w:t>
            </w:r>
          </w:p>
        </w:tc>
        <w:tc>
          <w:tcPr>
            <w:tcW w:w="1247" w:type="dxa"/>
            <w:tcBorders>
              <w:bottom w:val="nil"/>
            </w:tcBorders>
            <w:vAlign w:val="center"/>
          </w:tcPr>
          <w:p w:rsidR="00B873A7" w:rsidRPr="00CE4914" w:rsidRDefault="00B873A7" w:rsidP="00841EA0">
            <w:pPr>
              <w:pStyle w:val="Tablecells"/>
              <w:ind w:right="0"/>
            </w:pPr>
            <w:r w:rsidRPr="00CE4914">
              <w:t>100</w:t>
            </w:r>
            <w:r>
              <w:t>–1250</w:t>
            </w:r>
          </w:p>
        </w:tc>
        <w:tc>
          <w:tcPr>
            <w:tcW w:w="1191" w:type="dxa"/>
            <w:tcBorders>
              <w:bottom w:val="nil"/>
            </w:tcBorders>
            <w:vAlign w:val="center"/>
          </w:tcPr>
          <w:p w:rsidR="00B873A7" w:rsidRPr="00CE4914" w:rsidRDefault="00B873A7" w:rsidP="00841EA0">
            <w:pPr>
              <w:pStyle w:val="Tablecells"/>
              <w:ind w:right="0"/>
              <w:jc w:val="right"/>
            </w:pPr>
            <w:r w:rsidRPr="00CE4914">
              <w:t xml:space="preserve">7.42 </w:t>
            </w:r>
          </w:p>
        </w:tc>
        <w:tc>
          <w:tcPr>
            <w:tcW w:w="1020" w:type="dxa"/>
            <w:tcBorders>
              <w:bottom w:val="nil"/>
            </w:tcBorders>
            <w:vAlign w:val="center"/>
          </w:tcPr>
          <w:p w:rsidR="00B873A7" w:rsidRPr="00CE4914" w:rsidRDefault="00B873A7" w:rsidP="00841EA0">
            <w:pPr>
              <w:pStyle w:val="Tablecells"/>
              <w:ind w:right="0"/>
              <w:jc w:val="right"/>
            </w:pPr>
            <w:r w:rsidRPr="00CE4914">
              <w:t>22</w:t>
            </w:r>
            <w:r>
              <w:t> </w:t>
            </w:r>
            <w:r w:rsidRPr="00CE4914">
              <w:t>130</w:t>
            </w:r>
          </w:p>
        </w:tc>
        <w:tc>
          <w:tcPr>
            <w:tcW w:w="964" w:type="dxa"/>
            <w:tcBorders>
              <w:bottom w:val="nil"/>
            </w:tcBorders>
            <w:vAlign w:val="center"/>
          </w:tcPr>
          <w:p w:rsidR="00B873A7" w:rsidRPr="00CE4914" w:rsidRDefault="00B873A7" w:rsidP="00841EA0">
            <w:pPr>
              <w:pStyle w:val="Tablecells"/>
              <w:ind w:right="0"/>
              <w:jc w:val="right"/>
            </w:pPr>
            <w:r w:rsidRPr="00CE4914">
              <w:t>335</w:t>
            </w:r>
          </w:p>
        </w:tc>
        <w:tc>
          <w:tcPr>
            <w:tcW w:w="964" w:type="dxa"/>
            <w:tcBorders>
              <w:bottom w:val="nil"/>
            </w:tcBorders>
            <w:vAlign w:val="center"/>
          </w:tcPr>
          <w:p w:rsidR="00B873A7" w:rsidRPr="00CE4914" w:rsidRDefault="00B873A7" w:rsidP="00841EA0">
            <w:pPr>
              <w:pStyle w:val="Tablecells"/>
              <w:ind w:right="0"/>
              <w:jc w:val="right"/>
            </w:pPr>
            <w:r w:rsidRPr="00CE4914">
              <w:t>33.22%</w:t>
            </w:r>
          </w:p>
        </w:tc>
        <w:tc>
          <w:tcPr>
            <w:tcW w:w="964" w:type="dxa"/>
            <w:tcBorders>
              <w:bottom w:val="nil"/>
            </w:tcBorders>
            <w:vAlign w:val="center"/>
          </w:tcPr>
          <w:p w:rsidR="00B873A7" w:rsidRPr="00CE4914" w:rsidRDefault="00B873A7" w:rsidP="00841EA0">
            <w:pPr>
              <w:pStyle w:val="Tablecells"/>
              <w:ind w:right="0"/>
              <w:jc w:val="right"/>
            </w:pPr>
            <w:r w:rsidRPr="00CE4914">
              <w:t>0.29%</w:t>
            </w:r>
          </w:p>
        </w:tc>
      </w:tr>
      <w:tr w:rsidR="00306178" w:rsidTr="00645EF9">
        <w:tc>
          <w:tcPr>
            <w:tcW w:w="1077" w:type="dxa"/>
            <w:tcBorders>
              <w:bottom w:val="nil"/>
            </w:tcBorders>
            <w:vAlign w:val="center"/>
          </w:tcPr>
          <w:p w:rsidR="00B873A7" w:rsidRPr="00CE4914" w:rsidRDefault="00B873A7" w:rsidP="00841EA0">
            <w:pPr>
              <w:pStyle w:val="Tablecells"/>
              <w:ind w:right="57"/>
            </w:pPr>
            <w:r w:rsidRPr="00CE4914">
              <w:t>Rural</w:t>
            </w:r>
          </w:p>
        </w:tc>
        <w:tc>
          <w:tcPr>
            <w:tcW w:w="1304" w:type="dxa"/>
            <w:tcBorders>
              <w:bottom w:val="nil"/>
            </w:tcBorders>
            <w:vAlign w:val="center"/>
          </w:tcPr>
          <w:p w:rsidR="00B873A7" w:rsidRPr="00CE4914" w:rsidRDefault="00B873A7" w:rsidP="00841EA0">
            <w:pPr>
              <w:pStyle w:val="Tablecells"/>
              <w:ind w:right="0"/>
            </w:pPr>
            <w:r w:rsidRPr="00CE4914">
              <w:t>Regional</w:t>
            </w:r>
          </w:p>
        </w:tc>
        <w:tc>
          <w:tcPr>
            <w:tcW w:w="1247" w:type="dxa"/>
            <w:tcBorders>
              <w:bottom w:val="nil"/>
            </w:tcBorders>
            <w:vAlign w:val="center"/>
          </w:tcPr>
          <w:p w:rsidR="00B873A7" w:rsidRPr="00CE4914" w:rsidRDefault="00B873A7" w:rsidP="00841EA0">
            <w:pPr>
              <w:pStyle w:val="Tablecells"/>
              <w:ind w:right="0"/>
            </w:pPr>
            <w:r w:rsidRPr="00CE4914">
              <w:t>0.</w:t>
            </w:r>
            <w:r>
              <w:t>2–100</w:t>
            </w:r>
          </w:p>
        </w:tc>
        <w:tc>
          <w:tcPr>
            <w:tcW w:w="1191" w:type="dxa"/>
            <w:tcBorders>
              <w:bottom w:val="nil"/>
            </w:tcBorders>
            <w:vAlign w:val="center"/>
          </w:tcPr>
          <w:p w:rsidR="00B873A7" w:rsidRPr="00CE4914" w:rsidRDefault="00B873A7" w:rsidP="00841EA0">
            <w:pPr>
              <w:pStyle w:val="Tablecells"/>
              <w:ind w:right="0"/>
              <w:jc w:val="right"/>
            </w:pPr>
            <w:r w:rsidRPr="00CE4914">
              <w:t>3.</w:t>
            </w:r>
            <w:r>
              <w:t>78</w:t>
            </w:r>
            <w:r w:rsidRPr="00CE4914">
              <w:t xml:space="preserve"> </w:t>
            </w:r>
          </w:p>
        </w:tc>
        <w:tc>
          <w:tcPr>
            <w:tcW w:w="1020" w:type="dxa"/>
            <w:tcBorders>
              <w:bottom w:val="nil"/>
            </w:tcBorders>
            <w:vAlign w:val="center"/>
          </w:tcPr>
          <w:p w:rsidR="00B873A7" w:rsidRPr="00CE4914" w:rsidRDefault="00B873A7" w:rsidP="00841EA0">
            <w:pPr>
              <w:pStyle w:val="Tablecells"/>
              <w:ind w:right="0"/>
              <w:jc w:val="right"/>
            </w:pPr>
            <w:r>
              <w:t>1 423 207</w:t>
            </w:r>
          </w:p>
        </w:tc>
        <w:tc>
          <w:tcPr>
            <w:tcW w:w="964" w:type="dxa"/>
            <w:tcBorders>
              <w:bottom w:val="nil"/>
            </w:tcBorders>
            <w:vAlign w:val="center"/>
          </w:tcPr>
          <w:p w:rsidR="00B873A7" w:rsidRPr="00CE4914" w:rsidRDefault="00B873A7" w:rsidP="00841EA0">
            <w:pPr>
              <w:pStyle w:val="Tablecells"/>
              <w:ind w:right="0"/>
              <w:jc w:val="right"/>
            </w:pPr>
            <w:r>
              <w:t>2.66</w:t>
            </w:r>
          </w:p>
        </w:tc>
        <w:tc>
          <w:tcPr>
            <w:tcW w:w="964" w:type="dxa"/>
            <w:tcBorders>
              <w:bottom w:val="nil"/>
            </w:tcBorders>
            <w:vAlign w:val="center"/>
          </w:tcPr>
          <w:p w:rsidR="00B873A7" w:rsidRPr="00CE4914" w:rsidRDefault="00B873A7" w:rsidP="00841EA0">
            <w:pPr>
              <w:pStyle w:val="Tablecells"/>
              <w:ind w:right="0"/>
              <w:jc w:val="right"/>
            </w:pPr>
            <w:r>
              <w:t>16.95</w:t>
            </w:r>
            <w:r w:rsidRPr="00CE4914">
              <w:t>%</w:t>
            </w:r>
          </w:p>
        </w:tc>
        <w:tc>
          <w:tcPr>
            <w:tcW w:w="964" w:type="dxa"/>
            <w:tcBorders>
              <w:bottom w:val="nil"/>
            </w:tcBorders>
            <w:vAlign w:val="center"/>
          </w:tcPr>
          <w:p w:rsidR="00B873A7" w:rsidRPr="00CE4914" w:rsidRDefault="00B873A7" w:rsidP="00841EA0">
            <w:pPr>
              <w:pStyle w:val="Tablecells"/>
              <w:ind w:right="0"/>
              <w:jc w:val="right"/>
            </w:pPr>
            <w:r>
              <w:t>21.03</w:t>
            </w:r>
            <w:r w:rsidRPr="00CE4914">
              <w:t>%</w:t>
            </w:r>
          </w:p>
        </w:tc>
      </w:tr>
      <w:tr w:rsidR="00306178" w:rsidTr="00645EF9">
        <w:trPr>
          <w:cnfStyle w:val="000000100000" w:firstRow="0" w:lastRow="0" w:firstColumn="0" w:lastColumn="0" w:oddVBand="0" w:evenVBand="0" w:oddHBand="1" w:evenHBand="0" w:firstRowFirstColumn="0" w:firstRowLastColumn="0" w:lastRowFirstColumn="0" w:lastRowLastColumn="0"/>
        </w:trPr>
        <w:tc>
          <w:tcPr>
            <w:tcW w:w="1077" w:type="dxa"/>
            <w:tcBorders>
              <w:top w:val="nil"/>
              <w:bottom w:val="nil"/>
            </w:tcBorders>
            <w:vAlign w:val="center"/>
          </w:tcPr>
          <w:p w:rsidR="00B873A7" w:rsidRDefault="00B873A7" w:rsidP="00841EA0">
            <w:pPr>
              <w:pStyle w:val="Tablecells"/>
              <w:ind w:right="57"/>
            </w:pPr>
            <w:r>
              <w:t>Remote</w:t>
            </w:r>
          </w:p>
        </w:tc>
        <w:tc>
          <w:tcPr>
            <w:tcW w:w="1304" w:type="dxa"/>
            <w:tcBorders>
              <w:top w:val="nil"/>
              <w:bottom w:val="nil"/>
            </w:tcBorders>
            <w:vAlign w:val="center"/>
          </w:tcPr>
          <w:p w:rsidR="00B873A7" w:rsidRDefault="00B873A7" w:rsidP="00841EA0">
            <w:pPr>
              <w:pStyle w:val="Tablecells"/>
              <w:ind w:right="0"/>
            </w:pPr>
            <w:r>
              <w:t>Regional</w:t>
            </w:r>
          </w:p>
        </w:tc>
        <w:tc>
          <w:tcPr>
            <w:tcW w:w="1247" w:type="dxa"/>
            <w:tcBorders>
              <w:top w:val="nil"/>
              <w:bottom w:val="nil"/>
            </w:tcBorders>
            <w:vAlign w:val="center"/>
          </w:tcPr>
          <w:p w:rsidR="00B873A7" w:rsidRDefault="00B873A7" w:rsidP="00841EA0">
            <w:pPr>
              <w:pStyle w:val="Tablecells"/>
              <w:ind w:right="0"/>
            </w:pPr>
            <w:r>
              <w:t>&lt;0.2</w:t>
            </w:r>
          </w:p>
        </w:tc>
        <w:tc>
          <w:tcPr>
            <w:tcW w:w="1191" w:type="dxa"/>
            <w:tcBorders>
              <w:top w:val="nil"/>
              <w:bottom w:val="nil"/>
            </w:tcBorders>
            <w:vAlign w:val="center"/>
          </w:tcPr>
          <w:p w:rsidR="00B873A7" w:rsidRDefault="00B873A7" w:rsidP="00841EA0">
            <w:pPr>
              <w:pStyle w:val="Tablecells"/>
              <w:ind w:right="0"/>
              <w:jc w:val="right"/>
            </w:pPr>
            <w:r>
              <w:t xml:space="preserve">0.23 </w:t>
            </w:r>
          </w:p>
        </w:tc>
        <w:tc>
          <w:tcPr>
            <w:tcW w:w="1020" w:type="dxa"/>
            <w:tcBorders>
              <w:top w:val="nil"/>
              <w:bottom w:val="nil"/>
            </w:tcBorders>
            <w:vAlign w:val="center"/>
          </w:tcPr>
          <w:p w:rsidR="00B873A7" w:rsidRDefault="00B873A7" w:rsidP="00841EA0">
            <w:pPr>
              <w:pStyle w:val="Tablecells"/>
              <w:ind w:right="0"/>
              <w:jc w:val="right"/>
            </w:pPr>
            <w:r>
              <w:t>6 237 665</w:t>
            </w:r>
          </w:p>
        </w:tc>
        <w:tc>
          <w:tcPr>
            <w:tcW w:w="964" w:type="dxa"/>
            <w:tcBorders>
              <w:top w:val="nil"/>
              <w:bottom w:val="nil"/>
            </w:tcBorders>
            <w:vAlign w:val="center"/>
          </w:tcPr>
          <w:p w:rsidR="00B873A7" w:rsidRDefault="00B873A7" w:rsidP="00841EA0">
            <w:pPr>
              <w:pStyle w:val="Tablecells"/>
              <w:ind w:right="0"/>
              <w:jc w:val="right"/>
            </w:pPr>
            <w:r>
              <w:t>0.04</w:t>
            </w:r>
          </w:p>
        </w:tc>
        <w:tc>
          <w:tcPr>
            <w:tcW w:w="964" w:type="dxa"/>
            <w:tcBorders>
              <w:top w:val="nil"/>
              <w:bottom w:val="nil"/>
            </w:tcBorders>
            <w:vAlign w:val="center"/>
          </w:tcPr>
          <w:p w:rsidR="00B873A7" w:rsidRDefault="00B873A7" w:rsidP="00841EA0">
            <w:pPr>
              <w:pStyle w:val="Tablecells"/>
              <w:ind w:right="0"/>
              <w:jc w:val="right"/>
            </w:pPr>
            <w:r>
              <w:t>1.03%</w:t>
            </w:r>
          </w:p>
        </w:tc>
        <w:tc>
          <w:tcPr>
            <w:tcW w:w="964" w:type="dxa"/>
            <w:tcBorders>
              <w:top w:val="nil"/>
              <w:bottom w:val="nil"/>
            </w:tcBorders>
            <w:vAlign w:val="center"/>
          </w:tcPr>
          <w:p w:rsidR="00B873A7" w:rsidRDefault="00B873A7" w:rsidP="00841EA0">
            <w:pPr>
              <w:pStyle w:val="Tablecells"/>
              <w:ind w:right="0"/>
              <w:jc w:val="right"/>
            </w:pPr>
            <w:r>
              <w:t>78.62%</w:t>
            </w:r>
          </w:p>
        </w:tc>
      </w:tr>
      <w:tr w:rsidR="00306178" w:rsidRPr="00A96DDB" w:rsidTr="00645EF9">
        <w:tc>
          <w:tcPr>
            <w:tcW w:w="1077" w:type="dxa"/>
            <w:tcBorders>
              <w:top w:val="nil"/>
              <w:bottom w:val="single" w:sz="4" w:space="0" w:color="808080"/>
            </w:tcBorders>
            <w:vAlign w:val="center"/>
          </w:tcPr>
          <w:p w:rsidR="00B873A7" w:rsidRPr="00A96DDB" w:rsidRDefault="00B873A7" w:rsidP="00841EA0">
            <w:pPr>
              <w:pStyle w:val="Tablecells"/>
              <w:ind w:right="57"/>
              <w:rPr>
                <w:b/>
              </w:rPr>
            </w:pPr>
            <w:r w:rsidRPr="00A96DDB">
              <w:rPr>
                <w:b/>
              </w:rPr>
              <w:t>All</w:t>
            </w:r>
          </w:p>
        </w:tc>
        <w:tc>
          <w:tcPr>
            <w:tcW w:w="1304" w:type="dxa"/>
            <w:tcBorders>
              <w:top w:val="nil"/>
              <w:bottom w:val="single" w:sz="4" w:space="0" w:color="808080"/>
            </w:tcBorders>
            <w:vAlign w:val="center"/>
          </w:tcPr>
          <w:p w:rsidR="00B873A7" w:rsidRPr="00A96DDB" w:rsidRDefault="00B873A7" w:rsidP="00841EA0">
            <w:pPr>
              <w:pStyle w:val="Tablecells"/>
              <w:ind w:right="0"/>
              <w:rPr>
                <w:b/>
              </w:rPr>
            </w:pPr>
          </w:p>
        </w:tc>
        <w:tc>
          <w:tcPr>
            <w:tcW w:w="1247" w:type="dxa"/>
            <w:tcBorders>
              <w:top w:val="nil"/>
              <w:bottom w:val="single" w:sz="4" w:space="0" w:color="808080"/>
            </w:tcBorders>
            <w:vAlign w:val="center"/>
          </w:tcPr>
          <w:p w:rsidR="00B873A7" w:rsidRPr="00A96DDB" w:rsidRDefault="00B873A7" w:rsidP="00841EA0">
            <w:pPr>
              <w:pStyle w:val="Tablecells"/>
              <w:ind w:right="0"/>
              <w:rPr>
                <w:b/>
              </w:rPr>
            </w:pPr>
          </w:p>
        </w:tc>
        <w:tc>
          <w:tcPr>
            <w:tcW w:w="1191" w:type="dxa"/>
            <w:tcBorders>
              <w:top w:val="nil"/>
              <w:bottom w:val="single" w:sz="4" w:space="0" w:color="808080"/>
            </w:tcBorders>
            <w:vAlign w:val="center"/>
          </w:tcPr>
          <w:p w:rsidR="00B873A7" w:rsidRPr="00A96DDB" w:rsidRDefault="00B873A7" w:rsidP="00841EA0">
            <w:pPr>
              <w:pStyle w:val="Tablecells"/>
              <w:ind w:right="0"/>
              <w:jc w:val="right"/>
              <w:rPr>
                <w:b/>
              </w:rPr>
            </w:pPr>
            <w:r w:rsidRPr="00A96DDB">
              <w:rPr>
                <w:b/>
              </w:rPr>
              <w:t>22.32</w:t>
            </w:r>
          </w:p>
        </w:tc>
        <w:tc>
          <w:tcPr>
            <w:tcW w:w="1020" w:type="dxa"/>
            <w:tcBorders>
              <w:top w:val="nil"/>
              <w:bottom w:val="single" w:sz="4" w:space="0" w:color="808080"/>
            </w:tcBorders>
            <w:vAlign w:val="center"/>
          </w:tcPr>
          <w:p w:rsidR="00B873A7" w:rsidRPr="00A96DDB" w:rsidRDefault="00B873A7" w:rsidP="00841EA0">
            <w:pPr>
              <w:pStyle w:val="Tablecells"/>
              <w:ind w:right="0"/>
              <w:jc w:val="right"/>
              <w:rPr>
                <w:b/>
              </w:rPr>
            </w:pPr>
            <w:r w:rsidRPr="00A96DDB">
              <w:rPr>
                <w:b/>
              </w:rPr>
              <w:t>7</w:t>
            </w:r>
            <w:r>
              <w:rPr>
                <w:b/>
              </w:rPr>
              <w:t> </w:t>
            </w:r>
            <w:r w:rsidRPr="00A96DDB">
              <w:rPr>
                <w:b/>
              </w:rPr>
              <w:t>687</w:t>
            </w:r>
            <w:r>
              <w:rPr>
                <w:b/>
              </w:rPr>
              <w:t> </w:t>
            </w:r>
            <w:r w:rsidRPr="00A96DDB">
              <w:rPr>
                <w:b/>
              </w:rPr>
              <w:t>809</w:t>
            </w:r>
          </w:p>
        </w:tc>
        <w:tc>
          <w:tcPr>
            <w:tcW w:w="964" w:type="dxa"/>
            <w:tcBorders>
              <w:top w:val="nil"/>
              <w:bottom w:val="single" w:sz="4" w:space="0" w:color="808080"/>
            </w:tcBorders>
            <w:vAlign w:val="center"/>
          </w:tcPr>
          <w:p w:rsidR="00B873A7" w:rsidRPr="00A96DDB" w:rsidRDefault="00B873A7" w:rsidP="00841EA0">
            <w:pPr>
              <w:pStyle w:val="Tablecells"/>
              <w:ind w:right="0"/>
              <w:jc w:val="right"/>
              <w:rPr>
                <w:b/>
              </w:rPr>
            </w:pPr>
            <w:r w:rsidRPr="00A96DDB">
              <w:rPr>
                <w:b/>
              </w:rPr>
              <w:t>2.90</w:t>
            </w:r>
          </w:p>
        </w:tc>
        <w:tc>
          <w:tcPr>
            <w:tcW w:w="964" w:type="dxa"/>
            <w:tcBorders>
              <w:top w:val="nil"/>
              <w:bottom w:val="single" w:sz="4" w:space="0" w:color="808080"/>
            </w:tcBorders>
            <w:vAlign w:val="center"/>
          </w:tcPr>
          <w:p w:rsidR="00B873A7" w:rsidRPr="00A96DDB" w:rsidRDefault="00B873A7" w:rsidP="00841EA0">
            <w:pPr>
              <w:pStyle w:val="Tablecells"/>
              <w:ind w:right="0"/>
              <w:jc w:val="right"/>
              <w:rPr>
                <w:b/>
              </w:rPr>
            </w:pPr>
            <w:r w:rsidRPr="00A96DDB">
              <w:rPr>
                <w:b/>
              </w:rPr>
              <w:t>100.00%</w:t>
            </w:r>
          </w:p>
        </w:tc>
        <w:tc>
          <w:tcPr>
            <w:tcW w:w="964" w:type="dxa"/>
            <w:tcBorders>
              <w:top w:val="nil"/>
              <w:bottom w:val="single" w:sz="4" w:space="0" w:color="808080"/>
            </w:tcBorders>
            <w:vAlign w:val="center"/>
          </w:tcPr>
          <w:p w:rsidR="00B873A7" w:rsidRPr="00A96DDB" w:rsidRDefault="00B873A7" w:rsidP="00841EA0">
            <w:pPr>
              <w:pStyle w:val="Tablecells"/>
              <w:ind w:right="0"/>
              <w:jc w:val="right"/>
              <w:rPr>
                <w:b/>
              </w:rPr>
            </w:pPr>
            <w:r w:rsidRPr="00A96DDB">
              <w:rPr>
                <w:b/>
              </w:rPr>
              <w:t>100.00%</w:t>
            </w:r>
          </w:p>
        </w:tc>
      </w:tr>
    </w:tbl>
    <w:p w:rsidR="00B873A7" w:rsidRDefault="00B873A7" w:rsidP="005A106E">
      <w:pPr>
        <w:spacing w:after="120"/>
      </w:pPr>
      <w:r>
        <w:br/>
        <w:t>As spectrum allocations (presented in Section </w:t>
      </w:r>
      <w:r w:rsidRPr="002D2F9B">
        <w:fldChar w:fldCharType="begin"/>
      </w:r>
      <w:r w:rsidRPr="00196691">
        <w:instrText xml:space="preserve"> REF _Ref369196766 \r \h </w:instrText>
      </w:r>
      <w:r w:rsidRPr="002D2F9B">
        <w:fldChar w:fldCharType="separate"/>
      </w:r>
      <w:r w:rsidR="00A87B65">
        <w:t>4.3.2</w:t>
      </w:r>
      <w:r w:rsidRPr="002D2F9B">
        <w:fldChar w:fldCharType="end"/>
      </w:r>
      <w:r w:rsidR="00B8748B">
        <w:t>) differ between metropolitan and</w:t>
      </w:r>
      <w:r>
        <w:t xml:space="preserve"> regional areas, we have subdivided the urban and suburban geotypes into metropolitan and regional areas</w:t>
      </w:r>
      <w:r w:rsidR="00B8748B">
        <w:t>. We</w:t>
      </w:r>
      <w:r>
        <w:t xml:space="preserve"> assume that:</w:t>
      </w:r>
    </w:p>
    <w:p w:rsidR="00B873A7" w:rsidRDefault="00B873A7" w:rsidP="00B873A7">
      <w:pPr>
        <w:pStyle w:val="ListBulletCompact"/>
        <w:tabs>
          <w:tab w:val="num" w:pos="360"/>
        </w:tabs>
        <w:ind w:left="357" w:hanging="357"/>
      </w:pPr>
      <w:r>
        <w:t xml:space="preserve">the </w:t>
      </w:r>
      <w:r w:rsidRPr="001E72B8">
        <w:rPr>
          <w:i/>
        </w:rPr>
        <w:t>dense urban geotype</w:t>
      </w:r>
      <w:r>
        <w:t xml:space="preserve"> has the metropolitan allocation</w:t>
      </w:r>
    </w:p>
    <w:p w:rsidR="00B873A7" w:rsidRDefault="00B873A7" w:rsidP="00B873A7">
      <w:pPr>
        <w:pStyle w:val="ListBulletCompact"/>
        <w:tabs>
          <w:tab w:val="num" w:pos="360"/>
        </w:tabs>
        <w:ind w:left="357" w:hanging="357"/>
      </w:pPr>
      <w:r>
        <w:t xml:space="preserve">the </w:t>
      </w:r>
      <w:r w:rsidRPr="001E72B8">
        <w:rPr>
          <w:i/>
        </w:rPr>
        <w:t>urban and suburban geotypes</w:t>
      </w:r>
      <w:r>
        <w:t xml:space="preserve"> have the metropolitan or regional allocation as appropriate</w:t>
      </w:r>
    </w:p>
    <w:p w:rsidR="00B873A7" w:rsidRDefault="00B873A7" w:rsidP="00B873A7">
      <w:pPr>
        <w:pStyle w:val="ListBulletCompact"/>
        <w:tabs>
          <w:tab w:val="num" w:pos="360"/>
        </w:tabs>
        <w:ind w:left="357" w:hanging="357"/>
      </w:pPr>
      <w:r>
        <w:t xml:space="preserve">the </w:t>
      </w:r>
      <w:r w:rsidRPr="001E72B8">
        <w:rPr>
          <w:i/>
        </w:rPr>
        <w:t>rural geotype</w:t>
      </w:r>
      <w:r>
        <w:t xml:space="preserve"> has the regional allocation</w:t>
      </w:r>
    </w:p>
    <w:p w:rsidR="00B873A7" w:rsidRDefault="00B873A7" w:rsidP="00B873A7">
      <w:pPr>
        <w:pStyle w:val="ListBullet"/>
        <w:tabs>
          <w:tab w:val="num" w:pos="360"/>
        </w:tabs>
        <w:ind w:left="357" w:hanging="357"/>
      </w:pPr>
      <w:r>
        <w:lastRenderedPageBreak/>
        <w:t xml:space="preserve">the </w:t>
      </w:r>
      <w:r w:rsidRPr="001E72B8">
        <w:rPr>
          <w:i/>
        </w:rPr>
        <w:t>remote geotype</w:t>
      </w:r>
      <w:r>
        <w:t xml:space="preserve"> has the remote allocation.</w:t>
      </w:r>
    </w:p>
    <w:p w:rsidR="0058217A" w:rsidRDefault="00B873A7" w:rsidP="00B873A7">
      <w:r>
        <w:t xml:space="preserve">It can be seen from </w:t>
      </w:r>
      <w:r w:rsidRPr="002D2F9B">
        <w:fldChar w:fldCharType="begin"/>
      </w:r>
      <w:r w:rsidRPr="00196691">
        <w:instrText xml:space="preserve"> REF _Ref372039051 \h </w:instrText>
      </w:r>
      <w:r w:rsidRPr="002D2F9B">
        <w:fldChar w:fldCharType="separate"/>
      </w:r>
      <w:r w:rsidR="00A87B65">
        <w:t>Figure </w:t>
      </w:r>
      <w:r w:rsidR="00A87B65">
        <w:rPr>
          <w:noProof/>
        </w:rPr>
        <w:t>4</w:t>
      </w:r>
      <w:r w:rsidR="00A87B65">
        <w:t>.</w:t>
      </w:r>
      <w:r w:rsidR="00A87B65">
        <w:rPr>
          <w:noProof/>
        </w:rPr>
        <w:t>6</w:t>
      </w:r>
      <w:r w:rsidRPr="002D2F9B">
        <w:fldChar w:fldCharType="end"/>
      </w:r>
      <w:r>
        <w:t xml:space="preserve">, </w:t>
      </w:r>
      <w:r w:rsidRPr="002D2F9B">
        <w:fldChar w:fldCharType="begin"/>
      </w:r>
      <w:r w:rsidRPr="00196691">
        <w:instrText xml:space="preserve"> REF _Ref372039063 \h </w:instrText>
      </w:r>
      <w:r w:rsidRPr="002D2F9B">
        <w:fldChar w:fldCharType="separate"/>
      </w:r>
      <w:r w:rsidR="00A87B65">
        <w:t>Figure </w:t>
      </w:r>
      <w:r w:rsidR="00A87B65">
        <w:rPr>
          <w:noProof/>
        </w:rPr>
        <w:t>4</w:t>
      </w:r>
      <w:r w:rsidR="00A87B65">
        <w:t>.</w:t>
      </w:r>
      <w:r w:rsidR="00A87B65">
        <w:rPr>
          <w:noProof/>
        </w:rPr>
        <w:t>7</w:t>
      </w:r>
      <w:r w:rsidRPr="002D2F9B">
        <w:fldChar w:fldCharType="end"/>
      </w:r>
      <w:r>
        <w:t xml:space="preserve"> and </w:t>
      </w:r>
      <w:r w:rsidRPr="002D2F9B">
        <w:fldChar w:fldCharType="begin"/>
      </w:r>
      <w:r w:rsidRPr="00196691">
        <w:instrText xml:space="preserve"> REF _Ref372815292 \h </w:instrText>
      </w:r>
      <w:r w:rsidRPr="002D2F9B">
        <w:fldChar w:fldCharType="separate"/>
      </w:r>
      <w:r w:rsidR="00A87B65">
        <w:t>Figure </w:t>
      </w:r>
      <w:r w:rsidR="00A87B65">
        <w:rPr>
          <w:noProof/>
        </w:rPr>
        <w:t>4</w:t>
      </w:r>
      <w:r w:rsidR="00A87B65">
        <w:t>.</w:t>
      </w:r>
      <w:r w:rsidR="00A87B65">
        <w:rPr>
          <w:noProof/>
        </w:rPr>
        <w:t>8</w:t>
      </w:r>
      <w:r w:rsidRPr="002D2F9B">
        <w:fldChar w:fldCharType="end"/>
      </w:r>
      <w:r>
        <w:t xml:space="preserve"> </w:t>
      </w:r>
      <w:r w:rsidR="0058217A">
        <w:t xml:space="preserve">below </w:t>
      </w:r>
      <w:r>
        <w:t>that our rural geotype is reasonably well aligned with the ACMA’s regional licensing areas for the 1800MHz and 2GHz bands.</w:t>
      </w:r>
    </w:p>
    <w:p w:rsidR="0058217A" w:rsidRDefault="0058217A">
      <w:pPr>
        <w:spacing w:after="0" w:line="240" w:lineRule="auto"/>
        <w:jc w:val="left"/>
      </w:pPr>
      <w:r>
        <w:br w:type="page"/>
      </w:r>
    </w:p>
    <w:p w:rsidR="00B873A7" w:rsidRDefault="00B873A7" w:rsidP="00B873A7"/>
    <w:tbl>
      <w:tblPr>
        <w:tblW w:w="8730" w:type="dxa"/>
        <w:tblLayout w:type="fixed"/>
        <w:tblCellMar>
          <w:left w:w="0" w:type="dxa"/>
          <w:right w:w="0" w:type="dxa"/>
        </w:tblCellMar>
        <w:tblLook w:val="0000" w:firstRow="0" w:lastRow="0" w:firstColumn="0" w:lastColumn="0" w:noHBand="0" w:noVBand="0"/>
      </w:tblPr>
      <w:tblGrid>
        <w:gridCol w:w="6576"/>
        <w:gridCol w:w="2154"/>
      </w:tblGrid>
      <w:tr w:rsidR="00B873A7" w:rsidTr="00841EA0">
        <w:tc>
          <w:tcPr>
            <w:tcW w:w="6576" w:type="dxa"/>
            <w:tcBorders>
              <w:right w:val="single" w:sz="4" w:space="0" w:color="auto"/>
            </w:tcBorders>
            <w:shd w:val="clear" w:color="auto" w:fill="auto"/>
          </w:tcPr>
          <w:p w:rsidR="00B873A7" w:rsidRDefault="00B873A7" w:rsidP="00841EA0">
            <w:pPr>
              <w:pStyle w:val="Bordersmall"/>
              <w:jc w:val="left"/>
            </w:pPr>
            <w:r>
              <w:rPr>
                <w:noProof/>
                <w:lang w:val="en-AU" w:eastAsia="en-AU"/>
              </w:rPr>
              <w:drawing>
                <wp:inline distT="0" distB="0" distL="0" distR="0" wp14:anchorId="5DEEB298" wp14:editId="2946522D">
                  <wp:extent cx="3970800" cy="2736000"/>
                  <wp:effectExtent l="0" t="0" r="0" b="7620"/>
                  <wp:docPr id="64"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970800" cy="2736000"/>
                          </a:xfrm>
                          <a:prstGeom prst="rect">
                            <a:avLst/>
                          </a:prstGeom>
                          <a:noFill/>
                          <a:ln>
                            <a:noFill/>
                          </a:ln>
                        </pic:spPr>
                      </pic:pic>
                    </a:graphicData>
                  </a:graphic>
                </wp:inline>
              </w:drawing>
            </w:r>
          </w:p>
        </w:tc>
        <w:tc>
          <w:tcPr>
            <w:tcW w:w="2154" w:type="dxa"/>
            <w:tcBorders>
              <w:left w:val="single" w:sz="4" w:space="0" w:color="auto"/>
            </w:tcBorders>
            <w:shd w:val="clear" w:color="auto" w:fill="auto"/>
          </w:tcPr>
          <w:p w:rsidR="00B873A7" w:rsidRDefault="00B873A7" w:rsidP="00841EA0">
            <w:pPr>
              <w:pStyle w:val="Captionsmall"/>
            </w:pPr>
            <w:bookmarkStart w:id="86" w:name="_Ref372039051"/>
            <w:r>
              <w:t>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r w:rsidR="008B1006">
              <w:fldChar w:fldCharType="begin"/>
            </w:r>
            <w:r w:rsidR="008B1006">
              <w:instrText xml:space="preserve"> SEQ Figure \* ARABIC \s 1 \* MERGEFORMAT </w:instrText>
            </w:r>
            <w:r w:rsidR="008B1006">
              <w:fldChar w:fldCharType="separate"/>
            </w:r>
            <w:r w:rsidR="00A87B65">
              <w:rPr>
                <w:noProof/>
              </w:rPr>
              <w:t>6</w:t>
            </w:r>
            <w:r w:rsidR="008B1006">
              <w:rPr>
                <w:noProof/>
              </w:rPr>
              <w:fldChar w:fldCharType="end"/>
            </w:r>
            <w:bookmarkEnd w:id="86"/>
            <w:r>
              <w:t>: Analysys Mason geotypes [Source: Analysys Mason, 2014]</w:t>
            </w:r>
          </w:p>
        </w:tc>
      </w:tr>
    </w:tbl>
    <w:p w:rsidR="00B873A7" w:rsidRDefault="00B873A7" w:rsidP="00B873A7">
      <w:pPr>
        <w:pStyle w:val="01"/>
      </w:pPr>
    </w:p>
    <w:tbl>
      <w:tblPr>
        <w:tblW w:w="8730" w:type="dxa"/>
        <w:tblLayout w:type="fixed"/>
        <w:tblCellMar>
          <w:left w:w="0" w:type="dxa"/>
          <w:right w:w="0" w:type="dxa"/>
        </w:tblCellMar>
        <w:tblLook w:val="0000" w:firstRow="0" w:lastRow="0" w:firstColumn="0" w:lastColumn="0" w:noHBand="0" w:noVBand="0"/>
      </w:tblPr>
      <w:tblGrid>
        <w:gridCol w:w="6576"/>
        <w:gridCol w:w="2154"/>
      </w:tblGrid>
      <w:tr w:rsidR="00B873A7" w:rsidTr="00841EA0">
        <w:tc>
          <w:tcPr>
            <w:tcW w:w="6576" w:type="dxa"/>
            <w:tcBorders>
              <w:right w:val="single" w:sz="4" w:space="0" w:color="auto"/>
            </w:tcBorders>
            <w:shd w:val="clear" w:color="auto" w:fill="auto"/>
          </w:tcPr>
          <w:p w:rsidR="00B873A7" w:rsidRDefault="00B873A7" w:rsidP="00841EA0">
            <w:pPr>
              <w:pStyle w:val="Bordersmall"/>
              <w:jc w:val="left"/>
            </w:pPr>
            <w:r>
              <w:rPr>
                <w:noProof/>
                <w:lang w:val="en-AU" w:eastAsia="en-AU"/>
              </w:rPr>
              <w:drawing>
                <wp:inline distT="0" distB="0" distL="0" distR="0" wp14:anchorId="09CB63D7" wp14:editId="5AC1DA43">
                  <wp:extent cx="3715200" cy="2318400"/>
                  <wp:effectExtent l="0" t="0" r="0" b="5715"/>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8"/>
                          <a:stretch>
                            <a:fillRect/>
                          </a:stretch>
                        </pic:blipFill>
                        <pic:spPr>
                          <a:xfrm>
                            <a:off x="0" y="0"/>
                            <a:ext cx="3715200" cy="2318400"/>
                          </a:xfrm>
                          <a:prstGeom prst="rect">
                            <a:avLst/>
                          </a:prstGeom>
                        </pic:spPr>
                      </pic:pic>
                    </a:graphicData>
                  </a:graphic>
                </wp:inline>
              </w:drawing>
            </w:r>
          </w:p>
        </w:tc>
        <w:tc>
          <w:tcPr>
            <w:tcW w:w="2154" w:type="dxa"/>
            <w:tcBorders>
              <w:left w:val="single" w:sz="4" w:space="0" w:color="auto"/>
            </w:tcBorders>
            <w:shd w:val="clear" w:color="auto" w:fill="auto"/>
          </w:tcPr>
          <w:p w:rsidR="00B873A7" w:rsidRDefault="00B873A7" w:rsidP="00841EA0">
            <w:pPr>
              <w:pStyle w:val="Captionsmall"/>
            </w:pPr>
            <w:bookmarkStart w:id="87" w:name="_Ref372039063"/>
            <w:r>
              <w:t>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r w:rsidR="008B1006">
              <w:fldChar w:fldCharType="begin"/>
            </w:r>
            <w:r w:rsidR="008B1006">
              <w:instrText xml:space="preserve"> SEQ Figure \* ARABIC \s 1 \* MERGEFORMAT </w:instrText>
            </w:r>
            <w:r w:rsidR="008B1006">
              <w:fldChar w:fldCharType="separate"/>
            </w:r>
            <w:r w:rsidR="00A87B65">
              <w:rPr>
                <w:noProof/>
              </w:rPr>
              <w:t>7</w:t>
            </w:r>
            <w:r w:rsidR="008B1006">
              <w:rPr>
                <w:noProof/>
              </w:rPr>
              <w:fldChar w:fldCharType="end"/>
            </w:r>
            <w:bookmarkEnd w:id="87"/>
            <w:r>
              <w:t>: ACMA regional and remote licensing scheme for 1800MHz [Source: ACMA]</w:t>
            </w:r>
          </w:p>
        </w:tc>
      </w:tr>
    </w:tbl>
    <w:p w:rsidR="00B873A7" w:rsidRDefault="00B873A7" w:rsidP="00B873A7">
      <w:pPr>
        <w:pStyle w:val="01"/>
      </w:pPr>
    </w:p>
    <w:tbl>
      <w:tblPr>
        <w:tblW w:w="8730" w:type="dxa"/>
        <w:tblLayout w:type="fixed"/>
        <w:tblCellMar>
          <w:left w:w="0" w:type="dxa"/>
          <w:right w:w="0" w:type="dxa"/>
        </w:tblCellMar>
        <w:tblLook w:val="0000" w:firstRow="0" w:lastRow="0" w:firstColumn="0" w:lastColumn="0" w:noHBand="0" w:noVBand="0"/>
      </w:tblPr>
      <w:tblGrid>
        <w:gridCol w:w="6576"/>
        <w:gridCol w:w="2154"/>
      </w:tblGrid>
      <w:tr w:rsidR="00B873A7" w:rsidTr="00841EA0">
        <w:tc>
          <w:tcPr>
            <w:tcW w:w="6576" w:type="dxa"/>
            <w:tcBorders>
              <w:right w:val="single" w:sz="4" w:space="0" w:color="auto"/>
            </w:tcBorders>
            <w:shd w:val="clear" w:color="auto" w:fill="auto"/>
          </w:tcPr>
          <w:p w:rsidR="00B873A7" w:rsidRDefault="00B873A7" w:rsidP="00841EA0">
            <w:pPr>
              <w:pStyle w:val="Bordersmall"/>
              <w:jc w:val="left"/>
            </w:pPr>
            <w:r>
              <w:rPr>
                <w:noProof/>
                <w:lang w:val="en-AU" w:eastAsia="en-AU"/>
              </w:rPr>
              <w:lastRenderedPageBreak/>
              <w:drawing>
                <wp:inline distT="0" distB="0" distL="0" distR="0" wp14:anchorId="59DF2E28" wp14:editId="61FA8AFF">
                  <wp:extent cx="3019425" cy="2611587"/>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9"/>
                          <a:stretch>
                            <a:fillRect/>
                          </a:stretch>
                        </pic:blipFill>
                        <pic:spPr>
                          <a:xfrm>
                            <a:off x="0" y="0"/>
                            <a:ext cx="3032493" cy="2622890"/>
                          </a:xfrm>
                          <a:prstGeom prst="rect">
                            <a:avLst/>
                          </a:prstGeom>
                        </pic:spPr>
                      </pic:pic>
                    </a:graphicData>
                  </a:graphic>
                </wp:inline>
              </w:drawing>
            </w:r>
          </w:p>
        </w:tc>
        <w:tc>
          <w:tcPr>
            <w:tcW w:w="2154" w:type="dxa"/>
            <w:tcBorders>
              <w:left w:val="single" w:sz="4" w:space="0" w:color="auto"/>
            </w:tcBorders>
            <w:shd w:val="clear" w:color="auto" w:fill="auto"/>
          </w:tcPr>
          <w:p w:rsidR="00B873A7" w:rsidRDefault="00B873A7" w:rsidP="00841EA0">
            <w:pPr>
              <w:pStyle w:val="Captionsmall"/>
            </w:pPr>
            <w:bookmarkStart w:id="88" w:name="_Ref372815292"/>
            <w:r>
              <w:t>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r w:rsidR="008B1006">
              <w:fldChar w:fldCharType="begin"/>
            </w:r>
            <w:r w:rsidR="008B1006">
              <w:instrText xml:space="preserve"> SEQ </w:instrText>
            </w:r>
            <w:r w:rsidR="008B1006">
              <w:instrText xml:space="preserve">Figure \* ARABIC \s 1 \* MERGEFORMAT </w:instrText>
            </w:r>
            <w:r w:rsidR="008B1006">
              <w:fldChar w:fldCharType="separate"/>
            </w:r>
            <w:r w:rsidR="00A87B65">
              <w:rPr>
                <w:noProof/>
              </w:rPr>
              <w:t>8</w:t>
            </w:r>
            <w:r w:rsidR="008B1006">
              <w:rPr>
                <w:noProof/>
              </w:rPr>
              <w:fldChar w:fldCharType="end"/>
            </w:r>
            <w:bookmarkEnd w:id="88"/>
            <w:r>
              <w:t>: ACMA regional and remote licensing scheme for 2GHz [Source: ACMA]</w:t>
            </w:r>
          </w:p>
        </w:tc>
      </w:tr>
    </w:tbl>
    <w:p w:rsidR="00B873A7" w:rsidRDefault="00B873A7" w:rsidP="00B873A7">
      <w:r>
        <w:t>It should be noted</w:t>
      </w:r>
      <w:r w:rsidRPr="00B70F52">
        <w:t xml:space="preserve"> that in some bands operators have different am</w:t>
      </w:r>
      <w:r>
        <w:t xml:space="preserve">ounts of spectrum in different </w:t>
      </w:r>
      <w:r w:rsidRPr="00B70F52">
        <w:t>metropolitan (and sometimes regional) areas. Where this happens we use average values</w:t>
      </w:r>
      <w:r>
        <w:t>.</w:t>
      </w:r>
    </w:p>
    <w:p w:rsidR="00B873A7" w:rsidRDefault="00B873A7" w:rsidP="00B873A7">
      <w:r>
        <w:t xml:space="preserve">Based on the market shares by area collected by </w:t>
      </w:r>
      <w:r w:rsidRPr="002651A5">
        <w:t>Roy Morgan</w:t>
      </w:r>
      <w:r>
        <w:t xml:space="preserve"> Research</w:t>
      </w:r>
      <w:r>
        <w:rPr>
          <w:rStyle w:val="FootnoteReference"/>
        </w:rPr>
        <w:footnoteReference w:id="16"/>
      </w:r>
      <w:r>
        <w:t xml:space="preserve"> for the ACMA, we use different market shares for the following three categories:</w:t>
      </w:r>
    </w:p>
    <w:p w:rsidR="00B873A7" w:rsidRDefault="00B873A7" w:rsidP="00B873A7">
      <w:pPr>
        <w:pStyle w:val="ListBulletCompact"/>
        <w:tabs>
          <w:tab w:val="num" w:pos="360"/>
        </w:tabs>
        <w:ind w:left="357" w:hanging="357"/>
      </w:pPr>
      <w:r>
        <w:t xml:space="preserve">dense urban and urban </w:t>
      </w:r>
      <w:r w:rsidR="00FC4996">
        <w:t xml:space="preserve">in the metropolitan areas </w:t>
      </w:r>
      <w:r>
        <w:t>geotypes</w:t>
      </w:r>
    </w:p>
    <w:p w:rsidR="00B873A7" w:rsidRDefault="00FC4996" w:rsidP="00B873A7">
      <w:pPr>
        <w:pStyle w:val="ListBulletCompact"/>
        <w:tabs>
          <w:tab w:val="num" w:pos="360"/>
        </w:tabs>
        <w:ind w:left="357" w:hanging="357"/>
      </w:pPr>
      <w:r>
        <w:t xml:space="preserve">urban in the metropolitan areas, </w:t>
      </w:r>
      <w:r w:rsidR="00B873A7">
        <w:t>suburban and rural geotypes</w:t>
      </w:r>
    </w:p>
    <w:p w:rsidR="00B873A7" w:rsidRDefault="00B873A7" w:rsidP="00B873A7">
      <w:pPr>
        <w:pStyle w:val="ListBullet"/>
        <w:tabs>
          <w:tab w:val="num" w:pos="360"/>
        </w:tabs>
        <w:ind w:left="357" w:hanging="357"/>
      </w:pPr>
      <w:r>
        <w:t>remote geotype.</w:t>
      </w:r>
    </w:p>
    <w:p w:rsidR="002D2F9B" w:rsidRDefault="002D2F9B" w:rsidP="00B873A7">
      <w:r>
        <w:t xml:space="preserve">The numbers are presented in </w:t>
      </w:r>
      <w:r>
        <w:fldChar w:fldCharType="begin"/>
      </w:r>
      <w:r>
        <w:instrText xml:space="preserve"> REF _Ref404155350 \h </w:instrText>
      </w:r>
      <w:r>
        <w:fldChar w:fldCharType="separate"/>
      </w:r>
      <w:r w:rsidR="00A87B65">
        <w:t xml:space="preserve">Figure </w:t>
      </w:r>
      <w:r w:rsidR="00A87B65">
        <w:rPr>
          <w:noProof/>
        </w:rPr>
        <w:t>4</w:t>
      </w:r>
      <w:r w:rsidR="00A87B65">
        <w:t>.</w:t>
      </w:r>
      <w:r w:rsidR="00A87B65">
        <w:rPr>
          <w:noProof/>
        </w:rPr>
        <w:t>9</w:t>
      </w:r>
      <w:r>
        <w:fldChar w:fldCharType="end"/>
      </w:r>
      <w:r>
        <w:t>.</w:t>
      </w:r>
    </w:p>
    <w:p w:rsidR="002D2F9B" w:rsidRDefault="002D2F9B" w:rsidP="002D2F9B">
      <w:pPr>
        <w:pStyle w:val="Caption"/>
      </w:pPr>
      <w:bookmarkStart w:id="89" w:name="_Ref404155350"/>
      <w:r>
        <w:t xml:space="preserve">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fldSimple w:instr=" SEQ Figure \* ARABIC \s 1 \* MERGEFORMAT ">
        <w:r w:rsidR="00A87B65">
          <w:rPr>
            <w:noProof/>
          </w:rPr>
          <w:t>9</w:t>
        </w:r>
      </w:fldSimple>
      <w:bookmarkEnd w:id="89"/>
      <w:r>
        <w:t xml:space="preserve">: </w:t>
      </w:r>
      <w:r w:rsidRPr="002D2F9B">
        <w:t xml:space="preserve">Market share of each operator by geotype </w:t>
      </w:r>
      <w:r>
        <w:t>[Source: Analysys Mason, 2014]</w:t>
      </w:r>
    </w:p>
    <w:tbl>
      <w:tblPr>
        <w:tblStyle w:val="MediumShading2-Accent1"/>
        <w:tblW w:w="5000" w:type="pct"/>
        <w:tblInd w:w="108" w:type="dxa"/>
        <w:tblLook w:val="0420" w:firstRow="1" w:lastRow="0" w:firstColumn="0" w:lastColumn="0" w:noHBand="0" w:noVBand="1"/>
      </w:tblPr>
      <w:tblGrid>
        <w:gridCol w:w="3148"/>
        <w:gridCol w:w="1933"/>
        <w:gridCol w:w="1933"/>
        <w:gridCol w:w="1933"/>
      </w:tblGrid>
      <w:tr w:rsidR="002D2F9B" w:rsidRPr="002D2F9B" w:rsidTr="003C6417">
        <w:trPr>
          <w:cnfStyle w:val="100000000000" w:firstRow="1" w:lastRow="0" w:firstColumn="0" w:lastColumn="0" w:oddVBand="0" w:evenVBand="0" w:oddHBand="0" w:evenHBand="0" w:firstRowFirstColumn="0" w:firstRowLastColumn="0" w:lastRowFirstColumn="0" w:lastRowLastColumn="0"/>
        </w:trPr>
        <w:tc>
          <w:tcPr>
            <w:tcW w:w="3148" w:type="dxa"/>
            <w:tcBorders>
              <w:top w:val="single" w:sz="18" w:space="0" w:color="221F72"/>
              <w:bottom w:val="nil"/>
            </w:tcBorders>
            <w:shd w:val="solid" w:color="221F72" w:fill="221F72"/>
          </w:tcPr>
          <w:p w:rsidR="002D2F9B" w:rsidRPr="002D2F9B" w:rsidRDefault="002D2F9B" w:rsidP="002D2F9B">
            <w:pPr>
              <w:pStyle w:val="Tableheading"/>
              <w:rPr>
                <w:b/>
              </w:rPr>
            </w:pPr>
            <w:r w:rsidRPr="002D2F9B">
              <w:rPr>
                <w:b/>
              </w:rPr>
              <w:t>Geotype</w:t>
            </w:r>
          </w:p>
        </w:tc>
        <w:tc>
          <w:tcPr>
            <w:tcW w:w="1933" w:type="dxa"/>
            <w:tcBorders>
              <w:top w:val="single" w:sz="18" w:space="0" w:color="221F72"/>
              <w:bottom w:val="nil"/>
            </w:tcBorders>
            <w:shd w:val="solid" w:color="221F72" w:fill="221F72"/>
          </w:tcPr>
          <w:p w:rsidR="002D2F9B" w:rsidRPr="002D2F9B" w:rsidRDefault="002D2F9B" w:rsidP="000B78CC">
            <w:pPr>
              <w:pStyle w:val="Tableheading"/>
              <w:jc w:val="center"/>
              <w:rPr>
                <w:b/>
              </w:rPr>
            </w:pPr>
            <w:r w:rsidRPr="002D2F9B">
              <w:rPr>
                <w:b/>
              </w:rPr>
              <w:t>Optus</w:t>
            </w:r>
          </w:p>
        </w:tc>
        <w:tc>
          <w:tcPr>
            <w:tcW w:w="1933" w:type="dxa"/>
            <w:tcBorders>
              <w:top w:val="single" w:sz="18" w:space="0" w:color="221F72"/>
              <w:bottom w:val="nil"/>
            </w:tcBorders>
            <w:shd w:val="solid" w:color="221F72" w:fill="221F72"/>
          </w:tcPr>
          <w:p w:rsidR="002D2F9B" w:rsidRPr="000B78CC" w:rsidRDefault="002D2F9B" w:rsidP="000B78CC">
            <w:pPr>
              <w:pStyle w:val="Tableheading"/>
              <w:jc w:val="center"/>
              <w:rPr>
                <w:b/>
              </w:rPr>
            </w:pPr>
            <w:r w:rsidRPr="000B78CC">
              <w:rPr>
                <w:b/>
              </w:rPr>
              <w:t>Telstra</w:t>
            </w:r>
          </w:p>
        </w:tc>
        <w:tc>
          <w:tcPr>
            <w:tcW w:w="1933" w:type="dxa"/>
            <w:tcBorders>
              <w:top w:val="single" w:sz="18" w:space="0" w:color="221F72"/>
              <w:bottom w:val="nil"/>
            </w:tcBorders>
            <w:shd w:val="solid" w:color="221F72" w:fill="221F72"/>
          </w:tcPr>
          <w:p w:rsidR="002D2F9B" w:rsidRPr="000B78CC" w:rsidRDefault="002D2F9B" w:rsidP="000B78CC">
            <w:pPr>
              <w:pStyle w:val="Tableheading"/>
              <w:jc w:val="center"/>
              <w:rPr>
                <w:b/>
              </w:rPr>
            </w:pPr>
            <w:r w:rsidRPr="000B78CC">
              <w:rPr>
                <w:b/>
              </w:rPr>
              <w:t>VHA</w:t>
            </w:r>
          </w:p>
        </w:tc>
      </w:tr>
      <w:tr w:rsidR="003102D5" w:rsidTr="003C6417">
        <w:trPr>
          <w:cnfStyle w:val="000000100000" w:firstRow="0" w:lastRow="0" w:firstColumn="0" w:lastColumn="0" w:oddVBand="0" w:evenVBand="0" w:oddHBand="1" w:evenHBand="0" w:firstRowFirstColumn="0" w:firstRowLastColumn="0" w:lastRowFirstColumn="0" w:lastRowLastColumn="0"/>
        </w:trPr>
        <w:tc>
          <w:tcPr>
            <w:tcW w:w="3148" w:type="dxa"/>
            <w:tcBorders>
              <w:top w:val="nil"/>
            </w:tcBorders>
          </w:tcPr>
          <w:p w:rsidR="003102D5" w:rsidRDefault="003102D5" w:rsidP="002D2F9B">
            <w:pPr>
              <w:pStyle w:val="Tablecells"/>
            </w:pPr>
            <w:r>
              <w:t>Dense urban</w:t>
            </w:r>
          </w:p>
        </w:tc>
        <w:tc>
          <w:tcPr>
            <w:tcW w:w="1933" w:type="dxa"/>
            <w:tcBorders>
              <w:top w:val="nil"/>
            </w:tcBorders>
          </w:tcPr>
          <w:p w:rsidR="003102D5" w:rsidRDefault="003102D5" w:rsidP="000B78CC">
            <w:pPr>
              <w:pStyle w:val="Tablecells"/>
              <w:jc w:val="center"/>
            </w:pPr>
            <w:r w:rsidRPr="0093227E">
              <w:t>[</w:t>
            </w:r>
            <w:r w:rsidRPr="0093227E">
              <w:rPr>
                <w:rFonts w:ascii="Wingdings" w:hAnsi="Wingdings"/>
              </w:rPr>
              <w:t></w:t>
            </w:r>
            <w:r w:rsidRPr="0093227E">
              <w:t>]</w:t>
            </w:r>
          </w:p>
        </w:tc>
        <w:tc>
          <w:tcPr>
            <w:tcW w:w="1933" w:type="dxa"/>
            <w:tcBorders>
              <w:top w:val="nil"/>
            </w:tcBorders>
          </w:tcPr>
          <w:p w:rsidR="003102D5" w:rsidRDefault="003102D5" w:rsidP="000B78CC">
            <w:pPr>
              <w:pStyle w:val="Tablecells"/>
              <w:jc w:val="center"/>
            </w:pPr>
            <w:r w:rsidRPr="00A6448B">
              <w:t>[</w:t>
            </w:r>
            <w:r w:rsidRPr="00A6448B">
              <w:rPr>
                <w:rFonts w:ascii="Wingdings" w:hAnsi="Wingdings"/>
              </w:rPr>
              <w:t></w:t>
            </w:r>
            <w:r w:rsidRPr="00A6448B">
              <w:t>]</w:t>
            </w:r>
          </w:p>
        </w:tc>
        <w:tc>
          <w:tcPr>
            <w:tcW w:w="1933" w:type="dxa"/>
            <w:tcBorders>
              <w:top w:val="nil"/>
            </w:tcBorders>
          </w:tcPr>
          <w:p w:rsidR="003102D5" w:rsidRDefault="003102D5" w:rsidP="000B78CC">
            <w:pPr>
              <w:pStyle w:val="Tablecells"/>
              <w:jc w:val="center"/>
            </w:pPr>
            <w:r w:rsidRPr="004A09C7">
              <w:t>[</w:t>
            </w:r>
            <w:r w:rsidRPr="004A09C7">
              <w:rPr>
                <w:rFonts w:ascii="Wingdings" w:hAnsi="Wingdings"/>
              </w:rPr>
              <w:t></w:t>
            </w:r>
            <w:r w:rsidRPr="004A09C7">
              <w:t>]</w:t>
            </w:r>
          </w:p>
        </w:tc>
      </w:tr>
      <w:tr w:rsidR="003102D5" w:rsidTr="000B78CC">
        <w:tc>
          <w:tcPr>
            <w:tcW w:w="3148" w:type="dxa"/>
            <w:tcBorders>
              <w:bottom w:val="nil"/>
            </w:tcBorders>
          </w:tcPr>
          <w:p w:rsidR="003102D5" w:rsidRDefault="003102D5" w:rsidP="002D2F9B">
            <w:pPr>
              <w:pStyle w:val="Tablecells"/>
            </w:pPr>
            <w:r>
              <w:t>Urban in metro areas</w:t>
            </w:r>
          </w:p>
        </w:tc>
        <w:tc>
          <w:tcPr>
            <w:tcW w:w="1933" w:type="dxa"/>
            <w:tcBorders>
              <w:bottom w:val="nil"/>
            </w:tcBorders>
          </w:tcPr>
          <w:p w:rsidR="003102D5" w:rsidRDefault="003102D5" w:rsidP="000B78CC">
            <w:pPr>
              <w:pStyle w:val="Tablecells"/>
              <w:jc w:val="center"/>
            </w:pPr>
            <w:r w:rsidRPr="007D6649">
              <w:t>[</w:t>
            </w:r>
            <w:r w:rsidRPr="007D6649">
              <w:rPr>
                <w:rFonts w:ascii="Wingdings" w:hAnsi="Wingdings"/>
              </w:rPr>
              <w:t></w:t>
            </w:r>
            <w:r w:rsidRPr="007D6649">
              <w:t>]</w:t>
            </w:r>
          </w:p>
        </w:tc>
        <w:tc>
          <w:tcPr>
            <w:tcW w:w="1933" w:type="dxa"/>
            <w:tcBorders>
              <w:bottom w:val="nil"/>
            </w:tcBorders>
          </w:tcPr>
          <w:p w:rsidR="003102D5" w:rsidRDefault="003102D5" w:rsidP="000B78CC">
            <w:pPr>
              <w:pStyle w:val="Tablecells"/>
              <w:jc w:val="center"/>
            </w:pPr>
            <w:r w:rsidRPr="00A6448B">
              <w:t>[</w:t>
            </w:r>
            <w:r w:rsidRPr="00A6448B">
              <w:rPr>
                <w:rFonts w:ascii="Wingdings" w:hAnsi="Wingdings"/>
              </w:rPr>
              <w:t></w:t>
            </w:r>
            <w:r w:rsidRPr="00A6448B">
              <w:t>]</w:t>
            </w:r>
          </w:p>
        </w:tc>
        <w:tc>
          <w:tcPr>
            <w:tcW w:w="1933" w:type="dxa"/>
            <w:tcBorders>
              <w:bottom w:val="nil"/>
            </w:tcBorders>
          </w:tcPr>
          <w:p w:rsidR="003102D5" w:rsidRDefault="003102D5" w:rsidP="000B78CC">
            <w:pPr>
              <w:pStyle w:val="Tablecells"/>
              <w:jc w:val="center"/>
            </w:pPr>
            <w:r w:rsidRPr="004A09C7">
              <w:t>[</w:t>
            </w:r>
            <w:r w:rsidRPr="004A09C7">
              <w:rPr>
                <w:rFonts w:ascii="Wingdings" w:hAnsi="Wingdings"/>
              </w:rPr>
              <w:t></w:t>
            </w:r>
            <w:r w:rsidRPr="004A09C7">
              <w:t>]</w:t>
            </w:r>
          </w:p>
        </w:tc>
      </w:tr>
      <w:tr w:rsidR="003102D5" w:rsidTr="000B78CC">
        <w:trPr>
          <w:cnfStyle w:val="000000100000" w:firstRow="0" w:lastRow="0" w:firstColumn="0" w:lastColumn="0" w:oddVBand="0" w:evenVBand="0" w:oddHBand="1" w:evenHBand="0" w:firstRowFirstColumn="0" w:firstRowLastColumn="0" w:lastRowFirstColumn="0" w:lastRowLastColumn="0"/>
        </w:trPr>
        <w:tc>
          <w:tcPr>
            <w:tcW w:w="3148" w:type="dxa"/>
            <w:tcBorders>
              <w:bottom w:val="nil"/>
            </w:tcBorders>
          </w:tcPr>
          <w:p w:rsidR="003102D5" w:rsidRDefault="003102D5" w:rsidP="002D2F9B">
            <w:pPr>
              <w:pStyle w:val="Tablecells"/>
            </w:pPr>
            <w:r>
              <w:t>Urban in regional areas</w:t>
            </w:r>
          </w:p>
        </w:tc>
        <w:tc>
          <w:tcPr>
            <w:tcW w:w="1933" w:type="dxa"/>
            <w:tcBorders>
              <w:bottom w:val="nil"/>
            </w:tcBorders>
          </w:tcPr>
          <w:p w:rsidR="003102D5" w:rsidRDefault="003102D5" w:rsidP="000B78CC">
            <w:pPr>
              <w:pStyle w:val="Tablecells"/>
              <w:jc w:val="center"/>
            </w:pPr>
            <w:r w:rsidRPr="007D6649">
              <w:t>[</w:t>
            </w:r>
            <w:r w:rsidRPr="007D6649">
              <w:rPr>
                <w:rFonts w:ascii="Wingdings" w:hAnsi="Wingdings"/>
              </w:rPr>
              <w:t></w:t>
            </w:r>
            <w:r w:rsidRPr="007D6649">
              <w:t>]</w:t>
            </w:r>
          </w:p>
        </w:tc>
        <w:tc>
          <w:tcPr>
            <w:tcW w:w="1933" w:type="dxa"/>
            <w:tcBorders>
              <w:bottom w:val="nil"/>
            </w:tcBorders>
          </w:tcPr>
          <w:p w:rsidR="003102D5" w:rsidRDefault="003102D5" w:rsidP="000B78CC">
            <w:pPr>
              <w:pStyle w:val="Tablecells"/>
              <w:jc w:val="center"/>
            </w:pPr>
            <w:r w:rsidRPr="00A6448B">
              <w:t>[</w:t>
            </w:r>
            <w:r w:rsidRPr="00A6448B">
              <w:rPr>
                <w:rFonts w:ascii="Wingdings" w:hAnsi="Wingdings"/>
              </w:rPr>
              <w:t></w:t>
            </w:r>
            <w:r w:rsidRPr="00A6448B">
              <w:t>]</w:t>
            </w:r>
          </w:p>
        </w:tc>
        <w:tc>
          <w:tcPr>
            <w:tcW w:w="1933" w:type="dxa"/>
            <w:tcBorders>
              <w:bottom w:val="nil"/>
            </w:tcBorders>
          </w:tcPr>
          <w:p w:rsidR="003102D5" w:rsidRDefault="003102D5" w:rsidP="000B78CC">
            <w:pPr>
              <w:pStyle w:val="Tablecells"/>
              <w:jc w:val="center"/>
            </w:pPr>
            <w:r w:rsidRPr="004A09C7">
              <w:t>[</w:t>
            </w:r>
            <w:r w:rsidRPr="004A09C7">
              <w:rPr>
                <w:rFonts w:ascii="Wingdings" w:hAnsi="Wingdings"/>
              </w:rPr>
              <w:t></w:t>
            </w:r>
            <w:r w:rsidRPr="004A09C7">
              <w:t>]</w:t>
            </w:r>
          </w:p>
        </w:tc>
      </w:tr>
      <w:tr w:rsidR="003102D5" w:rsidTr="000B78CC">
        <w:tc>
          <w:tcPr>
            <w:tcW w:w="3148" w:type="dxa"/>
            <w:tcBorders>
              <w:bottom w:val="nil"/>
            </w:tcBorders>
          </w:tcPr>
          <w:p w:rsidR="003102D5" w:rsidRDefault="003102D5" w:rsidP="002D2F9B">
            <w:pPr>
              <w:pStyle w:val="Tablecells"/>
            </w:pPr>
            <w:r>
              <w:t>Suburban in metro areas</w:t>
            </w:r>
          </w:p>
        </w:tc>
        <w:tc>
          <w:tcPr>
            <w:tcW w:w="1933" w:type="dxa"/>
            <w:tcBorders>
              <w:bottom w:val="nil"/>
            </w:tcBorders>
          </w:tcPr>
          <w:p w:rsidR="003102D5" w:rsidRDefault="003102D5" w:rsidP="000B78CC">
            <w:pPr>
              <w:pStyle w:val="Tablecells"/>
              <w:jc w:val="center"/>
            </w:pPr>
            <w:r w:rsidRPr="007D6649">
              <w:t>[</w:t>
            </w:r>
            <w:r w:rsidRPr="007D6649">
              <w:rPr>
                <w:rFonts w:ascii="Wingdings" w:hAnsi="Wingdings"/>
              </w:rPr>
              <w:t></w:t>
            </w:r>
            <w:r w:rsidRPr="007D6649">
              <w:t>]</w:t>
            </w:r>
          </w:p>
        </w:tc>
        <w:tc>
          <w:tcPr>
            <w:tcW w:w="1933" w:type="dxa"/>
            <w:tcBorders>
              <w:bottom w:val="nil"/>
            </w:tcBorders>
          </w:tcPr>
          <w:p w:rsidR="003102D5" w:rsidRDefault="003102D5" w:rsidP="000B78CC">
            <w:pPr>
              <w:pStyle w:val="Tablecells"/>
              <w:jc w:val="center"/>
            </w:pPr>
            <w:r w:rsidRPr="00A6448B">
              <w:t>[</w:t>
            </w:r>
            <w:r w:rsidRPr="00A6448B">
              <w:rPr>
                <w:rFonts w:ascii="Wingdings" w:hAnsi="Wingdings"/>
              </w:rPr>
              <w:t></w:t>
            </w:r>
            <w:r w:rsidRPr="00A6448B">
              <w:t>]</w:t>
            </w:r>
          </w:p>
        </w:tc>
        <w:tc>
          <w:tcPr>
            <w:tcW w:w="1933" w:type="dxa"/>
            <w:tcBorders>
              <w:bottom w:val="nil"/>
            </w:tcBorders>
          </w:tcPr>
          <w:p w:rsidR="003102D5" w:rsidRDefault="003102D5" w:rsidP="000B78CC">
            <w:pPr>
              <w:pStyle w:val="Tablecells"/>
              <w:jc w:val="center"/>
            </w:pPr>
            <w:r w:rsidRPr="004A09C7">
              <w:t>[</w:t>
            </w:r>
            <w:r w:rsidRPr="004A09C7">
              <w:rPr>
                <w:rFonts w:ascii="Wingdings" w:hAnsi="Wingdings"/>
              </w:rPr>
              <w:t></w:t>
            </w:r>
            <w:r w:rsidRPr="004A09C7">
              <w:t>]</w:t>
            </w:r>
          </w:p>
        </w:tc>
      </w:tr>
      <w:tr w:rsidR="003102D5" w:rsidTr="000B78CC">
        <w:trPr>
          <w:cnfStyle w:val="000000100000" w:firstRow="0" w:lastRow="0" w:firstColumn="0" w:lastColumn="0" w:oddVBand="0" w:evenVBand="0" w:oddHBand="1" w:evenHBand="0" w:firstRowFirstColumn="0" w:firstRowLastColumn="0" w:lastRowFirstColumn="0" w:lastRowLastColumn="0"/>
        </w:trPr>
        <w:tc>
          <w:tcPr>
            <w:tcW w:w="3148" w:type="dxa"/>
            <w:tcBorders>
              <w:bottom w:val="nil"/>
            </w:tcBorders>
          </w:tcPr>
          <w:p w:rsidR="003102D5" w:rsidRDefault="003102D5" w:rsidP="002D2F9B">
            <w:pPr>
              <w:pStyle w:val="Tablecells"/>
            </w:pPr>
            <w:r>
              <w:t>Suburban in regional areas</w:t>
            </w:r>
          </w:p>
        </w:tc>
        <w:tc>
          <w:tcPr>
            <w:tcW w:w="1933" w:type="dxa"/>
            <w:tcBorders>
              <w:bottom w:val="nil"/>
            </w:tcBorders>
          </w:tcPr>
          <w:p w:rsidR="003102D5" w:rsidRDefault="003102D5" w:rsidP="000B78CC">
            <w:pPr>
              <w:pStyle w:val="Tablecells"/>
              <w:jc w:val="center"/>
            </w:pPr>
            <w:r w:rsidRPr="007D6649">
              <w:t>[</w:t>
            </w:r>
            <w:r w:rsidRPr="007D6649">
              <w:rPr>
                <w:rFonts w:ascii="Wingdings" w:hAnsi="Wingdings"/>
              </w:rPr>
              <w:t></w:t>
            </w:r>
            <w:r w:rsidRPr="007D6649">
              <w:t>]</w:t>
            </w:r>
          </w:p>
        </w:tc>
        <w:tc>
          <w:tcPr>
            <w:tcW w:w="1933" w:type="dxa"/>
            <w:tcBorders>
              <w:bottom w:val="nil"/>
            </w:tcBorders>
          </w:tcPr>
          <w:p w:rsidR="003102D5" w:rsidRDefault="003102D5" w:rsidP="000B78CC">
            <w:pPr>
              <w:pStyle w:val="Tablecells"/>
              <w:jc w:val="center"/>
            </w:pPr>
            <w:r w:rsidRPr="00A6448B">
              <w:t>[</w:t>
            </w:r>
            <w:r w:rsidRPr="00A6448B">
              <w:rPr>
                <w:rFonts w:ascii="Wingdings" w:hAnsi="Wingdings"/>
              </w:rPr>
              <w:t></w:t>
            </w:r>
            <w:r w:rsidRPr="00A6448B">
              <w:t>]</w:t>
            </w:r>
          </w:p>
        </w:tc>
        <w:tc>
          <w:tcPr>
            <w:tcW w:w="1933" w:type="dxa"/>
            <w:tcBorders>
              <w:bottom w:val="nil"/>
            </w:tcBorders>
          </w:tcPr>
          <w:p w:rsidR="003102D5" w:rsidRDefault="003102D5" w:rsidP="000B78CC">
            <w:pPr>
              <w:pStyle w:val="Tablecells"/>
              <w:jc w:val="center"/>
            </w:pPr>
            <w:r w:rsidRPr="004A09C7">
              <w:t>[</w:t>
            </w:r>
            <w:r w:rsidRPr="004A09C7">
              <w:rPr>
                <w:rFonts w:ascii="Wingdings" w:hAnsi="Wingdings"/>
              </w:rPr>
              <w:t></w:t>
            </w:r>
            <w:r w:rsidRPr="004A09C7">
              <w:t>]</w:t>
            </w:r>
          </w:p>
        </w:tc>
      </w:tr>
      <w:tr w:rsidR="003102D5" w:rsidTr="000B78CC">
        <w:tc>
          <w:tcPr>
            <w:tcW w:w="3148" w:type="dxa"/>
            <w:tcBorders>
              <w:bottom w:val="nil"/>
            </w:tcBorders>
          </w:tcPr>
          <w:p w:rsidR="003102D5" w:rsidRDefault="003102D5" w:rsidP="002D2F9B">
            <w:pPr>
              <w:pStyle w:val="Tablecells"/>
            </w:pPr>
            <w:r>
              <w:lastRenderedPageBreak/>
              <w:t>Rural</w:t>
            </w:r>
          </w:p>
        </w:tc>
        <w:tc>
          <w:tcPr>
            <w:tcW w:w="1933" w:type="dxa"/>
            <w:tcBorders>
              <w:bottom w:val="nil"/>
            </w:tcBorders>
          </w:tcPr>
          <w:p w:rsidR="003102D5" w:rsidRDefault="003102D5" w:rsidP="000B78CC">
            <w:pPr>
              <w:pStyle w:val="Tablecells"/>
              <w:jc w:val="center"/>
            </w:pPr>
            <w:r w:rsidRPr="007D6649">
              <w:t>[</w:t>
            </w:r>
            <w:r w:rsidRPr="007D6649">
              <w:rPr>
                <w:rFonts w:ascii="Wingdings" w:hAnsi="Wingdings"/>
              </w:rPr>
              <w:t></w:t>
            </w:r>
            <w:r w:rsidRPr="007D6649">
              <w:t>]</w:t>
            </w:r>
          </w:p>
        </w:tc>
        <w:tc>
          <w:tcPr>
            <w:tcW w:w="1933" w:type="dxa"/>
            <w:tcBorders>
              <w:bottom w:val="nil"/>
            </w:tcBorders>
          </w:tcPr>
          <w:p w:rsidR="003102D5" w:rsidRDefault="003102D5" w:rsidP="000B78CC">
            <w:pPr>
              <w:pStyle w:val="Tablecells"/>
              <w:jc w:val="center"/>
            </w:pPr>
            <w:r w:rsidRPr="00A6448B">
              <w:t>[</w:t>
            </w:r>
            <w:r w:rsidRPr="00A6448B">
              <w:rPr>
                <w:rFonts w:ascii="Wingdings" w:hAnsi="Wingdings"/>
              </w:rPr>
              <w:t></w:t>
            </w:r>
            <w:r w:rsidRPr="00A6448B">
              <w:t>]</w:t>
            </w:r>
          </w:p>
        </w:tc>
        <w:tc>
          <w:tcPr>
            <w:tcW w:w="1933" w:type="dxa"/>
            <w:tcBorders>
              <w:bottom w:val="nil"/>
            </w:tcBorders>
          </w:tcPr>
          <w:p w:rsidR="003102D5" w:rsidRDefault="003102D5" w:rsidP="000B78CC">
            <w:pPr>
              <w:pStyle w:val="Tablecells"/>
              <w:jc w:val="center"/>
            </w:pPr>
            <w:r w:rsidRPr="004A09C7">
              <w:t>[</w:t>
            </w:r>
            <w:r w:rsidRPr="004A09C7">
              <w:rPr>
                <w:rFonts w:ascii="Wingdings" w:hAnsi="Wingdings"/>
              </w:rPr>
              <w:t></w:t>
            </w:r>
            <w:r w:rsidRPr="004A09C7">
              <w:t>]</w:t>
            </w:r>
          </w:p>
        </w:tc>
      </w:tr>
      <w:tr w:rsidR="003102D5" w:rsidTr="000B78CC">
        <w:trPr>
          <w:cnfStyle w:val="000000100000" w:firstRow="0" w:lastRow="0" w:firstColumn="0" w:lastColumn="0" w:oddVBand="0" w:evenVBand="0" w:oddHBand="1" w:evenHBand="0" w:firstRowFirstColumn="0" w:firstRowLastColumn="0" w:lastRowFirstColumn="0" w:lastRowLastColumn="0"/>
        </w:trPr>
        <w:tc>
          <w:tcPr>
            <w:tcW w:w="3148" w:type="dxa"/>
            <w:tcBorders>
              <w:top w:val="nil"/>
              <w:bottom w:val="single" w:sz="4" w:space="0" w:color="808080"/>
            </w:tcBorders>
          </w:tcPr>
          <w:p w:rsidR="003102D5" w:rsidRDefault="003102D5" w:rsidP="002D2F9B">
            <w:pPr>
              <w:pStyle w:val="Tablecells"/>
            </w:pPr>
            <w:r>
              <w:t>Remote</w:t>
            </w:r>
          </w:p>
        </w:tc>
        <w:tc>
          <w:tcPr>
            <w:tcW w:w="1933" w:type="dxa"/>
            <w:tcBorders>
              <w:top w:val="nil"/>
              <w:bottom w:val="single" w:sz="4" w:space="0" w:color="808080"/>
            </w:tcBorders>
          </w:tcPr>
          <w:p w:rsidR="003102D5" w:rsidRDefault="003102D5" w:rsidP="000B78CC">
            <w:pPr>
              <w:pStyle w:val="Tablecells"/>
              <w:jc w:val="center"/>
            </w:pPr>
            <w:r w:rsidRPr="007D6649">
              <w:t>[</w:t>
            </w:r>
            <w:r w:rsidRPr="007D6649">
              <w:rPr>
                <w:rFonts w:ascii="Wingdings" w:hAnsi="Wingdings"/>
              </w:rPr>
              <w:t></w:t>
            </w:r>
            <w:r w:rsidRPr="007D6649">
              <w:t>]</w:t>
            </w:r>
          </w:p>
        </w:tc>
        <w:tc>
          <w:tcPr>
            <w:tcW w:w="1933" w:type="dxa"/>
            <w:tcBorders>
              <w:top w:val="nil"/>
              <w:bottom w:val="single" w:sz="4" w:space="0" w:color="808080"/>
            </w:tcBorders>
          </w:tcPr>
          <w:p w:rsidR="003102D5" w:rsidRDefault="003102D5" w:rsidP="000B78CC">
            <w:pPr>
              <w:pStyle w:val="Tablecells"/>
              <w:jc w:val="center"/>
            </w:pPr>
            <w:r w:rsidRPr="00A6448B">
              <w:t>[</w:t>
            </w:r>
            <w:r w:rsidRPr="00A6448B">
              <w:rPr>
                <w:rFonts w:ascii="Wingdings" w:hAnsi="Wingdings"/>
              </w:rPr>
              <w:t></w:t>
            </w:r>
            <w:r w:rsidRPr="00A6448B">
              <w:t>]</w:t>
            </w:r>
          </w:p>
        </w:tc>
        <w:tc>
          <w:tcPr>
            <w:tcW w:w="1933" w:type="dxa"/>
            <w:tcBorders>
              <w:top w:val="nil"/>
              <w:bottom w:val="single" w:sz="4" w:space="0" w:color="808080"/>
            </w:tcBorders>
          </w:tcPr>
          <w:p w:rsidR="003102D5" w:rsidRDefault="003102D5" w:rsidP="000B78CC">
            <w:pPr>
              <w:pStyle w:val="Tablecells"/>
              <w:jc w:val="center"/>
            </w:pPr>
            <w:r w:rsidRPr="004A09C7">
              <w:t>[</w:t>
            </w:r>
            <w:r w:rsidRPr="004A09C7">
              <w:rPr>
                <w:rFonts w:ascii="Wingdings" w:hAnsi="Wingdings"/>
              </w:rPr>
              <w:t></w:t>
            </w:r>
            <w:r w:rsidRPr="004A09C7">
              <w:t>]</w:t>
            </w:r>
          </w:p>
        </w:tc>
      </w:tr>
      <w:tr w:rsidR="003102D5" w:rsidTr="000B78CC">
        <w:tc>
          <w:tcPr>
            <w:tcW w:w="3148" w:type="dxa"/>
            <w:tcBorders>
              <w:top w:val="nil"/>
              <w:bottom w:val="single" w:sz="4" w:space="0" w:color="808080"/>
            </w:tcBorders>
          </w:tcPr>
          <w:p w:rsidR="003102D5" w:rsidRDefault="003102D5" w:rsidP="002D2F9B">
            <w:pPr>
              <w:pStyle w:val="Tablecells"/>
            </w:pPr>
            <w:r>
              <w:t>National weighted average</w:t>
            </w:r>
          </w:p>
        </w:tc>
        <w:tc>
          <w:tcPr>
            <w:tcW w:w="1933" w:type="dxa"/>
            <w:tcBorders>
              <w:top w:val="nil"/>
              <w:bottom w:val="single" w:sz="4" w:space="0" w:color="808080"/>
            </w:tcBorders>
          </w:tcPr>
          <w:p w:rsidR="003102D5" w:rsidRPr="00D63728" w:rsidRDefault="003102D5" w:rsidP="000B78CC">
            <w:pPr>
              <w:pStyle w:val="Tablecells"/>
              <w:jc w:val="center"/>
              <w:rPr>
                <w:b/>
              </w:rPr>
            </w:pPr>
            <w:r w:rsidRPr="00D63728">
              <w:rPr>
                <w:b/>
              </w:rPr>
              <w:t>[</w:t>
            </w:r>
            <w:r w:rsidRPr="00D63728">
              <w:rPr>
                <w:rFonts w:ascii="Wingdings" w:hAnsi="Wingdings"/>
                <w:b/>
              </w:rPr>
              <w:t></w:t>
            </w:r>
            <w:r w:rsidRPr="00D63728">
              <w:rPr>
                <w:b/>
              </w:rPr>
              <w:t>]</w:t>
            </w:r>
          </w:p>
        </w:tc>
        <w:tc>
          <w:tcPr>
            <w:tcW w:w="1933" w:type="dxa"/>
            <w:tcBorders>
              <w:top w:val="nil"/>
              <w:bottom w:val="single" w:sz="4" w:space="0" w:color="808080"/>
            </w:tcBorders>
          </w:tcPr>
          <w:p w:rsidR="003102D5" w:rsidRPr="00D63728" w:rsidRDefault="003102D5" w:rsidP="000B78CC">
            <w:pPr>
              <w:pStyle w:val="Tablecells"/>
              <w:jc w:val="center"/>
              <w:rPr>
                <w:b/>
              </w:rPr>
            </w:pPr>
            <w:r w:rsidRPr="00D63728">
              <w:rPr>
                <w:b/>
              </w:rPr>
              <w:t>[</w:t>
            </w:r>
            <w:r w:rsidRPr="00D63728">
              <w:rPr>
                <w:rFonts w:ascii="Wingdings" w:hAnsi="Wingdings"/>
                <w:b/>
              </w:rPr>
              <w:t></w:t>
            </w:r>
            <w:r w:rsidRPr="00D63728">
              <w:rPr>
                <w:b/>
              </w:rPr>
              <w:t>]</w:t>
            </w:r>
          </w:p>
        </w:tc>
        <w:tc>
          <w:tcPr>
            <w:tcW w:w="1933" w:type="dxa"/>
            <w:tcBorders>
              <w:top w:val="nil"/>
              <w:bottom w:val="single" w:sz="4" w:space="0" w:color="808080"/>
            </w:tcBorders>
          </w:tcPr>
          <w:p w:rsidR="003102D5" w:rsidRPr="00D63728" w:rsidRDefault="003102D5" w:rsidP="000B78CC">
            <w:pPr>
              <w:pStyle w:val="Tablecells"/>
              <w:jc w:val="center"/>
              <w:rPr>
                <w:b/>
              </w:rPr>
            </w:pPr>
            <w:r w:rsidRPr="00D63728">
              <w:rPr>
                <w:b/>
              </w:rPr>
              <w:t>[</w:t>
            </w:r>
            <w:r w:rsidRPr="00D63728">
              <w:rPr>
                <w:rFonts w:ascii="Wingdings" w:hAnsi="Wingdings"/>
                <w:b/>
              </w:rPr>
              <w:t></w:t>
            </w:r>
            <w:r w:rsidRPr="00D63728">
              <w:rPr>
                <w:b/>
              </w:rPr>
              <w:t>]</w:t>
            </w:r>
          </w:p>
        </w:tc>
      </w:tr>
    </w:tbl>
    <w:p w:rsidR="002D2F9B" w:rsidRDefault="002D2F9B" w:rsidP="00B873A7"/>
    <w:p w:rsidR="00B873A7" w:rsidRDefault="00B8748B" w:rsidP="00B873A7">
      <w:r>
        <w:t>M</w:t>
      </w:r>
      <w:r w:rsidR="00B873A7">
        <w:t>ultiplying the market share of each operator in each geotype by the population in that same geotype and summi</w:t>
      </w:r>
      <w:r>
        <w:t>ng it for the whole country gives</w:t>
      </w:r>
      <w:r w:rsidR="00B873A7">
        <w:t xml:space="preserve"> a close match to the national market share for each operator.</w:t>
      </w:r>
    </w:p>
    <w:p w:rsidR="00B873A7" w:rsidRPr="005A106E" w:rsidRDefault="00B873A7" w:rsidP="00B873A7">
      <w:pPr>
        <w:rPr>
          <w:spacing w:val="-4"/>
        </w:rPr>
      </w:pPr>
      <w:r w:rsidRPr="005A106E">
        <w:rPr>
          <w:spacing w:val="-4"/>
        </w:rPr>
        <w:t>We further assume that the market shares remain unchanged over the forecast period, since we have no basis for assuming otherwise.</w:t>
      </w:r>
      <w:r w:rsidR="00E36E08" w:rsidRPr="005A106E">
        <w:rPr>
          <w:spacing w:val="-4"/>
        </w:rPr>
        <w:t xml:space="preserve"> However, the model is capable of considering changes in market share over time and already produces operator-level results for sensitivities with higher traffic than in the base case, which is equivalent to operators assuming that they will gain market share.</w:t>
      </w:r>
    </w:p>
    <w:p w:rsidR="00B873A7" w:rsidRDefault="00B873A7" w:rsidP="00B873A7">
      <w:pPr>
        <w:pStyle w:val="Heading3"/>
        <w:ind w:hanging="567"/>
      </w:pPr>
      <w:bookmarkStart w:id="90" w:name="_Toc369185101"/>
      <w:bookmarkStart w:id="91" w:name="_Ref369196766"/>
      <w:bookmarkStart w:id="92" w:name="_Ref372815859"/>
      <w:bookmarkStart w:id="93" w:name="_Toc373161397"/>
      <w:bookmarkStart w:id="94" w:name="_Ref399571111"/>
      <w:r w:rsidRPr="008A0DCE">
        <w:t>Current mobile spectrum allocations</w:t>
      </w:r>
      <w:bookmarkEnd w:id="90"/>
      <w:bookmarkEnd w:id="91"/>
      <w:bookmarkEnd w:id="92"/>
      <w:bookmarkEnd w:id="93"/>
      <w:bookmarkEnd w:id="94"/>
    </w:p>
    <w:p w:rsidR="00D62E74" w:rsidRDefault="00B873A7" w:rsidP="00B873A7">
      <w:r>
        <w:t xml:space="preserve">The spectrum allocations used in the model for each of the three Australian mobile operators are presented in </w:t>
      </w:r>
      <w:r w:rsidRPr="002D2F9B">
        <w:fldChar w:fldCharType="begin"/>
      </w:r>
      <w:r w:rsidRPr="002D2F9B">
        <w:instrText xml:space="preserve"> REF _Ref367712427 \h </w:instrText>
      </w:r>
      <w:r w:rsidRPr="002D2F9B">
        <w:fldChar w:fldCharType="separate"/>
      </w:r>
      <w:r w:rsidR="00A87B65">
        <w:t>Figure </w:t>
      </w:r>
      <w:r w:rsidR="00A87B65">
        <w:rPr>
          <w:noProof/>
        </w:rPr>
        <w:t>4</w:t>
      </w:r>
      <w:r w:rsidR="00A87B65">
        <w:t>.</w:t>
      </w:r>
      <w:r w:rsidR="00A87B65">
        <w:rPr>
          <w:noProof/>
        </w:rPr>
        <w:t>10</w:t>
      </w:r>
      <w:r w:rsidRPr="002D2F9B">
        <w:fldChar w:fldCharType="end"/>
      </w:r>
      <w:r w:rsidR="00162304">
        <w:t xml:space="preserve">, </w:t>
      </w:r>
      <w:r w:rsidR="00162304" w:rsidRPr="002D2F9B">
        <w:fldChar w:fldCharType="begin"/>
      </w:r>
      <w:r w:rsidR="00162304" w:rsidRPr="002D2F9B">
        <w:instrText xml:space="preserve"> REF _Ref399838216 \h </w:instrText>
      </w:r>
      <w:r w:rsidR="00162304" w:rsidRPr="002D2F9B">
        <w:fldChar w:fldCharType="separate"/>
      </w:r>
      <w:r w:rsidR="00A87B65">
        <w:t>Figure </w:t>
      </w:r>
      <w:r w:rsidR="00A87B65">
        <w:rPr>
          <w:noProof/>
        </w:rPr>
        <w:t>4</w:t>
      </w:r>
      <w:r w:rsidR="00A87B65">
        <w:t>.</w:t>
      </w:r>
      <w:r w:rsidR="00A87B65">
        <w:rPr>
          <w:noProof/>
        </w:rPr>
        <w:t>11</w:t>
      </w:r>
      <w:r w:rsidR="00162304" w:rsidRPr="002D2F9B">
        <w:fldChar w:fldCharType="end"/>
      </w:r>
      <w:r w:rsidR="00162304">
        <w:t xml:space="preserve">, </w:t>
      </w:r>
      <w:r w:rsidR="00162304" w:rsidRPr="002D2F9B">
        <w:fldChar w:fldCharType="begin"/>
      </w:r>
      <w:r w:rsidR="00162304" w:rsidRPr="002D2F9B">
        <w:instrText xml:space="preserve"> REF _Ref399838221 \h </w:instrText>
      </w:r>
      <w:r w:rsidR="00162304" w:rsidRPr="002D2F9B">
        <w:fldChar w:fldCharType="separate"/>
      </w:r>
      <w:r w:rsidR="00A87B65">
        <w:t>Figure </w:t>
      </w:r>
      <w:r w:rsidR="00A87B65">
        <w:rPr>
          <w:noProof/>
        </w:rPr>
        <w:t>4</w:t>
      </w:r>
      <w:r w:rsidR="00A87B65">
        <w:t>.</w:t>
      </w:r>
      <w:r w:rsidR="00A87B65">
        <w:rPr>
          <w:noProof/>
        </w:rPr>
        <w:t>12</w:t>
      </w:r>
      <w:r w:rsidR="00162304" w:rsidRPr="002D2F9B">
        <w:fldChar w:fldCharType="end"/>
      </w:r>
      <w:r w:rsidR="00162304">
        <w:t xml:space="preserve"> and </w:t>
      </w:r>
      <w:r w:rsidR="00162304" w:rsidRPr="002D2F9B">
        <w:fldChar w:fldCharType="begin"/>
      </w:r>
      <w:r w:rsidR="00162304" w:rsidRPr="002D2F9B">
        <w:instrText xml:space="preserve"> REF _Ref399838200 \h </w:instrText>
      </w:r>
      <w:r w:rsidR="00162304" w:rsidRPr="002D2F9B">
        <w:fldChar w:fldCharType="separate"/>
      </w:r>
      <w:r w:rsidR="00A87B65">
        <w:t>Figure </w:t>
      </w:r>
      <w:r w:rsidR="00A87B65">
        <w:rPr>
          <w:noProof/>
        </w:rPr>
        <w:t>4</w:t>
      </w:r>
      <w:r w:rsidR="00A87B65">
        <w:t>.</w:t>
      </w:r>
      <w:r w:rsidR="00A87B65">
        <w:rPr>
          <w:noProof/>
        </w:rPr>
        <w:t>13</w:t>
      </w:r>
      <w:r w:rsidR="00162304" w:rsidRPr="002D2F9B">
        <w:fldChar w:fldCharType="end"/>
      </w:r>
      <w:r>
        <w:t>.</w:t>
      </w:r>
    </w:p>
    <w:p w:rsidR="00D62E74" w:rsidRDefault="00D62E74" w:rsidP="00B873A7">
      <w:pPr>
        <w:sectPr w:rsidR="00D62E74" w:rsidSect="007E0913">
          <w:pgSz w:w="11907" w:h="16840" w:code="9"/>
          <w:pgMar w:top="1418" w:right="1588" w:bottom="1418" w:left="1588" w:header="567" w:footer="567" w:gutter="0"/>
          <w:paperSrc w:first="15" w:other="15"/>
          <w:cols w:space="720"/>
          <w:titlePg/>
          <w:docGrid w:linePitch="299"/>
        </w:sectPr>
      </w:pPr>
    </w:p>
    <w:p w:rsidR="00B873A7" w:rsidRDefault="00B873A7" w:rsidP="00B873A7">
      <w:pPr>
        <w:pStyle w:val="Caption"/>
        <w:spacing w:before="360" w:after="120" w:line="240" w:lineRule="atLeast"/>
      </w:pPr>
      <w:bookmarkStart w:id="95" w:name="_Ref367712427"/>
      <w:r>
        <w:lastRenderedPageBreak/>
        <w:t>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fldSimple w:instr=" SEQ Figure \* ARABIC \s 1 \* MERGEFORMAT ">
        <w:r w:rsidR="00A87B65">
          <w:rPr>
            <w:noProof/>
          </w:rPr>
          <w:t>10</w:t>
        </w:r>
      </w:fldSimple>
      <w:bookmarkEnd w:id="95"/>
      <w:r>
        <w:t xml:space="preserve">: </w:t>
      </w:r>
      <w:r w:rsidR="00162304">
        <w:t>National s</w:t>
      </w:r>
      <w:r>
        <w:t>pectrum allocations by operator (2</w:t>
      </w:r>
      <w:r>
        <w:sym w:font="Symbol" w:char="F0B4"/>
      </w:r>
      <w:r>
        <w:t>N MHz for all bands) [Source: Analysys Mason, 2014]</w:t>
      </w:r>
    </w:p>
    <w:tbl>
      <w:tblPr>
        <w:tblStyle w:val="MediumShading2-Accent1"/>
        <w:tblW w:w="14300" w:type="dxa"/>
        <w:tblInd w:w="108" w:type="dxa"/>
        <w:tblLook w:val="0420" w:firstRow="1" w:lastRow="0" w:firstColumn="0" w:lastColumn="0" w:noHBand="0" w:noVBand="1"/>
      </w:tblPr>
      <w:tblGrid>
        <w:gridCol w:w="1417"/>
        <w:gridCol w:w="1171"/>
        <w:gridCol w:w="1171"/>
        <w:gridCol w:w="1171"/>
        <w:gridCol w:w="1171"/>
        <w:gridCol w:w="1171"/>
        <w:gridCol w:w="1172"/>
        <w:gridCol w:w="1171"/>
        <w:gridCol w:w="1171"/>
        <w:gridCol w:w="1171"/>
        <w:gridCol w:w="1171"/>
        <w:gridCol w:w="1172"/>
      </w:tblGrid>
      <w:tr w:rsidR="00B873A7" w:rsidRPr="00CB27B1" w:rsidTr="00841EA0">
        <w:trPr>
          <w:cnfStyle w:val="100000000000" w:firstRow="1" w:lastRow="0" w:firstColumn="0" w:lastColumn="0" w:oddVBand="0" w:evenVBand="0" w:oddHBand="0" w:evenHBand="0" w:firstRowFirstColumn="0" w:firstRowLastColumn="0" w:lastRowFirstColumn="0" w:lastRowLastColumn="0"/>
        </w:trPr>
        <w:tc>
          <w:tcPr>
            <w:tcW w:w="1417" w:type="dxa"/>
            <w:tcBorders>
              <w:top w:val="single" w:sz="18" w:space="0" w:color="221F72"/>
              <w:bottom w:val="single" w:sz="18" w:space="0" w:color="221F72"/>
              <w:right w:val="single" w:sz="12" w:space="0" w:color="FFFFFF" w:themeColor="background1"/>
            </w:tcBorders>
            <w:shd w:val="solid" w:color="221F72" w:fill="221F72"/>
          </w:tcPr>
          <w:p w:rsidR="00B873A7" w:rsidRPr="00CB27B1" w:rsidRDefault="00B873A7" w:rsidP="00841EA0">
            <w:pPr>
              <w:pStyle w:val="Tableheading"/>
              <w:rPr>
                <w:b/>
                <w:i/>
              </w:rPr>
            </w:pPr>
            <w:r w:rsidRPr="00CB27B1">
              <w:rPr>
                <w:b/>
              </w:rPr>
              <w:t>Operator</w:t>
            </w:r>
          </w:p>
        </w:tc>
        <w:tc>
          <w:tcPr>
            <w:tcW w:w="8198" w:type="dxa"/>
            <w:gridSpan w:val="7"/>
            <w:tcBorders>
              <w:top w:val="single" w:sz="18" w:space="0" w:color="221F72"/>
              <w:left w:val="single" w:sz="12" w:space="0" w:color="FFFFFF" w:themeColor="background1"/>
              <w:bottom w:val="single" w:sz="18" w:space="0" w:color="221F72"/>
              <w:right w:val="single" w:sz="12" w:space="0" w:color="FFFFFF" w:themeColor="background1"/>
            </w:tcBorders>
            <w:shd w:val="solid" w:color="221F72" w:fill="221F72"/>
          </w:tcPr>
          <w:p w:rsidR="00B873A7" w:rsidRPr="00CB27B1" w:rsidRDefault="00B873A7" w:rsidP="00841EA0">
            <w:pPr>
              <w:pStyle w:val="Tableheading"/>
              <w:jc w:val="center"/>
              <w:rPr>
                <w:b/>
              </w:rPr>
            </w:pPr>
            <w:r w:rsidRPr="00CB27B1">
              <w:rPr>
                <w:b/>
              </w:rPr>
              <w:t>Band</w:t>
            </w:r>
          </w:p>
        </w:tc>
        <w:tc>
          <w:tcPr>
            <w:tcW w:w="4685" w:type="dxa"/>
            <w:gridSpan w:val="4"/>
            <w:tcBorders>
              <w:top w:val="single" w:sz="18" w:space="0" w:color="221F72"/>
              <w:left w:val="single" w:sz="12" w:space="0" w:color="FFFFFF" w:themeColor="background1"/>
              <w:bottom w:val="single" w:sz="18" w:space="0" w:color="221F72"/>
            </w:tcBorders>
            <w:shd w:val="solid" w:color="221F72" w:fill="221F72"/>
          </w:tcPr>
          <w:p w:rsidR="00B873A7" w:rsidRPr="00CB27B1" w:rsidRDefault="00B873A7" w:rsidP="00841EA0">
            <w:pPr>
              <w:pStyle w:val="Tableheading"/>
              <w:jc w:val="center"/>
              <w:rPr>
                <w:b/>
              </w:rPr>
            </w:pPr>
          </w:p>
        </w:tc>
      </w:tr>
      <w:tr w:rsidR="000C032F" w:rsidRPr="00CB27B1" w:rsidTr="00841EA0">
        <w:trPr>
          <w:cnfStyle w:val="000000100000" w:firstRow="0" w:lastRow="0" w:firstColumn="0" w:lastColumn="0" w:oddVBand="0" w:evenVBand="0" w:oddHBand="1" w:evenHBand="0" w:firstRowFirstColumn="0" w:firstRowLastColumn="0" w:lastRowFirstColumn="0" w:lastRowLastColumn="0"/>
        </w:trPr>
        <w:tc>
          <w:tcPr>
            <w:tcW w:w="1417" w:type="dxa"/>
            <w:tcBorders>
              <w:top w:val="single" w:sz="18" w:space="0" w:color="221F72"/>
              <w:bottom w:val="single" w:sz="18" w:space="0" w:color="221F72"/>
              <w:right w:val="single" w:sz="12" w:space="0" w:color="FFFFFF" w:themeColor="background1"/>
            </w:tcBorders>
            <w:shd w:val="solid" w:color="221F72" w:fill="221F72"/>
          </w:tcPr>
          <w:p w:rsidR="00B873A7" w:rsidRPr="00CB27B1" w:rsidRDefault="00B873A7" w:rsidP="00841EA0">
            <w:pPr>
              <w:pStyle w:val="Tableheading"/>
              <w:rPr>
                <w:i/>
              </w:rPr>
            </w:pPr>
          </w:p>
        </w:tc>
        <w:tc>
          <w:tcPr>
            <w:tcW w:w="1171" w:type="dxa"/>
            <w:tcBorders>
              <w:top w:val="single" w:sz="18" w:space="0" w:color="221F72"/>
              <w:left w:val="single" w:sz="12" w:space="0" w:color="FFFFFF" w:themeColor="background1"/>
              <w:bottom w:val="single" w:sz="18" w:space="0" w:color="221F72"/>
              <w:right w:val="single" w:sz="12" w:space="0" w:color="FFFFFF" w:themeColor="background1"/>
            </w:tcBorders>
            <w:shd w:val="solid" w:color="221F72" w:fill="221F72"/>
          </w:tcPr>
          <w:p w:rsidR="00B873A7" w:rsidRPr="00CB27B1" w:rsidRDefault="00B873A7" w:rsidP="00841EA0">
            <w:pPr>
              <w:pStyle w:val="Tableheading"/>
              <w:jc w:val="center"/>
              <w:rPr>
                <w:rFonts w:cs="Arial"/>
                <w:i/>
                <w:szCs w:val="18"/>
              </w:rPr>
            </w:pPr>
            <w:r w:rsidRPr="00CB27B1">
              <w:rPr>
                <w:rFonts w:cs="Arial"/>
                <w:szCs w:val="18"/>
              </w:rPr>
              <w:t>Used for LTE (from 2015)</w:t>
            </w:r>
          </w:p>
        </w:tc>
        <w:tc>
          <w:tcPr>
            <w:tcW w:w="1171" w:type="dxa"/>
            <w:tcBorders>
              <w:top w:val="single" w:sz="18" w:space="0" w:color="221F72"/>
              <w:left w:val="single" w:sz="12" w:space="0" w:color="FFFFFF" w:themeColor="background1"/>
              <w:bottom w:val="single" w:sz="18" w:space="0" w:color="221F72"/>
              <w:right w:val="single" w:sz="12" w:space="0" w:color="FFFFFF" w:themeColor="background1"/>
            </w:tcBorders>
            <w:shd w:val="solid" w:color="221F72" w:fill="221F72"/>
          </w:tcPr>
          <w:p w:rsidR="00B873A7" w:rsidRPr="00CB27B1" w:rsidRDefault="00B873A7" w:rsidP="00841EA0">
            <w:pPr>
              <w:pStyle w:val="Tableheading"/>
              <w:jc w:val="center"/>
              <w:rPr>
                <w:rFonts w:cs="Arial"/>
                <w:i/>
                <w:szCs w:val="18"/>
              </w:rPr>
            </w:pPr>
            <w:r w:rsidRPr="00CB27B1">
              <w:rPr>
                <w:rFonts w:cs="Arial"/>
                <w:szCs w:val="18"/>
              </w:rPr>
              <w:t>Used for 3G and LTE</w:t>
            </w:r>
          </w:p>
        </w:tc>
        <w:tc>
          <w:tcPr>
            <w:tcW w:w="1171" w:type="dxa"/>
            <w:tcBorders>
              <w:top w:val="single" w:sz="18" w:space="0" w:color="221F72"/>
              <w:left w:val="single" w:sz="12" w:space="0" w:color="FFFFFF" w:themeColor="background1"/>
              <w:bottom w:val="single" w:sz="18" w:space="0" w:color="221F72"/>
              <w:right w:val="single" w:sz="12" w:space="0" w:color="FFFFFF" w:themeColor="background1"/>
            </w:tcBorders>
            <w:shd w:val="solid" w:color="221F72" w:fill="221F72"/>
          </w:tcPr>
          <w:p w:rsidR="00B873A7" w:rsidRPr="00CB27B1" w:rsidRDefault="00B873A7" w:rsidP="00841EA0">
            <w:pPr>
              <w:pStyle w:val="Tableheading"/>
              <w:jc w:val="center"/>
              <w:rPr>
                <w:rFonts w:cs="Arial"/>
                <w:i/>
                <w:szCs w:val="18"/>
              </w:rPr>
            </w:pPr>
            <w:r w:rsidRPr="00CB27B1">
              <w:rPr>
                <w:rFonts w:cs="Arial"/>
                <w:szCs w:val="18"/>
              </w:rPr>
              <w:t>Used for 2G and 3G</w:t>
            </w:r>
          </w:p>
        </w:tc>
        <w:tc>
          <w:tcPr>
            <w:tcW w:w="1171" w:type="dxa"/>
            <w:tcBorders>
              <w:top w:val="single" w:sz="18" w:space="0" w:color="221F72"/>
              <w:left w:val="single" w:sz="12" w:space="0" w:color="FFFFFF" w:themeColor="background1"/>
              <w:bottom w:val="single" w:sz="18" w:space="0" w:color="221F72"/>
              <w:right w:val="single" w:sz="12" w:space="0" w:color="FFFFFF" w:themeColor="background1"/>
            </w:tcBorders>
            <w:shd w:val="solid" w:color="221F72" w:fill="221F72"/>
          </w:tcPr>
          <w:p w:rsidR="00B873A7" w:rsidRPr="00CB27B1" w:rsidRDefault="00B873A7" w:rsidP="00841EA0">
            <w:pPr>
              <w:pStyle w:val="Tableheading"/>
              <w:jc w:val="center"/>
              <w:rPr>
                <w:rFonts w:cs="Arial"/>
                <w:i/>
                <w:szCs w:val="18"/>
              </w:rPr>
            </w:pPr>
            <w:r w:rsidRPr="00CB27B1">
              <w:rPr>
                <w:rFonts w:cs="Arial"/>
                <w:szCs w:val="18"/>
              </w:rPr>
              <w:t>Used for 2G and LTE</w:t>
            </w:r>
          </w:p>
        </w:tc>
        <w:tc>
          <w:tcPr>
            <w:tcW w:w="1171" w:type="dxa"/>
            <w:tcBorders>
              <w:top w:val="single" w:sz="18" w:space="0" w:color="221F72"/>
              <w:left w:val="single" w:sz="12" w:space="0" w:color="FFFFFF" w:themeColor="background1"/>
              <w:bottom w:val="single" w:sz="18" w:space="0" w:color="221F72"/>
              <w:right w:val="single" w:sz="12" w:space="0" w:color="FFFFFF" w:themeColor="background1"/>
            </w:tcBorders>
            <w:shd w:val="solid" w:color="221F72" w:fill="221F72"/>
          </w:tcPr>
          <w:p w:rsidR="00B873A7" w:rsidRPr="00CB27B1" w:rsidRDefault="00B873A7" w:rsidP="00841EA0">
            <w:pPr>
              <w:pStyle w:val="Tableheading"/>
              <w:jc w:val="center"/>
              <w:rPr>
                <w:rFonts w:cs="Arial"/>
                <w:i/>
                <w:szCs w:val="18"/>
              </w:rPr>
            </w:pPr>
            <w:r w:rsidRPr="00CB27B1">
              <w:rPr>
                <w:rFonts w:cs="Arial"/>
                <w:szCs w:val="18"/>
              </w:rPr>
              <w:t>Used for 3G</w:t>
            </w:r>
          </w:p>
        </w:tc>
        <w:tc>
          <w:tcPr>
            <w:tcW w:w="1172" w:type="dxa"/>
            <w:tcBorders>
              <w:top w:val="single" w:sz="18" w:space="0" w:color="221F72"/>
              <w:left w:val="single" w:sz="12" w:space="0" w:color="FFFFFF" w:themeColor="background1"/>
              <w:bottom w:val="single" w:sz="18" w:space="0" w:color="221F72"/>
              <w:right w:val="single" w:sz="12" w:space="0" w:color="FFFFFF" w:themeColor="background1"/>
            </w:tcBorders>
            <w:shd w:val="solid" w:color="221F72" w:fill="221F72"/>
          </w:tcPr>
          <w:p w:rsidR="00B873A7" w:rsidRPr="00CB27B1" w:rsidRDefault="00B873A7" w:rsidP="00841EA0">
            <w:pPr>
              <w:pStyle w:val="Tableheading"/>
              <w:jc w:val="center"/>
              <w:rPr>
                <w:rFonts w:cs="Arial"/>
                <w:i/>
                <w:szCs w:val="18"/>
              </w:rPr>
            </w:pPr>
            <w:r w:rsidRPr="00CB27B1">
              <w:rPr>
                <w:rFonts w:cs="Arial"/>
                <w:szCs w:val="18"/>
              </w:rPr>
              <w:t>Used for LTE</w:t>
            </w:r>
          </w:p>
        </w:tc>
        <w:tc>
          <w:tcPr>
            <w:tcW w:w="1171" w:type="dxa"/>
            <w:tcBorders>
              <w:top w:val="single" w:sz="18" w:space="0" w:color="221F72"/>
              <w:left w:val="single" w:sz="12" w:space="0" w:color="FFFFFF" w:themeColor="background1"/>
              <w:bottom w:val="single" w:sz="18" w:space="0" w:color="221F72"/>
              <w:right w:val="single" w:sz="12" w:space="0" w:color="FFFFFF" w:themeColor="background1"/>
            </w:tcBorders>
            <w:shd w:val="solid" w:color="221F72" w:fill="221F72"/>
          </w:tcPr>
          <w:p w:rsidR="00B873A7" w:rsidRPr="00CB27B1" w:rsidRDefault="00B873A7" w:rsidP="00841EA0">
            <w:pPr>
              <w:pStyle w:val="Tableheading"/>
              <w:jc w:val="center"/>
              <w:rPr>
                <w:rFonts w:cs="Arial"/>
                <w:i/>
                <w:szCs w:val="18"/>
              </w:rPr>
            </w:pPr>
            <w:r w:rsidRPr="00CB27B1">
              <w:rPr>
                <w:rFonts w:cs="Arial"/>
                <w:szCs w:val="18"/>
              </w:rPr>
              <w:t>Used for LTE (from 2015)</w:t>
            </w:r>
          </w:p>
        </w:tc>
        <w:tc>
          <w:tcPr>
            <w:tcW w:w="1171" w:type="dxa"/>
            <w:vMerge w:val="restart"/>
            <w:tcBorders>
              <w:top w:val="single" w:sz="18" w:space="0" w:color="221F72"/>
              <w:left w:val="single" w:sz="12" w:space="0" w:color="FFFFFF" w:themeColor="background1"/>
              <w:right w:val="single" w:sz="12" w:space="0" w:color="FFFFFF" w:themeColor="background1"/>
            </w:tcBorders>
            <w:shd w:val="solid" w:color="221F72" w:fill="221F72"/>
          </w:tcPr>
          <w:p w:rsidR="00B873A7" w:rsidRPr="00CB27B1" w:rsidRDefault="00B873A7" w:rsidP="00841EA0">
            <w:pPr>
              <w:pStyle w:val="Tableheading"/>
              <w:jc w:val="center"/>
            </w:pPr>
            <w:r w:rsidRPr="00CB27B1">
              <w:t>Amount of 900MHz used for 3G</w:t>
            </w:r>
          </w:p>
        </w:tc>
        <w:tc>
          <w:tcPr>
            <w:tcW w:w="1171" w:type="dxa"/>
            <w:vMerge w:val="restart"/>
            <w:tcBorders>
              <w:top w:val="single" w:sz="18" w:space="0" w:color="221F72"/>
              <w:left w:val="single" w:sz="12" w:space="0" w:color="FFFFFF" w:themeColor="background1"/>
              <w:right w:val="single" w:sz="12" w:space="0" w:color="FFFFFF" w:themeColor="background1"/>
            </w:tcBorders>
            <w:shd w:val="solid" w:color="221F72" w:fill="221F72"/>
          </w:tcPr>
          <w:p w:rsidR="00B873A7" w:rsidRPr="00CB27B1" w:rsidRDefault="00B873A7" w:rsidP="00841EA0">
            <w:pPr>
              <w:pStyle w:val="Tableheading"/>
              <w:jc w:val="center"/>
            </w:pPr>
            <w:r w:rsidRPr="00CB27B1">
              <w:t>Amount of 800MHz used for LTE</w:t>
            </w:r>
          </w:p>
        </w:tc>
        <w:tc>
          <w:tcPr>
            <w:tcW w:w="2343" w:type="dxa"/>
            <w:gridSpan w:val="2"/>
            <w:vMerge w:val="restart"/>
            <w:tcBorders>
              <w:top w:val="single" w:sz="18" w:space="0" w:color="221F72"/>
              <w:left w:val="single" w:sz="12" w:space="0" w:color="FFFFFF" w:themeColor="background1"/>
            </w:tcBorders>
            <w:shd w:val="solid" w:color="221F72" w:fill="221F72"/>
          </w:tcPr>
          <w:p w:rsidR="00B873A7" w:rsidRPr="00CB27B1" w:rsidRDefault="00B873A7" w:rsidP="00841EA0">
            <w:pPr>
              <w:pStyle w:val="Tableheading"/>
              <w:jc w:val="center"/>
            </w:pPr>
            <w:r w:rsidRPr="00CB27B1">
              <w:t>Amount of 1800MHz used for LTE</w:t>
            </w:r>
          </w:p>
        </w:tc>
      </w:tr>
      <w:tr w:rsidR="000C032F" w:rsidRPr="00CB27B1" w:rsidTr="003C6417">
        <w:tc>
          <w:tcPr>
            <w:tcW w:w="1417" w:type="dxa"/>
            <w:tcBorders>
              <w:top w:val="single" w:sz="18" w:space="0" w:color="221F72"/>
              <w:bottom w:val="single" w:sz="4" w:space="0" w:color="FFFFFF" w:themeColor="background1"/>
              <w:right w:val="single" w:sz="12" w:space="0" w:color="FFFFFF" w:themeColor="background1"/>
            </w:tcBorders>
            <w:shd w:val="solid" w:color="221F72" w:fill="221F72"/>
          </w:tcPr>
          <w:p w:rsidR="00B873A7" w:rsidRPr="00CB27B1" w:rsidRDefault="00B873A7" w:rsidP="00841EA0">
            <w:pPr>
              <w:pStyle w:val="Tableheading"/>
              <w:rPr>
                <w:i/>
              </w:rPr>
            </w:pPr>
            <w:r w:rsidRPr="00CB27B1">
              <w:t>National</w:t>
            </w:r>
            <w:r w:rsidRPr="00CB27B1">
              <w:br/>
              <w:t>allocation</w:t>
            </w:r>
          </w:p>
        </w:tc>
        <w:tc>
          <w:tcPr>
            <w:tcW w:w="1171" w:type="dxa"/>
            <w:tcBorders>
              <w:top w:val="single" w:sz="18" w:space="0" w:color="221F72"/>
              <w:left w:val="single" w:sz="12" w:space="0" w:color="FFFFFF" w:themeColor="background1"/>
              <w:bottom w:val="single" w:sz="4" w:space="0" w:color="FFFFFF" w:themeColor="background1"/>
              <w:right w:val="single" w:sz="12" w:space="0" w:color="FFFFFF" w:themeColor="background1"/>
            </w:tcBorders>
            <w:shd w:val="solid" w:color="221F72" w:fill="221F72"/>
          </w:tcPr>
          <w:p w:rsidR="00B873A7" w:rsidRPr="00CB27B1" w:rsidRDefault="00B873A7" w:rsidP="00841EA0">
            <w:pPr>
              <w:pStyle w:val="Tableheading"/>
              <w:jc w:val="center"/>
              <w:rPr>
                <w:rFonts w:cs="Arial"/>
                <w:i/>
                <w:szCs w:val="18"/>
              </w:rPr>
            </w:pPr>
            <w:r w:rsidRPr="00CB27B1">
              <w:rPr>
                <w:rFonts w:cs="Arial"/>
                <w:szCs w:val="18"/>
              </w:rPr>
              <w:t>700MHz</w:t>
            </w:r>
          </w:p>
        </w:tc>
        <w:tc>
          <w:tcPr>
            <w:tcW w:w="1171" w:type="dxa"/>
            <w:tcBorders>
              <w:top w:val="single" w:sz="18" w:space="0" w:color="221F72"/>
              <w:left w:val="single" w:sz="12" w:space="0" w:color="FFFFFF" w:themeColor="background1"/>
              <w:bottom w:val="single" w:sz="4" w:space="0" w:color="FFFFFF" w:themeColor="background1"/>
              <w:right w:val="single" w:sz="12" w:space="0" w:color="FFFFFF" w:themeColor="background1"/>
            </w:tcBorders>
            <w:shd w:val="solid" w:color="221F72" w:fill="221F72"/>
          </w:tcPr>
          <w:p w:rsidR="00B873A7" w:rsidRPr="00CB27B1" w:rsidRDefault="00B873A7" w:rsidP="00841EA0">
            <w:pPr>
              <w:pStyle w:val="Tableheading"/>
              <w:jc w:val="center"/>
              <w:rPr>
                <w:rFonts w:cs="Arial"/>
                <w:i/>
                <w:szCs w:val="18"/>
              </w:rPr>
            </w:pPr>
            <w:r w:rsidRPr="00CB27B1">
              <w:rPr>
                <w:rFonts w:cs="Arial"/>
                <w:szCs w:val="18"/>
              </w:rPr>
              <w:t>800MHz</w:t>
            </w:r>
          </w:p>
        </w:tc>
        <w:tc>
          <w:tcPr>
            <w:tcW w:w="1171" w:type="dxa"/>
            <w:tcBorders>
              <w:top w:val="single" w:sz="18" w:space="0" w:color="221F72"/>
              <w:left w:val="single" w:sz="12" w:space="0" w:color="FFFFFF" w:themeColor="background1"/>
              <w:bottom w:val="single" w:sz="4" w:space="0" w:color="FFFFFF" w:themeColor="background1"/>
              <w:right w:val="single" w:sz="12" w:space="0" w:color="FFFFFF" w:themeColor="background1"/>
            </w:tcBorders>
            <w:shd w:val="solid" w:color="221F72" w:fill="221F72"/>
          </w:tcPr>
          <w:p w:rsidR="00B873A7" w:rsidRPr="00CB27B1" w:rsidRDefault="00B873A7" w:rsidP="00841EA0">
            <w:pPr>
              <w:pStyle w:val="Tableheading"/>
              <w:jc w:val="center"/>
              <w:rPr>
                <w:rFonts w:cs="Arial"/>
                <w:i/>
                <w:szCs w:val="18"/>
              </w:rPr>
            </w:pPr>
            <w:r w:rsidRPr="00CB27B1">
              <w:rPr>
                <w:rFonts w:cs="Arial"/>
                <w:szCs w:val="18"/>
              </w:rPr>
              <w:t>900MHz</w:t>
            </w:r>
          </w:p>
        </w:tc>
        <w:tc>
          <w:tcPr>
            <w:tcW w:w="1171" w:type="dxa"/>
            <w:tcBorders>
              <w:top w:val="single" w:sz="18" w:space="0" w:color="221F72"/>
              <w:left w:val="single" w:sz="12" w:space="0" w:color="FFFFFF" w:themeColor="background1"/>
              <w:bottom w:val="single" w:sz="4" w:space="0" w:color="FFFFFF" w:themeColor="background1"/>
              <w:right w:val="single" w:sz="12" w:space="0" w:color="FFFFFF" w:themeColor="background1"/>
            </w:tcBorders>
            <w:shd w:val="solid" w:color="221F72" w:fill="221F72"/>
          </w:tcPr>
          <w:p w:rsidR="00B873A7" w:rsidRPr="00CB27B1" w:rsidRDefault="00B873A7" w:rsidP="00841EA0">
            <w:pPr>
              <w:pStyle w:val="Tableheading"/>
              <w:jc w:val="center"/>
              <w:rPr>
                <w:rFonts w:cs="Arial"/>
                <w:i/>
                <w:szCs w:val="18"/>
              </w:rPr>
            </w:pPr>
            <w:r w:rsidRPr="00CB27B1">
              <w:rPr>
                <w:rFonts w:cs="Arial"/>
                <w:szCs w:val="18"/>
              </w:rPr>
              <w:t>1800MHz</w:t>
            </w:r>
          </w:p>
        </w:tc>
        <w:tc>
          <w:tcPr>
            <w:tcW w:w="1171" w:type="dxa"/>
            <w:tcBorders>
              <w:top w:val="single" w:sz="18" w:space="0" w:color="221F72"/>
              <w:left w:val="single" w:sz="12" w:space="0" w:color="FFFFFF" w:themeColor="background1"/>
              <w:bottom w:val="single" w:sz="4" w:space="0" w:color="FFFFFF" w:themeColor="background1"/>
              <w:right w:val="single" w:sz="12" w:space="0" w:color="FFFFFF" w:themeColor="background1"/>
            </w:tcBorders>
            <w:shd w:val="solid" w:color="221F72" w:fill="221F72"/>
          </w:tcPr>
          <w:p w:rsidR="00B873A7" w:rsidRPr="00CB27B1" w:rsidRDefault="00B873A7" w:rsidP="00841EA0">
            <w:pPr>
              <w:pStyle w:val="Tableheading"/>
              <w:jc w:val="center"/>
              <w:rPr>
                <w:rFonts w:cs="Arial"/>
                <w:i/>
                <w:szCs w:val="18"/>
              </w:rPr>
            </w:pPr>
            <w:r w:rsidRPr="00CB27B1">
              <w:rPr>
                <w:rFonts w:cs="Arial"/>
                <w:szCs w:val="18"/>
              </w:rPr>
              <w:t>2GHz</w:t>
            </w:r>
          </w:p>
        </w:tc>
        <w:tc>
          <w:tcPr>
            <w:tcW w:w="1172" w:type="dxa"/>
            <w:tcBorders>
              <w:top w:val="single" w:sz="18" w:space="0" w:color="221F72"/>
              <w:left w:val="single" w:sz="12" w:space="0" w:color="FFFFFF" w:themeColor="background1"/>
              <w:bottom w:val="single" w:sz="4" w:space="0" w:color="FFFFFF" w:themeColor="background1"/>
              <w:right w:val="single" w:sz="12" w:space="0" w:color="FFFFFF" w:themeColor="background1"/>
            </w:tcBorders>
            <w:shd w:val="solid" w:color="221F72" w:fill="221F72"/>
          </w:tcPr>
          <w:p w:rsidR="00B873A7" w:rsidRPr="00CB27B1" w:rsidRDefault="00B873A7" w:rsidP="00841EA0">
            <w:pPr>
              <w:pStyle w:val="Tableheading"/>
              <w:jc w:val="center"/>
              <w:rPr>
                <w:rFonts w:cs="Arial"/>
                <w:i/>
                <w:szCs w:val="18"/>
              </w:rPr>
            </w:pPr>
            <w:r w:rsidRPr="00CB27B1">
              <w:rPr>
                <w:rFonts w:cs="Arial"/>
                <w:szCs w:val="18"/>
              </w:rPr>
              <w:t>2.3GHz</w:t>
            </w:r>
          </w:p>
        </w:tc>
        <w:tc>
          <w:tcPr>
            <w:tcW w:w="1171" w:type="dxa"/>
            <w:tcBorders>
              <w:top w:val="single" w:sz="18" w:space="0" w:color="221F72"/>
              <w:left w:val="single" w:sz="12" w:space="0" w:color="FFFFFF" w:themeColor="background1"/>
              <w:bottom w:val="single" w:sz="4" w:space="0" w:color="FFFFFF" w:themeColor="background1"/>
              <w:right w:val="single" w:sz="12" w:space="0" w:color="FFFFFF" w:themeColor="background1"/>
            </w:tcBorders>
            <w:shd w:val="solid" w:color="221F72" w:fill="221F72"/>
          </w:tcPr>
          <w:p w:rsidR="00B873A7" w:rsidRPr="00CB27B1" w:rsidRDefault="00B873A7" w:rsidP="00841EA0">
            <w:pPr>
              <w:pStyle w:val="Tableheading"/>
              <w:jc w:val="center"/>
              <w:rPr>
                <w:rFonts w:cs="Arial"/>
                <w:i/>
                <w:szCs w:val="18"/>
              </w:rPr>
            </w:pPr>
            <w:r w:rsidRPr="00CB27B1">
              <w:rPr>
                <w:rFonts w:cs="Arial"/>
                <w:szCs w:val="18"/>
              </w:rPr>
              <w:t>2.5GHz</w:t>
            </w:r>
          </w:p>
        </w:tc>
        <w:tc>
          <w:tcPr>
            <w:tcW w:w="1171" w:type="dxa"/>
            <w:vMerge/>
            <w:tcBorders>
              <w:left w:val="single" w:sz="12" w:space="0" w:color="FFFFFF" w:themeColor="background1"/>
              <w:bottom w:val="single" w:sz="4" w:space="0" w:color="FFFFFF" w:themeColor="background1"/>
              <w:right w:val="single" w:sz="12" w:space="0" w:color="FFFFFF" w:themeColor="background1"/>
            </w:tcBorders>
            <w:shd w:val="solid" w:color="221F72" w:fill="221F72"/>
          </w:tcPr>
          <w:p w:rsidR="00B873A7" w:rsidRPr="00CB27B1" w:rsidRDefault="00B873A7" w:rsidP="00841EA0">
            <w:pPr>
              <w:pStyle w:val="Tableheading"/>
              <w:jc w:val="center"/>
            </w:pPr>
          </w:p>
        </w:tc>
        <w:tc>
          <w:tcPr>
            <w:tcW w:w="1171" w:type="dxa"/>
            <w:vMerge/>
            <w:tcBorders>
              <w:left w:val="single" w:sz="12" w:space="0" w:color="FFFFFF" w:themeColor="background1"/>
              <w:bottom w:val="single" w:sz="4" w:space="0" w:color="FFFFFF" w:themeColor="background1"/>
              <w:right w:val="single" w:sz="12" w:space="0" w:color="FFFFFF" w:themeColor="background1"/>
            </w:tcBorders>
            <w:shd w:val="solid" w:color="221F72" w:fill="221F72"/>
          </w:tcPr>
          <w:p w:rsidR="00B873A7" w:rsidRPr="00CB27B1" w:rsidRDefault="00B873A7" w:rsidP="00841EA0">
            <w:pPr>
              <w:pStyle w:val="Tableheading"/>
              <w:jc w:val="center"/>
            </w:pPr>
          </w:p>
        </w:tc>
        <w:tc>
          <w:tcPr>
            <w:tcW w:w="2343" w:type="dxa"/>
            <w:gridSpan w:val="2"/>
            <w:vMerge/>
            <w:tcBorders>
              <w:left w:val="single" w:sz="12" w:space="0" w:color="FFFFFF" w:themeColor="background1"/>
              <w:bottom w:val="single" w:sz="4" w:space="0" w:color="FFFFFF" w:themeColor="background1"/>
            </w:tcBorders>
            <w:shd w:val="solid" w:color="221F72" w:fill="221F72"/>
          </w:tcPr>
          <w:p w:rsidR="00B873A7" w:rsidRPr="00CB27B1" w:rsidRDefault="00B873A7" w:rsidP="00841EA0">
            <w:pPr>
              <w:pStyle w:val="Tableheading"/>
              <w:jc w:val="center"/>
            </w:pPr>
          </w:p>
        </w:tc>
      </w:tr>
      <w:tr w:rsidR="003102D5" w:rsidTr="003C6417">
        <w:trPr>
          <w:cnfStyle w:val="000000100000" w:firstRow="0" w:lastRow="0" w:firstColumn="0" w:lastColumn="0" w:oddVBand="0" w:evenVBand="0" w:oddHBand="1" w:evenHBand="0" w:firstRowFirstColumn="0" w:firstRowLastColumn="0" w:lastRowFirstColumn="0" w:lastRowLastColumn="0"/>
        </w:trPr>
        <w:tc>
          <w:tcPr>
            <w:tcW w:w="1417" w:type="dxa"/>
            <w:tcBorders>
              <w:top w:val="single" w:sz="4" w:space="0" w:color="FFFFFF" w:themeColor="background1"/>
              <w:bottom w:val="nil"/>
            </w:tcBorders>
            <w:vAlign w:val="center"/>
          </w:tcPr>
          <w:p w:rsidR="003102D5" w:rsidRPr="004659CD" w:rsidRDefault="003102D5" w:rsidP="00841EA0">
            <w:pPr>
              <w:pStyle w:val="Tablecells"/>
              <w:rPr>
                <w:i/>
              </w:rPr>
            </w:pPr>
            <w:r w:rsidRPr="004659CD">
              <w:t>Optus</w:t>
            </w:r>
          </w:p>
        </w:tc>
        <w:tc>
          <w:tcPr>
            <w:tcW w:w="1171" w:type="dxa"/>
            <w:tcBorders>
              <w:top w:val="single" w:sz="4" w:space="0" w:color="FFFFFF" w:themeColor="background1"/>
              <w:bottom w:val="nil"/>
            </w:tcBorders>
          </w:tcPr>
          <w:p w:rsidR="003102D5" w:rsidRDefault="003102D5" w:rsidP="00841EA0">
            <w:pPr>
              <w:pStyle w:val="Tablecells"/>
              <w:jc w:val="center"/>
            </w:pPr>
            <w:r>
              <w:t>10.0</w:t>
            </w:r>
          </w:p>
        </w:tc>
        <w:tc>
          <w:tcPr>
            <w:tcW w:w="1171" w:type="dxa"/>
            <w:tcBorders>
              <w:top w:val="single" w:sz="4" w:space="0" w:color="FFFFFF" w:themeColor="background1"/>
              <w:bottom w:val="nil"/>
            </w:tcBorders>
          </w:tcPr>
          <w:p w:rsidR="003102D5" w:rsidRDefault="003102D5" w:rsidP="00841EA0">
            <w:pPr>
              <w:pStyle w:val="Tablecells"/>
              <w:jc w:val="center"/>
            </w:pPr>
          </w:p>
        </w:tc>
        <w:tc>
          <w:tcPr>
            <w:tcW w:w="1171" w:type="dxa"/>
            <w:tcBorders>
              <w:top w:val="single" w:sz="4" w:space="0" w:color="FFFFFF" w:themeColor="background1"/>
              <w:bottom w:val="nil"/>
            </w:tcBorders>
            <w:vAlign w:val="center"/>
          </w:tcPr>
          <w:p w:rsidR="003102D5" w:rsidRPr="004659CD" w:rsidRDefault="003102D5" w:rsidP="00841EA0">
            <w:pPr>
              <w:pStyle w:val="Tablecells"/>
              <w:jc w:val="center"/>
              <w:rPr>
                <w:i/>
              </w:rPr>
            </w:pPr>
            <w:r w:rsidRPr="004659CD">
              <w:t>8.</w:t>
            </w:r>
            <w:r>
              <w:t>4</w:t>
            </w:r>
          </w:p>
        </w:tc>
        <w:tc>
          <w:tcPr>
            <w:tcW w:w="1171" w:type="dxa"/>
            <w:tcBorders>
              <w:top w:val="single" w:sz="4" w:space="0" w:color="FFFFFF" w:themeColor="background1"/>
              <w:bottom w:val="nil"/>
            </w:tcBorders>
          </w:tcPr>
          <w:p w:rsidR="003102D5" w:rsidRDefault="003102D5" w:rsidP="00841EA0">
            <w:pPr>
              <w:pStyle w:val="Tablecells"/>
              <w:jc w:val="center"/>
            </w:pPr>
          </w:p>
        </w:tc>
        <w:tc>
          <w:tcPr>
            <w:tcW w:w="1171" w:type="dxa"/>
            <w:tcBorders>
              <w:top w:val="single" w:sz="4" w:space="0" w:color="FFFFFF" w:themeColor="background1"/>
              <w:bottom w:val="nil"/>
            </w:tcBorders>
          </w:tcPr>
          <w:p w:rsidR="003102D5" w:rsidRDefault="003102D5" w:rsidP="00841EA0">
            <w:pPr>
              <w:pStyle w:val="Tablecells"/>
              <w:jc w:val="center"/>
            </w:pPr>
          </w:p>
        </w:tc>
        <w:tc>
          <w:tcPr>
            <w:tcW w:w="1172" w:type="dxa"/>
            <w:tcBorders>
              <w:top w:val="single" w:sz="4" w:space="0" w:color="FFFFFF" w:themeColor="background1"/>
              <w:bottom w:val="nil"/>
            </w:tcBorders>
          </w:tcPr>
          <w:p w:rsidR="003102D5" w:rsidRDefault="003102D5" w:rsidP="00841EA0">
            <w:pPr>
              <w:pStyle w:val="Tablecells"/>
              <w:jc w:val="center"/>
            </w:pPr>
          </w:p>
        </w:tc>
        <w:tc>
          <w:tcPr>
            <w:tcW w:w="1171" w:type="dxa"/>
            <w:tcBorders>
              <w:top w:val="single" w:sz="4" w:space="0" w:color="FFFFFF" w:themeColor="background1"/>
              <w:bottom w:val="nil"/>
            </w:tcBorders>
            <w:vAlign w:val="center"/>
          </w:tcPr>
          <w:p w:rsidR="003102D5" w:rsidRPr="004659CD" w:rsidRDefault="003102D5" w:rsidP="00841EA0">
            <w:pPr>
              <w:pStyle w:val="Tablecells"/>
              <w:jc w:val="center"/>
              <w:rPr>
                <w:i/>
              </w:rPr>
            </w:pPr>
            <w:r w:rsidRPr="004659CD">
              <w:t>20.0</w:t>
            </w:r>
          </w:p>
        </w:tc>
        <w:tc>
          <w:tcPr>
            <w:tcW w:w="1171" w:type="dxa"/>
            <w:tcBorders>
              <w:top w:val="single" w:sz="4" w:space="0" w:color="FFFFFF" w:themeColor="background1"/>
              <w:bottom w:val="nil"/>
            </w:tcBorders>
          </w:tcPr>
          <w:p w:rsidR="003102D5" w:rsidRPr="003102D5" w:rsidRDefault="003102D5" w:rsidP="00841EA0">
            <w:pPr>
              <w:pStyle w:val="Tablecells"/>
              <w:jc w:val="center"/>
            </w:pPr>
            <w:r w:rsidRPr="00B96F3F">
              <w:t>[</w:t>
            </w:r>
            <w:r w:rsidRPr="00B96F3F">
              <w:rPr>
                <w:rFonts w:ascii="Wingdings" w:hAnsi="Wingdings"/>
              </w:rPr>
              <w:t></w:t>
            </w:r>
            <w:r w:rsidRPr="00B96F3F">
              <w:t>]</w:t>
            </w:r>
          </w:p>
        </w:tc>
        <w:tc>
          <w:tcPr>
            <w:tcW w:w="1171" w:type="dxa"/>
            <w:tcBorders>
              <w:top w:val="single" w:sz="4" w:space="0" w:color="FFFFFF" w:themeColor="background1"/>
              <w:bottom w:val="nil"/>
            </w:tcBorders>
          </w:tcPr>
          <w:p w:rsidR="003102D5" w:rsidRDefault="003102D5" w:rsidP="00841EA0">
            <w:pPr>
              <w:pStyle w:val="Tablecells"/>
              <w:jc w:val="center"/>
            </w:pPr>
            <w:r>
              <w:t>N/A</w:t>
            </w:r>
          </w:p>
        </w:tc>
        <w:tc>
          <w:tcPr>
            <w:tcW w:w="1171" w:type="dxa"/>
            <w:tcBorders>
              <w:top w:val="single" w:sz="4" w:space="0" w:color="FFFFFF" w:themeColor="background1"/>
              <w:bottom w:val="nil"/>
            </w:tcBorders>
          </w:tcPr>
          <w:p w:rsidR="003102D5" w:rsidRDefault="003102D5" w:rsidP="00841EA0">
            <w:pPr>
              <w:pStyle w:val="Tablecells"/>
              <w:jc w:val="center"/>
            </w:pPr>
            <w:r>
              <w:t>N/A</w:t>
            </w:r>
          </w:p>
        </w:tc>
        <w:tc>
          <w:tcPr>
            <w:tcW w:w="1172" w:type="dxa"/>
            <w:tcBorders>
              <w:top w:val="single" w:sz="4" w:space="0" w:color="FFFFFF" w:themeColor="background1"/>
              <w:bottom w:val="nil"/>
            </w:tcBorders>
          </w:tcPr>
          <w:p w:rsidR="003102D5" w:rsidRDefault="003102D5" w:rsidP="00841EA0">
            <w:pPr>
              <w:pStyle w:val="Tablecells"/>
              <w:jc w:val="center"/>
            </w:pPr>
            <w:r>
              <w:t>N/A</w:t>
            </w:r>
          </w:p>
        </w:tc>
      </w:tr>
      <w:tr w:rsidR="003102D5" w:rsidTr="003C6417">
        <w:tc>
          <w:tcPr>
            <w:tcW w:w="1417" w:type="dxa"/>
            <w:tcBorders>
              <w:top w:val="nil"/>
              <w:bottom w:val="nil"/>
            </w:tcBorders>
            <w:vAlign w:val="center"/>
          </w:tcPr>
          <w:p w:rsidR="003102D5" w:rsidRPr="004659CD" w:rsidRDefault="003102D5" w:rsidP="00841EA0">
            <w:pPr>
              <w:pStyle w:val="Tablecells"/>
            </w:pPr>
            <w:r w:rsidRPr="004659CD">
              <w:t>Telstra</w:t>
            </w:r>
          </w:p>
        </w:tc>
        <w:tc>
          <w:tcPr>
            <w:tcW w:w="1171" w:type="dxa"/>
            <w:tcBorders>
              <w:top w:val="nil"/>
              <w:bottom w:val="nil"/>
            </w:tcBorders>
          </w:tcPr>
          <w:p w:rsidR="003102D5" w:rsidRDefault="003102D5" w:rsidP="00841EA0">
            <w:pPr>
              <w:pStyle w:val="Tablecells"/>
              <w:jc w:val="center"/>
            </w:pPr>
            <w:r>
              <w:t>20.0</w:t>
            </w:r>
          </w:p>
        </w:tc>
        <w:tc>
          <w:tcPr>
            <w:tcW w:w="1171" w:type="dxa"/>
            <w:tcBorders>
              <w:top w:val="nil"/>
              <w:bottom w:val="nil"/>
            </w:tcBorders>
          </w:tcPr>
          <w:p w:rsidR="003102D5" w:rsidRDefault="003102D5" w:rsidP="00841EA0">
            <w:pPr>
              <w:pStyle w:val="Tablecells"/>
              <w:jc w:val="center"/>
            </w:pPr>
          </w:p>
        </w:tc>
        <w:tc>
          <w:tcPr>
            <w:tcW w:w="1171" w:type="dxa"/>
            <w:tcBorders>
              <w:top w:val="nil"/>
              <w:bottom w:val="nil"/>
            </w:tcBorders>
            <w:vAlign w:val="center"/>
          </w:tcPr>
          <w:p w:rsidR="003102D5" w:rsidRPr="004659CD" w:rsidRDefault="003102D5" w:rsidP="00841EA0">
            <w:pPr>
              <w:pStyle w:val="Tablecells"/>
              <w:jc w:val="center"/>
            </w:pPr>
            <w:r w:rsidRPr="004659CD">
              <w:t>8.4</w:t>
            </w:r>
          </w:p>
        </w:tc>
        <w:tc>
          <w:tcPr>
            <w:tcW w:w="1171" w:type="dxa"/>
            <w:tcBorders>
              <w:top w:val="nil"/>
              <w:bottom w:val="nil"/>
            </w:tcBorders>
          </w:tcPr>
          <w:p w:rsidR="003102D5" w:rsidRDefault="003102D5" w:rsidP="00841EA0">
            <w:pPr>
              <w:pStyle w:val="Tablecells"/>
              <w:jc w:val="center"/>
            </w:pPr>
          </w:p>
        </w:tc>
        <w:tc>
          <w:tcPr>
            <w:tcW w:w="1171" w:type="dxa"/>
            <w:tcBorders>
              <w:top w:val="nil"/>
              <w:bottom w:val="nil"/>
            </w:tcBorders>
          </w:tcPr>
          <w:p w:rsidR="003102D5" w:rsidRDefault="003102D5" w:rsidP="00841EA0">
            <w:pPr>
              <w:pStyle w:val="Tablecells"/>
              <w:jc w:val="center"/>
            </w:pPr>
          </w:p>
        </w:tc>
        <w:tc>
          <w:tcPr>
            <w:tcW w:w="1172" w:type="dxa"/>
            <w:tcBorders>
              <w:top w:val="nil"/>
              <w:bottom w:val="nil"/>
            </w:tcBorders>
          </w:tcPr>
          <w:p w:rsidR="003102D5" w:rsidRDefault="003102D5" w:rsidP="00841EA0">
            <w:pPr>
              <w:pStyle w:val="Tablecells"/>
              <w:jc w:val="center"/>
            </w:pPr>
          </w:p>
        </w:tc>
        <w:tc>
          <w:tcPr>
            <w:tcW w:w="1171" w:type="dxa"/>
            <w:tcBorders>
              <w:top w:val="nil"/>
              <w:bottom w:val="nil"/>
            </w:tcBorders>
            <w:vAlign w:val="center"/>
          </w:tcPr>
          <w:p w:rsidR="003102D5" w:rsidRPr="004659CD" w:rsidRDefault="003102D5" w:rsidP="00841EA0">
            <w:pPr>
              <w:pStyle w:val="Tablecells"/>
              <w:jc w:val="center"/>
            </w:pPr>
            <w:r w:rsidRPr="004659CD">
              <w:t>40.0</w:t>
            </w:r>
          </w:p>
        </w:tc>
        <w:tc>
          <w:tcPr>
            <w:tcW w:w="1171" w:type="dxa"/>
            <w:tcBorders>
              <w:top w:val="nil"/>
              <w:bottom w:val="nil"/>
            </w:tcBorders>
          </w:tcPr>
          <w:p w:rsidR="003102D5" w:rsidRPr="003102D5" w:rsidRDefault="003102D5" w:rsidP="00841EA0">
            <w:pPr>
              <w:pStyle w:val="Tablecells"/>
              <w:jc w:val="center"/>
            </w:pPr>
            <w:r w:rsidRPr="00B96F3F">
              <w:t>[</w:t>
            </w:r>
            <w:r w:rsidRPr="00B96F3F">
              <w:rPr>
                <w:rFonts w:ascii="Wingdings" w:hAnsi="Wingdings"/>
              </w:rPr>
              <w:t></w:t>
            </w:r>
            <w:r w:rsidRPr="00B96F3F">
              <w:t>]</w:t>
            </w:r>
          </w:p>
        </w:tc>
        <w:tc>
          <w:tcPr>
            <w:tcW w:w="1171" w:type="dxa"/>
            <w:tcBorders>
              <w:top w:val="nil"/>
              <w:bottom w:val="nil"/>
            </w:tcBorders>
          </w:tcPr>
          <w:p w:rsidR="003102D5" w:rsidRDefault="003102D5" w:rsidP="00841EA0">
            <w:pPr>
              <w:pStyle w:val="Tablecells"/>
              <w:jc w:val="center"/>
            </w:pPr>
            <w:r>
              <w:t>N/A</w:t>
            </w:r>
          </w:p>
        </w:tc>
        <w:tc>
          <w:tcPr>
            <w:tcW w:w="1171" w:type="dxa"/>
            <w:tcBorders>
              <w:top w:val="nil"/>
              <w:bottom w:val="nil"/>
            </w:tcBorders>
          </w:tcPr>
          <w:p w:rsidR="003102D5" w:rsidRDefault="003102D5" w:rsidP="00841EA0">
            <w:pPr>
              <w:pStyle w:val="Tablecells"/>
              <w:jc w:val="center"/>
            </w:pPr>
            <w:r>
              <w:t>N/A</w:t>
            </w:r>
          </w:p>
        </w:tc>
        <w:tc>
          <w:tcPr>
            <w:tcW w:w="1172" w:type="dxa"/>
            <w:tcBorders>
              <w:top w:val="nil"/>
              <w:bottom w:val="nil"/>
            </w:tcBorders>
          </w:tcPr>
          <w:p w:rsidR="003102D5" w:rsidRDefault="003102D5" w:rsidP="00841EA0">
            <w:pPr>
              <w:pStyle w:val="Tablecells"/>
              <w:jc w:val="center"/>
            </w:pPr>
            <w:r>
              <w:t>N/A</w:t>
            </w:r>
          </w:p>
        </w:tc>
      </w:tr>
      <w:tr w:rsidR="003102D5" w:rsidTr="0005766B">
        <w:trPr>
          <w:cnfStyle w:val="000000100000" w:firstRow="0" w:lastRow="0" w:firstColumn="0" w:lastColumn="0" w:oddVBand="0" w:evenVBand="0" w:oddHBand="1" w:evenHBand="0" w:firstRowFirstColumn="0" w:firstRowLastColumn="0" w:lastRowFirstColumn="0" w:lastRowLastColumn="0"/>
        </w:trPr>
        <w:tc>
          <w:tcPr>
            <w:tcW w:w="1417" w:type="dxa"/>
            <w:tcBorders>
              <w:top w:val="nil"/>
              <w:bottom w:val="nil"/>
            </w:tcBorders>
            <w:vAlign w:val="center"/>
          </w:tcPr>
          <w:p w:rsidR="003102D5" w:rsidRPr="004659CD" w:rsidRDefault="003102D5" w:rsidP="00841EA0">
            <w:pPr>
              <w:pStyle w:val="Tablecells"/>
            </w:pPr>
            <w:r w:rsidRPr="004659CD">
              <w:t>VHA</w:t>
            </w:r>
          </w:p>
        </w:tc>
        <w:tc>
          <w:tcPr>
            <w:tcW w:w="1171" w:type="dxa"/>
            <w:tcBorders>
              <w:top w:val="nil"/>
              <w:bottom w:val="nil"/>
            </w:tcBorders>
          </w:tcPr>
          <w:p w:rsidR="003102D5" w:rsidRDefault="003102D5" w:rsidP="00841EA0">
            <w:pPr>
              <w:pStyle w:val="Tablecells"/>
              <w:jc w:val="center"/>
            </w:pPr>
            <w:r>
              <w:t>0.0</w:t>
            </w:r>
          </w:p>
        </w:tc>
        <w:tc>
          <w:tcPr>
            <w:tcW w:w="1171" w:type="dxa"/>
            <w:tcBorders>
              <w:top w:val="nil"/>
              <w:bottom w:val="nil"/>
            </w:tcBorders>
          </w:tcPr>
          <w:p w:rsidR="003102D5" w:rsidRDefault="003102D5" w:rsidP="00841EA0">
            <w:pPr>
              <w:pStyle w:val="Tablecells"/>
              <w:jc w:val="center"/>
            </w:pPr>
          </w:p>
        </w:tc>
        <w:tc>
          <w:tcPr>
            <w:tcW w:w="1171" w:type="dxa"/>
            <w:tcBorders>
              <w:top w:val="nil"/>
              <w:bottom w:val="nil"/>
            </w:tcBorders>
            <w:vAlign w:val="center"/>
          </w:tcPr>
          <w:p w:rsidR="003102D5" w:rsidRPr="004659CD" w:rsidRDefault="003102D5" w:rsidP="00841EA0">
            <w:pPr>
              <w:pStyle w:val="Tablecells"/>
              <w:jc w:val="center"/>
            </w:pPr>
            <w:r w:rsidRPr="004659CD">
              <w:t>8.2</w:t>
            </w:r>
          </w:p>
        </w:tc>
        <w:tc>
          <w:tcPr>
            <w:tcW w:w="1171" w:type="dxa"/>
            <w:tcBorders>
              <w:top w:val="nil"/>
              <w:bottom w:val="nil"/>
            </w:tcBorders>
          </w:tcPr>
          <w:p w:rsidR="003102D5" w:rsidRDefault="003102D5" w:rsidP="00841EA0">
            <w:pPr>
              <w:pStyle w:val="Tablecells"/>
              <w:jc w:val="center"/>
            </w:pPr>
          </w:p>
        </w:tc>
        <w:tc>
          <w:tcPr>
            <w:tcW w:w="1171" w:type="dxa"/>
            <w:tcBorders>
              <w:top w:val="nil"/>
              <w:bottom w:val="nil"/>
            </w:tcBorders>
          </w:tcPr>
          <w:p w:rsidR="003102D5" w:rsidRDefault="003102D5" w:rsidP="00841EA0">
            <w:pPr>
              <w:pStyle w:val="Tablecells"/>
              <w:jc w:val="center"/>
            </w:pPr>
          </w:p>
        </w:tc>
        <w:tc>
          <w:tcPr>
            <w:tcW w:w="1172" w:type="dxa"/>
            <w:tcBorders>
              <w:top w:val="nil"/>
              <w:bottom w:val="nil"/>
            </w:tcBorders>
          </w:tcPr>
          <w:p w:rsidR="003102D5" w:rsidRDefault="003102D5" w:rsidP="00841EA0">
            <w:pPr>
              <w:pStyle w:val="Tablecells"/>
              <w:jc w:val="center"/>
            </w:pPr>
          </w:p>
        </w:tc>
        <w:tc>
          <w:tcPr>
            <w:tcW w:w="1171" w:type="dxa"/>
            <w:tcBorders>
              <w:top w:val="nil"/>
              <w:bottom w:val="nil"/>
            </w:tcBorders>
            <w:vAlign w:val="center"/>
          </w:tcPr>
          <w:p w:rsidR="003102D5" w:rsidRPr="004659CD" w:rsidRDefault="003102D5" w:rsidP="00841EA0">
            <w:pPr>
              <w:pStyle w:val="Tablecells"/>
              <w:jc w:val="center"/>
            </w:pPr>
            <w:r w:rsidRPr="004659CD">
              <w:t>0.0</w:t>
            </w:r>
          </w:p>
        </w:tc>
        <w:tc>
          <w:tcPr>
            <w:tcW w:w="1171" w:type="dxa"/>
            <w:tcBorders>
              <w:top w:val="nil"/>
              <w:bottom w:val="nil"/>
            </w:tcBorders>
          </w:tcPr>
          <w:p w:rsidR="003102D5" w:rsidRPr="003102D5" w:rsidRDefault="003102D5" w:rsidP="00841EA0">
            <w:pPr>
              <w:pStyle w:val="Tablecells"/>
              <w:jc w:val="center"/>
            </w:pPr>
            <w:r w:rsidRPr="00B96F3F">
              <w:t>[</w:t>
            </w:r>
            <w:r w:rsidRPr="00B96F3F">
              <w:rPr>
                <w:rFonts w:ascii="Wingdings" w:hAnsi="Wingdings"/>
              </w:rPr>
              <w:t></w:t>
            </w:r>
            <w:r w:rsidRPr="00B96F3F">
              <w:t>]</w:t>
            </w:r>
          </w:p>
        </w:tc>
        <w:tc>
          <w:tcPr>
            <w:tcW w:w="1171" w:type="dxa"/>
            <w:tcBorders>
              <w:top w:val="nil"/>
              <w:bottom w:val="nil"/>
            </w:tcBorders>
          </w:tcPr>
          <w:p w:rsidR="003102D5" w:rsidRDefault="003102D5" w:rsidP="00841EA0">
            <w:pPr>
              <w:pStyle w:val="Tablecells"/>
              <w:jc w:val="center"/>
            </w:pPr>
            <w:r>
              <w:t>N/A</w:t>
            </w:r>
          </w:p>
        </w:tc>
        <w:tc>
          <w:tcPr>
            <w:tcW w:w="1171" w:type="dxa"/>
            <w:tcBorders>
              <w:top w:val="nil"/>
              <w:bottom w:val="nil"/>
            </w:tcBorders>
          </w:tcPr>
          <w:p w:rsidR="003102D5" w:rsidRDefault="003102D5" w:rsidP="00841EA0">
            <w:pPr>
              <w:pStyle w:val="Tablecells"/>
              <w:jc w:val="center"/>
            </w:pPr>
            <w:r>
              <w:t>N/A</w:t>
            </w:r>
          </w:p>
        </w:tc>
        <w:tc>
          <w:tcPr>
            <w:tcW w:w="1172" w:type="dxa"/>
            <w:tcBorders>
              <w:top w:val="nil"/>
              <w:bottom w:val="nil"/>
            </w:tcBorders>
          </w:tcPr>
          <w:p w:rsidR="003102D5" w:rsidRDefault="003102D5" w:rsidP="00841EA0">
            <w:pPr>
              <w:pStyle w:val="Tablecells"/>
              <w:jc w:val="center"/>
            </w:pPr>
            <w:r>
              <w:t>N/A</w:t>
            </w:r>
          </w:p>
        </w:tc>
      </w:tr>
    </w:tbl>
    <w:p w:rsidR="00162304" w:rsidRDefault="00B873A7" w:rsidP="00162304">
      <w:pPr>
        <w:pStyle w:val="Caption"/>
        <w:spacing w:before="360" w:after="120" w:line="240" w:lineRule="atLeast"/>
      </w:pPr>
      <w:r>
        <w:rPr>
          <w:b/>
        </w:rPr>
        <w:br w:type="page"/>
      </w:r>
      <w:bookmarkStart w:id="96" w:name="_Ref399838216"/>
      <w:r w:rsidR="00162304">
        <w:lastRenderedPageBreak/>
        <w:t>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rsidR="00162304">
        <w:t>.</w:t>
      </w:r>
      <w:fldSimple w:instr=" SEQ Figure \* ARABIC \s 1 \* MERGEFORMAT ">
        <w:r w:rsidR="00A87B65">
          <w:rPr>
            <w:noProof/>
          </w:rPr>
          <w:t>11</w:t>
        </w:r>
      </w:fldSimple>
      <w:bookmarkEnd w:id="96"/>
      <w:r w:rsidR="00162304">
        <w:t>: Metropolitan spectrum allocations by operator (2</w:t>
      </w:r>
      <w:r w:rsidR="00162304">
        <w:sym w:font="Symbol" w:char="F0B4"/>
      </w:r>
      <w:r w:rsidR="00162304">
        <w:t>N MHz for all bands except for 2.3GHz, 1</w:t>
      </w:r>
      <w:r w:rsidR="00162304">
        <w:sym w:font="Symbol" w:char="F0B4"/>
      </w:r>
      <w:r w:rsidR="00162304">
        <w:t>N MHz) [Source: Analysys Mason, 2014]</w:t>
      </w:r>
    </w:p>
    <w:tbl>
      <w:tblPr>
        <w:tblStyle w:val="MediumShading2-Accent1"/>
        <w:tblW w:w="14300" w:type="dxa"/>
        <w:tblInd w:w="108" w:type="dxa"/>
        <w:tblLook w:val="0420" w:firstRow="1" w:lastRow="0" w:firstColumn="0" w:lastColumn="0" w:noHBand="0" w:noVBand="1"/>
      </w:tblPr>
      <w:tblGrid>
        <w:gridCol w:w="1417"/>
        <w:gridCol w:w="1171"/>
        <w:gridCol w:w="1171"/>
        <w:gridCol w:w="1171"/>
        <w:gridCol w:w="1171"/>
        <w:gridCol w:w="1171"/>
        <w:gridCol w:w="1172"/>
        <w:gridCol w:w="1171"/>
        <w:gridCol w:w="1171"/>
        <w:gridCol w:w="1171"/>
        <w:gridCol w:w="1171"/>
        <w:gridCol w:w="1172"/>
      </w:tblGrid>
      <w:tr w:rsidR="000C032F" w:rsidRPr="001E72B8" w:rsidTr="00841EA0">
        <w:trPr>
          <w:cnfStyle w:val="100000000000" w:firstRow="1" w:lastRow="0" w:firstColumn="0" w:lastColumn="0" w:oddVBand="0" w:evenVBand="0" w:oddHBand="0" w:evenHBand="0" w:firstRowFirstColumn="0" w:firstRowLastColumn="0" w:lastRowFirstColumn="0" w:lastRowLastColumn="0"/>
        </w:trPr>
        <w:tc>
          <w:tcPr>
            <w:tcW w:w="1417" w:type="dxa"/>
            <w:tcBorders>
              <w:top w:val="nil"/>
              <w:bottom w:val="nil"/>
              <w:right w:val="single" w:sz="12" w:space="0" w:color="FFFFFF" w:themeColor="background1"/>
            </w:tcBorders>
            <w:shd w:val="clear" w:color="auto" w:fill="221F72"/>
          </w:tcPr>
          <w:p w:rsidR="00B873A7" w:rsidRPr="00CB27B1" w:rsidRDefault="00B873A7" w:rsidP="00841EA0">
            <w:pPr>
              <w:pStyle w:val="Tableheading"/>
              <w:keepLines/>
              <w:rPr>
                <w:b/>
              </w:rPr>
            </w:pPr>
            <w:r w:rsidRPr="00CB27B1">
              <w:rPr>
                <w:b/>
              </w:rPr>
              <w:t>Metropolitan allocation</w:t>
            </w:r>
          </w:p>
        </w:tc>
        <w:tc>
          <w:tcPr>
            <w:tcW w:w="1171" w:type="dxa"/>
            <w:tcBorders>
              <w:top w:val="nil"/>
              <w:left w:val="single" w:sz="12" w:space="0" w:color="FFFFFF" w:themeColor="background1"/>
              <w:bottom w:val="nil"/>
              <w:right w:val="single" w:sz="12" w:space="0" w:color="FFFFFF" w:themeColor="background1"/>
            </w:tcBorders>
            <w:shd w:val="clear" w:color="auto" w:fill="221F72"/>
          </w:tcPr>
          <w:p w:rsidR="00B873A7" w:rsidRPr="00CB27B1" w:rsidRDefault="00B873A7" w:rsidP="00841EA0">
            <w:pPr>
              <w:pStyle w:val="Tableheading"/>
              <w:keepLines/>
              <w:jc w:val="center"/>
              <w:rPr>
                <w:b/>
              </w:rPr>
            </w:pPr>
            <w:r w:rsidRPr="00CB27B1">
              <w:rPr>
                <w:b/>
              </w:rPr>
              <w:t>700MHz</w:t>
            </w:r>
          </w:p>
        </w:tc>
        <w:tc>
          <w:tcPr>
            <w:tcW w:w="1171" w:type="dxa"/>
            <w:tcBorders>
              <w:top w:val="nil"/>
              <w:left w:val="single" w:sz="12" w:space="0" w:color="FFFFFF" w:themeColor="background1"/>
              <w:bottom w:val="nil"/>
              <w:right w:val="single" w:sz="12" w:space="0" w:color="FFFFFF" w:themeColor="background1"/>
            </w:tcBorders>
            <w:shd w:val="clear" w:color="auto" w:fill="221F72"/>
          </w:tcPr>
          <w:p w:rsidR="00B873A7" w:rsidRPr="00CB27B1" w:rsidRDefault="00B873A7" w:rsidP="00841EA0">
            <w:pPr>
              <w:pStyle w:val="Tableheading"/>
              <w:keepLines/>
              <w:jc w:val="center"/>
              <w:rPr>
                <w:b/>
              </w:rPr>
            </w:pPr>
            <w:r w:rsidRPr="00CB27B1">
              <w:rPr>
                <w:b/>
              </w:rPr>
              <w:t>800MHz</w:t>
            </w:r>
          </w:p>
        </w:tc>
        <w:tc>
          <w:tcPr>
            <w:tcW w:w="1171" w:type="dxa"/>
            <w:tcBorders>
              <w:top w:val="nil"/>
              <w:left w:val="single" w:sz="12" w:space="0" w:color="FFFFFF" w:themeColor="background1"/>
              <w:bottom w:val="nil"/>
              <w:right w:val="single" w:sz="12" w:space="0" w:color="FFFFFF" w:themeColor="background1"/>
            </w:tcBorders>
            <w:shd w:val="clear" w:color="auto" w:fill="221F72"/>
          </w:tcPr>
          <w:p w:rsidR="00B873A7" w:rsidRPr="00CB27B1" w:rsidRDefault="00B873A7" w:rsidP="00841EA0">
            <w:pPr>
              <w:pStyle w:val="Tableheading"/>
              <w:keepLines/>
              <w:jc w:val="center"/>
              <w:rPr>
                <w:b/>
              </w:rPr>
            </w:pPr>
            <w:r w:rsidRPr="00CB27B1">
              <w:rPr>
                <w:b/>
              </w:rPr>
              <w:t>900MHz</w:t>
            </w:r>
          </w:p>
        </w:tc>
        <w:tc>
          <w:tcPr>
            <w:tcW w:w="1171" w:type="dxa"/>
            <w:tcBorders>
              <w:top w:val="nil"/>
              <w:left w:val="single" w:sz="12" w:space="0" w:color="FFFFFF" w:themeColor="background1"/>
              <w:bottom w:val="nil"/>
              <w:right w:val="single" w:sz="12" w:space="0" w:color="FFFFFF" w:themeColor="background1"/>
            </w:tcBorders>
            <w:shd w:val="clear" w:color="auto" w:fill="221F72"/>
          </w:tcPr>
          <w:p w:rsidR="00B873A7" w:rsidRPr="00CB27B1" w:rsidRDefault="00B873A7" w:rsidP="00841EA0">
            <w:pPr>
              <w:pStyle w:val="Tableheading"/>
              <w:keepLines/>
              <w:jc w:val="center"/>
              <w:rPr>
                <w:b/>
              </w:rPr>
            </w:pPr>
            <w:r w:rsidRPr="00CB27B1">
              <w:rPr>
                <w:b/>
              </w:rPr>
              <w:t>1800MHz</w:t>
            </w:r>
          </w:p>
        </w:tc>
        <w:tc>
          <w:tcPr>
            <w:tcW w:w="1171" w:type="dxa"/>
            <w:tcBorders>
              <w:top w:val="nil"/>
              <w:left w:val="single" w:sz="12" w:space="0" w:color="FFFFFF" w:themeColor="background1"/>
              <w:bottom w:val="nil"/>
              <w:right w:val="single" w:sz="12" w:space="0" w:color="FFFFFF" w:themeColor="background1"/>
            </w:tcBorders>
            <w:shd w:val="clear" w:color="auto" w:fill="221F72"/>
          </w:tcPr>
          <w:p w:rsidR="00B873A7" w:rsidRPr="00CB27B1" w:rsidRDefault="00B873A7" w:rsidP="00841EA0">
            <w:pPr>
              <w:pStyle w:val="Tableheading"/>
              <w:keepLines/>
              <w:jc w:val="center"/>
              <w:rPr>
                <w:b/>
              </w:rPr>
            </w:pPr>
            <w:r w:rsidRPr="00CB27B1">
              <w:rPr>
                <w:b/>
              </w:rPr>
              <w:t>2GHz</w:t>
            </w:r>
          </w:p>
        </w:tc>
        <w:tc>
          <w:tcPr>
            <w:tcW w:w="1172" w:type="dxa"/>
            <w:tcBorders>
              <w:top w:val="nil"/>
              <w:left w:val="single" w:sz="12" w:space="0" w:color="FFFFFF" w:themeColor="background1"/>
              <w:bottom w:val="nil"/>
              <w:right w:val="single" w:sz="12" w:space="0" w:color="FFFFFF" w:themeColor="background1"/>
            </w:tcBorders>
            <w:shd w:val="clear" w:color="auto" w:fill="221F72"/>
          </w:tcPr>
          <w:p w:rsidR="00B873A7" w:rsidRPr="00CB27B1" w:rsidRDefault="00B873A7" w:rsidP="00841EA0">
            <w:pPr>
              <w:pStyle w:val="Tableheading"/>
              <w:keepLines/>
              <w:jc w:val="center"/>
              <w:rPr>
                <w:b/>
              </w:rPr>
            </w:pPr>
            <w:r w:rsidRPr="00CB27B1">
              <w:rPr>
                <w:b/>
              </w:rPr>
              <w:t>2.3GHz</w:t>
            </w:r>
          </w:p>
        </w:tc>
        <w:tc>
          <w:tcPr>
            <w:tcW w:w="1171" w:type="dxa"/>
            <w:tcBorders>
              <w:top w:val="nil"/>
              <w:left w:val="single" w:sz="12" w:space="0" w:color="FFFFFF" w:themeColor="background1"/>
              <w:bottom w:val="nil"/>
              <w:right w:val="single" w:sz="12" w:space="0" w:color="FFFFFF" w:themeColor="background1"/>
            </w:tcBorders>
            <w:shd w:val="clear" w:color="auto" w:fill="221F72"/>
          </w:tcPr>
          <w:p w:rsidR="00B873A7" w:rsidRPr="00CB27B1" w:rsidRDefault="00B873A7" w:rsidP="00841EA0">
            <w:pPr>
              <w:pStyle w:val="Tableheading"/>
              <w:keepLines/>
              <w:jc w:val="center"/>
              <w:rPr>
                <w:b/>
              </w:rPr>
            </w:pPr>
            <w:r w:rsidRPr="00CB27B1">
              <w:rPr>
                <w:b/>
              </w:rPr>
              <w:t>2.5GHz</w:t>
            </w:r>
          </w:p>
        </w:tc>
        <w:tc>
          <w:tcPr>
            <w:tcW w:w="1171" w:type="dxa"/>
            <w:tcBorders>
              <w:top w:val="nil"/>
              <w:left w:val="single" w:sz="12" w:space="0" w:color="FFFFFF" w:themeColor="background1"/>
              <w:bottom w:val="nil"/>
              <w:right w:val="single" w:sz="12" w:space="0" w:color="FFFFFF" w:themeColor="background1"/>
            </w:tcBorders>
            <w:shd w:val="clear" w:color="auto" w:fill="221F72"/>
          </w:tcPr>
          <w:p w:rsidR="00B873A7" w:rsidRPr="00CB27B1" w:rsidRDefault="00B873A7" w:rsidP="00841EA0">
            <w:pPr>
              <w:pStyle w:val="Tableheading"/>
              <w:keepLines/>
              <w:jc w:val="center"/>
              <w:rPr>
                <w:b/>
              </w:rPr>
            </w:pPr>
            <w:r w:rsidRPr="00CB27B1">
              <w:rPr>
                <w:b/>
              </w:rPr>
              <w:t>Amount of 900MHz used for 3G</w:t>
            </w:r>
          </w:p>
        </w:tc>
        <w:tc>
          <w:tcPr>
            <w:tcW w:w="1171" w:type="dxa"/>
            <w:tcBorders>
              <w:top w:val="nil"/>
              <w:left w:val="single" w:sz="12" w:space="0" w:color="FFFFFF" w:themeColor="background1"/>
              <w:bottom w:val="nil"/>
              <w:right w:val="single" w:sz="12" w:space="0" w:color="FFFFFF" w:themeColor="background1"/>
            </w:tcBorders>
            <w:shd w:val="clear" w:color="auto" w:fill="221F72"/>
          </w:tcPr>
          <w:p w:rsidR="00B873A7" w:rsidRPr="00CB27B1" w:rsidRDefault="00B873A7" w:rsidP="00841EA0">
            <w:pPr>
              <w:pStyle w:val="Tableheading"/>
              <w:keepLines/>
              <w:jc w:val="center"/>
              <w:rPr>
                <w:b/>
              </w:rPr>
            </w:pPr>
            <w:r w:rsidRPr="00CB27B1">
              <w:rPr>
                <w:b/>
              </w:rPr>
              <w:t>Amount of 800MHz used for LTE</w:t>
            </w:r>
          </w:p>
        </w:tc>
        <w:tc>
          <w:tcPr>
            <w:tcW w:w="2343" w:type="dxa"/>
            <w:gridSpan w:val="2"/>
            <w:tcBorders>
              <w:top w:val="nil"/>
              <w:left w:val="single" w:sz="12" w:space="0" w:color="FFFFFF" w:themeColor="background1"/>
              <w:bottom w:val="nil"/>
            </w:tcBorders>
            <w:shd w:val="clear" w:color="auto" w:fill="221F72"/>
          </w:tcPr>
          <w:p w:rsidR="00B873A7" w:rsidRPr="00CB27B1" w:rsidRDefault="00B873A7" w:rsidP="00841EA0">
            <w:pPr>
              <w:pStyle w:val="Tableheading"/>
              <w:keepLines/>
              <w:jc w:val="center"/>
              <w:rPr>
                <w:b/>
              </w:rPr>
            </w:pPr>
            <w:r w:rsidRPr="00CB27B1">
              <w:rPr>
                <w:b/>
              </w:rPr>
              <w:t>Amount of 1800MHz used for LTE</w:t>
            </w:r>
          </w:p>
        </w:tc>
      </w:tr>
      <w:tr w:rsidR="003102D5" w:rsidTr="00841EA0">
        <w:trPr>
          <w:cnfStyle w:val="000000100000" w:firstRow="0" w:lastRow="0" w:firstColumn="0" w:lastColumn="0" w:oddVBand="0" w:evenVBand="0" w:oddHBand="1" w:evenHBand="0" w:firstRowFirstColumn="0" w:firstRowLastColumn="0" w:lastRowFirstColumn="0" w:lastRowLastColumn="0"/>
        </w:trPr>
        <w:tc>
          <w:tcPr>
            <w:tcW w:w="1417" w:type="dxa"/>
            <w:tcBorders>
              <w:top w:val="nil"/>
              <w:bottom w:val="nil"/>
            </w:tcBorders>
          </w:tcPr>
          <w:p w:rsidR="003102D5" w:rsidRPr="006505B6" w:rsidRDefault="003102D5" w:rsidP="00841EA0">
            <w:pPr>
              <w:pStyle w:val="Tablecells"/>
              <w:keepLines/>
            </w:pPr>
            <w:r w:rsidRPr="006505B6">
              <w:t>Optus</w:t>
            </w:r>
          </w:p>
        </w:tc>
        <w:tc>
          <w:tcPr>
            <w:tcW w:w="1171" w:type="dxa"/>
            <w:tcBorders>
              <w:top w:val="nil"/>
              <w:bottom w:val="nil"/>
            </w:tcBorders>
          </w:tcPr>
          <w:p w:rsidR="003102D5" w:rsidRPr="006505B6" w:rsidRDefault="003102D5" w:rsidP="00841EA0">
            <w:pPr>
              <w:pStyle w:val="Tablecells"/>
              <w:keepLines/>
              <w:jc w:val="center"/>
            </w:pPr>
          </w:p>
        </w:tc>
        <w:tc>
          <w:tcPr>
            <w:tcW w:w="1171" w:type="dxa"/>
            <w:tcBorders>
              <w:top w:val="nil"/>
              <w:bottom w:val="nil"/>
            </w:tcBorders>
          </w:tcPr>
          <w:p w:rsidR="003102D5" w:rsidRPr="006505B6" w:rsidRDefault="003102D5" w:rsidP="00841EA0">
            <w:pPr>
              <w:pStyle w:val="Tablecells"/>
              <w:keepLines/>
              <w:jc w:val="center"/>
            </w:pPr>
            <w:r w:rsidRPr="006505B6">
              <w:t>0.0</w:t>
            </w:r>
          </w:p>
        </w:tc>
        <w:tc>
          <w:tcPr>
            <w:tcW w:w="1171" w:type="dxa"/>
            <w:tcBorders>
              <w:top w:val="nil"/>
              <w:bottom w:val="nil"/>
            </w:tcBorders>
          </w:tcPr>
          <w:p w:rsidR="003102D5" w:rsidRPr="006505B6" w:rsidRDefault="003102D5" w:rsidP="00841EA0">
            <w:pPr>
              <w:pStyle w:val="Tablecells"/>
              <w:keepLines/>
              <w:jc w:val="center"/>
            </w:pPr>
          </w:p>
        </w:tc>
        <w:tc>
          <w:tcPr>
            <w:tcW w:w="1171" w:type="dxa"/>
            <w:tcBorders>
              <w:top w:val="nil"/>
              <w:bottom w:val="nil"/>
            </w:tcBorders>
          </w:tcPr>
          <w:p w:rsidR="003102D5" w:rsidRPr="006505B6" w:rsidRDefault="003102D5" w:rsidP="00841EA0">
            <w:pPr>
              <w:pStyle w:val="Tablecells"/>
              <w:keepLines/>
              <w:jc w:val="center"/>
            </w:pPr>
            <w:r w:rsidRPr="006505B6">
              <w:t>15.0</w:t>
            </w:r>
          </w:p>
        </w:tc>
        <w:tc>
          <w:tcPr>
            <w:tcW w:w="1171" w:type="dxa"/>
            <w:tcBorders>
              <w:top w:val="nil"/>
              <w:bottom w:val="nil"/>
            </w:tcBorders>
          </w:tcPr>
          <w:p w:rsidR="003102D5" w:rsidRPr="006505B6" w:rsidRDefault="003102D5" w:rsidP="00841EA0">
            <w:pPr>
              <w:pStyle w:val="Tablecells"/>
              <w:keepLines/>
              <w:jc w:val="center"/>
            </w:pPr>
            <w:r w:rsidRPr="006505B6">
              <w:t>20.0</w:t>
            </w:r>
          </w:p>
        </w:tc>
        <w:tc>
          <w:tcPr>
            <w:tcW w:w="1172" w:type="dxa"/>
            <w:tcBorders>
              <w:top w:val="nil"/>
              <w:bottom w:val="nil"/>
            </w:tcBorders>
          </w:tcPr>
          <w:p w:rsidR="003102D5" w:rsidRPr="006505B6" w:rsidRDefault="003102D5" w:rsidP="00841EA0">
            <w:pPr>
              <w:pStyle w:val="Tablecells"/>
              <w:keepLines/>
              <w:jc w:val="center"/>
            </w:pPr>
            <w:r w:rsidRPr="006505B6">
              <w:t>80.0</w:t>
            </w:r>
            <w:r>
              <w:rPr>
                <w:rStyle w:val="FootnoteReference"/>
              </w:rPr>
              <w:footnoteReference w:id="17"/>
            </w:r>
          </w:p>
        </w:tc>
        <w:tc>
          <w:tcPr>
            <w:tcW w:w="1171" w:type="dxa"/>
            <w:tcBorders>
              <w:top w:val="nil"/>
              <w:bottom w:val="nil"/>
            </w:tcBorders>
          </w:tcPr>
          <w:p w:rsidR="003102D5" w:rsidRPr="006505B6" w:rsidRDefault="003102D5" w:rsidP="00841EA0">
            <w:pPr>
              <w:pStyle w:val="Tablecells"/>
              <w:keepLines/>
              <w:jc w:val="center"/>
            </w:pPr>
          </w:p>
        </w:tc>
        <w:tc>
          <w:tcPr>
            <w:tcW w:w="1171" w:type="dxa"/>
            <w:tcBorders>
              <w:top w:val="nil"/>
              <w:bottom w:val="nil"/>
            </w:tcBorders>
          </w:tcPr>
          <w:p w:rsidR="003102D5" w:rsidRPr="006505B6" w:rsidRDefault="003102D5" w:rsidP="00841EA0">
            <w:pPr>
              <w:pStyle w:val="Tablecells"/>
              <w:keepLines/>
              <w:jc w:val="center"/>
            </w:pPr>
            <w:r>
              <w:t>N/A</w:t>
            </w:r>
          </w:p>
        </w:tc>
        <w:tc>
          <w:tcPr>
            <w:tcW w:w="1171" w:type="dxa"/>
            <w:tcBorders>
              <w:top w:val="nil"/>
              <w:bottom w:val="nil"/>
            </w:tcBorders>
          </w:tcPr>
          <w:p w:rsidR="003102D5" w:rsidRPr="006505B6" w:rsidRDefault="003102D5" w:rsidP="00841EA0">
            <w:pPr>
              <w:pStyle w:val="Tablecells"/>
              <w:keepLines/>
              <w:jc w:val="center"/>
            </w:pPr>
            <w:r w:rsidRPr="006505B6">
              <w:t>0.0</w:t>
            </w:r>
          </w:p>
        </w:tc>
        <w:tc>
          <w:tcPr>
            <w:tcW w:w="1171" w:type="dxa"/>
            <w:tcBorders>
              <w:top w:val="nil"/>
              <w:bottom w:val="nil"/>
            </w:tcBorders>
          </w:tcPr>
          <w:p w:rsidR="003102D5" w:rsidRPr="006505B6" w:rsidRDefault="003102D5" w:rsidP="00841EA0">
            <w:pPr>
              <w:pStyle w:val="Tablecells"/>
              <w:keepLines/>
              <w:jc w:val="center"/>
            </w:pPr>
            <w:r w:rsidRPr="00B96F3F">
              <w:t>[</w:t>
            </w:r>
            <w:r w:rsidRPr="00B96F3F">
              <w:rPr>
                <w:rFonts w:ascii="Wingdings" w:hAnsi="Wingdings"/>
              </w:rPr>
              <w:t></w:t>
            </w:r>
            <w:r w:rsidRPr="00B96F3F">
              <w:t>]</w:t>
            </w:r>
          </w:p>
        </w:tc>
        <w:tc>
          <w:tcPr>
            <w:tcW w:w="1172" w:type="dxa"/>
            <w:tcBorders>
              <w:top w:val="nil"/>
              <w:bottom w:val="nil"/>
            </w:tcBorders>
          </w:tcPr>
          <w:p w:rsidR="003102D5" w:rsidRPr="006505B6" w:rsidRDefault="003102D5" w:rsidP="00841EA0">
            <w:pPr>
              <w:pStyle w:val="Tablecells"/>
              <w:keepLines/>
              <w:jc w:val="center"/>
            </w:pPr>
            <w:r w:rsidRPr="00B96F3F">
              <w:t>[</w:t>
            </w:r>
            <w:r w:rsidRPr="00B96F3F">
              <w:rPr>
                <w:rFonts w:ascii="Wingdings" w:hAnsi="Wingdings"/>
              </w:rPr>
              <w:t></w:t>
            </w:r>
            <w:r w:rsidRPr="00B96F3F">
              <w:t>]</w:t>
            </w:r>
          </w:p>
        </w:tc>
      </w:tr>
      <w:tr w:rsidR="003102D5" w:rsidTr="00841EA0">
        <w:tc>
          <w:tcPr>
            <w:tcW w:w="1417" w:type="dxa"/>
            <w:tcBorders>
              <w:top w:val="nil"/>
              <w:bottom w:val="nil"/>
            </w:tcBorders>
          </w:tcPr>
          <w:p w:rsidR="003102D5" w:rsidRPr="006505B6" w:rsidRDefault="003102D5" w:rsidP="00841EA0">
            <w:pPr>
              <w:pStyle w:val="Tablecells"/>
              <w:keepLines/>
            </w:pPr>
            <w:r w:rsidRPr="006505B6">
              <w:t>Telstra</w:t>
            </w:r>
          </w:p>
        </w:tc>
        <w:tc>
          <w:tcPr>
            <w:tcW w:w="1171" w:type="dxa"/>
            <w:tcBorders>
              <w:top w:val="nil"/>
              <w:bottom w:val="nil"/>
            </w:tcBorders>
          </w:tcPr>
          <w:p w:rsidR="003102D5" w:rsidRPr="006505B6" w:rsidRDefault="003102D5" w:rsidP="00841EA0">
            <w:pPr>
              <w:pStyle w:val="Tablecells"/>
              <w:keepLines/>
              <w:jc w:val="center"/>
            </w:pPr>
          </w:p>
        </w:tc>
        <w:tc>
          <w:tcPr>
            <w:tcW w:w="1171" w:type="dxa"/>
            <w:tcBorders>
              <w:top w:val="nil"/>
              <w:bottom w:val="nil"/>
            </w:tcBorders>
          </w:tcPr>
          <w:p w:rsidR="003102D5" w:rsidRPr="006505B6" w:rsidRDefault="003102D5" w:rsidP="00841EA0">
            <w:pPr>
              <w:pStyle w:val="Tablecells"/>
              <w:keepLines/>
              <w:jc w:val="center"/>
            </w:pPr>
            <w:r w:rsidRPr="006505B6">
              <w:t>10.0</w:t>
            </w:r>
            <w:r>
              <w:rPr>
                <w:rStyle w:val="FootnoteReference"/>
              </w:rPr>
              <w:footnoteReference w:id="18"/>
            </w:r>
          </w:p>
        </w:tc>
        <w:tc>
          <w:tcPr>
            <w:tcW w:w="1171" w:type="dxa"/>
            <w:tcBorders>
              <w:top w:val="nil"/>
              <w:bottom w:val="nil"/>
            </w:tcBorders>
          </w:tcPr>
          <w:p w:rsidR="003102D5" w:rsidRPr="006505B6" w:rsidRDefault="003102D5" w:rsidP="00841EA0">
            <w:pPr>
              <w:pStyle w:val="Tablecells"/>
              <w:keepLines/>
              <w:jc w:val="center"/>
            </w:pPr>
          </w:p>
        </w:tc>
        <w:tc>
          <w:tcPr>
            <w:tcW w:w="1171" w:type="dxa"/>
            <w:tcBorders>
              <w:top w:val="nil"/>
              <w:bottom w:val="nil"/>
            </w:tcBorders>
          </w:tcPr>
          <w:p w:rsidR="003102D5" w:rsidRPr="006505B6" w:rsidRDefault="003102D5" w:rsidP="00841EA0">
            <w:pPr>
              <w:pStyle w:val="Tablecells"/>
              <w:keepLines/>
              <w:jc w:val="center"/>
            </w:pPr>
            <w:r w:rsidRPr="006505B6">
              <w:t>15.0</w:t>
            </w:r>
            <w:r>
              <w:rPr>
                <w:rStyle w:val="FootnoteReference"/>
              </w:rPr>
              <w:footnoteReference w:id="19"/>
            </w:r>
          </w:p>
        </w:tc>
        <w:tc>
          <w:tcPr>
            <w:tcW w:w="1171" w:type="dxa"/>
            <w:tcBorders>
              <w:top w:val="nil"/>
              <w:bottom w:val="nil"/>
            </w:tcBorders>
          </w:tcPr>
          <w:p w:rsidR="003102D5" w:rsidRPr="006505B6" w:rsidRDefault="003102D5" w:rsidP="00841EA0">
            <w:pPr>
              <w:pStyle w:val="Tablecells"/>
              <w:keepLines/>
              <w:jc w:val="center"/>
            </w:pPr>
            <w:r w:rsidRPr="006505B6">
              <w:t>15.0</w:t>
            </w:r>
          </w:p>
        </w:tc>
        <w:tc>
          <w:tcPr>
            <w:tcW w:w="1172" w:type="dxa"/>
            <w:tcBorders>
              <w:top w:val="nil"/>
              <w:bottom w:val="nil"/>
            </w:tcBorders>
          </w:tcPr>
          <w:p w:rsidR="003102D5" w:rsidRPr="006505B6" w:rsidRDefault="003102D5" w:rsidP="00841EA0">
            <w:pPr>
              <w:pStyle w:val="Tablecells"/>
              <w:keepLines/>
              <w:jc w:val="center"/>
            </w:pPr>
          </w:p>
        </w:tc>
        <w:tc>
          <w:tcPr>
            <w:tcW w:w="1171" w:type="dxa"/>
            <w:tcBorders>
              <w:top w:val="nil"/>
              <w:bottom w:val="nil"/>
            </w:tcBorders>
          </w:tcPr>
          <w:p w:rsidR="003102D5" w:rsidRPr="006505B6" w:rsidRDefault="003102D5" w:rsidP="00841EA0">
            <w:pPr>
              <w:pStyle w:val="Tablecells"/>
              <w:keepLines/>
              <w:jc w:val="center"/>
            </w:pPr>
          </w:p>
        </w:tc>
        <w:tc>
          <w:tcPr>
            <w:tcW w:w="1171" w:type="dxa"/>
            <w:tcBorders>
              <w:top w:val="nil"/>
              <w:bottom w:val="nil"/>
            </w:tcBorders>
          </w:tcPr>
          <w:p w:rsidR="003102D5" w:rsidRPr="006505B6" w:rsidRDefault="003102D5" w:rsidP="00841EA0">
            <w:pPr>
              <w:pStyle w:val="Tablecells"/>
              <w:keepLines/>
              <w:jc w:val="center"/>
            </w:pPr>
            <w:r>
              <w:t>N/A</w:t>
            </w:r>
          </w:p>
        </w:tc>
        <w:tc>
          <w:tcPr>
            <w:tcW w:w="1171" w:type="dxa"/>
            <w:tcBorders>
              <w:top w:val="nil"/>
              <w:bottom w:val="nil"/>
            </w:tcBorders>
          </w:tcPr>
          <w:p w:rsidR="003102D5" w:rsidRPr="006505B6" w:rsidRDefault="003102D5" w:rsidP="00841EA0">
            <w:pPr>
              <w:pStyle w:val="Tablecells"/>
              <w:keepLines/>
              <w:jc w:val="center"/>
            </w:pPr>
            <w:r w:rsidRPr="00B96F3F">
              <w:t>[</w:t>
            </w:r>
            <w:r w:rsidRPr="00B96F3F">
              <w:rPr>
                <w:rFonts w:ascii="Wingdings" w:hAnsi="Wingdings"/>
              </w:rPr>
              <w:t></w:t>
            </w:r>
            <w:r w:rsidRPr="00B96F3F">
              <w:t>]</w:t>
            </w:r>
          </w:p>
        </w:tc>
        <w:tc>
          <w:tcPr>
            <w:tcW w:w="1171" w:type="dxa"/>
            <w:tcBorders>
              <w:top w:val="nil"/>
              <w:bottom w:val="nil"/>
            </w:tcBorders>
          </w:tcPr>
          <w:p w:rsidR="003102D5" w:rsidRPr="006505B6" w:rsidRDefault="003102D5" w:rsidP="00841EA0">
            <w:pPr>
              <w:pStyle w:val="Tablecells"/>
              <w:keepLines/>
              <w:jc w:val="center"/>
            </w:pPr>
            <w:r w:rsidRPr="00B96F3F">
              <w:t>[</w:t>
            </w:r>
            <w:r w:rsidRPr="00B96F3F">
              <w:rPr>
                <w:rFonts w:ascii="Wingdings" w:hAnsi="Wingdings"/>
              </w:rPr>
              <w:t></w:t>
            </w:r>
            <w:r w:rsidRPr="00B96F3F">
              <w:t>]</w:t>
            </w:r>
          </w:p>
        </w:tc>
        <w:tc>
          <w:tcPr>
            <w:tcW w:w="1172" w:type="dxa"/>
            <w:tcBorders>
              <w:top w:val="nil"/>
              <w:bottom w:val="nil"/>
            </w:tcBorders>
          </w:tcPr>
          <w:p w:rsidR="003102D5" w:rsidRPr="006505B6" w:rsidRDefault="003102D5" w:rsidP="00841EA0">
            <w:pPr>
              <w:pStyle w:val="Tablecells"/>
              <w:keepLines/>
              <w:jc w:val="center"/>
            </w:pPr>
            <w:r w:rsidRPr="00B96F3F">
              <w:t>[</w:t>
            </w:r>
            <w:r w:rsidRPr="00B96F3F">
              <w:rPr>
                <w:rFonts w:ascii="Wingdings" w:hAnsi="Wingdings"/>
              </w:rPr>
              <w:t></w:t>
            </w:r>
            <w:r w:rsidRPr="00B96F3F">
              <w:t>]</w:t>
            </w:r>
          </w:p>
        </w:tc>
      </w:tr>
      <w:tr w:rsidR="003102D5" w:rsidTr="00841EA0">
        <w:trPr>
          <w:cnfStyle w:val="000000100000" w:firstRow="0" w:lastRow="0" w:firstColumn="0" w:lastColumn="0" w:oddVBand="0" w:evenVBand="0" w:oddHBand="1" w:evenHBand="0" w:firstRowFirstColumn="0" w:firstRowLastColumn="0" w:lastRowFirstColumn="0" w:lastRowLastColumn="0"/>
        </w:trPr>
        <w:tc>
          <w:tcPr>
            <w:tcW w:w="1417" w:type="dxa"/>
            <w:tcBorders>
              <w:top w:val="nil"/>
              <w:bottom w:val="nil"/>
            </w:tcBorders>
          </w:tcPr>
          <w:p w:rsidR="003102D5" w:rsidRPr="006505B6" w:rsidRDefault="003102D5" w:rsidP="00841EA0">
            <w:pPr>
              <w:pStyle w:val="Tablecells"/>
              <w:keepLines/>
            </w:pPr>
            <w:r w:rsidRPr="006505B6">
              <w:t>VHA</w:t>
            </w:r>
          </w:p>
        </w:tc>
        <w:tc>
          <w:tcPr>
            <w:tcW w:w="1171" w:type="dxa"/>
            <w:tcBorders>
              <w:top w:val="nil"/>
              <w:bottom w:val="nil"/>
            </w:tcBorders>
          </w:tcPr>
          <w:p w:rsidR="003102D5" w:rsidRPr="006505B6" w:rsidRDefault="003102D5" w:rsidP="00841EA0">
            <w:pPr>
              <w:pStyle w:val="Tablecells"/>
              <w:keepLines/>
              <w:jc w:val="center"/>
            </w:pPr>
          </w:p>
        </w:tc>
        <w:tc>
          <w:tcPr>
            <w:tcW w:w="1171" w:type="dxa"/>
            <w:tcBorders>
              <w:top w:val="nil"/>
              <w:bottom w:val="nil"/>
            </w:tcBorders>
          </w:tcPr>
          <w:p w:rsidR="003102D5" w:rsidRPr="006505B6" w:rsidRDefault="003102D5" w:rsidP="00841EA0">
            <w:pPr>
              <w:pStyle w:val="Tablecells"/>
              <w:keepLines/>
              <w:jc w:val="center"/>
            </w:pPr>
            <w:r w:rsidRPr="006505B6">
              <w:t>10.0</w:t>
            </w:r>
            <w:r>
              <w:rPr>
                <w:rStyle w:val="FootnoteReference"/>
              </w:rPr>
              <w:footnoteReference w:id="20"/>
            </w:r>
          </w:p>
        </w:tc>
        <w:tc>
          <w:tcPr>
            <w:tcW w:w="1171" w:type="dxa"/>
            <w:tcBorders>
              <w:top w:val="nil"/>
              <w:bottom w:val="nil"/>
            </w:tcBorders>
          </w:tcPr>
          <w:p w:rsidR="003102D5" w:rsidRPr="006505B6" w:rsidRDefault="003102D5" w:rsidP="00841EA0">
            <w:pPr>
              <w:pStyle w:val="Tablecells"/>
              <w:keepLines/>
              <w:jc w:val="center"/>
            </w:pPr>
          </w:p>
        </w:tc>
        <w:tc>
          <w:tcPr>
            <w:tcW w:w="1171" w:type="dxa"/>
            <w:tcBorders>
              <w:top w:val="nil"/>
              <w:bottom w:val="nil"/>
            </w:tcBorders>
          </w:tcPr>
          <w:p w:rsidR="003102D5" w:rsidRPr="006505B6" w:rsidRDefault="003102D5" w:rsidP="00841EA0">
            <w:pPr>
              <w:pStyle w:val="Tablecells"/>
              <w:keepLines/>
              <w:jc w:val="center"/>
            </w:pPr>
            <w:r w:rsidRPr="006505B6">
              <w:t>25.0</w:t>
            </w:r>
            <w:r>
              <w:rPr>
                <w:rStyle w:val="FootnoteReference"/>
              </w:rPr>
              <w:footnoteReference w:id="21"/>
            </w:r>
          </w:p>
        </w:tc>
        <w:tc>
          <w:tcPr>
            <w:tcW w:w="1171" w:type="dxa"/>
            <w:tcBorders>
              <w:top w:val="nil"/>
              <w:bottom w:val="nil"/>
            </w:tcBorders>
          </w:tcPr>
          <w:p w:rsidR="003102D5" w:rsidRPr="006505B6" w:rsidRDefault="003102D5" w:rsidP="00841EA0">
            <w:pPr>
              <w:pStyle w:val="Tablecells"/>
              <w:keepLines/>
              <w:jc w:val="center"/>
            </w:pPr>
            <w:r w:rsidRPr="006505B6">
              <w:t>20.0</w:t>
            </w:r>
            <w:r>
              <w:rPr>
                <w:rStyle w:val="FootnoteReference"/>
              </w:rPr>
              <w:footnoteReference w:id="22"/>
            </w:r>
          </w:p>
        </w:tc>
        <w:tc>
          <w:tcPr>
            <w:tcW w:w="1172" w:type="dxa"/>
            <w:tcBorders>
              <w:top w:val="nil"/>
              <w:bottom w:val="nil"/>
            </w:tcBorders>
          </w:tcPr>
          <w:p w:rsidR="003102D5" w:rsidRPr="006505B6" w:rsidRDefault="003102D5" w:rsidP="00841EA0">
            <w:pPr>
              <w:pStyle w:val="Tablecells"/>
              <w:keepLines/>
              <w:jc w:val="center"/>
            </w:pPr>
          </w:p>
        </w:tc>
        <w:tc>
          <w:tcPr>
            <w:tcW w:w="1171" w:type="dxa"/>
            <w:tcBorders>
              <w:top w:val="nil"/>
              <w:bottom w:val="nil"/>
            </w:tcBorders>
          </w:tcPr>
          <w:p w:rsidR="003102D5" w:rsidRPr="006505B6" w:rsidRDefault="003102D5" w:rsidP="00841EA0">
            <w:pPr>
              <w:pStyle w:val="Tablecells"/>
              <w:keepLines/>
              <w:jc w:val="center"/>
            </w:pPr>
          </w:p>
        </w:tc>
        <w:tc>
          <w:tcPr>
            <w:tcW w:w="1171" w:type="dxa"/>
            <w:tcBorders>
              <w:top w:val="nil"/>
              <w:bottom w:val="nil"/>
            </w:tcBorders>
          </w:tcPr>
          <w:p w:rsidR="003102D5" w:rsidRPr="006505B6" w:rsidRDefault="003102D5" w:rsidP="00841EA0">
            <w:pPr>
              <w:pStyle w:val="Tablecells"/>
              <w:keepLines/>
              <w:jc w:val="center"/>
            </w:pPr>
            <w:r>
              <w:t>N/A</w:t>
            </w:r>
          </w:p>
        </w:tc>
        <w:tc>
          <w:tcPr>
            <w:tcW w:w="1171" w:type="dxa"/>
            <w:tcBorders>
              <w:top w:val="nil"/>
              <w:bottom w:val="nil"/>
            </w:tcBorders>
          </w:tcPr>
          <w:p w:rsidR="003102D5" w:rsidRPr="006505B6" w:rsidRDefault="003102D5" w:rsidP="00841EA0">
            <w:pPr>
              <w:pStyle w:val="Tablecells"/>
              <w:keepLines/>
              <w:jc w:val="center"/>
            </w:pPr>
            <w:r w:rsidRPr="00B96F3F">
              <w:t>[</w:t>
            </w:r>
            <w:r w:rsidRPr="00B96F3F">
              <w:rPr>
                <w:rFonts w:ascii="Wingdings" w:hAnsi="Wingdings"/>
              </w:rPr>
              <w:t></w:t>
            </w:r>
            <w:r w:rsidRPr="00B96F3F">
              <w:t>]</w:t>
            </w:r>
          </w:p>
        </w:tc>
        <w:tc>
          <w:tcPr>
            <w:tcW w:w="1171" w:type="dxa"/>
            <w:tcBorders>
              <w:top w:val="nil"/>
              <w:bottom w:val="nil"/>
            </w:tcBorders>
          </w:tcPr>
          <w:p w:rsidR="003102D5" w:rsidRPr="006505B6" w:rsidRDefault="003102D5" w:rsidP="00841EA0">
            <w:pPr>
              <w:pStyle w:val="Tablecells"/>
              <w:keepLines/>
              <w:jc w:val="center"/>
            </w:pPr>
            <w:r w:rsidRPr="00B96F3F">
              <w:t>[</w:t>
            </w:r>
            <w:r w:rsidRPr="00B96F3F">
              <w:rPr>
                <w:rFonts w:ascii="Wingdings" w:hAnsi="Wingdings"/>
              </w:rPr>
              <w:t></w:t>
            </w:r>
            <w:r w:rsidRPr="00B96F3F">
              <w:t>]</w:t>
            </w:r>
          </w:p>
        </w:tc>
        <w:tc>
          <w:tcPr>
            <w:tcW w:w="1172" w:type="dxa"/>
            <w:tcBorders>
              <w:top w:val="nil"/>
              <w:bottom w:val="nil"/>
            </w:tcBorders>
          </w:tcPr>
          <w:p w:rsidR="003102D5" w:rsidRDefault="003102D5" w:rsidP="00841EA0">
            <w:pPr>
              <w:pStyle w:val="Tablecells"/>
              <w:keepLines/>
              <w:jc w:val="center"/>
            </w:pPr>
            <w:r w:rsidRPr="00B96F3F">
              <w:t>[</w:t>
            </w:r>
            <w:r w:rsidRPr="00B96F3F">
              <w:rPr>
                <w:rFonts w:ascii="Wingdings" w:hAnsi="Wingdings"/>
              </w:rPr>
              <w:t></w:t>
            </w:r>
            <w:r w:rsidRPr="00B96F3F">
              <w:t>]</w:t>
            </w:r>
          </w:p>
        </w:tc>
      </w:tr>
    </w:tbl>
    <w:p w:rsidR="00162304" w:rsidRDefault="00B873A7" w:rsidP="00162304">
      <w:pPr>
        <w:pStyle w:val="Caption"/>
        <w:spacing w:before="360" w:after="120" w:line="240" w:lineRule="atLeast"/>
      </w:pPr>
      <w:r>
        <w:rPr>
          <w:b/>
        </w:rPr>
        <w:br w:type="page"/>
      </w:r>
      <w:bookmarkStart w:id="97" w:name="_Ref399838221"/>
      <w:r w:rsidR="00162304">
        <w:lastRenderedPageBreak/>
        <w:t>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rsidR="00162304">
        <w:t>.</w:t>
      </w:r>
      <w:fldSimple w:instr=" SEQ Figure \* ARABIC \s 1 \* MERGEFORMAT ">
        <w:r w:rsidR="00A87B65">
          <w:rPr>
            <w:noProof/>
          </w:rPr>
          <w:t>12</w:t>
        </w:r>
      </w:fldSimple>
      <w:bookmarkEnd w:id="97"/>
      <w:r w:rsidR="00162304">
        <w:t>: Regional spectrum allocations by operator (2</w:t>
      </w:r>
      <w:r w:rsidR="00162304">
        <w:sym w:font="Symbol" w:char="F0B4"/>
      </w:r>
      <w:r w:rsidR="00162304">
        <w:t>N MHz for all bands except for 2.3GHz, 1</w:t>
      </w:r>
      <w:r w:rsidR="00162304">
        <w:sym w:font="Symbol" w:char="F0B4"/>
      </w:r>
      <w:r w:rsidR="00162304">
        <w:t>N MHz) [Source: Analysys Mason, 2014]</w:t>
      </w:r>
    </w:p>
    <w:tbl>
      <w:tblPr>
        <w:tblStyle w:val="MediumShading2-Accent1"/>
        <w:tblW w:w="14300" w:type="dxa"/>
        <w:tblInd w:w="108" w:type="dxa"/>
        <w:tblLook w:val="0420" w:firstRow="1" w:lastRow="0" w:firstColumn="0" w:lastColumn="0" w:noHBand="0" w:noVBand="1"/>
      </w:tblPr>
      <w:tblGrid>
        <w:gridCol w:w="1417"/>
        <w:gridCol w:w="1171"/>
        <w:gridCol w:w="1171"/>
        <w:gridCol w:w="1171"/>
        <w:gridCol w:w="1171"/>
        <w:gridCol w:w="1171"/>
        <w:gridCol w:w="1172"/>
        <w:gridCol w:w="1171"/>
        <w:gridCol w:w="1171"/>
        <w:gridCol w:w="1171"/>
        <w:gridCol w:w="1171"/>
        <w:gridCol w:w="1172"/>
      </w:tblGrid>
      <w:tr w:rsidR="000C032F" w:rsidRPr="001E72B8" w:rsidTr="00841EA0">
        <w:trPr>
          <w:cnfStyle w:val="100000000000" w:firstRow="1" w:lastRow="0" w:firstColumn="0" w:lastColumn="0" w:oddVBand="0" w:evenVBand="0" w:oddHBand="0" w:evenHBand="0" w:firstRowFirstColumn="0" w:firstRowLastColumn="0" w:lastRowFirstColumn="0" w:lastRowLastColumn="0"/>
        </w:trPr>
        <w:tc>
          <w:tcPr>
            <w:tcW w:w="1417" w:type="dxa"/>
            <w:tcBorders>
              <w:top w:val="nil"/>
              <w:bottom w:val="nil"/>
              <w:right w:val="single" w:sz="12" w:space="0" w:color="FFFFFF" w:themeColor="background1"/>
            </w:tcBorders>
            <w:shd w:val="clear" w:color="auto" w:fill="221F72"/>
          </w:tcPr>
          <w:p w:rsidR="00B873A7" w:rsidRPr="00CB27B1" w:rsidRDefault="00B873A7" w:rsidP="00841EA0">
            <w:pPr>
              <w:pStyle w:val="Tableheading"/>
              <w:rPr>
                <w:b/>
              </w:rPr>
            </w:pPr>
            <w:r w:rsidRPr="00CB27B1">
              <w:rPr>
                <w:b/>
              </w:rPr>
              <w:t>Regional allocation</w:t>
            </w:r>
          </w:p>
        </w:tc>
        <w:tc>
          <w:tcPr>
            <w:tcW w:w="1171" w:type="dxa"/>
            <w:tcBorders>
              <w:top w:val="nil"/>
              <w:left w:val="single" w:sz="12" w:space="0" w:color="FFFFFF" w:themeColor="background1"/>
              <w:bottom w:val="nil"/>
              <w:right w:val="single" w:sz="12" w:space="0" w:color="FFFFFF" w:themeColor="background1"/>
            </w:tcBorders>
            <w:shd w:val="clear" w:color="auto" w:fill="221F72"/>
          </w:tcPr>
          <w:p w:rsidR="00B873A7" w:rsidRPr="00CB27B1" w:rsidRDefault="00B873A7" w:rsidP="00841EA0">
            <w:pPr>
              <w:pStyle w:val="Tableheading"/>
              <w:jc w:val="center"/>
              <w:rPr>
                <w:b/>
              </w:rPr>
            </w:pPr>
            <w:r w:rsidRPr="00CB27B1">
              <w:rPr>
                <w:b/>
              </w:rPr>
              <w:t>700MHz</w:t>
            </w:r>
          </w:p>
        </w:tc>
        <w:tc>
          <w:tcPr>
            <w:tcW w:w="1171" w:type="dxa"/>
            <w:tcBorders>
              <w:top w:val="nil"/>
              <w:left w:val="single" w:sz="12" w:space="0" w:color="FFFFFF" w:themeColor="background1"/>
              <w:bottom w:val="nil"/>
              <w:right w:val="single" w:sz="12" w:space="0" w:color="FFFFFF" w:themeColor="background1"/>
            </w:tcBorders>
            <w:shd w:val="clear" w:color="auto" w:fill="221F72"/>
          </w:tcPr>
          <w:p w:rsidR="00B873A7" w:rsidRPr="00CB27B1" w:rsidRDefault="00B873A7" w:rsidP="00841EA0">
            <w:pPr>
              <w:pStyle w:val="Tableheading"/>
              <w:jc w:val="center"/>
              <w:rPr>
                <w:b/>
              </w:rPr>
            </w:pPr>
            <w:r w:rsidRPr="00CB27B1">
              <w:rPr>
                <w:b/>
              </w:rPr>
              <w:t>800MHz</w:t>
            </w:r>
          </w:p>
        </w:tc>
        <w:tc>
          <w:tcPr>
            <w:tcW w:w="1171" w:type="dxa"/>
            <w:tcBorders>
              <w:top w:val="nil"/>
              <w:left w:val="single" w:sz="12" w:space="0" w:color="FFFFFF" w:themeColor="background1"/>
              <w:bottom w:val="nil"/>
              <w:right w:val="single" w:sz="12" w:space="0" w:color="FFFFFF" w:themeColor="background1"/>
            </w:tcBorders>
            <w:shd w:val="clear" w:color="auto" w:fill="221F72"/>
          </w:tcPr>
          <w:p w:rsidR="00B873A7" w:rsidRPr="00CB27B1" w:rsidRDefault="00B873A7" w:rsidP="00841EA0">
            <w:pPr>
              <w:pStyle w:val="Tableheading"/>
              <w:jc w:val="center"/>
              <w:rPr>
                <w:b/>
              </w:rPr>
            </w:pPr>
            <w:r w:rsidRPr="00CB27B1">
              <w:rPr>
                <w:b/>
              </w:rPr>
              <w:t>900MHz</w:t>
            </w:r>
          </w:p>
        </w:tc>
        <w:tc>
          <w:tcPr>
            <w:tcW w:w="1171" w:type="dxa"/>
            <w:tcBorders>
              <w:top w:val="nil"/>
              <w:left w:val="single" w:sz="12" w:space="0" w:color="FFFFFF" w:themeColor="background1"/>
              <w:bottom w:val="nil"/>
              <w:right w:val="single" w:sz="12" w:space="0" w:color="FFFFFF" w:themeColor="background1"/>
            </w:tcBorders>
            <w:shd w:val="clear" w:color="auto" w:fill="221F72"/>
          </w:tcPr>
          <w:p w:rsidR="00B873A7" w:rsidRPr="00CB27B1" w:rsidRDefault="00B873A7" w:rsidP="00841EA0">
            <w:pPr>
              <w:pStyle w:val="Tableheading"/>
              <w:jc w:val="center"/>
              <w:rPr>
                <w:b/>
              </w:rPr>
            </w:pPr>
            <w:r w:rsidRPr="00CB27B1">
              <w:rPr>
                <w:b/>
              </w:rPr>
              <w:t>1800MHz</w:t>
            </w:r>
          </w:p>
        </w:tc>
        <w:tc>
          <w:tcPr>
            <w:tcW w:w="1171" w:type="dxa"/>
            <w:tcBorders>
              <w:top w:val="nil"/>
              <w:left w:val="single" w:sz="12" w:space="0" w:color="FFFFFF" w:themeColor="background1"/>
              <w:bottom w:val="nil"/>
              <w:right w:val="single" w:sz="12" w:space="0" w:color="FFFFFF" w:themeColor="background1"/>
            </w:tcBorders>
            <w:shd w:val="clear" w:color="auto" w:fill="221F72"/>
          </w:tcPr>
          <w:p w:rsidR="00B873A7" w:rsidRPr="00CB27B1" w:rsidRDefault="00B873A7" w:rsidP="00841EA0">
            <w:pPr>
              <w:pStyle w:val="Tableheading"/>
              <w:jc w:val="center"/>
              <w:rPr>
                <w:b/>
              </w:rPr>
            </w:pPr>
            <w:r w:rsidRPr="00CB27B1">
              <w:rPr>
                <w:b/>
              </w:rPr>
              <w:t>2GHz</w:t>
            </w:r>
          </w:p>
        </w:tc>
        <w:tc>
          <w:tcPr>
            <w:tcW w:w="1172" w:type="dxa"/>
            <w:tcBorders>
              <w:top w:val="nil"/>
              <w:left w:val="single" w:sz="12" w:space="0" w:color="FFFFFF" w:themeColor="background1"/>
              <w:bottom w:val="nil"/>
              <w:right w:val="single" w:sz="12" w:space="0" w:color="FFFFFF" w:themeColor="background1"/>
            </w:tcBorders>
            <w:shd w:val="clear" w:color="auto" w:fill="221F72"/>
          </w:tcPr>
          <w:p w:rsidR="00B873A7" w:rsidRPr="00CB27B1" w:rsidRDefault="00B873A7" w:rsidP="00841EA0">
            <w:pPr>
              <w:pStyle w:val="Tableheading"/>
              <w:jc w:val="center"/>
              <w:rPr>
                <w:b/>
              </w:rPr>
            </w:pPr>
            <w:r w:rsidRPr="00CB27B1">
              <w:rPr>
                <w:b/>
              </w:rPr>
              <w:t>2.3GHz</w:t>
            </w:r>
          </w:p>
        </w:tc>
        <w:tc>
          <w:tcPr>
            <w:tcW w:w="1171" w:type="dxa"/>
            <w:tcBorders>
              <w:top w:val="nil"/>
              <w:left w:val="single" w:sz="12" w:space="0" w:color="FFFFFF" w:themeColor="background1"/>
              <w:bottom w:val="nil"/>
              <w:right w:val="single" w:sz="12" w:space="0" w:color="FFFFFF" w:themeColor="background1"/>
            </w:tcBorders>
            <w:shd w:val="clear" w:color="auto" w:fill="221F72"/>
          </w:tcPr>
          <w:p w:rsidR="00B873A7" w:rsidRPr="00CB27B1" w:rsidRDefault="00B873A7" w:rsidP="00841EA0">
            <w:pPr>
              <w:pStyle w:val="Tableheading"/>
              <w:jc w:val="center"/>
              <w:rPr>
                <w:b/>
              </w:rPr>
            </w:pPr>
            <w:r w:rsidRPr="00CB27B1">
              <w:rPr>
                <w:b/>
              </w:rPr>
              <w:t>2.5GHz</w:t>
            </w:r>
          </w:p>
        </w:tc>
        <w:tc>
          <w:tcPr>
            <w:tcW w:w="1171" w:type="dxa"/>
            <w:tcBorders>
              <w:top w:val="nil"/>
              <w:left w:val="single" w:sz="12" w:space="0" w:color="FFFFFF" w:themeColor="background1"/>
              <w:bottom w:val="nil"/>
              <w:right w:val="single" w:sz="12" w:space="0" w:color="FFFFFF" w:themeColor="background1"/>
            </w:tcBorders>
            <w:shd w:val="clear" w:color="auto" w:fill="221F72"/>
          </w:tcPr>
          <w:p w:rsidR="00B873A7" w:rsidRPr="00CB27B1" w:rsidRDefault="00B873A7" w:rsidP="00841EA0">
            <w:pPr>
              <w:pStyle w:val="Tableheading"/>
              <w:jc w:val="center"/>
              <w:rPr>
                <w:b/>
              </w:rPr>
            </w:pPr>
            <w:r w:rsidRPr="00CB27B1">
              <w:rPr>
                <w:b/>
              </w:rPr>
              <w:t>Amount of 900MHz used for 3G</w:t>
            </w:r>
          </w:p>
        </w:tc>
        <w:tc>
          <w:tcPr>
            <w:tcW w:w="1171" w:type="dxa"/>
            <w:tcBorders>
              <w:top w:val="nil"/>
              <w:left w:val="single" w:sz="12" w:space="0" w:color="FFFFFF" w:themeColor="background1"/>
              <w:bottom w:val="nil"/>
              <w:right w:val="single" w:sz="12" w:space="0" w:color="FFFFFF" w:themeColor="background1"/>
            </w:tcBorders>
            <w:shd w:val="clear" w:color="auto" w:fill="221F72"/>
          </w:tcPr>
          <w:p w:rsidR="00B873A7" w:rsidRPr="00CB27B1" w:rsidRDefault="00B873A7" w:rsidP="00841EA0">
            <w:pPr>
              <w:pStyle w:val="Tableheading"/>
              <w:jc w:val="center"/>
              <w:rPr>
                <w:b/>
              </w:rPr>
            </w:pPr>
            <w:r w:rsidRPr="00CB27B1">
              <w:rPr>
                <w:b/>
              </w:rPr>
              <w:t>Amount of 800MHz used for LTE</w:t>
            </w:r>
          </w:p>
        </w:tc>
        <w:tc>
          <w:tcPr>
            <w:tcW w:w="2343" w:type="dxa"/>
            <w:gridSpan w:val="2"/>
            <w:tcBorders>
              <w:top w:val="nil"/>
              <w:left w:val="single" w:sz="12" w:space="0" w:color="FFFFFF" w:themeColor="background1"/>
              <w:bottom w:val="nil"/>
            </w:tcBorders>
            <w:shd w:val="clear" w:color="auto" w:fill="221F72"/>
          </w:tcPr>
          <w:p w:rsidR="00B873A7" w:rsidRPr="00CB27B1" w:rsidRDefault="00B873A7" w:rsidP="00841EA0">
            <w:pPr>
              <w:pStyle w:val="Tableheading"/>
              <w:jc w:val="center"/>
              <w:rPr>
                <w:b/>
              </w:rPr>
            </w:pPr>
            <w:r w:rsidRPr="00CB27B1">
              <w:rPr>
                <w:b/>
              </w:rPr>
              <w:t>Amount of 1800MHz used for LTE</w:t>
            </w:r>
          </w:p>
        </w:tc>
      </w:tr>
      <w:tr w:rsidR="00194F8E" w:rsidTr="00841EA0">
        <w:trPr>
          <w:cnfStyle w:val="000000100000" w:firstRow="0" w:lastRow="0" w:firstColumn="0" w:lastColumn="0" w:oddVBand="0" w:evenVBand="0" w:oddHBand="1" w:evenHBand="0" w:firstRowFirstColumn="0" w:firstRowLastColumn="0" w:lastRowFirstColumn="0" w:lastRowLastColumn="0"/>
        </w:trPr>
        <w:tc>
          <w:tcPr>
            <w:tcW w:w="1417" w:type="dxa"/>
            <w:tcBorders>
              <w:top w:val="nil"/>
              <w:bottom w:val="nil"/>
            </w:tcBorders>
          </w:tcPr>
          <w:p w:rsidR="00194F8E" w:rsidRPr="00B241A9" w:rsidRDefault="00194F8E" w:rsidP="00841EA0">
            <w:pPr>
              <w:pStyle w:val="Tablecells"/>
            </w:pPr>
            <w:r w:rsidRPr="00B241A9">
              <w:t>Optus</w:t>
            </w:r>
          </w:p>
        </w:tc>
        <w:tc>
          <w:tcPr>
            <w:tcW w:w="1171" w:type="dxa"/>
            <w:tcBorders>
              <w:top w:val="nil"/>
              <w:bottom w:val="nil"/>
            </w:tcBorders>
          </w:tcPr>
          <w:p w:rsidR="00194F8E" w:rsidRPr="00B241A9" w:rsidRDefault="00194F8E" w:rsidP="00841EA0">
            <w:pPr>
              <w:pStyle w:val="Tablecells"/>
              <w:jc w:val="center"/>
            </w:pPr>
          </w:p>
        </w:tc>
        <w:tc>
          <w:tcPr>
            <w:tcW w:w="1171" w:type="dxa"/>
            <w:tcBorders>
              <w:top w:val="nil"/>
              <w:bottom w:val="nil"/>
            </w:tcBorders>
          </w:tcPr>
          <w:p w:rsidR="00194F8E" w:rsidRPr="00B241A9" w:rsidRDefault="00194F8E" w:rsidP="00841EA0">
            <w:pPr>
              <w:pStyle w:val="Tablecells"/>
              <w:jc w:val="center"/>
            </w:pPr>
            <w:r w:rsidRPr="00B241A9">
              <w:t>0.0</w:t>
            </w:r>
          </w:p>
        </w:tc>
        <w:tc>
          <w:tcPr>
            <w:tcW w:w="1171" w:type="dxa"/>
            <w:tcBorders>
              <w:top w:val="nil"/>
              <w:bottom w:val="nil"/>
            </w:tcBorders>
          </w:tcPr>
          <w:p w:rsidR="00194F8E" w:rsidRPr="00B241A9" w:rsidRDefault="00194F8E" w:rsidP="00841EA0">
            <w:pPr>
              <w:pStyle w:val="Tablecells"/>
              <w:jc w:val="center"/>
            </w:pPr>
          </w:p>
        </w:tc>
        <w:tc>
          <w:tcPr>
            <w:tcW w:w="1171" w:type="dxa"/>
            <w:tcBorders>
              <w:top w:val="nil"/>
              <w:bottom w:val="nil"/>
            </w:tcBorders>
          </w:tcPr>
          <w:p w:rsidR="00194F8E" w:rsidRPr="00B241A9" w:rsidRDefault="00194F8E" w:rsidP="00841EA0">
            <w:pPr>
              <w:pStyle w:val="Tablecells"/>
              <w:jc w:val="center"/>
            </w:pPr>
            <w:r w:rsidRPr="00B241A9">
              <w:t>0.0</w:t>
            </w:r>
            <w:r w:rsidRPr="004659CD">
              <w:rPr>
                <w:rStyle w:val="FootnoteReference"/>
              </w:rPr>
              <w:footnoteReference w:id="23"/>
            </w:r>
          </w:p>
        </w:tc>
        <w:tc>
          <w:tcPr>
            <w:tcW w:w="1171" w:type="dxa"/>
            <w:tcBorders>
              <w:top w:val="nil"/>
              <w:bottom w:val="nil"/>
            </w:tcBorders>
          </w:tcPr>
          <w:p w:rsidR="00194F8E" w:rsidRPr="00B241A9" w:rsidRDefault="00194F8E" w:rsidP="00841EA0">
            <w:pPr>
              <w:pStyle w:val="Tablecells"/>
              <w:jc w:val="center"/>
            </w:pPr>
            <w:r w:rsidRPr="00B241A9">
              <w:t>15.0</w:t>
            </w:r>
            <w:bookmarkStart w:id="98" w:name="_Ref369179905"/>
            <w:r w:rsidRPr="004659CD">
              <w:rPr>
                <w:rStyle w:val="FootnoteReference"/>
              </w:rPr>
              <w:footnoteReference w:id="24"/>
            </w:r>
            <w:bookmarkEnd w:id="98"/>
          </w:p>
        </w:tc>
        <w:tc>
          <w:tcPr>
            <w:tcW w:w="1172" w:type="dxa"/>
            <w:tcBorders>
              <w:top w:val="nil"/>
              <w:bottom w:val="nil"/>
            </w:tcBorders>
          </w:tcPr>
          <w:p w:rsidR="00194F8E" w:rsidRPr="00B241A9" w:rsidRDefault="004D731B" w:rsidP="00841EA0">
            <w:pPr>
              <w:pStyle w:val="Tablecells"/>
              <w:jc w:val="center"/>
            </w:pPr>
            <w:r w:rsidRPr="00B241A9">
              <w:t>7.4</w:t>
            </w:r>
          </w:p>
        </w:tc>
        <w:tc>
          <w:tcPr>
            <w:tcW w:w="1171" w:type="dxa"/>
            <w:tcBorders>
              <w:top w:val="nil"/>
              <w:bottom w:val="nil"/>
            </w:tcBorders>
          </w:tcPr>
          <w:p w:rsidR="00194F8E" w:rsidRPr="00B241A9" w:rsidRDefault="00194F8E" w:rsidP="00841EA0">
            <w:pPr>
              <w:pStyle w:val="Tablecells"/>
              <w:jc w:val="center"/>
            </w:pPr>
          </w:p>
        </w:tc>
        <w:tc>
          <w:tcPr>
            <w:tcW w:w="1171" w:type="dxa"/>
            <w:tcBorders>
              <w:top w:val="nil"/>
              <w:bottom w:val="nil"/>
            </w:tcBorders>
          </w:tcPr>
          <w:p w:rsidR="00194F8E" w:rsidRPr="00B241A9" w:rsidRDefault="00194F8E" w:rsidP="00841EA0">
            <w:pPr>
              <w:pStyle w:val="Tablecells"/>
              <w:jc w:val="center"/>
            </w:pPr>
            <w:r>
              <w:t>N/A</w:t>
            </w:r>
          </w:p>
        </w:tc>
        <w:tc>
          <w:tcPr>
            <w:tcW w:w="1171" w:type="dxa"/>
            <w:tcBorders>
              <w:top w:val="nil"/>
              <w:bottom w:val="nil"/>
            </w:tcBorders>
          </w:tcPr>
          <w:p w:rsidR="00194F8E" w:rsidRPr="00B241A9" w:rsidRDefault="00FA3502" w:rsidP="00841EA0">
            <w:pPr>
              <w:pStyle w:val="Tablecells"/>
              <w:jc w:val="center"/>
            </w:pPr>
            <w:r>
              <w:t>0.0</w:t>
            </w:r>
          </w:p>
        </w:tc>
        <w:tc>
          <w:tcPr>
            <w:tcW w:w="1171" w:type="dxa"/>
            <w:tcBorders>
              <w:top w:val="nil"/>
              <w:bottom w:val="nil"/>
            </w:tcBorders>
          </w:tcPr>
          <w:p w:rsidR="00194F8E" w:rsidRPr="00B241A9" w:rsidRDefault="00194F8E" w:rsidP="00841EA0">
            <w:pPr>
              <w:pStyle w:val="Tablecells"/>
              <w:jc w:val="center"/>
            </w:pPr>
            <w:r w:rsidRPr="002C135B">
              <w:t>0.0</w:t>
            </w:r>
          </w:p>
        </w:tc>
        <w:tc>
          <w:tcPr>
            <w:tcW w:w="1172" w:type="dxa"/>
            <w:tcBorders>
              <w:top w:val="nil"/>
              <w:bottom w:val="nil"/>
            </w:tcBorders>
          </w:tcPr>
          <w:p w:rsidR="00194F8E" w:rsidRPr="00B241A9" w:rsidRDefault="00194F8E" w:rsidP="00841EA0">
            <w:pPr>
              <w:pStyle w:val="Tablecells"/>
              <w:jc w:val="center"/>
            </w:pPr>
            <w:r w:rsidRPr="002C135B">
              <w:t>0.0</w:t>
            </w:r>
          </w:p>
        </w:tc>
      </w:tr>
      <w:tr w:rsidR="00FA3502" w:rsidTr="00162304">
        <w:tc>
          <w:tcPr>
            <w:tcW w:w="1417" w:type="dxa"/>
            <w:tcBorders>
              <w:top w:val="nil"/>
              <w:bottom w:val="nil"/>
            </w:tcBorders>
          </w:tcPr>
          <w:p w:rsidR="00FA3502" w:rsidRPr="00B241A9" w:rsidRDefault="00FA3502" w:rsidP="00841EA0">
            <w:pPr>
              <w:pStyle w:val="Tablecells"/>
            </w:pPr>
            <w:r w:rsidRPr="00B241A9">
              <w:t>Telstra</w:t>
            </w:r>
          </w:p>
        </w:tc>
        <w:tc>
          <w:tcPr>
            <w:tcW w:w="1171" w:type="dxa"/>
            <w:tcBorders>
              <w:top w:val="nil"/>
              <w:bottom w:val="nil"/>
            </w:tcBorders>
          </w:tcPr>
          <w:p w:rsidR="00FA3502" w:rsidRPr="00B241A9" w:rsidRDefault="00FA3502" w:rsidP="00841EA0">
            <w:pPr>
              <w:pStyle w:val="Tablecells"/>
              <w:jc w:val="center"/>
            </w:pPr>
          </w:p>
        </w:tc>
        <w:tc>
          <w:tcPr>
            <w:tcW w:w="1171" w:type="dxa"/>
            <w:tcBorders>
              <w:top w:val="nil"/>
              <w:bottom w:val="nil"/>
            </w:tcBorders>
          </w:tcPr>
          <w:p w:rsidR="00FA3502" w:rsidRPr="00B241A9" w:rsidRDefault="00FA3502" w:rsidP="00841EA0">
            <w:pPr>
              <w:pStyle w:val="Tablecells"/>
              <w:jc w:val="center"/>
            </w:pPr>
            <w:r w:rsidRPr="00B241A9">
              <w:t>15.0</w:t>
            </w:r>
          </w:p>
        </w:tc>
        <w:tc>
          <w:tcPr>
            <w:tcW w:w="1171" w:type="dxa"/>
            <w:tcBorders>
              <w:top w:val="nil"/>
              <w:bottom w:val="nil"/>
            </w:tcBorders>
          </w:tcPr>
          <w:p w:rsidR="00FA3502" w:rsidRPr="00B241A9" w:rsidRDefault="00FA3502" w:rsidP="00841EA0">
            <w:pPr>
              <w:pStyle w:val="Tablecells"/>
              <w:jc w:val="center"/>
            </w:pPr>
          </w:p>
        </w:tc>
        <w:tc>
          <w:tcPr>
            <w:tcW w:w="1171" w:type="dxa"/>
            <w:tcBorders>
              <w:top w:val="nil"/>
              <w:bottom w:val="nil"/>
            </w:tcBorders>
          </w:tcPr>
          <w:p w:rsidR="00FA3502" w:rsidRPr="00B241A9" w:rsidRDefault="00FA3502" w:rsidP="00841EA0">
            <w:pPr>
              <w:pStyle w:val="Tablecells"/>
              <w:jc w:val="center"/>
            </w:pPr>
            <w:r w:rsidRPr="00B241A9">
              <w:t>15.0</w:t>
            </w:r>
            <w:r>
              <w:rPr>
                <w:rStyle w:val="FootnoteReference"/>
              </w:rPr>
              <w:footnoteReference w:id="25"/>
            </w:r>
          </w:p>
        </w:tc>
        <w:tc>
          <w:tcPr>
            <w:tcW w:w="1171" w:type="dxa"/>
            <w:tcBorders>
              <w:top w:val="nil"/>
              <w:bottom w:val="nil"/>
            </w:tcBorders>
          </w:tcPr>
          <w:p w:rsidR="00FA3502" w:rsidRPr="00B241A9" w:rsidRDefault="00FA3502" w:rsidP="00841EA0">
            <w:pPr>
              <w:pStyle w:val="Tablecells"/>
              <w:jc w:val="center"/>
            </w:pPr>
            <w:r w:rsidRPr="00B241A9">
              <w:t>20.0</w:t>
            </w:r>
          </w:p>
        </w:tc>
        <w:tc>
          <w:tcPr>
            <w:tcW w:w="1172" w:type="dxa"/>
            <w:tcBorders>
              <w:top w:val="nil"/>
              <w:bottom w:val="nil"/>
            </w:tcBorders>
          </w:tcPr>
          <w:p w:rsidR="00FA3502" w:rsidRPr="00B241A9" w:rsidRDefault="00FA3502" w:rsidP="00841EA0">
            <w:pPr>
              <w:pStyle w:val="Tablecells"/>
              <w:jc w:val="center"/>
            </w:pPr>
          </w:p>
        </w:tc>
        <w:tc>
          <w:tcPr>
            <w:tcW w:w="1171" w:type="dxa"/>
            <w:tcBorders>
              <w:top w:val="nil"/>
              <w:bottom w:val="nil"/>
            </w:tcBorders>
          </w:tcPr>
          <w:p w:rsidR="00FA3502" w:rsidRPr="00B241A9" w:rsidRDefault="00FA3502" w:rsidP="00841EA0">
            <w:pPr>
              <w:pStyle w:val="Tablecells"/>
              <w:jc w:val="center"/>
            </w:pPr>
          </w:p>
        </w:tc>
        <w:tc>
          <w:tcPr>
            <w:tcW w:w="1171" w:type="dxa"/>
            <w:tcBorders>
              <w:top w:val="nil"/>
              <w:bottom w:val="nil"/>
            </w:tcBorders>
          </w:tcPr>
          <w:p w:rsidR="00FA3502" w:rsidRPr="00B241A9" w:rsidRDefault="00FA3502" w:rsidP="00841EA0">
            <w:pPr>
              <w:pStyle w:val="Tablecells"/>
              <w:jc w:val="center"/>
            </w:pPr>
            <w:r>
              <w:t>N/A</w:t>
            </w:r>
          </w:p>
        </w:tc>
        <w:tc>
          <w:tcPr>
            <w:tcW w:w="1171" w:type="dxa"/>
            <w:tcBorders>
              <w:top w:val="nil"/>
              <w:bottom w:val="nil"/>
            </w:tcBorders>
          </w:tcPr>
          <w:p w:rsidR="00FA3502" w:rsidRPr="00B241A9" w:rsidRDefault="00FA3502" w:rsidP="00841EA0">
            <w:pPr>
              <w:pStyle w:val="Tablecells"/>
              <w:jc w:val="center"/>
            </w:pPr>
            <w:r w:rsidRPr="00B96F3F">
              <w:t>[</w:t>
            </w:r>
            <w:r w:rsidRPr="00B96F3F">
              <w:rPr>
                <w:rFonts w:ascii="Wingdings" w:hAnsi="Wingdings"/>
              </w:rPr>
              <w:t></w:t>
            </w:r>
            <w:r w:rsidRPr="00B96F3F">
              <w:t>]</w:t>
            </w:r>
          </w:p>
        </w:tc>
        <w:tc>
          <w:tcPr>
            <w:tcW w:w="1171" w:type="dxa"/>
            <w:tcBorders>
              <w:top w:val="nil"/>
              <w:bottom w:val="nil"/>
            </w:tcBorders>
          </w:tcPr>
          <w:p w:rsidR="00FA3502" w:rsidRPr="00B241A9" w:rsidRDefault="00FA3502" w:rsidP="00841EA0">
            <w:pPr>
              <w:pStyle w:val="Tablecells"/>
              <w:jc w:val="center"/>
            </w:pPr>
            <w:r w:rsidRPr="00B96F3F">
              <w:t>[</w:t>
            </w:r>
            <w:r w:rsidRPr="00B96F3F">
              <w:rPr>
                <w:rFonts w:ascii="Wingdings" w:hAnsi="Wingdings"/>
              </w:rPr>
              <w:t></w:t>
            </w:r>
            <w:r w:rsidRPr="00B96F3F">
              <w:t>]</w:t>
            </w:r>
          </w:p>
        </w:tc>
        <w:tc>
          <w:tcPr>
            <w:tcW w:w="1172" w:type="dxa"/>
            <w:tcBorders>
              <w:top w:val="nil"/>
              <w:bottom w:val="nil"/>
            </w:tcBorders>
          </w:tcPr>
          <w:p w:rsidR="00FA3502" w:rsidRPr="00B241A9" w:rsidRDefault="00FA3502" w:rsidP="00841EA0">
            <w:pPr>
              <w:pStyle w:val="Tablecells"/>
              <w:jc w:val="center"/>
            </w:pPr>
            <w:r w:rsidRPr="00B96F3F">
              <w:t>[</w:t>
            </w:r>
            <w:r w:rsidRPr="00B96F3F">
              <w:rPr>
                <w:rFonts w:ascii="Wingdings" w:hAnsi="Wingdings"/>
              </w:rPr>
              <w:t></w:t>
            </w:r>
            <w:r w:rsidRPr="00B96F3F">
              <w:t>]</w:t>
            </w:r>
          </w:p>
        </w:tc>
      </w:tr>
      <w:tr w:rsidR="00FA3502" w:rsidTr="00162304">
        <w:trPr>
          <w:cnfStyle w:val="000000100000" w:firstRow="0" w:lastRow="0" w:firstColumn="0" w:lastColumn="0" w:oddVBand="0" w:evenVBand="0" w:oddHBand="1" w:evenHBand="0" w:firstRowFirstColumn="0" w:firstRowLastColumn="0" w:lastRowFirstColumn="0" w:lastRowLastColumn="0"/>
        </w:trPr>
        <w:tc>
          <w:tcPr>
            <w:tcW w:w="1417" w:type="dxa"/>
            <w:tcBorders>
              <w:top w:val="nil"/>
              <w:bottom w:val="single" w:sz="4" w:space="0" w:color="auto"/>
            </w:tcBorders>
          </w:tcPr>
          <w:p w:rsidR="00FA3502" w:rsidRPr="00B241A9" w:rsidRDefault="00FA3502" w:rsidP="00841EA0">
            <w:pPr>
              <w:pStyle w:val="Tablecells"/>
            </w:pPr>
            <w:r w:rsidRPr="00B241A9">
              <w:t>VHA</w:t>
            </w:r>
          </w:p>
        </w:tc>
        <w:tc>
          <w:tcPr>
            <w:tcW w:w="1171" w:type="dxa"/>
            <w:tcBorders>
              <w:top w:val="nil"/>
              <w:bottom w:val="single" w:sz="4" w:space="0" w:color="auto"/>
            </w:tcBorders>
          </w:tcPr>
          <w:p w:rsidR="00FA3502" w:rsidRPr="00B241A9" w:rsidRDefault="00FA3502" w:rsidP="00841EA0">
            <w:pPr>
              <w:pStyle w:val="Tablecells"/>
              <w:jc w:val="center"/>
            </w:pPr>
          </w:p>
        </w:tc>
        <w:tc>
          <w:tcPr>
            <w:tcW w:w="1171" w:type="dxa"/>
            <w:tcBorders>
              <w:top w:val="nil"/>
              <w:bottom w:val="single" w:sz="4" w:space="0" w:color="auto"/>
            </w:tcBorders>
          </w:tcPr>
          <w:p w:rsidR="00FA3502" w:rsidRPr="00B241A9" w:rsidRDefault="00FA3502" w:rsidP="00841EA0">
            <w:pPr>
              <w:pStyle w:val="Tablecells"/>
              <w:jc w:val="center"/>
            </w:pPr>
            <w:r w:rsidRPr="00B241A9">
              <w:t>5.0</w:t>
            </w:r>
          </w:p>
        </w:tc>
        <w:tc>
          <w:tcPr>
            <w:tcW w:w="1171" w:type="dxa"/>
            <w:tcBorders>
              <w:top w:val="nil"/>
              <w:bottom w:val="single" w:sz="4" w:space="0" w:color="auto"/>
            </w:tcBorders>
          </w:tcPr>
          <w:p w:rsidR="00FA3502" w:rsidRPr="00B241A9" w:rsidRDefault="00FA3502" w:rsidP="00841EA0">
            <w:pPr>
              <w:pStyle w:val="Tablecells"/>
              <w:jc w:val="center"/>
            </w:pPr>
          </w:p>
        </w:tc>
        <w:tc>
          <w:tcPr>
            <w:tcW w:w="1171" w:type="dxa"/>
            <w:tcBorders>
              <w:top w:val="nil"/>
              <w:bottom w:val="single" w:sz="4" w:space="0" w:color="auto"/>
            </w:tcBorders>
          </w:tcPr>
          <w:p w:rsidR="00FA3502" w:rsidRPr="00B241A9" w:rsidRDefault="00FA3502" w:rsidP="00841EA0">
            <w:pPr>
              <w:pStyle w:val="Tablecells"/>
              <w:jc w:val="center"/>
            </w:pPr>
            <w:r w:rsidRPr="00B241A9">
              <w:t>0.0</w:t>
            </w:r>
          </w:p>
        </w:tc>
        <w:tc>
          <w:tcPr>
            <w:tcW w:w="1171" w:type="dxa"/>
            <w:tcBorders>
              <w:top w:val="nil"/>
              <w:bottom w:val="single" w:sz="4" w:space="0" w:color="auto"/>
            </w:tcBorders>
          </w:tcPr>
          <w:p w:rsidR="00FA3502" w:rsidRPr="00B241A9" w:rsidRDefault="00FA3502" w:rsidP="00841EA0">
            <w:pPr>
              <w:pStyle w:val="Tablecells"/>
              <w:jc w:val="center"/>
            </w:pPr>
            <w:r w:rsidRPr="00B241A9">
              <w:t>5.0</w:t>
            </w:r>
          </w:p>
        </w:tc>
        <w:tc>
          <w:tcPr>
            <w:tcW w:w="1172" w:type="dxa"/>
            <w:tcBorders>
              <w:top w:val="nil"/>
              <w:bottom w:val="single" w:sz="4" w:space="0" w:color="auto"/>
            </w:tcBorders>
          </w:tcPr>
          <w:p w:rsidR="00FA3502" w:rsidRPr="00B241A9" w:rsidRDefault="00FA3502" w:rsidP="00841EA0">
            <w:pPr>
              <w:pStyle w:val="Tablecells"/>
              <w:jc w:val="center"/>
            </w:pPr>
          </w:p>
        </w:tc>
        <w:tc>
          <w:tcPr>
            <w:tcW w:w="1171" w:type="dxa"/>
            <w:tcBorders>
              <w:top w:val="nil"/>
              <w:bottom w:val="single" w:sz="4" w:space="0" w:color="auto"/>
            </w:tcBorders>
          </w:tcPr>
          <w:p w:rsidR="00FA3502" w:rsidRPr="00B241A9" w:rsidRDefault="00FA3502" w:rsidP="00841EA0">
            <w:pPr>
              <w:pStyle w:val="Tablecells"/>
              <w:jc w:val="center"/>
            </w:pPr>
          </w:p>
        </w:tc>
        <w:tc>
          <w:tcPr>
            <w:tcW w:w="1171" w:type="dxa"/>
            <w:tcBorders>
              <w:top w:val="nil"/>
              <w:bottom w:val="single" w:sz="4" w:space="0" w:color="auto"/>
            </w:tcBorders>
          </w:tcPr>
          <w:p w:rsidR="00FA3502" w:rsidRPr="00B241A9" w:rsidRDefault="00FA3502" w:rsidP="00841EA0">
            <w:pPr>
              <w:pStyle w:val="Tablecells"/>
              <w:jc w:val="center"/>
            </w:pPr>
            <w:r>
              <w:t>N/A</w:t>
            </w:r>
          </w:p>
        </w:tc>
        <w:tc>
          <w:tcPr>
            <w:tcW w:w="1171" w:type="dxa"/>
            <w:tcBorders>
              <w:top w:val="nil"/>
              <w:bottom w:val="single" w:sz="4" w:space="0" w:color="auto"/>
            </w:tcBorders>
          </w:tcPr>
          <w:p w:rsidR="00FA3502" w:rsidRPr="00B241A9" w:rsidRDefault="00FA3502" w:rsidP="00841EA0">
            <w:pPr>
              <w:pStyle w:val="Tablecells"/>
              <w:jc w:val="center"/>
            </w:pPr>
            <w:r w:rsidRPr="00B96F3F">
              <w:t>[</w:t>
            </w:r>
            <w:r w:rsidRPr="00B96F3F">
              <w:rPr>
                <w:rFonts w:ascii="Wingdings" w:hAnsi="Wingdings"/>
              </w:rPr>
              <w:t></w:t>
            </w:r>
            <w:r w:rsidRPr="00B96F3F">
              <w:t>]</w:t>
            </w:r>
          </w:p>
        </w:tc>
        <w:tc>
          <w:tcPr>
            <w:tcW w:w="1171" w:type="dxa"/>
            <w:tcBorders>
              <w:top w:val="nil"/>
              <w:bottom w:val="single" w:sz="4" w:space="0" w:color="auto"/>
            </w:tcBorders>
          </w:tcPr>
          <w:p w:rsidR="00FA3502" w:rsidRPr="00B241A9" w:rsidRDefault="00FA3502" w:rsidP="00841EA0">
            <w:pPr>
              <w:pStyle w:val="Tablecells"/>
              <w:jc w:val="center"/>
            </w:pPr>
            <w:r w:rsidRPr="00AC0D93">
              <w:t>0.0</w:t>
            </w:r>
          </w:p>
        </w:tc>
        <w:tc>
          <w:tcPr>
            <w:tcW w:w="1172" w:type="dxa"/>
            <w:tcBorders>
              <w:top w:val="nil"/>
              <w:bottom w:val="single" w:sz="4" w:space="0" w:color="auto"/>
            </w:tcBorders>
          </w:tcPr>
          <w:p w:rsidR="00FA3502" w:rsidRDefault="00FA3502" w:rsidP="00841EA0">
            <w:pPr>
              <w:pStyle w:val="Tablecells"/>
              <w:jc w:val="center"/>
            </w:pPr>
            <w:r w:rsidRPr="00AC0D93">
              <w:t>0.0</w:t>
            </w:r>
          </w:p>
        </w:tc>
      </w:tr>
    </w:tbl>
    <w:p w:rsidR="00162304" w:rsidRDefault="00162304" w:rsidP="00162304">
      <w:pPr>
        <w:pStyle w:val="Caption"/>
        <w:spacing w:before="360" w:after="120" w:line="240" w:lineRule="atLeast"/>
      </w:pPr>
      <w:bookmarkStart w:id="99" w:name="_Ref399838200"/>
      <w:r>
        <w:t>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fldSimple w:instr=" SEQ Figure \* ARABIC \s 1 \* MERGEFORMAT ">
        <w:r w:rsidR="00A87B65">
          <w:rPr>
            <w:noProof/>
          </w:rPr>
          <w:t>13</w:t>
        </w:r>
      </w:fldSimple>
      <w:bookmarkEnd w:id="99"/>
      <w:r>
        <w:t>: Remote spectrum allocations by operator (2</w:t>
      </w:r>
      <w:r>
        <w:sym w:font="Symbol" w:char="F0B4"/>
      </w:r>
      <w:r>
        <w:t>N MHz for all bands except for 2.3GHz, 1</w:t>
      </w:r>
      <w:r>
        <w:sym w:font="Symbol" w:char="F0B4"/>
      </w:r>
      <w:r>
        <w:t>N MHz) [Source: Analysys Mason, 2014]</w:t>
      </w:r>
    </w:p>
    <w:tbl>
      <w:tblPr>
        <w:tblStyle w:val="MediumShading2-Accent1"/>
        <w:tblW w:w="14300" w:type="dxa"/>
        <w:tblInd w:w="108" w:type="dxa"/>
        <w:tblLook w:val="0420" w:firstRow="1" w:lastRow="0" w:firstColumn="0" w:lastColumn="0" w:noHBand="0" w:noVBand="1"/>
      </w:tblPr>
      <w:tblGrid>
        <w:gridCol w:w="1417"/>
        <w:gridCol w:w="1171"/>
        <w:gridCol w:w="1171"/>
        <w:gridCol w:w="1171"/>
        <w:gridCol w:w="1171"/>
        <w:gridCol w:w="1171"/>
        <w:gridCol w:w="1172"/>
        <w:gridCol w:w="1171"/>
        <w:gridCol w:w="1171"/>
        <w:gridCol w:w="1171"/>
        <w:gridCol w:w="1171"/>
        <w:gridCol w:w="1172"/>
      </w:tblGrid>
      <w:tr w:rsidR="000C032F" w:rsidRPr="00CB27B1" w:rsidTr="00841EA0">
        <w:trPr>
          <w:cnfStyle w:val="100000000000" w:firstRow="1" w:lastRow="0" w:firstColumn="0" w:lastColumn="0" w:oddVBand="0" w:evenVBand="0" w:oddHBand="0" w:evenHBand="0" w:firstRowFirstColumn="0" w:firstRowLastColumn="0" w:lastRowFirstColumn="0" w:lastRowLastColumn="0"/>
        </w:trPr>
        <w:tc>
          <w:tcPr>
            <w:tcW w:w="1417" w:type="dxa"/>
            <w:tcBorders>
              <w:top w:val="nil"/>
              <w:bottom w:val="nil"/>
              <w:right w:val="single" w:sz="12" w:space="0" w:color="FFFFFF" w:themeColor="background1"/>
            </w:tcBorders>
            <w:shd w:val="clear" w:color="auto" w:fill="221F72"/>
          </w:tcPr>
          <w:p w:rsidR="00162304" w:rsidRPr="004A4051" w:rsidRDefault="00162304" w:rsidP="00841EA0">
            <w:pPr>
              <w:pStyle w:val="Tableheading"/>
              <w:rPr>
                <w:b/>
              </w:rPr>
            </w:pPr>
            <w:r w:rsidRPr="004A4051">
              <w:rPr>
                <w:b/>
              </w:rPr>
              <w:t>Remote allocation</w:t>
            </w:r>
          </w:p>
        </w:tc>
        <w:tc>
          <w:tcPr>
            <w:tcW w:w="1171" w:type="dxa"/>
            <w:tcBorders>
              <w:top w:val="nil"/>
              <w:left w:val="single" w:sz="12" w:space="0" w:color="FFFFFF" w:themeColor="background1"/>
              <w:bottom w:val="nil"/>
              <w:right w:val="single" w:sz="12" w:space="0" w:color="FFFFFF" w:themeColor="background1"/>
            </w:tcBorders>
            <w:shd w:val="clear" w:color="auto" w:fill="221F72"/>
          </w:tcPr>
          <w:p w:rsidR="00162304" w:rsidRPr="004A4051" w:rsidRDefault="00162304" w:rsidP="00841EA0">
            <w:pPr>
              <w:pStyle w:val="Tableheading"/>
              <w:jc w:val="center"/>
              <w:rPr>
                <w:b/>
              </w:rPr>
            </w:pPr>
            <w:r w:rsidRPr="004A4051">
              <w:rPr>
                <w:b/>
              </w:rPr>
              <w:t>700MHz</w:t>
            </w:r>
          </w:p>
        </w:tc>
        <w:tc>
          <w:tcPr>
            <w:tcW w:w="1171" w:type="dxa"/>
            <w:tcBorders>
              <w:top w:val="nil"/>
              <w:left w:val="single" w:sz="12" w:space="0" w:color="FFFFFF" w:themeColor="background1"/>
              <w:bottom w:val="nil"/>
              <w:right w:val="single" w:sz="12" w:space="0" w:color="FFFFFF" w:themeColor="background1"/>
            </w:tcBorders>
            <w:shd w:val="clear" w:color="auto" w:fill="221F72"/>
          </w:tcPr>
          <w:p w:rsidR="00162304" w:rsidRPr="004A4051" w:rsidRDefault="00162304" w:rsidP="00841EA0">
            <w:pPr>
              <w:pStyle w:val="Tableheading"/>
              <w:jc w:val="center"/>
              <w:rPr>
                <w:b/>
              </w:rPr>
            </w:pPr>
            <w:r w:rsidRPr="004A4051">
              <w:rPr>
                <w:b/>
              </w:rPr>
              <w:t>800MHz</w:t>
            </w:r>
          </w:p>
        </w:tc>
        <w:tc>
          <w:tcPr>
            <w:tcW w:w="1171" w:type="dxa"/>
            <w:tcBorders>
              <w:top w:val="nil"/>
              <w:left w:val="single" w:sz="12" w:space="0" w:color="FFFFFF" w:themeColor="background1"/>
              <w:bottom w:val="nil"/>
              <w:right w:val="single" w:sz="12" w:space="0" w:color="FFFFFF" w:themeColor="background1"/>
            </w:tcBorders>
            <w:shd w:val="clear" w:color="auto" w:fill="221F72"/>
          </w:tcPr>
          <w:p w:rsidR="00162304" w:rsidRPr="004A4051" w:rsidRDefault="00162304" w:rsidP="00841EA0">
            <w:pPr>
              <w:pStyle w:val="Tableheading"/>
              <w:jc w:val="center"/>
              <w:rPr>
                <w:b/>
              </w:rPr>
            </w:pPr>
            <w:r w:rsidRPr="004A4051">
              <w:rPr>
                <w:b/>
              </w:rPr>
              <w:t>900MHz</w:t>
            </w:r>
          </w:p>
        </w:tc>
        <w:tc>
          <w:tcPr>
            <w:tcW w:w="1171" w:type="dxa"/>
            <w:tcBorders>
              <w:top w:val="nil"/>
              <w:left w:val="single" w:sz="12" w:space="0" w:color="FFFFFF" w:themeColor="background1"/>
              <w:bottom w:val="nil"/>
              <w:right w:val="single" w:sz="12" w:space="0" w:color="FFFFFF" w:themeColor="background1"/>
            </w:tcBorders>
            <w:shd w:val="clear" w:color="auto" w:fill="221F72"/>
          </w:tcPr>
          <w:p w:rsidR="00162304" w:rsidRPr="004A4051" w:rsidRDefault="00162304" w:rsidP="00841EA0">
            <w:pPr>
              <w:pStyle w:val="Tableheading"/>
              <w:jc w:val="center"/>
              <w:rPr>
                <w:b/>
              </w:rPr>
            </w:pPr>
            <w:r w:rsidRPr="004A4051">
              <w:rPr>
                <w:b/>
              </w:rPr>
              <w:t>1800MHz</w:t>
            </w:r>
          </w:p>
        </w:tc>
        <w:tc>
          <w:tcPr>
            <w:tcW w:w="1171" w:type="dxa"/>
            <w:tcBorders>
              <w:top w:val="nil"/>
              <w:left w:val="single" w:sz="12" w:space="0" w:color="FFFFFF" w:themeColor="background1"/>
              <w:bottom w:val="nil"/>
              <w:right w:val="single" w:sz="12" w:space="0" w:color="FFFFFF" w:themeColor="background1"/>
            </w:tcBorders>
            <w:shd w:val="clear" w:color="auto" w:fill="221F72"/>
          </w:tcPr>
          <w:p w:rsidR="00162304" w:rsidRPr="004A4051" w:rsidRDefault="00162304" w:rsidP="00841EA0">
            <w:pPr>
              <w:pStyle w:val="Tableheading"/>
              <w:jc w:val="center"/>
              <w:rPr>
                <w:b/>
              </w:rPr>
            </w:pPr>
            <w:r w:rsidRPr="004A4051">
              <w:rPr>
                <w:b/>
              </w:rPr>
              <w:t>2GHz</w:t>
            </w:r>
          </w:p>
        </w:tc>
        <w:tc>
          <w:tcPr>
            <w:tcW w:w="1172" w:type="dxa"/>
            <w:tcBorders>
              <w:top w:val="nil"/>
              <w:left w:val="single" w:sz="12" w:space="0" w:color="FFFFFF" w:themeColor="background1"/>
              <w:bottom w:val="nil"/>
              <w:right w:val="single" w:sz="12" w:space="0" w:color="FFFFFF" w:themeColor="background1"/>
            </w:tcBorders>
            <w:shd w:val="clear" w:color="auto" w:fill="221F72"/>
          </w:tcPr>
          <w:p w:rsidR="00162304" w:rsidRPr="004A4051" w:rsidRDefault="00162304" w:rsidP="00841EA0">
            <w:pPr>
              <w:pStyle w:val="Tableheading"/>
              <w:jc w:val="center"/>
              <w:rPr>
                <w:b/>
              </w:rPr>
            </w:pPr>
            <w:r w:rsidRPr="004A4051">
              <w:rPr>
                <w:b/>
              </w:rPr>
              <w:t>2.3GHz</w:t>
            </w:r>
          </w:p>
        </w:tc>
        <w:tc>
          <w:tcPr>
            <w:tcW w:w="1171" w:type="dxa"/>
            <w:tcBorders>
              <w:top w:val="nil"/>
              <w:left w:val="single" w:sz="12" w:space="0" w:color="FFFFFF" w:themeColor="background1"/>
              <w:bottom w:val="nil"/>
              <w:right w:val="single" w:sz="12" w:space="0" w:color="FFFFFF" w:themeColor="background1"/>
            </w:tcBorders>
            <w:shd w:val="clear" w:color="auto" w:fill="221F72"/>
          </w:tcPr>
          <w:p w:rsidR="00162304" w:rsidRPr="004A4051" w:rsidRDefault="00162304" w:rsidP="00841EA0">
            <w:pPr>
              <w:pStyle w:val="Tableheading"/>
              <w:jc w:val="center"/>
              <w:rPr>
                <w:b/>
              </w:rPr>
            </w:pPr>
            <w:r w:rsidRPr="004A4051">
              <w:rPr>
                <w:b/>
              </w:rPr>
              <w:t>2.5GHz</w:t>
            </w:r>
          </w:p>
        </w:tc>
        <w:tc>
          <w:tcPr>
            <w:tcW w:w="1171" w:type="dxa"/>
            <w:tcBorders>
              <w:top w:val="nil"/>
              <w:left w:val="single" w:sz="12" w:space="0" w:color="FFFFFF" w:themeColor="background1"/>
              <w:bottom w:val="nil"/>
              <w:right w:val="single" w:sz="12" w:space="0" w:color="FFFFFF" w:themeColor="background1"/>
            </w:tcBorders>
            <w:shd w:val="clear" w:color="auto" w:fill="221F72"/>
          </w:tcPr>
          <w:p w:rsidR="00162304" w:rsidRPr="004A4051" w:rsidRDefault="00162304" w:rsidP="00841EA0">
            <w:pPr>
              <w:pStyle w:val="Tableheading"/>
              <w:jc w:val="center"/>
              <w:rPr>
                <w:b/>
              </w:rPr>
            </w:pPr>
            <w:r w:rsidRPr="004A4051">
              <w:rPr>
                <w:b/>
              </w:rPr>
              <w:t>Amount of 900MHz used for 3G</w:t>
            </w:r>
          </w:p>
        </w:tc>
        <w:tc>
          <w:tcPr>
            <w:tcW w:w="1171" w:type="dxa"/>
            <w:tcBorders>
              <w:top w:val="nil"/>
              <w:left w:val="single" w:sz="12" w:space="0" w:color="FFFFFF" w:themeColor="background1"/>
              <w:bottom w:val="nil"/>
              <w:right w:val="single" w:sz="12" w:space="0" w:color="FFFFFF" w:themeColor="background1"/>
            </w:tcBorders>
            <w:shd w:val="clear" w:color="auto" w:fill="221F72"/>
          </w:tcPr>
          <w:p w:rsidR="00162304" w:rsidRPr="004A4051" w:rsidRDefault="00162304" w:rsidP="00841EA0">
            <w:pPr>
              <w:pStyle w:val="Tableheading"/>
              <w:jc w:val="center"/>
              <w:rPr>
                <w:b/>
              </w:rPr>
            </w:pPr>
            <w:r w:rsidRPr="004A4051">
              <w:rPr>
                <w:b/>
              </w:rPr>
              <w:t>Amount of 800MHz used for LTE</w:t>
            </w:r>
          </w:p>
        </w:tc>
        <w:tc>
          <w:tcPr>
            <w:tcW w:w="2343" w:type="dxa"/>
            <w:gridSpan w:val="2"/>
            <w:tcBorders>
              <w:top w:val="nil"/>
              <w:left w:val="single" w:sz="12" w:space="0" w:color="FFFFFF" w:themeColor="background1"/>
              <w:bottom w:val="nil"/>
            </w:tcBorders>
            <w:shd w:val="clear" w:color="auto" w:fill="221F72"/>
          </w:tcPr>
          <w:p w:rsidR="00162304" w:rsidRPr="004A4051" w:rsidRDefault="00162304" w:rsidP="00841EA0">
            <w:pPr>
              <w:pStyle w:val="Tableheading"/>
              <w:jc w:val="center"/>
              <w:rPr>
                <w:b/>
              </w:rPr>
            </w:pPr>
            <w:r w:rsidRPr="004A4051">
              <w:rPr>
                <w:b/>
              </w:rPr>
              <w:t>Amount of 1800MHz used for LTE</w:t>
            </w:r>
          </w:p>
        </w:tc>
      </w:tr>
      <w:tr w:rsidR="00194F8E" w:rsidTr="00841EA0">
        <w:trPr>
          <w:cnfStyle w:val="000000100000" w:firstRow="0" w:lastRow="0" w:firstColumn="0" w:lastColumn="0" w:oddVBand="0" w:evenVBand="0" w:oddHBand="1" w:evenHBand="0" w:firstRowFirstColumn="0" w:firstRowLastColumn="0" w:lastRowFirstColumn="0" w:lastRowLastColumn="0"/>
        </w:trPr>
        <w:tc>
          <w:tcPr>
            <w:tcW w:w="1417" w:type="dxa"/>
            <w:tcBorders>
              <w:top w:val="nil"/>
              <w:bottom w:val="nil"/>
            </w:tcBorders>
          </w:tcPr>
          <w:p w:rsidR="00194F8E" w:rsidRDefault="00194F8E" w:rsidP="00841EA0">
            <w:pPr>
              <w:pStyle w:val="Tablecells"/>
            </w:pPr>
            <w:r>
              <w:t>Optus</w:t>
            </w:r>
          </w:p>
        </w:tc>
        <w:tc>
          <w:tcPr>
            <w:tcW w:w="1171" w:type="dxa"/>
            <w:tcBorders>
              <w:top w:val="nil"/>
              <w:bottom w:val="nil"/>
            </w:tcBorders>
          </w:tcPr>
          <w:p w:rsidR="00194F8E" w:rsidRDefault="00194F8E" w:rsidP="00841EA0">
            <w:pPr>
              <w:pStyle w:val="Tablecells"/>
              <w:jc w:val="center"/>
            </w:pPr>
          </w:p>
        </w:tc>
        <w:tc>
          <w:tcPr>
            <w:tcW w:w="1171" w:type="dxa"/>
            <w:tcBorders>
              <w:top w:val="nil"/>
              <w:bottom w:val="nil"/>
            </w:tcBorders>
          </w:tcPr>
          <w:p w:rsidR="00194F8E" w:rsidRDefault="00194F8E" w:rsidP="00841EA0">
            <w:pPr>
              <w:pStyle w:val="Tablecells"/>
              <w:jc w:val="center"/>
            </w:pPr>
            <w:r>
              <w:t>0.0</w:t>
            </w:r>
          </w:p>
        </w:tc>
        <w:tc>
          <w:tcPr>
            <w:tcW w:w="1171" w:type="dxa"/>
            <w:tcBorders>
              <w:top w:val="nil"/>
              <w:bottom w:val="nil"/>
            </w:tcBorders>
          </w:tcPr>
          <w:p w:rsidR="00194F8E" w:rsidRDefault="00194F8E" w:rsidP="00841EA0">
            <w:pPr>
              <w:pStyle w:val="Tablecells"/>
              <w:jc w:val="center"/>
            </w:pPr>
          </w:p>
        </w:tc>
        <w:tc>
          <w:tcPr>
            <w:tcW w:w="1171" w:type="dxa"/>
            <w:tcBorders>
              <w:top w:val="nil"/>
              <w:bottom w:val="nil"/>
            </w:tcBorders>
          </w:tcPr>
          <w:p w:rsidR="00194F8E" w:rsidRDefault="00194F8E" w:rsidP="00841EA0">
            <w:pPr>
              <w:pStyle w:val="Tablecells"/>
              <w:jc w:val="center"/>
            </w:pPr>
            <w:r>
              <w:t>0.0</w:t>
            </w:r>
          </w:p>
        </w:tc>
        <w:tc>
          <w:tcPr>
            <w:tcW w:w="1171" w:type="dxa"/>
            <w:tcBorders>
              <w:top w:val="nil"/>
              <w:bottom w:val="nil"/>
            </w:tcBorders>
          </w:tcPr>
          <w:p w:rsidR="00194F8E" w:rsidRDefault="00194F8E" w:rsidP="00841EA0">
            <w:pPr>
              <w:pStyle w:val="Tablecells"/>
              <w:jc w:val="center"/>
            </w:pPr>
            <w:r>
              <w:t>10.0</w:t>
            </w:r>
            <w:r w:rsidRPr="004659CD">
              <w:rPr>
                <w:vertAlign w:val="superscript"/>
              </w:rPr>
              <w:fldChar w:fldCharType="begin"/>
            </w:r>
            <w:r w:rsidRPr="004659CD">
              <w:rPr>
                <w:vertAlign w:val="superscript"/>
              </w:rPr>
              <w:instrText xml:space="preserve"> NOTEREF _Ref369179905 \h  \* MERGEFORMAT </w:instrText>
            </w:r>
            <w:r w:rsidRPr="004659CD">
              <w:rPr>
                <w:vertAlign w:val="superscript"/>
              </w:rPr>
            </w:r>
            <w:r w:rsidRPr="004659CD">
              <w:rPr>
                <w:vertAlign w:val="superscript"/>
              </w:rPr>
              <w:fldChar w:fldCharType="separate"/>
            </w:r>
            <w:r w:rsidR="00A87B65">
              <w:rPr>
                <w:vertAlign w:val="superscript"/>
              </w:rPr>
              <w:t>24</w:t>
            </w:r>
            <w:r w:rsidRPr="004659CD">
              <w:rPr>
                <w:vertAlign w:val="superscript"/>
              </w:rPr>
              <w:fldChar w:fldCharType="end"/>
            </w:r>
          </w:p>
        </w:tc>
        <w:tc>
          <w:tcPr>
            <w:tcW w:w="1172" w:type="dxa"/>
            <w:tcBorders>
              <w:top w:val="nil"/>
              <w:bottom w:val="nil"/>
            </w:tcBorders>
          </w:tcPr>
          <w:p w:rsidR="00194F8E" w:rsidRDefault="00194F8E" w:rsidP="00841EA0">
            <w:pPr>
              <w:pStyle w:val="Tablecells"/>
              <w:jc w:val="center"/>
            </w:pPr>
            <w:r>
              <w:t>0.0</w:t>
            </w:r>
          </w:p>
        </w:tc>
        <w:tc>
          <w:tcPr>
            <w:tcW w:w="1171" w:type="dxa"/>
            <w:tcBorders>
              <w:top w:val="nil"/>
              <w:bottom w:val="nil"/>
            </w:tcBorders>
          </w:tcPr>
          <w:p w:rsidR="00194F8E" w:rsidRDefault="00194F8E" w:rsidP="00841EA0">
            <w:pPr>
              <w:pStyle w:val="Tablecells"/>
              <w:jc w:val="center"/>
            </w:pPr>
          </w:p>
        </w:tc>
        <w:tc>
          <w:tcPr>
            <w:tcW w:w="1171" w:type="dxa"/>
            <w:tcBorders>
              <w:top w:val="nil"/>
              <w:bottom w:val="nil"/>
            </w:tcBorders>
          </w:tcPr>
          <w:p w:rsidR="00194F8E" w:rsidRDefault="00194F8E" w:rsidP="00841EA0">
            <w:pPr>
              <w:pStyle w:val="Tablecells"/>
              <w:jc w:val="center"/>
            </w:pPr>
            <w:r>
              <w:t>N/A</w:t>
            </w:r>
          </w:p>
        </w:tc>
        <w:tc>
          <w:tcPr>
            <w:tcW w:w="1171" w:type="dxa"/>
            <w:tcBorders>
              <w:top w:val="nil"/>
              <w:bottom w:val="nil"/>
            </w:tcBorders>
          </w:tcPr>
          <w:p w:rsidR="00194F8E" w:rsidRDefault="00FA3502" w:rsidP="00841EA0">
            <w:pPr>
              <w:pStyle w:val="Tablecells"/>
              <w:jc w:val="center"/>
            </w:pPr>
            <w:r>
              <w:t>0.0</w:t>
            </w:r>
          </w:p>
        </w:tc>
        <w:tc>
          <w:tcPr>
            <w:tcW w:w="1171" w:type="dxa"/>
            <w:tcBorders>
              <w:top w:val="nil"/>
              <w:bottom w:val="nil"/>
            </w:tcBorders>
          </w:tcPr>
          <w:p w:rsidR="00194F8E" w:rsidRPr="00E3461E" w:rsidRDefault="00194F8E" w:rsidP="00841EA0">
            <w:pPr>
              <w:pStyle w:val="Tablecells"/>
              <w:jc w:val="center"/>
            </w:pPr>
            <w:r w:rsidRPr="00EF250C">
              <w:t>0.0</w:t>
            </w:r>
          </w:p>
        </w:tc>
        <w:tc>
          <w:tcPr>
            <w:tcW w:w="1172" w:type="dxa"/>
            <w:tcBorders>
              <w:top w:val="nil"/>
              <w:bottom w:val="nil"/>
            </w:tcBorders>
          </w:tcPr>
          <w:p w:rsidR="00194F8E" w:rsidRDefault="00194F8E" w:rsidP="00841EA0">
            <w:pPr>
              <w:pStyle w:val="Tablecells"/>
              <w:jc w:val="center"/>
            </w:pPr>
            <w:r w:rsidRPr="00EF250C">
              <w:t>0.0</w:t>
            </w:r>
          </w:p>
        </w:tc>
      </w:tr>
      <w:tr w:rsidR="00FA3502" w:rsidTr="00841EA0">
        <w:tc>
          <w:tcPr>
            <w:tcW w:w="1417" w:type="dxa"/>
            <w:tcBorders>
              <w:top w:val="nil"/>
              <w:bottom w:val="nil"/>
            </w:tcBorders>
          </w:tcPr>
          <w:p w:rsidR="00FA3502" w:rsidRDefault="00FA3502" w:rsidP="00841EA0">
            <w:pPr>
              <w:pStyle w:val="Tablecells"/>
            </w:pPr>
            <w:r>
              <w:t>Telstra</w:t>
            </w:r>
          </w:p>
        </w:tc>
        <w:tc>
          <w:tcPr>
            <w:tcW w:w="1171" w:type="dxa"/>
            <w:tcBorders>
              <w:top w:val="nil"/>
              <w:bottom w:val="nil"/>
            </w:tcBorders>
          </w:tcPr>
          <w:p w:rsidR="00FA3502" w:rsidRDefault="00FA3502" w:rsidP="00841EA0">
            <w:pPr>
              <w:pStyle w:val="Tablecells"/>
              <w:jc w:val="center"/>
            </w:pPr>
          </w:p>
        </w:tc>
        <w:tc>
          <w:tcPr>
            <w:tcW w:w="1171" w:type="dxa"/>
            <w:tcBorders>
              <w:top w:val="nil"/>
              <w:bottom w:val="nil"/>
            </w:tcBorders>
          </w:tcPr>
          <w:p w:rsidR="00FA3502" w:rsidRDefault="00FA3502" w:rsidP="00841EA0">
            <w:pPr>
              <w:pStyle w:val="Tablecells"/>
              <w:jc w:val="center"/>
            </w:pPr>
            <w:r>
              <w:t>15.0</w:t>
            </w:r>
          </w:p>
        </w:tc>
        <w:tc>
          <w:tcPr>
            <w:tcW w:w="1171" w:type="dxa"/>
            <w:tcBorders>
              <w:top w:val="nil"/>
              <w:bottom w:val="nil"/>
            </w:tcBorders>
          </w:tcPr>
          <w:p w:rsidR="00FA3502" w:rsidRDefault="00FA3502" w:rsidP="00841EA0">
            <w:pPr>
              <w:pStyle w:val="Tablecells"/>
              <w:jc w:val="center"/>
            </w:pPr>
          </w:p>
        </w:tc>
        <w:tc>
          <w:tcPr>
            <w:tcW w:w="1171" w:type="dxa"/>
            <w:tcBorders>
              <w:top w:val="nil"/>
              <w:bottom w:val="nil"/>
            </w:tcBorders>
          </w:tcPr>
          <w:p w:rsidR="00FA3502" w:rsidRDefault="00FA3502" w:rsidP="00841EA0">
            <w:pPr>
              <w:pStyle w:val="Tablecells"/>
              <w:jc w:val="center"/>
            </w:pPr>
            <w:r>
              <w:t>0.0</w:t>
            </w:r>
          </w:p>
        </w:tc>
        <w:tc>
          <w:tcPr>
            <w:tcW w:w="1171" w:type="dxa"/>
            <w:tcBorders>
              <w:top w:val="nil"/>
              <w:bottom w:val="nil"/>
            </w:tcBorders>
          </w:tcPr>
          <w:p w:rsidR="00FA3502" w:rsidRDefault="00FA3502" w:rsidP="00841EA0">
            <w:pPr>
              <w:pStyle w:val="Tablecells"/>
              <w:jc w:val="center"/>
            </w:pPr>
            <w:r>
              <w:t>10.0</w:t>
            </w:r>
          </w:p>
        </w:tc>
        <w:tc>
          <w:tcPr>
            <w:tcW w:w="1172" w:type="dxa"/>
            <w:tcBorders>
              <w:top w:val="nil"/>
              <w:bottom w:val="nil"/>
            </w:tcBorders>
          </w:tcPr>
          <w:p w:rsidR="00FA3502" w:rsidRDefault="00FA3502" w:rsidP="00841EA0">
            <w:pPr>
              <w:pStyle w:val="Tablecells"/>
              <w:jc w:val="center"/>
            </w:pPr>
          </w:p>
        </w:tc>
        <w:tc>
          <w:tcPr>
            <w:tcW w:w="1171" w:type="dxa"/>
            <w:tcBorders>
              <w:top w:val="nil"/>
              <w:bottom w:val="nil"/>
            </w:tcBorders>
          </w:tcPr>
          <w:p w:rsidR="00FA3502" w:rsidRDefault="00FA3502" w:rsidP="00841EA0">
            <w:pPr>
              <w:pStyle w:val="Tablecells"/>
              <w:jc w:val="center"/>
            </w:pPr>
          </w:p>
        </w:tc>
        <w:tc>
          <w:tcPr>
            <w:tcW w:w="1171" w:type="dxa"/>
            <w:tcBorders>
              <w:top w:val="nil"/>
              <w:bottom w:val="nil"/>
            </w:tcBorders>
          </w:tcPr>
          <w:p w:rsidR="00FA3502" w:rsidRDefault="00FA3502" w:rsidP="00841EA0">
            <w:pPr>
              <w:pStyle w:val="Tablecells"/>
              <w:jc w:val="center"/>
            </w:pPr>
            <w:r>
              <w:t>N/A</w:t>
            </w:r>
          </w:p>
        </w:tc>
        <w:tc>
          <w:tcPr>
            <w:tcW w:w="1171" w:type="dxa"/>
            <w:tcBorders>
              <w:top w:val="nil"/>
              <w:bottom w:val="nil"/>
            </w:tcBorders>
          </w:tcPr>
          <w:p w:rsidR="00FA3502" w:rsidRDefault="00FA3502" w:rsidP="00841EA0">
            <w:pPr>
              <w:pStyle w:val="Tablecells"/>
              <w:jc w:val="center"/>
            </w:pPr>
            <w:r w:rsidRPr="00B96F3F">
              <w:t>[</w:t>
            </w:r>
            <w:r w:rsidRPr="00B96F3F">
              <w:rPr>
                <w:rFonts w:ascii="Wingdings" w:hAnsi="Wingdings"/>
              </w:rPr>
              <w:t></w:t>
            </w:r>
            <w:r w:rsidRPr="00B96F3F">
              <w:t>]</w:t>
            </w:r>
          </w:p>
        </w:tc>
        <w:tc>
          <w:tcPr>
            <w:tcW w:w="1171" w:type="dxa"/>
            <w:tcBorders>
              <w:top w:val="nil"/>
              <w:bottom w:val="nil"/>
            </w:tcBorders>
          </w:tcPr>
          <w:p w:rsidR="00FA3502" w:rsidRDefault="00FA3502" w:rsidP="00841EA0">
            <w:pPr>
              <w:pStyle w:val="Tablecells"/>
              <w:jc w:val="center"/>
            </w:pPr>
            <w:r w:rsidRPr="00EF250C">
              <w:t>0.0</w:t>
            </w:r>
          </w:p>
        </w:tc>
        <w:tc>
          <w:tcPr>
            <w:tcW w:w="1172" w:type="dxa"/>
            <w:tcBorders>
              <w:top w:val="nil"/>
              <w:bottom w:val="nil"/>
            </w:tcBorders>
          </w:tcPr>
          <w:p w:rsidR="00FA3502" w:rsidRDefault="00FA3502" w:rsidP="00841EA0">
            <w:pPr>
              <w:pStyle w:val="Tablecells"/>
              <w:jc w:val="center"/>
            </w:pPr>
            <w:r w:rsidRPr="00EF250C">
              <w:t>0.0</w:t>
            </w:r>
          </w:p>
        </w:tc>
      </w:tr>
      <w:tr w:rsidR="00FA3502" w:rsidTr="00841EA0">
        <w:trPr>
          <w:cnfStyle w:val="000000100000" w:firstRow="0" w:lastRow="0" w:firstColumn="0" w:lastColumn="0" w:oddVBand="0" w:evenVBand="0" w:oddHBand="1" w:evenHBand="0" w:firstRowFirstColumn="0" w:firstRowLastColumn="0" w:lastRowFirstColumn="0" w:lastRowLastColumn="0"/>
        </w:trPr>
        <w:tc>
          <w:tcPr>
            <w:tcW w:w="1417" w:type="dxa"/>
            <w:tcBorders>
              <w:top w:val="nil"/>
              <w:bottom w:val="single" w:sz="4" w:space="0" w:color="808080"/>
            </w:tcBorders>
          </w:tcPr>
          <w:p w:rsidR="00FA3502" w:rsidRDefault="00FA3502" w:rsidP="00841EA0">
            <w:pPr>
              <w:pStyle w:val="Tablecells"/>
            </w:pPr>
            <w:r>
              <w:t>VHA</w:t>
            </w:r>
          </w:p>
        </w:tc>
        <w:tc>
          <w:tcPr>
            <w:tcW w:w="1171" w:type="dxa"/>
            <w:tcBorders>
              <w:top w:val="nil"/>
              <w:bottom w:val="single" w:sz="4" w:space="0" w:color="808080"/>
            </w:tcBorders>
          </w:tcPr>
          <w:p w:rsidR="00FA3502" w:rsidRDefault="00FA3502" w:rsidP="00841EA0">
            <w:pPr>
              <w:pStyle w:val="Tablecells"/>
              <w:jc w:val="center"/>
            </w:pPr>
          </w:p>
        </w:tc>
        <w:tc>
          <w:tcPr>
            <w:tcW w:w="1171" w:type="dxa"/>
            <w:tcBorders>
              <w:top w:val="nil"/>
              <w:bottom w:val="single" w:sz="4" w:space="0" w:color="808080"/>
            </w:tcBorders>
          </w:tcPr>
          <w:p w:rsidR="00FA3502" w:rsidRDefault="00FA3502" w:rsidP="00841EA0">
            <w:pPr>
              <w:pStyle w:val="Tablecells"/>
              <w:jc w:val="center"/>
            </w:pPr>
            <w:r>
              <w:t>5.0</w:t>
            </w:r>
          </w:p>
        </w:tc>
        <w:tc>
          <w:tcPr>
            <w:tcW w:w="1171" w:type="dxa"/>
            <w:tcBorders>
              <w:top w:val="nil"/>
              <w:bottom w:val="single" w:sz="4" w:space="0" w:color="808080"/>
            </w:tcBorders>
          </w:tcPr>
          <w:p w:rsidR="00FA3502" w:rsidRDefault="00FA3502" w:rsidP="00841EA0">
            <w:pPr>
              <w:pStyle w:val="Tablecells"/>
              <w:jc w:val="center"/>
            </w:pPr>
          </w:p>
        </w:tc>
        <w:tc>
          <w:tcPr>
            <w:tcW w:w="1171" w:type="dxa"/>
            <w:tcBorders>
              <w:top w:val="nil"/>
              <w:bottom w:val="single" w:sz="4" w:space="0" w:color="808080"/>
            </w:tcBorders>
          </w:tcPr>
          <w:p w:rsidR="00FA3502" w:rsidRDefault="00FA3502" w:rsidP="00841EA0">
            <w:pPr>
              <w:pStyle w:val="Tablecells"/>
              <w:jc w:val="center"/>
            </w:pPr>
            <w:r>
              <w:t>0.0</w:t>
            </w:r>
          </w:p>
        </w:tc>
        <w:tc>
          <w:tcPr>
            <w:tcW w:w="1171" w:type="dxa"/>
            <w:tcBorders>
              <w:top w:val="nil"/>
              <w:bottom w:val="single" w:sz="4" w:space="0" w:color="808080"/>
            </w:tcBorders>
          </w:tcPr>
          <w:p w:rsidR="00FA3502" w:rsidRDefault="00FA3502" w:rsidP="00841EA0">
            <w:pPr>
              <w:pStyle w:val="Tablecells"/>
              <w:jc w:val="center"/>
            </w:pPr>
            <w:r>
              <w:t>0.0</w:t>
            </w:r>
          </w:p>
        </w:tc>
        <w:tc>
          <w:tcPr>
            <w:tcW w:w="1172" w:type="dxa"/>
            <w:tcBorders>
              <w:top w:val="nil"/>
              <w:bottom w:val="single" w:sz="4" w:space="0" w:color="808080"/>
            </w:tcBorders>
          </w:tcPr>
          <w:p w:rsidR="00FA3502" w:rsidRDefault="00FA3502" w:rsidP="00841EA0">
            <w:pPr>
              <w:pStyle w:val="Tablecells"/>
              <w:jc w:val="center"/>
            </w:pPr>
          </w:p>
        </w:tc>
        <w:tc>
          <w:tcPr>
            <w:tcW w:w="1171" w:type="dxa"/>
            <w:tcBorders>
              <w:top w:val="nil"/>
              <w:bottom w:val="single" w:sz="4" w:space="0" w:color="808080"/>
            </w:tcBorders>
          </w:tcPr>
          <w:p w:rsidR="00FA3502" w:rsidRDefault="00FA3502" w:rsidP="00841EA0">
            <w:pPr>
              <w:pStyle w:val="Tablecells"/>
              <w:jc w:val="center"/>
            </w:pPr>
          </w:p>
        </w:tc>
        <w:tc>
          <w:tcPr>
            <w:tcW w:w="1171" w:type="dxa"/>
            <w:tcBorders>
              <w:top w:val="nil"/>
              <w:bottom w:val="single" w:sz="4" w:space="0" w:color="808080"/>
            </w:tcBorders>
          </w:tcPr>
          <w:p w:rsidR="00FA3502" w:rsidRDefault="00FA3502" w:rsidP="00841EA0">
            <w:pPr>
              <w:pStyle w:val="Tablecells"/>
              <w:jc w:val="center"/>
            </w:pPr>
            <w:r>
              <w:t>N/A</w:t>
            </w:r>
          </w:p>
        </w:tc>
        <w:tc>
          <w:tcPr>
            <w:tcW w:w="1171" w:type="dxa"/>
            <w:tcBorders>
              <w:top w:val="nil"/>
              <w:bottom w:val="single" w:sz="4" w:space="0" w:color="808080"/>
            </w:tcBorders>
          </w:tcPr>
          <w:p w:rsidR="00FA3502" w:rsidRDefault="00FA3502" w:rsidP="00841EA0">
            <w:pPr>
              <w:pStyle w:val="Tablecells"/>
              <w:jc w:val="center"/>
            </w:pPr>
            <w:r w:rsidRPr="00B96F3F">
              <w:t>[</w:t>
            </w:r>
            <w:r w:rsidRPr="00B96F3F">
              <w:rPr>
                <w:rFonts w:ascii="Wingdings" w:hAnsi="Wingdings"/>
              </w:rPr>
              <w:t></w:t>
            </w:r>
            <w:r w:rsidRPr="00B96F3F">
              <w:t>]</w:t>
            </w:r>
          </w:p>
        </w:tc>
        <w:tc>
          <w:tcPr>
            <w:tcW w:w="1171" w:type="dxa"/>
            <w:tcBorders>
              <w:top w:val="nil"/>
              <w:bottom w:val="single" w:sz="4" w:space="0" w:color="808080"/>
            </w:tcBorders>
          </w:tcPr>
          <w:p w:rsidR="00FA3502" w:rsidRPr="006505B6" w:rsidRDefault="00FA3502" w:rsidP="00841EA0">
            <w:pPr>
              <w:pStyle w:val="Tablecells"/>
              <w:jc w:val="center"/>
            </w:pPr>
            <w:r w:rsidRPr="00EF250C">
              <w:t>0.0</w:t>
            </w:r>
          </w:p>
        </w:tc>
        <w:tc>
          <w:tcPr>
            <w:tcW w:w="1172" w:type="dxa"/>
            <w:tcBorders>
              <w:top w:val="nil"/>
              <w:bottom w:val="single" w:sz="4" w:space="0" w:color="808080"/>
            </w:tcBorders>
          </w:tcPr>
          <w:p w:rsidR="00FA3502" w:rsidRDefault="00FA3502" w:rsidP="00841EA0">
            <w:pPr>
              <w:pStyle w:val="Tablecells"/>
              <w:jc w:val="center"/>
            </w:pPr>
            <w:r w:rsidRPr="00EF250C">
              <w:t>0.0</w:t>
            </w:r>
          </w:p>
        </w:tc>
      </w:tr>
    </w:tbl>
    <w:p w:rsidR="002C2D3F" w:rsidRDefault="002C2D3F" w:rsidP="00B873A7">
      <w:pPr>
        <w:sectPr w:rsidR="002C2D3F" w:rsidSect="00D62E74">
          <w:pgSz w:w="16840" w:h="11907" w:orient="landscape" w:code="9"/>
          <w:pgMar w:top="1588" w:right="1418" w:bottom="1588" w:left="1418" w:header="567" w:footer="567" w:gutter="0"/>
          <w:paperSrc w:first="15" w:other="15"/>
          <w:cols w:space="720"/>
          <w:titlePg/>
          <w:docGrid w:linePitch="299"/>
        </w:sectPr>
      </w:pPr>
    </w:p>
    <w:p w:rsidR="00B873A7" w:rsidRDefault="00B873A7" w:rsidP="00B873A7">
      <w:r>
        <w:lastRenderedPageBreak/>
        <w:t>Telstra has announced that it will switch off its 2G network by the end of 2016. Optus and VHA have not yet announced 2G switch off dates but for modelling purposes we assume that these networks are switched off at the end of 2018. We assume that 2G spectrum is refarmed for LTE after switch off. It is possible that Telstra may refarm some of its 900MHz spectrum for 4G services before 2G is switched off, but we have not made this assumption in our model.</w:t>
      </w:r>
    </w:p>
    <w:p w:rsidR="00B873A7" w:rsidRDefault="00B873A7" w:rsidP="00B873A7">
      <w:r>
        <w:t>We assume that the spectrum allocations in the 700MHz and 2.5GHz bands are available from 2015. This is in accordance with indications from ACMA that “Licences for the 700MHz band will commence on 1 January 2015. In most cases, licences for the 2.5GHz band will commence on 1 October 2014 (except for the Metro Perth region and the Regional Western Australia region, which will commence on 1 February 2016).”</w:t>
      </w:r>
      <w:r>
        <w:rPr>
          <w:rStyle w:val="FootnoteReference"/>
        </w:rPr>
        <w:footnoteReference w:id="26"/>
      </w:r>
    </w:p>
    <w:p w:rsidR="00B873A7" w:rsidRPr="005A106E" w:rsidRDefault="00B873A7" w:rsidP="00B873A7">
      <w:pPr>
        <w:rPr>
          <w:spacing w:val="-4"/>
        </w:rPr>
      </w:pPr>
      <w:r w:rsidRPr="005A106E">
        <w:rPr>
          <w:spacing w:val="-4"/>
        </w:rPr>
        <w:t>Optus currently uses its metropolitan 2.3GHz allocation to support both its 4G Plus (TD-LTE) network and the legacy WiMAX FWA network that the company acquired when it bought Vividwireless. We understand that in the future Optus intends to migrate its FWA customers to TD-LTE. However, the FWA customers have a very different usage profile to mobile customers and it is not clear what the future geographical distribution of FWA customers will be (and thus what proportion of the 2.3GHz capacity they may require). We have therefore chosen not to consider the 2.3GHz band as a mobile capacity band for Optus. This is a conservative assumption in the sense that it tends to increase the model’s estimate of the number of 4G capacity sites that Optus requires.</w:t>
      </w:r>
    </w:p>
    <w:p w:rsidR="00B873A7" w:rsidRPr="008A0DCE" w:rsidRDefault="00B873A7" w:rsidP="00B873A7">
      <w:pPr>
        <w:pStyle w:val="Heading3"/>
        <w:ind w:hanging="567"/>
      </w:pPr>
      <w:bookmarkStart w:id="100" w:name="_Ref367962179"/>
      <w:bookmarkStart w:id="101" w:name="_Toc373161398"/>
      <w:r w:rsidRPr="008A0DCE">
        <w:lastRenderedPageBreak/>
        <w:t>Subscriber forecast</w:t>
      </w:r>
      <w:bookmarkEnd w:id="100"/>
      <w:bookmarkEnd w:id="101"/>
    </w:p>
    <w:p w:rsidR="00B873A7" w:rsidRDefault="00B873A7" w:rsidP="00B873A7">
      <w:r>
        <w:t xml:space="preserve">A data request was sent to Optus, Telstra and VHA to ask for information about their actual subscriber numbers from 2010 to mid-2013 and any forecasts that they could provide. </w:t>
      </w:r>
      <w:r w:rsidR="000C032F">
        <w:t>We originally developed a total market subscriber forecast for the period to 2025 o</w:t>
      </w:r>
      <w:r>
        <w:t>n the basis of their responses and Analysys Mason’s published forecasts.</w:t>
      </w:r>
      <w:r w:rsidR="000C032F">
        <w:t xml:space="preserve"> </w:t>
      </w:r>
      <w:r w:rsidR="00903864">
        <w:t>Due to request</w:t>
      </w:r>
      <w:r w:rsidR="000C032F">
        <w:t>s</w:t>
      </w:r>
      <w:r w:rsidR="00903864">
        <w:t xml:space="preserve"> from operators to protect the confidentiality of their responses, the number of subscribers used in the public version of the model for the total market is based only on public sources and Analysys Mason’s </w:t>
      </w:r>
      <w:r w:rsidR="00903864" w:rsidRPr="00903864">
        <w:t>published forecasts</w:t>
      </w:r>
      <w:r w:rsidR="00903864">
        <w:t>.</w:t>
      </w:r>
      <w:r w:rsidR="00903864" w:rsidRPr="00903864">
        <w:t xml:space="preserve"> </w:t>
      </w:r>
      <w:r w:rsidR="00903864">
        <w:t xml:space="preserve">These </w:t>
      </w:r>
      <w:r>
        <w:t xml:space="preserve">subscriber forecasts are presented in </w:t>
      </w:r>
      <w:r w:rsidRPr="002D2F9B">
        <w:fldChar w:fldCharType="begin"/>
      </w:r>
      <w:r w:rsidRPr="002D2F9B">
        <w:instrText xml:space="preserve"> REF _Ref372102812 \h </w:instrText>
      </w:r>
      <w:r w:rsidRPr="002D2F9B">
        <w:fldChar w:fldCharType="separate"/>
      </w:r>
      <w:r w:rsidR="00A87B65">
        <w:t>Figure </w:t>
      </w:r>
      <w:r w:rsidR="00A87B65">
        <w:rPr>
          <w:noProof/>
        </w:rPr>
        <w:t>4</w:t>
      </w:r>
      <w:r w:rsidR="00A87B65">
        <w:t>.</w:t>
      </w:r>
      <w:r w:rsidR="00A87B65">
        <w:rPr>
          <w:noProof/>
        </w:rPr>
        <w:t>14</w:t>
      </w:r>
      <w:r w:rsidRPr="002D2F9B">
        <w:fldChar w:fldCharType="end"/>
      </w:r>
      <w:r>
        <w:t xml:space="preserve"> to </w:t>
      </w:r>
      <w:r w:rsidRPr="002D2F9B">
        <w:fldChar w:fldCharType="begin"/>
      </w:r>
      <w:r w:rsidRPr="00CA282A">
        <w:instrText xml:space="preserve"> REF _Ref367719840 \h </w:instrText>
      </w:r>
      <w:r w:rsidRPr="002D2F9B">
        <w:fldChar w:fldCharType="separate"/>
      </w:r>
      <w:r w:rsidR="00A87B65">
        <w:t>Figure </w:t>
      </w:r>
      <w:r w:rsidR="00A87B65">
        <w:rPr>
          <w:noProof/>
        </w:rPr>
        <w:t>4</w:t>
      </w:r>
      <w:r w:rsidR="00A87B65">
        <w:t>.</w:t>
      </w:r>
      <w:r w:rsidR="00A87B65">
        <w:rPr>
          <w:noProof/>
        </w:rPr>
        <w:t>18</w:t>
      </w:r>
      <w:r w:rsidRPr="002D2F9B">
        <w:fldChar w:fldCharType="end"/>
      </w:r>
      <w:r w:rsidR="0058217A">
        <w:t xml:space="preserve"> below</w:t>
      </w:r>
      <w:r>
        <w:t>.</w:t>
      </w:r>
    </w:p>
    <w:tbl>
      <w:tblPr>
        <w:tblW w:w="8730" w:type="dxa"/>
        <w:tblLayout w:type="fixed"/>
        <w:tblCellMar>
          <w:left w:w="0" w:type="dxa"/>
          <w:right w:w="0" w:type="dxa"/>
        </w:tblCellMar>
        <w:tblLook w:val="0000" w:firstRow="0" w:lastRow="0" w:firstColumn="0" w:lastColumn="0" w:noHBand="0" w:noVBand="0"/>
      </w:tblPr>
      <w:tblGrid>
        <w:gridCol w:w="6576"/>
        <w:gridCol w:w="2154"/>
      </w:tblGrid>
      <w:tr w:rsidR="00B873A7" w:rsidTr="00841EA0">
        <w:tc>
          <w:tcPr>
            <w:tcW w:w="6576" w:type="dxa"/>
            <w:tcBorders>
              <w:right w:val="single" w:sz="4" w:space="0" w:color="auto"/>
            </w:tcBorders>
            <w:shd w:val="clear" w:color="auto" w:fill="auto"/>
          </w:tcPr>
          <w:p w:rsidR="00B873A7" w:rsidRDefault="00903864" w:rsidP="00841EA0">
            <w:pPr>
              <w:pStyle w:val="Bordersmall"/>
            </w:pPr>
            <w:r>
              <w:rPr>
                <w:noProof/>
                <w:lang w:val="en-AU" w:eastAsia="en-AU"/>
              </w:rPr>
              <w:drawing>
                <wp:inline distT="0" distB="0" distL="0" distR="0" wp14:anchorId="63B34A00" wp14:editId="702ADB62">
                  <wp:extent cx="3752850" cy="310515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3752850" cy="3105150"/>
                          </a:xfrm>
                          <a:prstGeom prst="rect">
                            <a:avLst/>
                          </a:prstGeom>
                          <a:noFill/>
                          <a:ln>
                            <a:noFill/>
                          </a:ln>
                        </pic:spPr>
                      </pic:pic>
                    </a:graphicData>
                  </a:graphic>
                </wp:inline>
              </w:drawing>
            </w:r>
          </w:p>
        </w:tc>
        <w:tc>
          <w:tcPr>
            <w:tcW w:w="2154" w:type="dxa"/>
            <w:tcBorders>
              <w:left w:val="single" w:sz="4" w:space="0" w:color="auto"/>
            </w:tcBorders>
            <w:shd w:val="clear" w:color="auto" w:fill="auto"/>
          </w:tcPr>
          <w:p w:rsidR="00B873A7" w:rsidRDefault="00B873A7" w:rsidP="00841EA0">
            <w:pPr>
              <w:pStyle w:val="Captionsmall"/>
            </w:pPr>
            <w:bookmarkStart w:id="102" w:name="_Ref372102812"/>
            <w:r>
              <w:t>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r w:rsidR="008B1006">
              <w:fldChar w:fldCharType="begin"/>
            </w:r>
            <w:r w:rsidR="008B1006">
              <w:instrText xml:space="preserve"> SEQ Figure \* ARABIC \s 1 \* MERGEFORMAT </w:instrText>
            </w:r>
            <w:r w:rsidR="008B1006">
              <w:fldChar w:fldCharType="separate"/>
            </w:r>
            <w:r w:rsidR="00A87B65">
              <w:rPr>
                <w:noProof/>
              </w:rPr>
              <w:t>14</w:t>
            </w:r>
            <w:r w:rsidR="008B1006">
              <w:rPr>
                <w:noProof/>
              </w:rPr>
              <w:fldChar w:fldCharType="end"/>
            </w:r>
            <w:bookmarkEnd w:id="102"/>
            <w:r>
              <w:t>: All subscribers by device type (in thousands) [Source: Analysys Mason, 2014]</w:t>
            </w:r>
          </w:p>
        </w:tc>
      </w:tr>
    </w:tbl>
    <w:p w:rsidR="00B873A7" w:rsidRDefault="00B873A7" w:rsidP="00B873A7"/>
    <w:tbl>
      <w:tblPr>
        <w:tblW w:w="8730" w:type="dxa"/>
        <w:tblLayout w:type="fixed"/>
        <w:tblCellMar>
          <w:left w:w="0" w:type="dxa"/>
          <w:right w:w="0" w:type="dxa"/>
        </w:tblCellMar>
        <w:tblLook w:val="0000" w:firstRow="0" w:lastRow="0" w:firstColumn="0" w:lastColumn="0" w:noHBand="0" w:noVBand="0"/>
      </w:tblPr>
      <w:tblGrid>
        <w:gridCol w:w="4229"/>
        <w:gridCol w:w="272"/>
        <w:gridCol w:w="4229"/>
      </w:tblGrid>
      <w:tr w:rsidR="00B873A7" w:rsidTr="00841EA0">
        <w:tc>
          <w:tcPr>
            <w:tcW w:w="4229" w:type="dxa"/>
            <w:shd w:val="clear" w:color="auto" w:fill="auto"/>
          </w:tcPr>
          <w:p w:rsidR="00B873A7" w:rsidRDefault="00B873A7" w:rsidP="00841EA0">
            <w:pPr>
              <w:pStyle w:val="Caption"/>
            </w:pPr>
            <w:bookmarkStart w:id="103" w:name="_Ref367719837"/>
            <w:r>
              <w:t>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r w:rsidR="008B1006">
              <w:fldChar w:fldCharType="begin"/>
            </w:r>
            <w:r w:rsidR="008B1006">
              <w:instrText xml:space="preserve"> SEQ Figure \* ARABIC \s 1 \* MERGEFORMAT </w:instrText>
            </w:r>
            <w:r w:rsidR="008B1006">
              <w:fldChar w:fldCharType="separate"/>
            </w:r>
            <w:r w:rsidR="00A87B65">
              <w:rPr>
                <w:noProof/>
              </w:rPr>
              <w:t>15</w:t>
            </w:r>
            <w:r w:rsidR="008B1006">
              <w:rPr>
                <w:noProof/>
              </w:rPr>
              <w:fldChar w:fldCharType="end"/>
            </w:r>
            <w:bookmarkEnd w:id="103"/>
            <w:r>
              <w:t>: Handset subscribers: total and by generation (in thousands) [Source: Analysys Mason, 2014]</w:t>
            </w:r>
          </w:p>
        </w:tc>
        <w:tc>
          <w:tcPr>
            <w:tcW w:w="272" w:type="dxa"/>
            <w:shd w:val="clear" w:color="auto" w:fill="auto"/>
          </w:tcPr>
          <w:p w:rsidR="00B873A7" w:rsidRDefault="00B873A7" w:rsidP="00841EA0">
            <w:pPr>
              <w:pStyle w:val="Tablecells"/>
              <w:spacing w:before="0" w:after="120"/>
            </w:pPr>
          </w:p>
        </w:tc>
        <w:tc>
          <w:tcPr>
            <w:tcW w:w="4229" w:type="dxa"/>
            <w:shd w:val="clear" w:color="auto" w:fill="auto"/>
          </w:tcPr>
          <w:p w:rsidR="00B873A7" w:rsidRDefault="00B873A7" w:rsidP="00841EA0">
            <w:pPr>
              <w:pStyle w:val="Caption"/>
            </w:pPr>
            <w:r>
              <w:t>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r w:rsidR="008B1006">
              <w:fldChar w:fldCharType="begin"/>
            </w:r>
            <w:r w:rsidR="008B1006">
              <w:instrText xml:space="preserve"> SEQ Figure \* ARABIC \s 1 \* MERGEFORMAT </w:instrText>
            </w:r>
            <w:r w:rsidR="008B1006">
              <w:fldChar w:fldCharType="separate"/>
            </w:r>
            <w:r w:rsidR="00A87B65">
              <w:rPr>
                <w:noProof/>
              </w:rPr>
              <w:t>16</w:t>
            </w:r>
            <w:r w:rsidR="008B1006">
              <w:rPr>
                <w:noProof/>
              </w:rPr>
              <w:fldChar w:fldCharType="end"/>
            </w:r>
            <w:r>
              <w:t>: Tablet subscribers: total and by generation (in thousands) [Source: Analysys Mason, 2014]</w:t>
            </w:r>
          </w:p>
        </w:tc>
      </w:tr>
      <w:tr w:rsidR="00B873A7" w:rsidTr="00841EA0">
        <w:tc>
          <w:tcPr>
            <w:tcW w:w="4229" w:type="dxa"/>
            <w:shd w:val="clear" w:color="auto" w:fill="auto"/>
          </w:tcPr>
          <w:p w:rsidR="00B873A7" w:rsidRDefault="00903864" w:rsidP="00841EA0">
            <w:pPr>
              <w:pStyle w:val="Bordersmall"/>
            </w:pPr>
            <w:r>
              <w:rPr>
                <w:noProof/>
                <w:lang w:val="en-AU" w:eastAsia="en-AU"/>
              </w:rPr>
              <w:lastRenderedPageBreak/>
              <w:drawing>
                <wp:inline distT="0" distB="0" distL="0" distR="0" wp14:anchorId="372F2255" wp14:editId="2644E7BA">
                  <wp:extent cx="2647950" cy="310515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2647950" cy="3105150"/>
                          </a:xfrm>
                          <a:prstGeom prst="rect">
                            <a:avLst/>
                          </a:prstGeom>
                          <a:noFill/>
                          <a:ln>
                            <a:noFill/>
                          </a:ln>
                        </pic:spPr>
                      </pic:pic>
                    </a:graphicData>
                  </a:graphic>
                </wp:inline>
              </w:drawing>
            </w:r>
          </w:p>
        </w:tc>
        <w:tc>
          <w:tcPr>
            <w:tcW w:w="272" w:type="dxa"/>
            <w:shd w:val="clear" w:color="auto" w:fill="auto"/>
          </w:tcPr>
          <w:p w:rsidR="00B873A7" w:rsidRDefault="00B873A7" w:rsidP="00841EA0">
            <w:pPr>
              <w:pStyle w:val="Tablecells"/>
            </w:pPr>
          </w:p>
        </w:tc>
        <w:tc>
          <w:tcPr>
            <w:tcW w:w="4229" w:type="dxa"/>
            <w:shd w:val="clear" w:color="auto" w:fill="auto"/>
          </w:tcPr>
          <w:p w:rsidR="00B873A7" w:rsidRDefault="00903864" w:rsidP="00841EA0">
            <w:pPr>
              <w:pStyle w:val="Bordersmall"/>
            </w:pPr>
            <w:r>
              <w:rPr>
                <w:noProof/>
                <w:lang w:val="en-AU" w:eastAsia="en-AU"/>
              </w:rPr>
              <w:drawing>
                <wp:inline distT="0" distB="0" distL="0" distR="0" wp14:anchorId="3C7AA409" wp14:editId="47F3C276">
                  <wp:extent cx="2647950" cy="310515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2647950" cy="3105150"/>
                          </a:xfrm>
                          <a:prstGeom prst="rect">
                            <a:avLst/>
                          </a:prstGeom>
                          <a:noFill/>
                          <a:ln>
                            <a:noFill/>
                          </a:ln>
                        </pic:spPr>
                      </pic:pic>
                    </a:graphicData>
                  </a:graphic>
                </wp:inline>
              </w:drawing>
            </w:r>
          </w:p>
        </w:tc>
      </w:tr>
      <w:tr w:rsidR="00B873A7" w:rsidTr="00841EA0">
        <w:tc>
          <w:tcPr>
            <w:tcW w:w="4229" w:type="dxa"/>
            <w:shd w:val="clear" w:color="auto" w:fill="auto"/>
          </w:tcPr>
          <w:p w:rsidR="00B873A7" w:rsidRDefault="00B873A7" w:rsidP="00841EA0">
            <w:pPr>
              <w:pStyle w:val="Caption"/>
              <w:jc w:val="both"/>
            </w:pPr>
            <w:r>
              <w:t>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r w:rsidR="008B1006">
              <w:fldChar w:fldCharType="begin"/>
            </w:r>
            <w:r w:rsidR="008B1006">
              <w:instrText xml:space="preserve"> SEQ Figure \* ARABIC \s 1 \* MERGEFORMAT </w:instrText>
            </w:r>
            <w:r w:rsidR="008B1006">
              <w:fldChar w:fldCharType="separate"/>
            </w:r>
            <w:r w:rsidR="00A87B65">
              <w:rPr>
                <w:noProof/>
              </w:rPr>
              <w:t>17</w:t>
            </w:r>
            <w:r w:rsidR="008B1006">
              <w:rPr>
                <w:noProof/>
              </w:rPr>
              <w:fldChar w:fldCharType="end"/>
            </w:r>
            <w:r>
              <w:t>: Dongles/laptop subscribers: total and by generation (in thousands) [Source: Analysys Mason, 2014]</w:t>
            </w:r>
          </w:p>
        </w:tc>
        <w:tc>
          <w:tcPr>
            <w:tcW w:w="272" w:type="dxa"/>
            <w:shd w:val="clear" w:color="auto" w:fill="auto"/>
          </w:tcPr>
          <w:p w:rsidR="00B873A7" w:rsidRDefault="00B873A7" w:rsidP="00841EA0">
            <w:pPr>
              <w:pStyle w:val="Tablecells"/>
              <w:spacing w:after="120"/>
            </w:pPr>
          </w:p>
        </w:tc>
        <w:tc>
          <w:tcPr>
            <w:tcW w:w="4229" w:type="dxa"/>
            <w:shd w:val="clear" w:color="auto" w:fill="auto"/>
          </w:tcPr>
          <w:p w:rsidR="00B873A7" w:rsidRDefault="00B873A7" w:rsidP="00841EA0">
            <w:pPr>
              <w:pStyle w:val="Caption"/>
            </w:pPr>
            <w:bookmarkStart w:id="104" w:name="_Ref367719840"/>
            <w:r>
              <w:t>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r w:rsidR="008B1006">
              <w:fldChar w:fldCharType="begin"/>
            </w:r>
            <w:r w:rsidR="008B1006">
              <w:instrText xml:space="preserve"> SEQ Figure \* ARABIC \s 1 \* MERGEFORMAT </w:instrText>
            </w:r>
            <w:r w:rsidR="008B1006">
              <w:fldChar w:fldCharType="separate"/>
            </w:r>
            <w:r w:rsidR="00A87B65">
              <w:rPr>
                <w:noProof/>
              </w:rPr>
              <w:t>18</w:t>
            </w:r>
            <w:r w:rsidR="008B1006">
              <w:rPr>
                <w:noProof/>
              </w:rPr>
              <w:fldChar w:fldCharType="end"/>
            </w:r>
            <w:bookmarkEnd w:id="104"/>
            <w:r>
              <w:t>: M2M subscribers: total and by generation (in thousands) [Source: Analysys Mason, 2014]</w:t>
            </w:r>
          </w:p>
        </w:tc>
      </w:tr>
      <w:tr w:rsidR="00B873A7" w:rsidTr="00841EA0">
        <w:tc>
          <w:tcPr>
            <w:tcW w:w="4229" w:type="dxa"/>
            <w:shd w:val="clear" w:color="auto" w:fill="auto"/>
          </w:tcPr>
          <w:p w:rsidR="00B873A7" w:rsidRDefault="00903864" w:rsidP="00841EA0">
            <w:pPr>
              <w:pStyle w:val="Bordersmall"/>
            </w:pPr>
            <w:r>
              <w:rPr>
                <w:noProof/>
                <w:lang w:val="en-AU" w:eastAsia="en-AU"/>
              </w:rPr>
              <w:drawing>
                <wp:inline distT="0" distB="0" distL="0" distR="0" wp14:anchorId="6D7816DC" wp14:editId="3311E8A3">
                  <wp:extent cx="2647950" cy="3105150"/>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2647950" cy="3105150"/>
                          </a:xfrm>
                          <a:prstGeom prst="rect">
                            <a:avLst/>
                          </a:prstGeom>
                          <a:noFill/>
                          <a:ln>
                            <a:noFill/>
                          </a:ln>
                        </pic:spPr>
                      </pic:pic>
                    </a:graphicData>
                  </a:graphic>
                </wp:inline>
              </w:drawing>
            </w:r>
          </w:p>
        </w:tc>
        <w:tc>
          <w:tcPr>
            <w:tcW w:w="272" w:type="dxa"/>
            <w:shd w:val="clear" w:color="auto" w:fill="auto"/>
          </w:tcPr>
          <w:p w:rsidR="00B873A7" w:rsidRDefault="00B873A7" w:rsidP="00841EA0">
            <w:pPr>
              <w:pStyle w:val="Tablecells"/>
            </w:pPr>
          </w:p>
        </w:tc>
        <w:tc>
          <w:tcPr>
            <w:tcW w:w="4229" w:type="dxa"/>
            <w:shd w:val="clear" w:color="auto" w:fill="auto"/>
          </w:tcPr>
          <w:p w:rsidR="00B873A7" w:rsidRDefault="00903864" w:rsidP="00841EA0">
            <w:pPr>
              <w:pStyle w:val="Bordersmall"/>
            </w:pPr>
            <w:r>
              <w:rPr>
                <w:noProof/>
                <w:lang w:val="en-AU" w:eastAsia="en-AU"/>
              </w:rPr>
              <w:drawing>
                <wp:inline distT="0" distB="0" distL="0" distR="0" wp14:anchorId="511692A6" wp14:editId="6A04D78C">
                  <wp:extent cx="2647950" cy="3105150"/>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2647950" cy="3105150"/>
                          </a:xfrm>
                          <a:prstGeom prst="rect">
                            <a:avLst/>
                          </a:prstGeom>
                          <a:noFill/>
                          <a:ln>
                            <a:noFill/>
                          </a:ln>
                        </pic:spPr>
                      </pic:pic>
                    </a:graphicData>
                  </a:graphic>
                </wp:inline>
              </w:drawing>
            </w:r>
          </w:p>
        </w:tc>
      </w:tr>
    </w:tbl>
    <w:p w:rsidR="00B873A7" w:rsidRDefault="00B873A7" w:rsidP="00B873A7">
      <w:r>
        <w:br/>
        <w:t>From 2012 to 2025, the number of subscriptions changes as follows:</w:t>
      </w:r>
    </w:p>
    <w:p w:rsidR="00B873A7" w:rsidRDefault="00B873A7" w:rsidP="00B873A7">
      <w:pPr>
        <w:pStyle w:val="ListBulletCompact"/>
        <w:tabs>
          <w:tab w:val="num" w:pos="360"/>
        </w:tabs>
        <w:ind w:left="357" w:hanging="357"/>
      </w:pPr>
      <w:r>
        <w:t>handset subscriptions rise</w:t>
      </w:r>
      <w:r w:rsidRPr="00DF48E9">
        <w:t xml:space="preserve"> from </w:t>
      </w:r>
      <w:r w:rsidR="00903864">
        <w:t>21.3</w:t>
      </w:r>
      <w:r>
        <w:t> </w:t>
      </w:r>
      <w:r w:rsidRPr="00DF48E9">
        <w:t>m</w:t>
      </w:r>
      <w:r>
        <w:t>illion</w:t>
      </w:r>
      <w:r w:rsidRPr="00DF48E9">
        <w:t xml:space="preserve"> to 28.</w:t>
      </w:r>
      <w:r>
        <w:t>0 </w:t>
      </w:r>
      <w:r w:rsidRPr="00DF48E9">
        <w:t>m</w:t>
      </w:r>
      <w:r>
        <w:t xml:space="preserve">illion; population penetration </w:t>
      </w:r>
      <w:r w:rsidR="00903864">
        <w:t>increases from 93% to</w:t>
      </w:r>
      <w:r>
        <w:t xml:space="preserve"> 103%</w:t>
      </w:r>
    </w:p>
    <w:p w:rsidR="00B873A7" w:rsidRDefault="00B873A7" w:rsidP="00B873A7">
      <w:pPr>
        <w:pStyle w:val="ListBulletCompact"/>
        <w:tabs>
          <w:tab w:val="num" w:pos="360"/>
        </w:tabs>
        <w:ind w:left="357" w:hanging="357"/>
      </w:pPr>
      <w:r>
        <w:lastRenderedPageBreak/>
        <w:t>tablet subscriptions rise from 1 million to 4.2 </w:t>
      </w:r>
      <w:r w:rsidRPr="00DF48E9">
        <w:t>m</w:t>
      </w:r>
      <w:r>
        <w:t>illion; household penetration increases from 1</w:t>
      </w:r>
      <w:r w:rsidR="00903864">
        <w:t>2</w:t>
      </w:r>
      <w:r>
        <w:t>% to 39%, corresponding to an increase in population penetration from 4% to 15%</w:t>
      </w:r>
    </w:p>
    <w:p w:rsidR="00B873A7" w:rsidRDefault="00B873A7" w:rsidP="00B873A7">
      <w:pPr>
        <w:pStyle w:val="ListBulletCompact"/>
        <w:tabs>
          <w:tab w:val="num" w:pos="360"/>
        </w:tabs>
        <w:ind w:left="357" w:hanging="357"/>
      </w:pPr>
      <w:r>
        <w:t xml:space="preserve">dongle/laptop subscriptions </w:t>
      </w:r>
      <w:r w:rsidR="00903864">
        <w:t xml:space="preserve">decrease </w:t>
      </w:r>
      <w:r>
        <w:t xml:space="preserve">from </w:t>
      </w:r>
      <w:r w:rsidR="00903864">
        <w:t>5.0</w:t>
      </w:r>
      <w:r>
        <w:t xml:space="preserve"> million to </w:t>
      </w:r>
      <w:r w:rsidR="00903864">
        <w:t>4.0</w:t>
      </w:r>
      <w:r>
        <w:t xml:space="preserve"> million; population penetration decreases from </w:t>
      </w:r>
      <w:r w:rsidR="00903864">
        <w:t>22</w:t>
      </w:r>
      <w:r>
        <w:t>% to 14%.</w:t>
      </w:r>
    </w:p>
    <w:p w:rsidR="00B873A7" w:rsidRDefault="00B873A7" w:rsidP="00B873A7">
      <w:pPr>
        <w:pStyle w:val="ListBullet"/>
        <w:tabs>
          <w:tab w:val="num" w:pos="360"/>
        </w:tabs>
        <w:ind w:left="357" w:hanging="357"/>
      </w:pPr>
      <w:r>
        <w:t xml:space="preserve">machine-to-machine (M2M) subscriptions rise from 0.5 million to 8.1 million; corresponding to an increase in population penetration from 2% to 30%. </w:t>
      </w:r>
    </w:p>
    <w:p w:rsidR="00B873A7" w:rsidRDefault="00B873A7" w:rsidP="00B873A7">
      <w:r>
        <w:t xml:space="preserve">From 2012 to 2025, the number of handset subscriptions grows from </w:t>
      </w:r>
      <w:r w:rsidR="00903864">
        <w:t>21.3</w:t>
      </w:r>
      <w:r>
        <w:t> million to 28.</w:t>
      </w:r>
      <w:r w:rsidR="00903864">
        <w:t>0</w:t>
      </w:r>
      <w:r>
        <w:t> million, as a result of the following developments:</w:t>
      </w:r>
    </w:p>
    <w:p w:rsidR="00903864" w:rsidRDefault="00903864" w:rsidP="00B873A7">
      <w:pPr>
        <w:pStyle w:val="ListBulletCompact"/>
        <w:tabs>
          <w:tab w:val="num" w:pos="360"/>
        </w:tabs>
        <w:ind w:left="357" w:hanging="357"/>
      </w:pPr>
      <w:r>
        <w:t>penetration increases from 93% to 103%</w:t>
      </w:r>
    </w:p>
    <w:p w:rsidR="00B873A7" w:rsidRDefault="00B873A7" w:rsidP="00B873A7">
      <w:pPr>
        <w:pStyle w:val="ListBulletCompact"/>
        <w:tabs>
          <w:tab w:val="num" w:pos="360"/>
        </w:tabs>
        <w:ind w:left="357" w:hanging="357"/>
      </w:pPr>
      <w:r>
        <w:t xml:space="preserve">voice-only subscriptions decline rapidly from </w:t>
      </w:r>
      <w:r w:rsidR="00903864">
        <w:t>5.1</w:t>
      </w:r>
      <w:r>
        <w:t xml:space="preserve"> million to less than 50 000 in 2018, enabling 2G networks to be turned off </w:t>
      </w:r>
      <w:r w:rsidR="00DB5BC5">
        <w:t>in this year</w:t>
      </w:r>
      <w:r>
        <w:t xml:space="preserve"> (we understand that the operators are no longer selling any 2G-only handsets)</w:t>
      </w:r>
      <w:r w:rsidR="00CA282A">
        <w:t>.</w:t>
      </w:r>
      <w:r w:rsidR="00DB5BC5">
        <w:t xml:space="preserve"> </w:t>
      </w:r>
      <w:r w:rsidR="00CA282A">
        <w:t xml:space="preserve">We still have a few thousand voice-only subscribers in 2019 and 2020 </w:t>
      </w:r>
      <w:r w:rsidR="00377AAA">
        <w:t xml:space="preserve">whom we assume to be using </w:t>
      </w:r>
      <w:r w:rsidR="00CA282A">
        <w:t>3G handset</w:t>
      </w:r>
      <w:r w:rsidR="00377AAA">
        <w:t>s</w:t>
      </w:r>
      <w:r w:rsidR="00CA282A">
        <w:t>.</w:t>
      </w:r>
    </w:p>
    <w:p w:rsidR="00B873A7" w:rsidRDefault="00B873A7" w:rsidP="00B873A7">
      <w:pPr>
        <w:pStyle w:val="ListBulletCompact"/>
        <w:tabs>
          <w:tab w:val="num" w:pos="360"/>
        </w:tabs>
        <w:ind w:left="357" w:hanging="357"/>
      </w:pPr>
      <w:r>
        <w:t>voice-and-data subscriptions increase from 16.</w:t>
      </w:r>
      <w:r w:rsidR="00903864">
        <w:t>2</w:t>
      </w:r>
      <w:r>
        <w:t> million to 28.0 million</w:t>
      </w:r>
    </w:p>
    <w:p w:rsidR="00B873A7" w:rsidRDefault="00B873A7" w:rsidP="00B873A7">
      <w:pPr>
        <w:pStyle w:val="ListBullet"/>
        <w:tabs>
          <w:tab w:val="num" w:pos="360"/>
        </w:tabs>
        <w:ind w:left="357" w:hanging="357"/>
        <w:rPr>
          <w:spacing w:val="-4"/>
        </w:rPr>
      </w:pPr>
      <w:r w:rsidRPr="005A106E">
        <w:rPr>
          <w:spacing w:val="-4"/>
        </w:rPr>
        <w:t xml:space="preserve">among these voice-and-data subscriptions, 3G subscriptions decline from </w:t>
      </w:r>
      <w:r w:rsidR="00903864">
        <w:rPr>
          <w:spacing w:val="-4"/>
        </w:rPr>
        <w:t>14.7</w:t>
      </w:r>
      <w:r w:rsidRPr="005A106E">
        <w:rPr>
          <w:spacing w:val="-4"/>
        </w:rPr>
        <w:t> million to less than 50 000 in 2024 (we assume that at some point soon the operators will stop selling handsets without 4G capability) while 4G subscriptions increase from 1.5 million to 28.0 million.</w:t>
      </w:r>
    </w:p>
    <w:p w:rsidR="00B873A7" w:rsidRDefault="00B873A7" w:rsidP="00B873A7">
      <w:r>
        <w:t>From 2012 to 2025, the number of tablet subscriptions grows from 1 million to 4.2 </w:t>
      </w:r>
      <w:r w:rsidRPr="00DF48E9">
        <w:t>m</w:t>
      </w:r>
      <w:r>
        <w:t>illion, as a result of the following developments:</w:t>
      </w:r>
    </w:p>
    <w:p w:rsidR="00B873A7" w:rsidRPr="004E1BCC" w:rsidRDefault="00B873A7" w:rsidP="00B873A7">
      <w:pPr>
        <w:pStyle w:val="ListBulletCompact"/>
        <w:tabs>
          <w:tab w:val="num" w:pos="360"/>
        </w:tabs>
        <w:ind w:left="357" w:hanging="357"/>
        <w:rPr>
          <w:spacing w:val="-4"/>
        </w:rPr>
      </w:pPr>
      <w:r>
        <w:rPr>
          <w:spacing w:val="-4"/>
        </w:rPr>
        <w:t>a</w:t>
      </w:r>
      <w:r w:rsidRPr="004E1BCC">
        <w:rPr>
          <w:spacing w:val="-4"/>
        </w:rPr>
        <w:t>fter peaking at around 0.9</w:t>
      </w:r>
      <w:r>
        <w:rPr>
          <w:spacing w:val="-4"/>
        </w:rPr>
        <w:t>5</w:t>
      </w:r>
      <w:r w:rsidRPr="004E1BCC">
        <w:rPr>
          <w:spacing w:val="-4"/>
        </w:rPr>
        <w:t> million</w:t>
      </w:r>
      <w:r>
        <w:rPr>
          <w:spacing w:val="-4"/>
        </w:rPr>
        <w:t xml:space="preserve"> in 2014</w:t>
      </w:r>
      <w:r w:rsidRPr="004E1BCC">
        <w:rPr>
          <w:spacing w:val="-4"/>
        </w:rPr>
        <w:t xml:space="preserve">, 3G subscriptions decline to </w:t>
      </w:r>
      <w:r>
        <w:rPr>
          <w:spacing w:val="-4"/>
        </w:rPr>
        <w:t>fewer than 5</w:t>
      </w:r>
      <w:r w:rsidRPr="004E1BCC">
        <w:rPr>
          <w:spacing w:val="-4"/>
        </w:rPr>
        <w:t>0</w:t>
      </w:r>
      <w:r>
        <w:rPr>
          <w:spacing w:val="-4"/>
        </w:rPr>
        <w:t> </w:t>
      </w:r>
      <w:r w:rsidRPr="004E1BCC">
        <w:rPr>
          <w:spacing w:val="-4"/>
        </w:rPr>
        <w:t>000 in 2022</w:t>
      </w:r>
    </w:p>
    <w:p w:rsidR="00B873A7" w:rsidRDefault="00B873A7" w:rsidP="00B873A7">
      <w:pPr>
        <w:pStyle w:val="ListBullet"/>
        <w:tabs>
          <w:tab w:val="num" w:pos="360"/>
        </w:tabs>
        <w:ind w:left="357" w:hanging="357"/>
      </w:pPr>
      <w:r>
        <w:t>4G subscriptions increase from 0.15 million to 4.2 million.</w:t>
      </w:r>
    </w:p>
    <w:p w:rsidR="00B873A7" w:rsidRDefault="00B873A7" w:rsidP="00B873A7">
      <w:r>
        <w:t xml:space="preserve">We note that the total number of tablets in Australia is likely to be significantly higher than the forecasts stated here since we expect that the majority </w:t>
      </w:r>
      <w:r>
        <w:lastRenderedPageBreak/>
        <w:t>of tablets (particularly at the low end of the market) will continue to be Wi-Fi only.</w:t>
      </w:r>
    </w:p>
    <w:p w:rsidR="00B873A7" w:rsidRDefault="00B873A7" w:rsidP="00B873A7">
      <w:r>
        <w:t xml:space="preserve">From 2012 to 2025, the number of dongle/laptop subscriptions </w:t>
      </w:r>
      <w:r w:rsidR="00903864">
        <w:t>d</w:t>
      </w:r>
      <w:r w:rsidR="00D716E5">
        <w:t>e</w:t>
      </w:r>
      <w:r w:rsidR="00903864">
        <w:t xml:space="preserve">clines </w:t>
      </w:r>
      <w:r>
        <w:t xml:space="preserve">from </w:t>
      </w:r>
      <w:r w:rsidR="00903864">
        <w:t>5.0</w:t>
      </w:r>
      <w:r>
        <w:t xml:space="preserve"> million to </w:t>
      </w:r>
      <w:r w:rsidR="00903864">
        <w:t>4.0</w:t>
      </w:r>
      <w:r>
        <w:t> million, as a result of:</w:t>
      </w:r>
    </w:p>
    <w:p w:rsidR="00B873A7" w:rsidRDefault="00B873A7" w:rsidP="00B873A7">
      <w:pPr>
        <w:pStyle w:val="ListBulletCompact"/>
        <w:tabs>
          <w:tab w:val="num" w:pos="360"/>
        </w:tabs>
        <w:ind w:left="357" w:hanging="357"/>
      </w:pPr>
      <w:r>
        <w:t xml:space="preserve">3G subscriptions declining from </w:t>
      </w:r>
      <w:r w:rsidR="00903864">
        <w:t>4.2</w:t>
      </w:r>
      <w:r>
        <w:t> million to fewer than 50 000 in 2023</w:t>
      </w:r>
    </w:p>
    <w:p w:rsidR="00B873A7" w:rsidRDefault="00B873A7" w:rsidP="00B873A7">
      <w:pPr>
        <w:pStyle w:val="ListBullet"/>
        <w:tabs>
          <w:tab w:val="num" w:pos="360"/>
        </w:tabs>
        <w:ind w:left="357" w:hanging="357"/>
      </w:pPr>
      <w:r>
        <w:t>4G subscriptions increasing from 0.</w:t>
      </w:r>
      <w:r w:rsidR="00903864">
        <w:t>8</w:t>
      </w:r>
      <w:r>
        <w:t xml:space="preserve"> million to </w:t>
      </w:r>
      <w:r w:rsidR="00903864">
        <w:t>4.0</w:t>
      </w:r>
      <w:r>
        <w:t xml:space="preserve"> million.</w:t>
      </w:r>
    </w:p>
    <w:p w:rsidR="00B873A7" w:rsidRDefault="00B873A7" w:rsidP="00B873A7">
      <w:r>
        <w:t>From 2012 to 2025, the number of M2M subscriptions grows from 0.5 million to 8.1 million, as a result of:</w:t>
      </w:r>
    </w:p>
    <w:p w:rsidR="00B873A7" w:rsidRDefault="00B873A7" w:rsidP="00B873A7">
      <w:pPr>
        <w:pStyle w:val="ListBulletCompact"/>
        <w:tabs>
          <w:tab w:val="num" w:pos="360"/>
        </w:tabs>
        <w:ind w:left="357" w:hanging="357"/>
      </w:pPr>
      <w:r>
        <w:t>3G subscriptions declining from 0.5 million to fewer than 50 000 in 2025</w:t>
      </w:r>
    </w:p>
    <w:p w:rsidR="00B873A7" w:rsidRDefault="00B873A7" w:rsidP="00B873A7">
      <w:pPr>
        <w:pStyle w:val="ListBullet"/>
        <w:tabs>
          <w:tab w:val="num" w:pos="360"/>
        </w:tabs>
        <w:ind w:left="357" w:hanging="357"/>
      </w:pPr>
      <w:r>
        <w:t>4G subscriptions increasing to 8.1 million.</w:t>
      </w:r>
    </w:p>
    <w:p w:rsidR="00B873A7" w:rsidRDefault="00B873A7" w:rsidP="00B873A7">
      <w:r>
        <w:t>We believe that the main categories of M2M device in 2025 will be security alarms and sensors (around 40% of total connections) and automotive and transport (around 33% of total connections). Although smart metering also constitutes a major M2M application we believe that the majority of smart meters will continue to be connected via dedicated networks and thus we expect that M2M devices for the utility industries will only account for around 10% of devices on commercial mobile networks.</w:t>
      </w:r>
    </w:p>
    <w:p w:rsidR="00B873A7" w:rsidRPr="003D1165" w:rsidRDefault="00B873A7" w:rsidP="00B873A7">
      <w:pPr>
        <w:rPr>
          <w:spacing w:val="-4"/>
        </w:rPr>
      </w:pPr>
      <w:r w:rsidRPr="00B8141D">
        <w:rPr>
          <w:spacing w:val="-4"/>
        </w:rPr>
        <w:t>We assume that the number of subscribers in each geotype is in proportion to the population of that geotype and that the proportion of 2G, 3G and 4G subscribers does not vary between geotypes.</w:t>
      </w:r>
      <w:r>
        <w:rPr>
          <w:spacing w:val="-4"/>
        </w:rPr>
        <w:t xml:space="preserve"> However, the impact of the net flow of commuters from urban, suburban and rural geotypes into denser geotypes has been taken into account. </w:t>
      </w:r>
      <w:r w:rsidRPr="003D1165">
        <w:t xml:space="preserve">In denser geotypes the extra traffic from commuters is added onto the traffic generated by residents. However, no corresponding reduction in traffic is made in the geotypes </w:t>
      </w:r>
      <w:r>
        <w:t xml:space="preserve">where </w:t>
      </w:r>
      <w:r w:rsidRPr="003D1165">
        <w:t>commuters live; this is to account for the fact that they contribute to two busy hours, at different time</w:t>
      </w:r>
      <w:r>
        <w:t>s of the day:</w:t>
      </w:r>
      <w:r w:rsidRPr="003D1165">
        <w:t xml:space="preserve"> in their home geotype (</w:t>
      </w:r>
      <w:r>
        <w:t>busy hour</w:t>
      </w:r>
      <w:r w:rsidRPr="003D1165">
        <w:t xml:space="preserve"> in the evening) and </w:t>
      </w:r>
      <w:r>
        <w:t xml:space="preserve">in </w:t>
      </w:r>
      <w:r w:rsidRPr="003D1165">
        <w:t>the geotype they commute to (</w:t>
      </w:r>
      <w:r>
        <w:t xml:space="preserve">busy hour </w:t>
      </w:r>
      <w:r w:rsidRPr="003D1165">
        <w:t xml:space="preserve">in the </w:t>
      </w:r>
      <w:r>
        <w:t>daytime</w:t>
      </w:r>
      <w:r w:rsidRPr="003D1165">
        <w:t>)</w:t>
      </w:r>
      <w:r>
        <w:t xml:space="preserve">. More details </w:t>
      </w:r>
      <w:r>
        <w:lastRenderedPageBreak/>
        <w:t>of the inputs used to determine the proportion of commuters are provided in S</w:t>
      </w:r>
      <w:r w:rsidRPr="005A1783">
        <w:t>ection</w:t>
      </w:r>
      <w:r>
        <w:t> </w:t>
      </w:r>
      <w:r w:rsidRPr="002D2F9B">
        <w:fldChar w:fldCharType="begin"/>
      </w:r>
      <w:r w:rsidRPr="00CA282A">
        <w:instrText xml:space="preserve"> REF _Ref380592999 \r \h  \* MERGEFORMAT </w:instrText>
      </w:r>
      <w:r w:rsidRPr="002D2F9B">
        <w:fldChar w:fldCharType="separate"/>
      </w:r>
      <w:r w:rsidR="00A87B65">
        <w:t>4.3.7</w:t>
      </w:r>
      <w:r w:rsidRPr="002D2F9B">
        <w:fldChar w:fldCharType="end"/>
      </w:r>
      <w:r w:rsidRPr="005A1783">
        <w:t>.</w:t>
      </w:r>
    </w:p>
    <w:p w:rsidR="00B873A7" w:rsidRDefault="00B873A7" w:rsidP="00B873A7">
      <w:pPr>
        <w:pStyle w:val="Heading3"/>
        <w:ind w:hanging="567"/>
      </w:pPr>
      <w:bookmarkStart w:id="105" w:name="_Toc373161399"/>
      <w:r w:rsidRPr="008A0DCE">
        <w:t>Usage per subscriber</w:t>
      </w:r>
      <w:bookmarkEnd w:id="105"/>
    </w:p>
    <w:p w:rsidR="00B873A7" w:rsidRPr="00B8141D" w:rsidRDefault="00B873A7" w:rsidP="00B873A7">
      <w:pPr>
        <w:rPr>
          <w:spacing w:val="-4"/>
        </w:rPr>
      </w:pPr>
      <w:r w:rsidRPr="00B8141D">
        <w:rPr>
          <w:spacing w:val="-4"/>
        </w:rPr>
        <w:t xml:space="preserve">As well as the number of subscribers, the data request issued to operators also asked for the volumes of traffic per subscriber. </w:t>
      </w:r>
      <w:r>
        <w:rPr>
          <w:spacing w:val="-4"/>
        </w:rPr>
        <w:t>The estimates from the operators varied, but we used them to derive average</w:t>
      </w:r>
      <w:r w:rsidRPr="00B8141D">
        <w:rPr>
          <w:spacing w:val="-4"/>
        </w:rPr>
        <w:t xml:space="preserve"> actual/forecast values for the total market by subscription and by type of device: handsets, tablets, dongles/laptops and M2M devices.</w:t>
      </w:r>
    </w:p>
    <w:p w:rsidR="00B873A7" w:rsidRDefault="00B873A7" w:rsidP="00B873A7">
      <w:r>
        <w:t>Forecasting future levels of traffic per device is difficult: there has undoubtedly been rapid growth in recent years but it is unclear how long this rate of growth can continue, particularly if there is no commensurate rise in ARPU. In our base case we have assumed that the growth is faster than linear (i.e. each year’s incremental growth is greater than the incremental growth in the previous year) but less than exponential (i.e. the percentage growth rate decreases over time). We have however, included a sensitivity with faster growth in usage than we have in the base case. We also note that forecasting future levels of traffic for M2M devices is particularly difficult because this is an emerging category encompassing a wide range of different applications. We expect the majority of M2M devices to consume only small amounts of data but a minority (e.g. those used for video surveillance) could consume larger volumes. We have set M2M usage to be ten per cent of smartphone usage, a figure which is broadly in line with the ratio between M2M and smartphone traffic in Cisco’s VNI forecast.</w:t>
      </w:r>
    </w:p>
    <w:p w:rsidR="00B873A7" w:rsidRPr="005A106E" w:rsidRDefault="00B873A7" w:rsidP="00B873A7">
      <w:pPr>
        <w:rPr>
          <w:spacing w:val="-4"/>
        </w:rPr>
      </w:pPr>
      <w:r w:rsidRPr="005A106E">
        <w:rPr>
          <w:spacing w:val="-4"/>
        </w:rPr>
        <w:t>For a given type of device, annual data traffic varies depending on whether the device is 3G or 4G. For voice traffic, we assume that the annual minutes per subscription is similar across both voice-only and voice-and-data handsets. The assumptions regarding voice traffic have relatively little impact on the results since the volume of data traffic already exceeds the volume of voice traffic by a large factor.</w:t>
      </w:r>
    </w:p>
    <w:p w:rsidR="00B873A7" w:rsidRDefault="00B873A7" w:rsidP="00B873A7">
      <w:pPr>
        <w:keepNext/>
      </w:pPr>
      <w:r w:rsidRPr="002D2F9B">
        <w:lastRenderedPageBreak/>
        <w:fldChar w:fldCharType="begin"/>
      </w:r>
      <w:r w:rsidRPr="00CA282A">
        <w:instrText xml:space="preserve"> REF _Ref367721315 \h </w:instrText>
      </w:r>
      <w:r w:rsidRPr="002D2F9B">
        <w:fldChar w:fldCharType="separate"/>
      </w:r>
      <w:r w:rsidR="00A87B65">
        <w:t>Figure </w:t>
      </w:r>
      <w:r w:rsidR="00A87B65">
        <w:rPr>
          <w:noProof/>
        </w:rPr>
        <w:t>4</w:t>
      </w:r>
      <w:r w:rsidR="00A87B65">
        <w:t>.</w:t>
      </w:r>
      <w:r w:rsidR="00A87B65">
        <w:rPr>
          <w:noProof/>
        </w:rPr>
        <w:t>19</w:t>
      </w:r>
      <w:r w:rsidRPr="002D2F9B">
        <w:fldChar w:fldCharType="end"/>
      </w:r>
      <w:r>
        <w:t xml:space="preserve"> and </w:t>
      </w:r>
      <w:r w:rsidRPr="002D2F9B">
        <w:fldChar w:fldCharType="begin"/>
      </w:r>
      <w:r w:rsidRPr="00CA282A">
        <w:instrText xml:space="preserve"> REF _Ref367721317 \h </w:instrText>
      </w:r>
      <w:r w:rsidRPr="002D2F9B">
        <w:fldChar w:fldCharType="separate"/>
      </w:r>
      <w:r w:rsidR="00A87B65">
        <w:t>Figure </w:t>
      </w:r>
      <w:r w:rsidR="00A87B65">
        <w:rPr>
          <w:noProof/>
        </w:rPr>
        <w:t>4</w:t>
      </w:r>
      <w:r w:rsidR="00A87B65">
        <w:t>.</w:t>
      </w:r>
      <w:r w:rsidR="00A87B65">
        <w:rPr>
          <w:noProof/>
        </w:rPr>
        <w:t>20</w:t>
      </w:r>
      <w:r w:rsidRPr="002D2F9B">
        <w:fldChar w:fldCharType="end"/>
      </w:r>
      <w:r>
        <w:t xml:space="preserve"> present the volume of data traffic per device for 3G devices and 4G devices.</w:t>
      </w:r>
    </w:p>
    <w:tbl>
      <w:tblPr>
        <w:tblW w:w="8730" w:type="dxa"/>
        <w:tblLayout w:type="fixed"/>
        <w:tblCellMar>
          <w:left w:w="0" w:type="dxa"/>
          <w:right w:w="0" w:type="dxa"/>
        </w:tblCellMar>
        <w:tblLook w:val="0000" w:firstRow="0" w:lastRow="0" w:firstColumn="0" w:lastColumn="0" w:noHBand="0" w:noVBand="0"/>
      </w:tblPr>
      <w:tblGrid>
        <w:gridCol w:w="4229"/>
        <w:gridCol w:w="272"/>
        <w:gridCol w:w="4229"/>
      </w:tblGrid>
      <w:tr w:rsidR="00B873A7" w:rsidTr="00841EA0">
        <w:tc>
          <w:tcPr>
            <w:tcW w:w="4229" w:type="dxa"/>
            <w:shd w:val="clear" w:color="auto" w:fill="auto"/>
          </w:tcPr>
          <w:p w:rsidR="00B873A7" w:rsidRDefault="00B873A7" w:rsidP="00841EA0">
            <w:pPr>
              <w:pStyle w:val="Caption"/>
            </w:pPr>
            <w:bookmarkStart w:id="106" w:name="_Ref367721315"/>
            <w:r>
              <w:t>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r w:rsidR="008B1006">
              <w:fldChar w:fldCharType="begin"/>
            </w:r>
            <w:r w:rsidR="008B1006">
              <w:instrText xml:space="preserve"> SEQ Figure \* ARABIC \s 1 \* MERGEFORMAT </w:instrText>
            </w:r>
            <w:r w:rsidR="008B1006">
              <w:fldChar w:fldCharType="separate"/>
            </w:r>
            <w:r w:rsidR="00A87B65">
              <w:rPr>
                <w:noProof/>
              </w:rPr>
              <w:t>19</w:t>
            </w:r>
            <w:r w:rsidR="008B1006">
              <w:rPr>
                <w:noProof/>
              </w:rPr>
              <w:fldChar w:fldCharType="end"/>
            </w:r>
            <w:bookmarkEnd w:id="106"/>
            <w:r>
              <w:t xml:space="preserve">: </w:t>
            </w:r>
            <w:r w:rsidRPr="001948C5">
              <w:t xml:space="preserve">Data traffic </w:t>
            </w:r>
            <w:r>
              <w:t>per device</w:t>
            </w:r>
            <w:r w:rsidRPr="001948C5">
              <w:t xml:space="preserve"> </w:t>
            </w:r>
            <w:r>
              <w:t>for 3G devices [Source: Analysys Mason, 2014]</w:t>
            </w:r>
          </w:p>
        </w:tc>
        <w:tc>
          <w:tcPr>
            <w:tcW w:w="272" w:type="dxa"/>
            <w:shd w:val="clear" w:color="auto" w:fill="auto"/>
          </w:tcPr>
          <w:p w:rsidR="00B873A7" w:rsidRDefault="00B873A7" w:rsidP="00841EA0">
            <w:pPr>
              <w:pStyle w:val="Tablecells"/>
              <w:spacing w:before="0" w:after="120"/>
            </w:pPr>
          </w:p>
        </w:tc>
        <w:tc>
          <w:tcPr>
            <w:tcW w:w="4229" w:type="dxa"/>
            <w:shd w:val="clear" w:color="auto" w:fill="auto"/>
          </w:tcPr>
          <w:p w:rsidR="00B873A7" w:rsidRDefault="00B873A7" w:rsidP="00841EA0">
            <w:pPr>
              <w:pStyle w:val="Caption"/>
            </w:pPr>
            <w:bookmarkStart w:id="107" w:name="_Ref367721317"/>
            <w:r>
              <w:t>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r w:rsidR="008B1006">
              <w:fldChar w:fldCharType="begin"/>
            </w:r>
            <w:r w:rsidR="008B1006">
              <w:instrText xml:space="preserve"> SEQ Figure \* ARABIC \s 1 \* MERGEFORMAT </w:instrText>
            </w:r>
            <w:r w:rsidR="008B1006">
              <w:fldChar w:fldCharType="separate"/>
            </w:r>
            <w:r w:rsidR="00A87B65">
              <w:rPr>
                <w:noProof/>
              </w:rPr>
              <w:t>20</w:t>
            </w:r>
            <w:r w:rsidR="008B1006">
              <w:rPr>
                <w:noProof/>
              </w:rPr>
              <w:fldChar w:fldCharType="end"/>
            </w:r>
            <w:bookmarkEnd w:id="107"/>
            <w:r>
              <w:t xml:space="preserve">: </w:t>
            </w:r>
            <w:r w:rsidRPr="001948C5">
              <w:t xml:space="preserve">Data traffic </w:t>
            </w:r>
            <w:r>
              <w:t>per device</w:t>
            </w:r>
            <w:r w:rsidRPr="001948C5">
              <w:t xml:space="preserve"> </w:t>
            </w:r>
            <w:r>
              <w:t>for 4G devices [Source: Analysys Mason, 2014]</w:t>
            </w:r>
          </w:p>
        </w:tc>
      </w:tr>
      <w:tr w:rsidR="00B873A7" w:rsidTr="00841EA0">
        <w:tc>
          <w:tcPr>
            <w:tcW w:w="4229" w:type="dxa"/>
            <w:shd w:val="clear" w:color="auto" w:fill="auto"/>
          </w:tcPr>
          <w:p w:rsidR="00B873A7" w:rsidRDefault="00903864" w:rsidP="00841EA0">
            <w:pPr>
              <w:pStyle w:val="Bordersmall"/>
            </w:pPr>
            <w:r>
              <w:rPr>
                <w:noProof/>
                <w:lang w:val="en-AU" w:eastAsia="en-AU"/>
              </w:rPr>
              <w:drawing>
                <wp:inline distT="0" distB="0" distL="0" distR="0" wp14:anchorId="56CE0F9E" wp14:editId="3A3A009B">
                  <wp:extent cx="2647950" cy="3105150"/>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2647950" cy="3105150"/>
                          </a:xfrm>
                          <a:prstGeom prst="rect">
                            <a:avLst/>
                          </a:prstGeom>
                          <a:noFill/>
                          <a:ln>
                            <a:noFill/>
                          </a:ln>
                        </pic:spPr>
                      </pic:pic>
                    </a:graphicData>
                  </a:graphic>
                </wp:inline>
              </w:drawing>
            </w:r>
          </w:p>
        </w:tc>
        <w:tc>
          <w:tcPr>
            <w:tcW w:w="272" w:type="dxa"/>
            <w:shd w:val="clear" w:color="auto" w:fill="auto"/>
          </w:tcPr>
          <w:p w:rsidR="00B873A7" w:rsidRDefault="00B873A7" w:rsidP="00841EA0">
            <w:pPr>
              <w:pStyle w:val="Tablecells"/>
            </w:pPr>
          </w:p>
        </w:tc>
        <w:tc>
          <w:tcPr>
            <w:tcW w:w="4229" w:type="dxa"/>
            <w:shd w:val="clear" w:color="auto" w:fill="auto"/>
          </w:tcPr>
          <w:p w:rsidR="00B873A7" w:rsidRDefault="00903864" w:rsidP="00841EA0">
            <w:pPr>
              <w:pStyle w:val="Bordersmall"/>
            </w:pPr>
            <w:r>
              <w:rPr>
                <w:noProof/>
                <w:lang w:val="en-AU" w:eastAsia="en-AU"/>
              </w:rPr>
              <w:drawing>
                <wp:inline distT="0" distB="0" distL="0" distR="0" wp14:anchorId="5E361CD6" wp14:editId="5CFD3879">
                  <wp:extent cx="2647950" cy="3105150"/>
                  <wp:effectExtent l="0" t="0" r="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2647950" cy="3105150"/>
                          </a:xfrm>
                          <a:prstGeom prst="rect">
                            <a:avLst/>
                          </a:prstGeom>
                          <a:noFill/>
                          <a:ln>
                            <a:noFill/>
                          </a:ln>
                        </pic:spPr>
                      </pic:pic>
                    </a:graphicData>
                  </a:graphic>
                </wp:inline>
              </w:drawing>
            </w:r>
          </w:p>
        </w:tc>
      </w:tr>
    </w:tbl>
    <w:p w:rsidR="00B873A7" w:rsidRDefault="00B873A7" w:rsidP="00B873A7">
      <w:r>
        <w:br/>
        <w:t xml:space="preserve">We have not been able to find third-party forecasts of data traffic per subscriber split by 3G and 4G devices. However, we have checked that the total volume of data traffic (based on the traffic volumes per subscriber and type of device presented here) and the numbers of subscribers presented in Section </w:t>
      </w:r>
      <w:r w:rsidRPr="002D2F9B">
        <w:fldChar w:fldCharType="begin"/>
      </w:r>
      <w:r w:rsidRPr="002571CA">
        <w:instrText xml:space="preserve"> REF _Ref367962179 \r \h </w:instrText>
      </w:r>
      <w:r w:rsidRPr="002D2F9B">
        <w:fldChar w:fldCharType="separate"/>
      </w:r>
      <w:r w:rsidR="00A87B65">
        <w:t>4.3.3</w:t>
      </w:r>
      <w:r w:rsidRPr="002D2F9B">
        <w:fldChar w:fldCharType="end"/>
      </w:r>
      <w:r>
        <w:t xml:space="preserve"> are in line with third-party forecasts. This is detailed in Section </w:t>
      </w:r>
      <w:r w:rsidRPr="002D2F9B">
        <w:fldChar w:fldCharType="begin"/>
      </w:r>
      <w:r w:rsidRPr="002571CA">
        <w:instrText xml:space="preserve"> REF _Ref367962224 \r \h </w:instrText>
      </w:r>
      <w:r w:rsidRPr="002D2F9B">
        <w:fldChar w:fldCharType="separate"/>
      </w:r>
      <w:r w:rsidR="00A87B65">
        <w:t>4.3.6</w:t>
      </w:r>
      <w:r w:rsidRPr="002D2F9B">
        <w:fldChar w:fldCharType="end"/>
      </w:r>
      <w:r>
        <w:t>.</w:t>
      </w:r>
    </w:p>
    <w:p w:rsidR="00B873A7" w:rsidRDefault="00B873A7" w:rsidP="00B873A7">
      <w:pPr>
        <w:pStyle w:val="Heading3"/>
        <w:ind w:hanging="567"/>
      </w:pPr>
      <w:bookmarkStart w:id="108" w:name="_Ref369178289"/>
      <w:bookmarkStart w:id="109" w:name="_Ref369178295"/>
      <w:bookmarkStart w:id="110" w:name="_Toc373161400"/>
      <w:r w:rsidRPr="008A0DCE">
        <w:t>Wi-Fi offloading</w:t>
      </w:r>
      <w:bookmarkEnd w:id="108"/>
      <w:bookmarkEnd w:id="109"/>
      <w:bookmarkEnd w:id="110"/>
    </w:p>
    <w:p w:rsidR="00B873A7" w:rsidRDefault="00B873A7" w:rsidP="00B873A7">
      <w:pPr>
        <w:pStyle w:val="Heading4"/>
      </w:pPr>
      <w:r>
        <w:t>Definition of Wi-Fi offloading</w:t>
      </w:r>
    </w:p>
    <w:p w:rsidR="00B873A7" w:rsidRDefault="00B873A7" w:rsidP="00B873A7">
      <w:r>
        <w:t xml:space="preserve">Wi-Fi offloading occurs when mobile data-enabled devices use Wi-Fi instead of a cellular connection to transmit and receive mobile data. We classify offloading as either passive or active (see </w:t>
      </w:r>
      <w:r w:rsidRPr="002D2F9B">
        <w:fldChar w:fldCharType="begin"/>
      </w:r>
      <w:r w:rsidRPr="002571CA">
        <w:instrText xml:space="preserve"> REF _Ref367961185 \h </w:instrText>
      </w:r>
      <w:r w:rsidRPr="002D2F9B">
        <w:fldChar w:fldCharType="separate"/>
      </w:r>
      <w:r w:rsidR="00A87B65">
        <w:t>Figure </w:t>
      </w:r>
      <w:r w:rsidR="00A87B65">
        <w:rPr>
          <w:noProof/>
        </w:rPr>
        <w:t>4</w:t>
      </w:r>
      <w:r w:rsidR="00A87B65">
        <w:t>.</w:t>
      </w:r>
      <w:r w:rsidR="00A87B65">
        <w:rPr>
          <w:noProof/>
        </w:rPr>
        <w:t>21</w:t>
      </w:r>
      <w:r w:rsidRPr="002D2F9B">
        <w:fldChar w:fldCharType="end"/>
      </w:r>
      <w:r>
        <w:t>):</w:t>
      </w:r>
      <w:r w:rsidRPr="00163138">
        <w:t xml:space="preserve"> </w:t>
      </w:r>
      <w:r w:rsidRPr="00D12BB6">
        <w:t xml:space="preserve">passive offloading </w:t>
      </w:r>
      <w:r>
        <w:t>is</w:t>
      </w:r>
      <w:r w:rsidRPr="00D12BB6">
        <w:t xml:space="preserve"> offloading that is controlled by the user </w:t>
      </w:r>
      <w:r>
        <w:t xml:space="preserve">while active offloading </w:t>
      </w:r>
      <w:r w:rsidRPr="00D12BB6">
        <w:t xml:space="preserve">is </w:t>
      </w:r>
      <w:r>
        <w:lastRenderedPageBreak/>
        <w:t xml:space="preserve">offloading that is </w:t>
      </w:r>
      <w:r w:rsidRPr="00D12BB6">
        <w:t>controlled by the mobile network operator</w:t>
      </w:r>
      <w:r>
        <w:t>. We only consider data traffic from smartphones and mobile-connected mid-screen devices (principally tablets) as being offloaded since the majority of Wi-Fi traffic from large-screen devices (principally laptops) was never destined to be carried over mobile networks in the first place.</w:t>
      </w:r>
    </w:p>
    <w:p w:rsidR="00B873A7" w:rsidRDefault="00B873A7" w:rsidP="00B873A7">
      <w:r>
        <w:t>We assume that all Wi-Fi traffic generated by smartphones and mobile-connected mid-screen devices at home and in the office is passively offloaded and that a proportion of traffic away from homes and offices is passively offloaded as well (e.g. users deliberately seek out Wi-Fi networks in hotels, coffee shops, etc.). We split actively offloaded Wi-Fi traffic into carrier-class Wi-Fi and other mobile operator offload.</w:t>
      </w:r>
    </w:p>
    <w:p w:rsidR="00B873A7" w:rsidRDefault="00B873A7" w:rsidP="00B873A7">
      <w:r>
        <w:t>We define carrier-class Wi-Fi as traffic carried using a suite of possible solutions to give the user a seamless transition between mobile and Wi-Fi data. These include the Wi-Fi Alliance’s Passpoint framework, and the 3GPP’s Access Network Discovery and Selection Function. Carrier-class offload is a subset of mobile operator offload. Carrier-class Wi-Fi is in its infancy but we expect it to grow rapidly over the next five years.</w:t>
      </w:r>
    </w:p>
    <w:tbl>
      <w:tblPr>
        <w:tblW w:w="8730" w:type="dxa"/>
        <w:tblLayout w:type="fixed"/>
        <w:tblCellMar>
          <w:left w:w="0" w:type="dxa"/>
          <w:right w:w="0" w:type="dxa"/>
        </w:tblCellMar>
        <w:tblLook w:val="0000" w:firstRow="0" w:lastRow="0" w:firstColumn="0" w:lastColumn="0" w:noHBand="0" w:noVBand="0"/>
      </w:tblPr>
      <w:tblGrid>
        <w:gridCol w:w="6576"/>
        <w:gridCol w:w="2154"/>
      </w:tblGrid>
      <w:tr w:rsidR="00B873A7" w:rsidTr="00841EA0">
        <w:tc>
          <w:tcPr>
            <w:tcW w:w="6576" w:type="dxa"/>
            <w:tcBorders>
              <w:right w:val="single" w:sz="4" w:space="0" w:color="auto"/>
            </w:tcBorders>
            <w:shd w:val="clear" w:color="auto" w:fill="auto"/>
          </w:tcPr>
          <w:p w:rsidR="00B873A7" w:rsidRDefault="00B873A7" w:rsidP="00841EA0">
            <w:pPr>
              <w:pStyle w:val="Bordersmall"/>
            </w:pPr>
            <w:r>
              <w:rPr>
                <w:noProof/>
                <w:lang w:val="en-AU" w:eastAsia="en-AU"/>
              </w:rPr>
              <w:lastRenderedPageBreak/>
              <w:drawing>
                <wp:inline distT="0" distB="0" distL="0" distR="0" wp14:anchorId="796C6806" wp14:editId="4EDFA7DD">
                  <wp:extent cx="4171950" cy="3790950"/>
                  <wp:effectExtent l="0" t="0" r="0" b="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4171950" cy="3790950"/>
                          </a:xfrm>
                          <a:prstGeom prst="rect">
                            <a:avLst/>
                          </a:prstGeom>
                          <a:noFill/>
                          <a:ln>
                            <a:noFill/>
                          </a:ln>
                        </pic:spPr>
                      </pic:pic>
                    </a:graphicData>
                  </a:graphic>
                </wp:inline>
              </w:drawing>
            </w:r>
          </w:p>
        </w:tc>
        <w:tc>
          <w:tcPr>
            <w:tcW w:w="2154" w:type="dxa"/>
            <w:tcBorders>
              <w:left w:val="single" w:sz="4" w:space="0" w:color="auto"/>
            </w:tcBorders>
            <w:shd w:val="clear" w:color="auto" w:fill="auto"/>
          </w:tcPr>
          <w:p w:rsidR="00B873A7" w:rsidRDefault="00B873A7" w:rsidP="00841EA0">
            <w:pPr>
              <w:pStyle w:val="Captionsmall"/>
            </w:pPr>
            <w:bookmarkStart w:id="111" w:name="_Ref367961185"/>
            <w:r>
              <w:t>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r w:rsidR="008B1006">
              <w:fldChar w:fldCharType="begin"/>
            </w:r>
            <w:r w:rsidR="008B1006">
              <w:instrText xml:space="preserve"> SEQ Figure \* ARABIC \s 1 \* MERGEFORMAT </w:instrText>
            </w:r>
            <w:r w:rsidR="008B1006">
              <w:fldChar w:fldCharType="separate"/>
            </w:r>
            <w:r w:rsidR="00A87B65">
              <w:rPr>
                <w:noProof/>
              </w:rPr>
              <w:t>21</w:t>
            </w:r>
            <w:r w:rsidR="008B1006">
              <w:rPr>
                <w:noProof/>
              </w:rPr>
              <w:fldChar w:fldCharType="end"/>
            </w:r>
            <w:bookmarkEnd w:id="111"/>
            <w:r>
              <w:t>: Schematic view of mobile data offloading methods and applicable locations [Source: Analysys Mason, 2014]</w:t>
            </w:r>
          </w:p>
        </w:tc>
      </w:tr>
    </w:tbl>
    <w:p w:rsidR="00B873A7" w:rsidRDefault="00B873A7" w:rsidP="00B873A7">
      <w:r>
        <w:t xml:space="preserve">There is considerable uncertainty about how much traffic will be offloaded onto Wi-Fi networks in the future and clearly the answer is partly dependent on commercial decisions taken by the mobile operators with regard to the pricing of data traffic. Nevertheless, as </w:t>
      </w:r>
      <w:r w:rsidRPr="002D2F9B">
        <w:fldChar w:fldCharType="begin"/>
      </w:r>
      <w:r w:rsidRPr="002571CA">
        <w:instrText xml:space="preserve"> REF _Ref367961470 \h </w:instrText>
      </w:r>
      <w:r w:rsidRPr="002D2F9B">
        <w:fldChar w:fldCharType="separate"/>
      </w:r>
      <w:r w:rsidR="00A87B65">
        <w:t>Figure </w:t>
      </w:r>
      <w:r w:rsidR="00A87B65">
        <w:rPr>
          <w:noProof/>
        </w:rPr>
        <w:t>4</w:t>
      </w:r>
      <w:r w:rsidR="00A87B65">
        <w:t>.</w:t>
      </w:r>
      <w:r w:rsidR="00A87B65">
        <w:rPr>
          <w:noProof/>
        </w:rPr>
        <w:t>22</w:t>
      </w:r>
      <w:r w:rsidRPr="002D2F9B">
        <w:fldChar w:fldCharType="end"/>
      </w:r>
      <w:r>
        <w:t xml:space="preserve"> shows, we expect passive offloading to be much larger than active offloading.</w:t>
      </w:r>
      <w:r>
        <w:rPr>
          <w:rStyle w:val="FootnoteReference"/>
        </w:rPr>
        <w:footnoteReference w:id="27"/>
      </w:r>
      <w:r>
        <w:t xml:space="preserve"> </w:t>
      </w:r>
    </w:p>
    <w:p w:rsidR="00B873A7" w:rsidRDefault="00B873A7" w:rsidP="00B873A7">
      <w:r>
        <w:t xml:space="preserve">An important reason for the predominance of passive offloading is that almost all offloaded traffic originates in homes and offices (see </w:t>
      </w:r>
      <w:r w:rsidRPr="002D2F9B">
        <w:fldChar w:fldCharType="begin"/>
      </w:r>
      <w:r w:rsidRPr="002571CA">
        <w:instrText xml:space="preserve"> REF _Ref367961125 \h </w:instrText>
      </w:r>
      <w:r w:rsidRPr="002D2F9B">
        <w:fldChar w:fldCharType="separate"/>
      </w:r>
      <w:r w:rsidR="00A87B65">
        <w:t>Figure </w:t>
      </w:r>
      <w:r w:rsidR="00A87B65">
        <w:rPr>
          <w:noProof/>
        </w:rPr>
        <w:t>4</w:t>
      </w:r>
      <w:r w:rsidR="00A87B65">
        <w:t>.</w:t>
      </w:r>
      <w:r w:rsidR="00A87B65">
        <w:rPr>
          <w:noProof/>
        </w:rPr>
        <w:t>23</w:t>
      </w:r>
      <w:r w:rsidRPr="002D2F9B">
        <w:fldChar w:fldCharType="end"/>
      </w:r>
      <w:r>
        <w:t>), locations which rely almost exclusively on (private) passive offloading.</w:t>
      </w:r>
    </w:p>
    <w:tbl>
      <w:tblPr>
        <w:tblW w:w="8730" w:type="dxa"/>
        <w:tblLayout w:type="fixed"/>
        <w:tblCellMar>
          <w:left w:w="0" w:type="dxa"/>
          <w:right w:w="0" w:type="dxa"/>
        </w:tblCellMar>
        <w:tblLook w:val="0000" w:firstRow="0" w:lastRow="0" w:firstColumn="0" w:lastColumn="0" w:noHBand="0" w:noVBand="0"/>
      </w:tblPr>
      <w:tblGrid>
        <w:gridCol w:w="6576"/>
        <w:gridCol w:w="2154"/>
      </w:tblGrid>
      <w:tr w:rsidR="00B873A7" w:rsidTr="00841EA0">
        <w:tc>
          <w:tcPr>
            <w:tcW w:w="6576" w:type="dxa"/>
            <w:tcBorders>
              <w:right w:val="single" w:sz="4" w:space="0" w:color="auto"/>
            </w:tcBorders>
            <w:shd w:val="clear" w:color="auto" w:fill="auto"/>
          </w:tcPr>
          <w:p w:rsidR="00B873A7" w:rsidRDefault="00B873A7" w:rsidP="00841EA0">
            <w:pPr>
              <w:pStyle w:val="Bordersmall"/>
            </w:pPr>
            <w:r>
              <w:rPr>
                <w:noProof/>
                <w:lang w:val="en-AU" w:eastAsia="en-AU"/>
              </w:rPr>
              <w:lastRenderedPageBreak/>
              <w:drawing>
                <wp:inline distT="0" distB="0" distL="0" distR="0" wp14:anchorId="7537A286" wp14:editId="7262D554">
                  <wp:extent cx="3762375" cy="2943225"/>
                  <wp:effectExtent l="0" t="0" r="0" b="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48" cstate="print">
                            <a:extLst>
                              <a:ext uri="{28A0092B-C50C-407E-A947-70E740481C1C}">
                                <a14:useLocalDpi xmlns:a14="http://schemas.microsoft.com/office/drawing/2010/main" val="0"/>
                              </a:ext>
                            </a:extLst>
                          </a:blip>
                          <a:srcRect t="2446" b="3058"/>
                          <a:stretch/>
                        </pic:blipFill>
                        <pic:spPr bwMode="auto">
                          <a:xfrm>
                            <a:off x="0" y="0"/>
                            <a:ext cx="3762375" cy="2943225"/>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2154" w:type="dxa"/>
            <w:tcBorders>
              <w:left w:val="single" w:sz="4" w:space="0" w:color="auto"/>
            </w:tcBorders>
            <w:shd w:val="clear" w:color="auto" w:fill="auto"/>
          </w:tcPr>
          <w:p w:rsidR="00B873A7" w:rsidRDefault="00B873A7" w:rsidP="00841EA0">
            <w:pPr>
              <w:pStyle w:val="Captionsmall"/>
            </w:pPr>
            <w:bookmarkStart w:id="112" w:name="_Ref367961470"/>
            <w:r>
              <w:t>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r w:rsidR="008B1006">
              <w:fldChar w:fldCharType="begin"/>
            </w:r>
            <w:r w:rsidR="008B1006">
              <w:instrText xml:space="preserve"> SEQ Figure \* ARABIC \s 1 \* MERGEFORMAT </w:instrText>
            </w:r>
            <w:r w:rsidR="008B1006">
              <w:fldChar w:fldCharType="separate"/>
            </w:r>
            <w:r w:rsidR="00A87B65">
              <w:rPr>
                <w:noProof/>
              </w:rPr>
              <w:t>22</w:t>
            </w:r>
            <w:r w:rsidR="008B1006">
              <w:rPr>
                <w:noProof/>
              </w:rPr>
              <w:fldChar w:fldCharType="end"/>
            </w:r>
            <w:bookmarkEnd w:id="112"/>
            <w:r>
              <w:t>: Active and passive Wi-Fi offload as a percentage of total offloaded data traffic for small- and connected mid-screen devices [Source: Analysys Mason, 2012]</w:t>
            </w:r>
          </w:p>
        </w:tc>
      </w:tr>
    </w:tbl>
    <w:p w:rsidR="00B873A7" w:rsidRDefault="00B873A7" w:rsidP="00B873A7">
      <w:pPr>
        <w:pStyle w:val="Heading4"/>
      </w:pPr>
      <w:r>
        <w:t>Volumes of data traffic offloaded</w:t>
      </w:r>
    </w:p>
    <w:p w:rsidR="00B873A7" w:rsidRDefault="00B873A7" w:rsidP="00B873A7">
      <w:r>
        <w:t>As illustrated in</w:t>
      </w:r>
      <w:r w:rsidRPr="00700C67">
        <w:t xml:space="preserve"> </w:t>
      </w:r>
      <w:r w:rsidRPr="002D2F9B">
        <w:fldChar w:fldCharType="begin"/>
      </w:r>
      <w:r w:rsidRPr="002571CA">
        <w:instrText xml:space="preserve"> REF _Ref367961125 \h </w:instrText>
      </w:r>
      <w:r w:rsidRPr="002D2F9B">
        <w:fldChar w:fldCharType="separate"/>
      </w:r>
      <w:r w:rsidR="00A87B65">
        <w:t>Figure </w:t>
      </w:r>
      <w:r w:rsidR="00A87B65">
        <w:rPr>
          <w:noProof/>
        </w:rPr>
        <w:t>4</w:t>
      </w:r>
      <w:r w:rsidR="00A87B65">
        <w:t>.</w:t>
      </w:r>
      <w:r w:rsidR="00A87B65">
        <w:rPr>
          <w:noProof/>
        </w:rPr>
        <w:t>23</w:t>
      </w:r>
      <w:r w:rsidRPr="002D2F9B">
        <w:fldChar w:fldCharType="end"/>
      </w:r>
      <w:r>
        <w:t>, we expect the proportion of mobile traffic offloaded to Wi-Fi networks to increase moderately between 2012 and 2017.</w:t>
      </w:r>
      <w:r w:rsidRPr="00921F85">
        <w:rPr>
          <w:rStyle w:val="FootnoteReference"/>
        </w:rPr>
        <w:footnoteReference w:id="28"/>
      </w:r>
      <w:r w:rsidRPr="007D22E1">
        <w:t xml:space="preserve"> </w:t>
      </w:r>
      <w:r>
        <w:t xml:space="preserve">This trend will hold for both connected mid-screen devices (i.e. mid-screen devices containing a SIM card) and smartphones, though the offload percentages are very different between these two devices (see </w:t>
      </w:r>
      <w:r w:rsidRPr="002D2F9B">
        <w:fldChar w:fldCharType="begin"/>
      </w:r>
      <w:r w:rsidRPr="002571CA">
        <w:instrText xml:space="preserve"> REF _Ref367961125 \h </w:instrText>
      </w:r>
      <w:r w:rsidRPr="002D2F9B">
        <w:fldChar w:fldCharType="separate"/>
      </w:r>
      <w:r w:rsidR="00A87B65">
        <w:t>Figure </w:t>
      </w:r>
      <w:r w:rsidR="00A87B65">
        <w:rPr>
          <w:noProof/>
        </w:rPr>
        <w:t>4</w:t>
      </w:r>
      <w:r w:rsidR="00A87B65">
        <w:t>.</w:t>
      </w:r>
      <w:r w:rsidR="00A87B65">
        <w:rPr>
          <w:noProof/>
        </w:rPr>
        <w:t>23</w:t>
      </w:r>
      <w:r w:rsidRPr="002D2F9B">
        <w:fldChar w:fldCharType="end"/>
      </w:r>
      <w:r>
        <w:t>). Furthermore, we predict that active Wi-Fi offload, while remaining the exception, will increase as a share of total offloaded traffic (</w:t>
      </w:r>
      <w:r w:rsidRPr="002D2F9B">
        <w:fldChar w:fldCharType="begin"/>
      </w:r>
      <w:r w:rsidRPr="002571CA">
        <w:instrText xml:space="preserve"> REF _Ref367961470 \h </w:instrText>
      </w:r>
      <w:r w:rsidRPr="002D2F9B">
        <w:fldChar w:fldCharType="separate"/>
      </w:r>
      <w:r w:rsidR="00A87B65">
        <w:t>Figure </w:t>
      </w:r>
      <w:r w:rsidR="00A87B65">
        <w:rPr>
          <w:noProof/>
        </w:rPr>
        <w:t>4</w:t>
      </w:r>
      <w:r w:rsidR="00A87B65">
        <w:t>.</w:t>
      </w:r>
      <w:r w:rsidR="00A87B65">
        <w:rPr>
          <w:noProof/>
        </w:rPr>
        <w:t>22</w:t>
      </w:r>
      <w:r w:rsidRPr="002D2F9B">
        <w:fldChar w:fldCharType="end"/>
      </w:r>
      <w:r>
        <w:t>).</w:t>
      </w:r>
    </w:p>
    <w:p w:rsidR="005A106E" w:rsidRDefault="005A106E" w:rsidP="00B873A7"/>
    <w:p w:rsidR="005A106E" w:rsidRPr="00921F85" w:rsidRDefault="005A106E" w:rsidP="00B873A7"/>
    <w:p w:rsidR="00B873A7" w:rsidRDefault="00B873A7" w:rsidP="00B873A7">
      <w:r>
        <w:t xml:space="preserve">Two conclusions can be drawn from </w:t>
      </w:r>
      <w:r w:rsidRPr="002D2F9B">
        <w:fldChar w:fldCharType="begin"/>
      </w:r>
      <w:r w:rsidRPr="002571CA">
        <w:instrText xml:space="preserve"> REF _Ref367961125 \h </w:instrText>
      </w:r>
      <w:r w:rsidRPr="002D2F9B">
        <w:fldChar w:fldCharType="separate"/>
      </w:r>
      <w:r w:rsidR="00A87B65">
        <w:t>Figure </w:t>
      </w:r>
      <w:r w:rsidR="00A87B65">
        <w:rPr>
          <w:noProof/>
        </w:rPr>
        <w:t>4</w:t>
      </w:r>
      <w:r w:rsidR="00A87B65">
        <w:t>.</w:t>
      </w:r>
      <w:r w:rsidR="00A87B65">
        <w:rPr>
          <w:noProof/>
        </w:rPr>
        <w:t>23</w:t>
      </w:r>
      <w:r w:rsidRPr="002D2F9B">
        <w:fldChar w:fldCharType="end"/>
      </w:r>
      <w:r>
        <w:t xml:space="preserve">. First, offloaded traffic is expected to account for around three-quarters of total mobile data traffic originating from small-screen and connected mid-screen devices in 2013 </w:t>
      </w:r>
      <w:r>
        <w:lastRenderedPageBreak/>
        <w:t>and around 85% by 2017.</w:t>
      </w:r>
      <w:r w:rsidRPr="00921F85">
        <w:rPr>
          <w:rStyle w:val="FootnoteReference"/>
        </w:rPr>
        <w:footnoteReference w:id="29"/>
      </w:r>
      <w:r>
        <w:t xml:space="preserve"> Second, the vast majority of offloaded traffic originates from people’s homes and places of work.</w:t>
      </w:r>
    </w:p>
    <w:p w:rsidR="00B873A7" w:rsidRPr="005A106E" w:rsidRDefault="00B873A7" w:rsidP="005A106E">
      <w:r w:rsidRPr="005A106E">
        <w:t>We expect the proportion of traffic offloaded to be higher on connected mid-screen devices than on smartphones, reflecting the fact that, outside home and office locations, smartphones are used more than mid-screen devices. For mid-screen devices, we estimate that 90% of traffic might be offloaded in 2013 and we expect this to rise to around 95% in 2017. On the other hand we estimated that the proportion of traffic offloaded from smartphones might be around 63% for 2013, rising to 67% in 2017.</w:t>
      </w:r>
    </w:p>
    <w:tbl>
      <w:tblPr>
        <w:tblW w:w="8730" w:type="dxa"/>
        <w:tblLayout w:type="fixed"/>
        <w:tblCellMar>
          <w:left w:w="0" w:type="dxa"/>
          <w:right w:w="0" w:type="dxa"/>
        </w:tblCellMar>
        <w:tblLook w:val="0000" w:firstRow="0" w:lastRow="0" w:firstColumn="0" w:lastColumn="0" w:noHBand="0" w:noVBand="0"/>
      </w:tblPr>
      <w:tblGrid>
        <w:gridCol w:w="6576"/>
        <w:gridCol w:w="2154"/>
      </w:tblGrid>
      <w:tr w:rsidR="00B873A7" w:rsidTr="00841EA0">
        <w:tc>
          <w:tcPr>
            <w:tcW w:w="6576" w:type="dxa"/>
            <w:tcBorders>
              <w:right w:val="single" w:sz="4" w:space="0" w:color="auto"/>
            </w:tcBorders>
            <w:shd w:val="clear" w:color="auto" w:fill="auto"/>
          </w:tcPr>
          <w:p w:rsidR="00B873A7" w:rsidRDefault="00B873A7" w:rsidP="00841EA0">
            <w:pPr>
              <w:pStyle w:val="Bordersmall"/>
            </w:pPr>
            <w:r>
              <w:rPr>
                <w:noProof/>
                <w:lang w:val="en-AU" w:eastAsia="en-AU"/>
              </w:rPr>
              <w:drawing>
                <wp:inline distT="0" distB="0" distL="0" distR="0" wp14:anchorId="549EF1DF" wp14:editId="70B1E9AD">
                  <wp:extent cx="3646800" cy="2862000"/>
                  <wp:effectExtent l="0" t="0" r="0" b="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49" cstate="print">
                            <a:extLst>
                              <a:ext uri="{28A0092B-C50C-407E-A947-70E740481C1C}">
                                <a14:useLocalDpi xmlns:a14="http://schemas.microsoft.com/office/drawing/2010/main" val="0"/>
                              </a:ext>
                            </a:extLst>
                          </a:blip>
                          <a:srcRect t="2447" b="2752"/>
                          <a:stretch/>
                        </pic:blipFill>
                        <pic:spPr bwMode="auto">
                          <a:xfrm>
                            <a:off x="0" y="0"/>
                            <a:ext cx="3646800" cy="2862000"/>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2154" w:type="dxa"/>
            <w:tcBorders>
              <w:left w:val="single" w:sz="4" w:space="0" w:color="auto"/>
            </w:tcBorders>
            <w:shd w:val="clear" w:color="auto" w:fill="auto"/>
          </w:tcPr>
          <w:p w:rsidR="00B873A7" w:rsidRDefault="00B873A7" w:rsidP="00841EA0">
            <w:pPr>
              <w:pStyle w:val="Captionsmall"/>
            </w:pPr>
            <w:bookmarkStart w:id="113" w:name="_Ref367961125"/>
            <w:r>
              <w:t>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r w:rsidR="008B1006">
              <w:fldChar w:fldCharType="begin"/>
            </w:r>
            <w:r w:rsidR="008B1006">
              <w:instrText xml:space="preserve"> SEQ Figure \* ARABIC \s 1 \* MERGEFORMAT </w:instrText>
            </w:r>
            <w:r w:rsidR="008B1006">
              <w:fldChar w:fldCharType="separate"/>
            </w:r>
            <w:r w:rsidR="00A87B65">
              <w:rPr>
                <w:noProof/>
              </w:rPr>
              <w:t>23</w:t>
            </w:r>
            <w:r w:rsidR="008B1006">
              <w:rPr>
                <w:noProof/>
              </w:rPr>
              <w:fldChar w:fldCharType="end"/>
            </w:r>
            <w:bookmarkEnd w:id="113"/>
            <w:r>
              <w:t xml:space="preserve">: Relative amounts of offloaded and cellular mobile data traffic for small-screen and connected mid-screen devices [Source: Analysys Mason, 2014] </w:t>
            </w:r>
          </w:p>
        </w:tc>
      </w:tr>
    </w:tbl>
    <w:p w:rsidR="00B873A7" w:rsidRDefault="00B873A7" w:rsidP="00B873A7">
      <w:pPr>
        <w:pStyle w:val="Heading4"/>
        <w:spacing w:after="120"/>
      </w:pPr>
      <w:r>
        <w:t>Offloading in the model</w:t>
      </w:r>
    </w:p>
    <w:p w:rsidR="00B873A7" w:rsidRPr="005A106E" w:rsidRDefault="00B873A7" w:rsidP="005A106E">
      <w:pPr>
        <w:rPr>
          <w:spacing w:val="-4"/>
        </w:rPr>
      </w:pPr>
      <w:r w:rsidRPr="005A106E">
        <w:rPr>
          <w:spacing w:val="-4"/>
        </w:rPr>
        <w:t xml:space="preserve">The volumes of traffic used in the model are based on the answers to the data request received from the mobile operators and Analysys Mason’s own forecasts of mobile data traffic. As such, they only include the volumes of traffic carried on their mobile network, excluding any Wi-Fi off-loading their subscribers may choose to use. However, to illustrate the total amount </w:t>
      </w:r>
      <w:r w:rsidRPr="005A106E">
        <w:rPr>
          <w:spacing w:val="-4"/>
        </w:rPr>
        <w:lastRenderedPageBreak/>
        <w:t xml:space="preserve">of traffic that we expect to see on 3G and 4G smartphones and connected mid-screen devices, in </w:t>
      </w:r>
      <w:r w:rsidRPr="002571CA">
        <w:fldChar w:fldCharType="begin"/>
      </w:r>
      <w:r w:rsidRPr="002571CA">
        <w:instrText xml:space="preserve"> REF _Ref369205651 \h </w:instrText>
      </w:r>
      <w:r w:rsidRPr="002571CA">
        <w:fldChar w:fldCharType="separate"/>
      </w:r>
      <w:r w:rsidR="00A87B65">
        <w:t>Figure </w:t>
      </w:r>
      <w:r w:rsidR="00A87B65">
        <w:rPr>
          <w:noProof/>
        </w:rPr>
        <w:t>4</w:t>
      </w:r>
      <w:r w:rsidR="00A87B65">
        <w:t>.</w:t>
      </w:r>
      <w:r w:rsidR="00A87B65">
        <w:rPr>
          <w:noProof/>
        </w:rPr>
        <w:t>24</w:t>
      </w:r>
      <w:r w:rsidRPr="002571CA">
        <w:fldChar w:fldCharType="end"/>
      </w:r>
      <w:r w:rsidRPr="005A106E">
        <w:rPr>
          <w:spacing w:val="-4"/>
        </w:rPr>
        <w:t xml:space="preserve"> and </w:t>
      </w:r>
      <w:r w:rsidRPr="002571CA">
        <w:fldChar w:fldCharType="begin"/>
      </w:r>
      <w:r w:rsidRPr="002571CA">
        <w:instrText xml:space="preserve"> REF _Ref369205655 \h </w:instrText>
      </w:r>
      <w:r w:rsidRPr="002571CA">
        <w:fldChar w:fldCharType="separate"/>
      </w:r>
      <w:r w:rsidR="00A87B65">
        <w:t>Figure </w:t>
      </w:r>
      <w:r w:rsidR="00A87B65">
        <w:rPr>
          <w:noProof/>
        </w:rPr>
        <w:t>4</w:t>
      </w:r>
      <w:r w:rsidR="00A87B65">
        <w:t>.</w:t>
      </w:r>
      <w:r w:rsidR="00A87B65">
        <w:rPr>
          <w:noProof/>
        </w:rPr>
        <w:t>25</w:t>
      </w:r>
      <w:r w:rsidRPr="002571CA">
        <w:fldChar w:fldCharType="end"/>
      </w:r>
      <w:r w:rsidRPr="005A106E">
        <w:rPr>
          <w:spacing w:val="-4"/>
        </w:rPr>
        <w:t xml:space="preserve"> we add back the offloaded traffic (in </w:t>
      </w:r>
      <w:r w:rsidR="005A106E" w:rsidRPr="002571CA">
        <w:fldChar w:fldCharType="begin"/>
      </w:r>
      <w:r w:rsidR="005A106E" w:rsidRPr="002571CA">
        <w:instrText xml:space="preserve"> REF _Ref402432274 \r \h </w:instrText>
      </w:r>
      <w:r w:rsidR="005A106E" w:rsidRPr="002571CA">
        <w:fldChar w:fldCharType="separate"/>
      </w:r>
      <w:r w:rsidR="00A87B65">
        <w:t>0</w:t>
      </w:r>
      <w:r w:rsidR="005A106E" w:rsidRPr="002571CA">
        <w:fldChar w:fldCharType="end"/>
      </w:r>
      <w:r w:rsidR="005A106E" w:rsidRPr="005A106E">
        <w:rPr>
          <w:spacing w:val="-4"/>
        </w:rPr>
        <w:t xml:space="preserve"> </w:t>
      </w:r>
      <w:r w:rsidRPr="005A106E">
        <w:rPr>
          <w:spacing w:val="-4"/>
        </w:rPr>
        <w:t>we compare these traffic levels against usage per connection for fixed broadband, broadband fixed wireless access and satellite broadband).</w:t>
      </w:r>
    </w:p>
    <w:tbl>
      <w:tblPr>
        <w:tblW w:w="8730" w:type="dxa"/>
        <w:tblLayout w:type="fixed"/>
        <w:tblCellMar>
          <w:left w:w="0" w:type="dxa"/>
          <w:right w:w="0" w:type="dxa"/>
        </w:tblCellMar>
        <w:tblLook w:val="0000" w:firstRow="0" w:lastRow="0" w:firstColumn="0" w:lastColumn="0" w:noHBand="0" w:noVBand="0"/>
      </w:tblPr>
      <w:tblGrid>
        <w:gridCol w:w="4229"/>
        <w:gridCol w:w="272"/>
        <w:gridCol w:w="4229"/>
      </w:tblGrid>
      <w:tr w:rsidR="00B873A7" w:rsidTr="00841EA0">
        <w:tc>
          <w:tcPr>
            <w:tcW w:w="4229" w:type="dxa"/>
            <w:shd w:val="clear" w:color="auto" w:fill="auto"/>
          </w:tcPr>
          <w:p w:rsidR="00B873A7" w:rsidRDefault="00B873A7" w:rsidP="00841EA0">
            <w:pPr>
              <w:pStyle w:val="Caption"/>
            </w:pPr>
            <w:bookmarkStart w:id="114" w:name="_Ref369205651"/>
            <w:r>
              <w:t>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r w:rsidR="008B1006">
              <w:fldChar w:fldCharType="begin"/>
            </w:r>
            <w:r w:rsidR="008B1006">
              <w:instrText xml:space="preserve"> SEQ Fi</w:instrText>
            </w:r>
            <w:r w:rsidR="008B1006">
              <w:instrText xml:space="preserve">gure \* ARABIC \s 1 \* MERGEFORMAT </w:instrText>
            </w:r>
            <w:r w:rsidR="008B1006">
              <w:fldChar w:fldCharType="separate"/>
            </w:r>
            <w:r w:rsidR="00A87B65">
              <w:rPr>
                <w:noProof/>
              </w:rPr>
              <w:t>24</w:t>
            </w:r>
            <w:r w:rsidR="008B1006">
              <w:rPr>
                <w:noProof/>
              </w:rPr>
              <w:fldChar w:fldCharType="end"/>
            </w:r>
            <w:bookmarkEnd w:id="114"/>
            <w:r>
              <w:t>: Monthly d</w:t>
            </w:r>
            <w:r w:rsidRPr="001948C5">
              <w:t xml:space="preserve">ata traffic </w:t>
            </w:r>
            <w:r>
              <w:t>per device, including Wi-Fi traffic</w:t>
            </w:r>
            <w:r w:rsidRPr="001948C5">
              <w:t xml:space="preserve"> </w:t>
            </w:r>
            <w:r>
              <w:t>for 3G devices [Source: Analysys Mason, 2014]</w:t>
            </w:r>
          </w:p>
        </w:tc>
        <w:tc>
          <w:tcPr>
            <w:tcW w:w="272" w:type="dxa"/>
            <w:shd w:val="clear" w:color="auto" w:fill="auto"/>
          </w:tcPr>
          <w:p w:rsidR="00B873A7" w:rsidRDefault="00B873A7" w:rsidP="00841EA0">
            <w:pPr>
              <w:pStyle w:val="Tablecells"/>
              <w:spacing w:before="0" w:after="80"/>
            </w:pPr>
          </w:p>
        </w:tc>
        <w:tc>
          <w:tcPr>
            <w:tcW w:w="4229" w:type="dxa"/>
            <w:shd w:val="clear" w:color="auto" w:fill="auto"/>
          </w:tcPr>
          <w:p w:rsidR="00B873A7" w:rsidRDefault="00B873A7" w:rsidP="00841EA0">
            <w:pPr>
              <w:pStyle w:val="Caption"/>
            </w:pPr>
            <w:bookmarkStart w:id="115" w:name="_Ref369205655"/>
            <w:r>
              <w:t>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r w:rsidR="008B1006">
              <w:fldChar w:fldCharType="begin"/>
            </w:r>
            <w:r w:rsidR="008B1006">
              <w:instrText xml:space="preserve"> SEQ Figure \* ARABIC \s 1 \* MERGEFORMAT </w:instrText>
            </w:r>
            <w:r w:rsidR="008B1006">
              <w:fldChar w:fldCharType="separate"/>
            </w:r>
            <w:r w:rsidR="00A87B65">
              <w:rPr>
                <w:noProof/>
              </w:rPr>
              <w:t>25</w:t>
            </w:r>
            <w:r w:rsidR="008B1006">
              <w:rPr>
                <w:noProof/>
              </w:rPr>
              <w:fldChar w:fldCharType="end"/>
            </w:r>
            <w:bookmarkEnd w:id="115"/>
            <w:r>
              <w:t>: Monthly d</w:t>
            </w:r>
            <w:r w:rsidRPr="001948C5">
              <w:t xml:space="preserve">ata traffic </w:t>
            </w:r>
            <w:r>
              <w:t>per device, including Wi-Fi traffic</w:t>
            </w:r>
            <w:r w:rsidRPr="001948C5">
              <w:t xml:space="preserve"> </w:t>
            </w:r>
            <w:r>
              <w:t>for 4G devices [Source: Analysys Mason, 2014]</w:t>
            </w:r>
          </w:p>
        </w:tc>
      </w:tr>
      <w:tr w:rsidR="00B873A7" w:rsidTr="00841EA0">
        <w:tc>
          <w:tcPr>
            <w:tcW w:w="4229" w:type="dxa"/>
            <w:shd w:val="clear" w:color="auto" w:fill="auto"/>
          </w:tcPr>
          <w:p w:rsidR="00B873A7" w:rsidRDefault="00B873A7" w:rsidP="00841EA0">
            <w:pPr>
              <w:pStyle w:val="Bordersmall"/>
            </w:pPr>
            <w:r>
              <w:rPr>
                <w:noProof/>
                <w:lang w:val="en-AU" w:eastAsia="en-AU"/>
              </w:rPr>
              <w:drawing>
                <wp:inline distT="0" distB="0" distL="0" distR="0" wp14:anchorId="745E80BD" wp14:editId="687DCC44">
                  <wp:extent cx="2647950" cy="2933700"/>
                  <wp:effectExtent l="0" t="0" r="0" b="0"/>
                  <wp:docPr id="75" name="Pictur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rotWithShape="1">
                          <a:blip r:embed="rId50" cstate="print">
                            <a:extLst>
                              <a:ext uri="{28A0092B-C50C-407E-A947-70E740481C1C}">
                                <a14:useLocalDpi xmlns:a14="http://schemas.microsoft.com/office/drawing/2010/main" val="0"/>
                              </a:ext>
                            </a:extLst>
                          </a:blip>
                          <a:srcRect t="2243" b="3610"/>
                          <a:stretch/>
                        </pic:blipFill>
                        <pic:spPr bwMode="auto">
                          <a:xfrm>
                            <a:off x="0" y="0"/>
                            <a:ext cx="2647315" cy="2932996"/>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272" w:type="dxa"/>
            <w:shd w:val="clear" w:color="auto" w:fill="auto"/>
          </w:tcPr>
          <w:p w:rsidR="00B873A7" w:rsidRDefault="00B873A7" w:rsidP="00841EA0">
            <w:pPr>
              <w:pStyle w:val="Tablecells"/>
              <w:spacing w:before="0"/>
            </w:pPr>
          </w:p>
        </w:tc>
        <w:tc>
          <w:tcPr>
            <w:tcW w:w="4229" w:type="dxa"/>
            <w:shd w:val="clear" w:color="auto" w:fill="auto"/>
          </w:tcPr>
          <w:p w:rsidR="00B873A7" w:rsidRDefault="00B873A7" w:rsidP="00841EA0">
            <w:pPr>
              <w:pStyle w:val="Bordersmall"/>
            </w:pPr>
            <w:r>
              <w:rPr>
                <w:noProof/>
                <w:lang w:val="en-AU" w:eastAsia="en-AU"/>
              </w:rPr>
              <w:drawing>
                <wp:inline distT="0" distB="0" distL="0" distR="0" wp14:anchorId="3D12456A" wp14:editId="00FDBEE4">
                  <wp:extent cx="2647950" cy="2933700"/>
                  <wp:effectExtent l="0" t="0" r="0" b="0"/>
                  <wp:docPr id="76" name="Picture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rotWithShape="1">
                          <a:blip r:embed="rId51" cstate="print">
                            <a:extLst>
                              <a:ext uri="{28A0092B-C50C-407E-A947-70E740481C1C}">
                                <a14:useLocalDpi xmlns:a14="http://schemas.microsoft.com/office/drawing/2010/main" val="0"/>
                              </a:ext>
                            </a:extLst>
                          </a:blip>
                          <a:srcRect t="2649" b="3203"/>
                          <a:stretch/>
                        </pic:blipFill>
                        <pic:spPr bwMode="auto">
                          <a:xfrm>
                            <a:off x="0" y="0"/>
                            <a:ext cx="2647315" cy="2932996"/>
                          </a:xfrm>
                          <a:prstGeom prst="rect">
                            <a:avLst/>
                          </a:prstGeom>
                          <a:noFill/>
                          <a:ln>
                            <a:noFill/>
                          </a:ln>
                          <a:extLst>
                            <a:ext uri="{53640926-AAD7-44D8-BBD7-CCE9431645EC}">
                              <a14:shadowObscured xmlns:a14="http://schemas.microsoft.com/office/drawing/2010/main"/>
                            </a:ext>
                          </a:extLst>
                        </pic:spPr>
                      </pic:pic>
                    </a:graphicData>
                  </a:graphic>
                </wp:inline>
              </w:drawing>
            </w:r>
          </w:p>
        </w:tc>
      </w:tr>
    </w:tbl>
    <w:p w:rsidR="00B873A7" w:rsidRDefault="00B873A7" w:rsidP="00B873A7">
      <w:pPr>
        <w:pStyle w:val="Heading3"/>
        <w:ind w:hanging="567"/>
      </w:pPr>
      <w:bookmarkStart w:id="116" w:name="_Ref367962224"/>
      <w:bookmarkStart w:id="117" w:name="_Toc373161401"/>
      <w:r w:rsidRPr="008A0DCE">
        <w:t>Total traffic</w:t>
      </w:r>
      <w:bookmarkEnd w:id="116"/>
      <w:bookmarkEnd w:id="117"/>
    </w:p>
    <w:p w:rsidR="00B873A7" w:rsidRDefault="00B873A7" w:rsidP="00B873A7">
      <w:r>
        <w:t>Based on the forecast of subscribers and the forecast of traffic by subscriber, we have calculated total volumes of traffic and used these to dimension the network of the operator modelled (the total traffic in the busy hour is used for the network dimensioning).</w:t>
      </w:r>
    </w:p>
    <w:p w:rsidR="00B873A7" w:rsidRDefault="00B873A7" w:rsidP="00B873A7">
      <w:r w:rsidRPr="002D2F9B">
        <w:fldChar w:fldCharType="begin"/>
      </w:r>
      <w:r w:rsidRPr="002571CA">
        <w:instrText xml:space="preserve"> REF _Ref367958837 \h </w:instrText>
      </w:r>
      <w:r w:rsidRPr="002D2F9B">
        <w:fldChar w:fldCharType="separate"/>
      </w:r>
      <w:r w:rsidR="00A87B65">
        <w:t>Figure </w:t>
      </w:r>
      <w:r w:rsidR="00A87B65">
        <w:rPr>
          <w:noProof/>
        </w:rPr>
        <w:t>4</w:t>
      </w:r>
      <w:r w:rsidR="00A87B65">
        <w:t>.</w:t>
      </w:r>
      <w:r w:rsidR="00A87B65">
        <w:rPr>
          <w:noProof/>
        </w:rPr>
        <w:t>26</w:t>
      </w:r>
      <w:r w:rsidRPr="002D2F9B">
        <w:fldChar w:fldCharType="end"/>
      </w:r>
      <w:r>
        <w:t xml:space="preserve"> shows the forecast of total data traffic in PB per month used in the model based on the </w:t>
      </w:r>
      <w:r w:rsidR="00E36E08">
        <w:t>average of operator forecasts</w:t>
      </w:r>
      <w:r>
        <w:t xml:space="preserve"> until 2015 and our own forecasts for the period 2016–2025 which takes account of the Analysys Mason Research forecast for the period 2016–2018. </w:t>
      </w:r>
    </w:p>
    <w:tbl>
      <w:tblPr>
        <w:tblW w:w="8730" w:type="dxa"/>
        <w:tblLayout w:type="fixed"/>
        <w:tblCellMar>
          <w:left w:w="0" w:type="dxa"/>
          <w:right w:w="0" w:type="dxa"/>
        </w:tblCellMar>
        <w:tblLook w:val="0000" w:firstRow="0" w:lastRow="0" w:firstColumn="0" w:lastColumn="0" w:noHBand="0" w:noVBand="0"/>
      </w:tblPr>
      <w:tblGrid>
        <w:gridCol w:w="6576"/>
        <w:gridCol w:w="2154"/>
      </w:tblGrid>
      <w:tr w:rsidR="00B873A7" w:rsidTr="00841EA0">
        <w:tc>
          <w:tcPr>
            <w:tcW w:w="6576" w:type="dxa"/>
            <w:tcBorders>
              <w:right w:val="single" w:sz="4" w:space="0" w:color="auto"/>
            </w:tcBorders>
            <w:shd w:val="clear" w:color="auto" w:fill="auto"/>
          </w:tcPr>
          <w:p w:rsidR="00B873A7" w:rsidRDefault="004B05B1" w:rsidP="004B05B1">
            <w:pPr>
              <w:pStyle w:val="Bordersmall"/>
              <w:rPr>
                <w:noProof/>
                <w:lang w:eastAsia="en-GB"/>
              </w:rPr>
            </w:pPr>
            <w:r>
              <w:rPr>
                <w:noProof/>
                <w:lang w:val="en-AU" w:eastAsia="en-AU"/>
              </w:rPr>
              <w:lastRenderedPageBreak/>
              <w:drawing>
                <wp:inline distT="0" distB="0" distL="0" distR="0" wp14:anchorId="2190D9F7" wp14:editId="4D06A7DB">
                  <wp:extent cx="3762375" cy="3114675"/>
                  <wp:effectExtent l="0" t="0" r="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3762375" cy="3114675"/>
                          </a:xfrm>
                          <a:prstGeom prst="rect">
                            <a:avLst/>
                          </a:prstGeom>
                          <a:noFill/>
                          <a:ln>
                            <a:noFill/>
                          </a:ln>
                        </pic:spPr>
                      </pic:pic>
                    </a:graphicData>
                  </a:graphic>
                </wp:inline>
              </w:drawing>
            </w:r>
          </w:p>
        </w:tc>
        <w:tc>
          <w:tcPr>
            <w:tcW w:w="2154" w:type="dxa"/>
            <w:tcBorders>
              <w:left w:val="single" w:sz="4" w:space="0" w:color="auto"/>
            </w:tcBorders>
            <w:shd w:val="clear" w:color="auto" w:fill="auto"/>
          </w:tcPr>
          <w:p w:rsidR="00B873A7" w:rsidRDefault="00B873A7" w:rsidP="00841EA0">
            <w:pPr>
              <w:pStyle w:val="Captionsmall"/>
            </w:pPr>
            <w:bookmarkStart w:id="118" w:name="_Ref367958837"/>
            <w:r>
              <w:t>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r w:rsidR="008B1006">
              <w:fldChar w:fldCharType="begin"/>
            </w:r>
            <w:r w:rsidR="008B1006">
              <w:instrText xml:space="preserve"> SEQ Figure \* ARABIC \s 1 \* MERGEFORMAT </w:instrText>
            </w:r>
            <w:r w:rsidR="008B1006">
              <w:fldChar w:fldCharType="separate"/>
            </w:r>
            <w:r w:rsidR="00A87B65">
              <w:rPr>
                <w:noProof/>
              </w:rPr>
              <w:t>26</w:t>
            </w:r>
            <w:r w:rsidR="008B1006">
              <w:rPr>
                <w:noProof/>
              </w:rPr>
              <w:fldChar w:fldCharType="end"/>
            </w:r>
            <w:bookmarkEnd w:id="118"/>
            <w:r>
              <w:t>: Mobile data traffic in Australia, 2011–2025 [Source: Analysys Mason, 2014]</w:t>
            </w:r>
          </w:p>
        </w:tc>
      </w:tr>
    </w:tbl>
    <w:p w:rsidR="00B873A7" w:rsidRDefault="00B873A7" w:rsidP="00B873A7">
      <w:r w:rsidRPr="002D2F9B">
        <w:fldChar w:fldCharType="begin"/>
      </w:r>
      <w:r w:rsidRPr="002571CA">
        <w:instrText xml:space="preserve"> REF _Ref367723302 \h </w:instrText>
      </w:r>
      <w:r w:rsidRPr="002D2F9B">
        <w:fldChar w:fldCharType="separate"/>
      </w:r>
      <w:r w:rsidR="00A87B65">
        <w:t>Figure </w:t>
      </w:r>
      <w:r w:rsidR="00A87B65">
        <w:rPr>
          <w:noProof/>
        </w:rPr>
        <w:t>4</w:t>
      </w:r>
      <w:r w:rsidR="00A87B65">
        <w:t>.</w:t>
      </w:r>
      <w:r w:rsidR="00A87B65">
        <w:rPr>
          <w:noProof/>
        </w:rPr>
        <w:t>27</w:t>
      </w:r>
      <w:r w:rsidRPr="002D2F9B">
        <w:fldChar w:fldCharType="end"/>
      </w:r>
      <w:r>
        <w:t xml:space="preserve"> shows the forecast to 2016 on an expanded scale. It can be observed that although the forecast is more conservative than that published by ACMA in 2011</w:t>
      </w:r>
      <w:r>
        <w:rPr>
          <w:rStyle w:val="FootnoteReference"/>
        </w:rPr>
        <w:footnoteReference w:id="30"/>
      </w:r>
      <w:r>
        <w:t>, it is higher than the latest forecast from Cisco</w:t>
      </w:r>
      <w:r>
        <w:rPr>
          <w:rStyle w:val="FootnoteReference"/>
        </w:rPr>
        <w:footnoteReference w:id="31"/>
      </w:r>
      <w:r>
        <w:t xml:space="preserve"> and also higher than the latest forecast from Ericsson until 2016</w:t>
      </w:r>
      <w:r>
        <w:rPr>
          <w:rStyle w:val="FootnoteReference"/>
        </w:rPr>
        <w:footnoteReference w:id="32"/>
      </w:r>
      <w:r>
        <w:t>.</w:t>
      </w:r>
    </w:p>
    <w:tbl>
      <w:tblPr>
        <w:tblW w:w="8730" w:type="dxa"/>
        <w:tblLayout w:type="fixed"/>
        <w:tblCellMar>
          <w:left w:w="0" w:type="dxa"/>
          <w:right w:w="0" w:type="dxa"/>
        </w:tblCellMar>
        <w:tblLook w:val="0000" w:firstRow="0" w:lastRow="0" w:firstColumn="0" w:lastColumn="0" w:noHBand="0" w:noVBand="0"/>
      </w:tblPr>
      <w:tblGrid>
        <w:gridCol w:w="6576"/>
        <w:gridCol w:w="2154"/>
      </w:tblGrid>
      <w:tr w:rsidR="00B873A7" w:rsidRPr="00AE4749" w:rsidTr="00841EA0">
        <w:tc>
          <w:tcPr>
            <w:tcW w:w="6576" w:type="dxa"/>
            <w:tcBorders>
              <w:right w:val="single" w:sz="4" w:space="0" w:color="auto"/>
            </w:tcBorders>
            <w:shd w:val="clear" w:color="auto" w:fill="auto"/>
          </w:tcPr>
          <w:p w:rsidR="00B873A7" w:rsidRDefault="004B05B1" w:rsidP="004B05B1">
            <w:pPr>
              <w:pStyle w:val="Bordersmall"/>
            </w:pPr>
            <w:r>
              <w:rPr>
                <w:noProof/>
                <w:lang w:val="en-AU" w:eastAsia="en-AU"/>
              </w:rPr>
              <w:lastRenderedPageBreak/>
              <w:drawing>
                <wp:inline distT="0" distB="0" distL="0" distR="0" wp14:anchorId="13625AB6" wp14:editId="3F3EA154">
                  <wp:extent cx="3762375" cy="3114675"/>
                  <wp:effectExtent l="0" t="0" r="0" b="0"/>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3762375" cy="3114675"/>
                          </a:xfrm>
                          <a:prstGeom prst="rect">
                            <a:avLst/>
                          </a:prstGeom>
                          <a:noFill/>
                          <a:ln>
                            <a:noFill/>
                          </a:ln>
                        </pic:spPr>
                      </pic:pic>
                    </a:graphicData>
                  </a:graphic>
                </wp:inline>
              </w:drawing>
            </w:r>
          </w:p>
        </w:tc>
        <w:tc>
          <w:tcPr>
            <w:tcW w:w="2154" w:type="dxa"/>
            <w:tcBorders>
              <w:left w:val="single" w:sz="4" w:space="0" w:color="auto"/>
            </w:tcBorders>
            <w:shd w:val="clear" w:color="auto" w:fill="auto"/>
          </w:tcPr>
          <w:p w:rsidR="00B873A7" w:rsidRPr="00AE4749" w:rsidRDefault="00B873A7" w:rsidP="00841EA0">
            <w:pPr>
              <w:pStyle w:val="Captionsmall"/>
            </w:pPr>
            <w:bookmarkStart w:id="119" w:name="_Ref367723302"/>
            <w:r>
              <w:t>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r w:rsidR="008B1006">
              <w:fldChar w:fldCharType="begin"/>
            </w:r>
            <w:r w:rsidR="008B1006">
              <w:instrText xml:space="preserve"> SEQ Figure \* ARABIC \s 1 \* MERGEFORMAT </w:instrText>
            </w:r>
            <w:r w:rsidR="008B1006">
              <w:fldChar w:fldCharType="separate"/>
            </w:r>
            <w:r w:rsidR="00A87B65">
              <w:rPr>
                <w:noProof/>
              </w:rPr>
              <w:t>27</w:t>
            </w:r>
            <w:r w:rsidR="008B1006">
              <w:rPr>
                <w:noProof/>
              </w:rPr>
              <w:fldChar w:fldCharType="end"/>
            </w:r>
            <w:bookmarkEnd w:id="119"/>
            <w:r>
              <w:t>: Mobile data traffic in Australia (PB/month) [Source: Analysys Mason, 2014]</w:t>
            </w:r>
          </w:p>
          <w:p w:rsidR="00B873A7" w:rsidRPr="00AE4749" w:rsidRDefault="00B873A7" w:rsidP="00841EA0"/>
        </w:tc>
      </w:tr>
    </w:tbl>
    <w:p w:rsidR="00B873A7" w:rsidRDefault="00B873A7" w:rsidP="00B873A7">
      <w:bookmarkStart w:id="120" w:name="_Ref367741871"/>
      <w:bookmarkStart w:id="121" w:name="_Ref367741877"/>
      <w:r>
        <w:br/>
        <w:t xml:space="preserve">To try to inform a judgment about how much reliance can be placed on traffic forecasts, we have collected information about earlier forecasts for the years 2010–2013. At a global level we have estimates from Cisco for each year from 2008 to 2013 (see </w:t>
      </w:r>
      <w:r w:rsidRPr="002D2F9B">
        <w:fldChar w:fldCharType="begin"/>
      </w:r>
      <w:r w:rsidRPr="002571CA">
        <w:instrText xml:space="preserve"> REF _Ref372567077 \h </w:instrText>
      </w:r>
      <w:r w:rsidRPr="002D2F9B">
        <w:fldChar w:fldCharType="separate"/>
      </w:r>
      <w:r w:rsidR="00A87B65">
        <w:t>Figure </w:t>
      </w:r>
      <w:r w:rsidR="00A87B65">
        <w:rPr>
          <w:noProof/>
        </w:rPr>
        <w:t>4</w:t>
      </w:r>
      <w:r w:rsidR="00A87B65">
        <w:t>.</w:t>
      </w:r>
      <w:r w:rsidR="00A87B65">
        <w:rPr>
          <w:noProof/>
        </w:rPr>
        <w:t>28</w:t>
      </w:r>
      <w:r w:rsidRPr="002D2F9B">
        <w:fldChar w:fldCharType="end"/>
      </w:r>
      <w:r>
        <w:t xml:space="preserve">) plus Ericsson’s estimates from 2007, 2011 and 2013 (see </w:t>
      </w:r>
      <w:r w:rsidRPr="002D2F9B">
        <w:fldChar w:fldCharType="begin"/>
      </w:r>
      <w:r w:rsidRPr="002571CA">
        <w:instrText xml:space="preserve"> REF _Ref372567093 \h </w:instrText>
      </w:r>
      <w:r w:rsidRPr="002D2F9B">
        <w:fldChar w:fldCharType="separate"/>
      </w:r>
      <w:r w:rsidR="00A87B65">
        <w:t>Figure </w:t>
      </w:r>
      <w:r w:rsidR="00A87B65">
        <w:rPr>
          <w:noProof/>
        </w:rPr>
        <w:t>4</w:t>
      </w:r>
      <w:r w:rsidR="00A87B65">
        <w:t>.</w:t>
      </w:r>
      <w:r w:rsidR="00A87B65">
        <w:rPr>
          <w:noProof/>
        </w:rPr>
        <w:t>29</w:t>
      </w:r>
      <w:r w:rsidRPr="002D2F9B">
        <w:fldChar w:fldCharType="end"/>
      </w:r>
      <w:r>
        <w:t xml:space="preserve">) and the estimates from Analysys Mason’s research division for 2010, 2012 and 2013 (see </w:t>
      </w:r>
      <w:r w:rsidRPr="002D2F9B">
        <w:fldChar w:fldCharType="begin"/>
      </w:r>
      <w:r w:rsidRPr="002571CA">
        <w:instrText xml:space="preserve"> REF _Ref372567111 \h </w:instrText>
      </w:r>
      <w:r w:rsidRPr="002D2F9B">
        <w:fldChar w:fldCharType="separate"/>
      </w:r>
      <w:r w:rsidR="00A87B65">
        <w:t>Figure </w:t>
      </w:r>
      <w:r w:rsidR="00A87B65">
        <w:rPr>
          <w:noProof/>
        </w:rPr>
        <w:t>4</w:t>
      </w:r>
      <w:r w:rsidR="00A87B65">
        <w:t>.</w:t>
      </w:r>
      <w:r w:rsidR="00A87B65">
        <w:rPr>
          <w:noProof/>
        </w:rPr>
        <w:t>30</w:t>
      </w:r>
      <w:r w:rsidRPr="002D2F9B">
        <w:fldChar w:fldCharType="end"/>
      </w:r>
      <w:r>
        <w:t>).</w:t>
      </w:r>
    </w:p>
    <w:tbl>
      <w:tblPr>
        <w:tblW w:w="8730" w:type="dxa"/>
        <w:tblLayout w:type="fixed"/>
        <w:tblCellMar>
          <w:left w:w="0" w:type="dxa"/>
          <w:right w:w="0" w:type="dxa"/>
        </w:tblCellMar>
        <w:tblLook w:val="0000" w:firstRow="0" w:lastRow="0" w:firstColumn="0" w:lastColumn="0" w:noHBand="0" w:noVBand="0"/>
      </w:tblPr>
      <w:tblGrid>
        <w:gridCol w:w="6576"/>
        <w:gridCol w:w="2154"/>
      </w:tblGrid>
      <w:tr w:rsidR="00B873A7" w:rsidTr="00841EA0">
        <w:tc>
          <w:tcPr>
            <w:tcW w:w="6576" w:type="dxa"/>
            <w:tcBorders>
              <w:right w:val="single" w:sz="4" w:space="0" w:color="auto"/>
            </w:tcBorders>
            <w:shd w:val="clear" w:color="auto" w:fill="auto"/>
          </w:tcPr>
          <w:p w:rsidR="00B873A7" w:rsidRDefault="00B873A7" w:rsidP="00841EA0">
            <w:pPr>
              <w:pStyle w:val="Bordersmall"/>
            </w:pPr>
            <w:r>
              <w:rPr>
                <w:noProof/>
                <w:lang w:val="en-AU" w:eastAsia="en-AU"/>
              </w:rPr>
              <w:drawing>
                <wp:inline distT="0" distB="0" distL="0" distR="0" wp14:anchorId="60BFE99B" wp14:editId="3D71D432">
                  <wp:extent cx="3762375" cy="3114675"/>
                  <wp:effectExtent l="0" t="0" r="0" b="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3762375" cy="3114675"/>
                          </a:xfrm>
                          <a:prstGeom prst="rect">
                            <a:avLst/>
                          </a:prstGeom>
                          <a:noFill/>
                          <a:ln>
                            <a:noFill/>
                          </a:ln>
                        </pic:spPr>
                      </pic:pic>
                    </a:graphicData>
                  </a:graphic>
                </wp:inline>
              </w:drawing>
            </w:r>
          </w:p>
        </w:tc>
        <w:tc>
          <w:tcPr>
            <w:tcW w:w="2154" w:type="dxa"/>
            <w:tcBorders>
              <w:left w:val="single" w:sz="4" w:space="0" w:color="auto"/>
            </w:tcBorders>
            <w:shd w:val="clear" w:color="auto" w:fill="auto"/>
          </w:tcPr>
          <w:p w:rsidR="00B873A7" w:rsidRDefault="00B873A7" w:rsidP="00841EA0">
            <w:pPr>
              <w:pStyle w:val="Captionsmall"/>
            </w:pPr>
            <w:bookmarkStart w:id="122" w:name="_Ref372567077"/>
            <w:r>
              <w:t>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r w:rsidR="008B1006">
              <w:fldChar w:fldCharType="begin"/>
            </w:r>
            <w:r w:rsidR="008B1006">
              <w:instrText xml:space="preserve"> SEQ Figure \* ARABIC \s 1 \* MERGEFORMAT </w:instrText>
            </w:r>
            <w:r w:rsidR="008B1006">
              <w:fldChar w:fldCharType="separate"/>
            </w:r>
            <w:r w:rsidR="00A87B65">
              <w:rPr>
                <w:noProof/>
              </w:rPr>
              <w:t>28</w:t>
            </w:r>
            <w:r w:rsidR="008B1006">
              <w:rPr>
                <w:noProof/>
              </w:rPr>
              <w:fldChar w:fldCharType="end"/>
            </w:r>
            <w:bookmarkEnd w:id="122"/>
            <w:r>
              <w:t>: Successive Cisco estimates of global mobile traffic for 2010–</w:t>
            </w:r>
            <w:r>
              <w:lastRenderedPageBreak/>
              <w:t>2013</w:t>
            </w:r>
            <w:r w:rsidRPr="007E5383">
              <w:rPr>
                <w:rStyle w:val="FootnoteReference"/>
                <w:i w:val="0"/>
              </w:rPr>
              <w:footnoteReference w:id="33"/>
            </w:r>
            <w:r>
              <w:t xml:space="preserve"> [Source: Cisco VNI]</w:t>
            </w:r>
          </w:p>
        </w:tc>
      </w:tr>
    </w:tbl>
    <w:p w:rsidR="00B873A7" w:rsidRDefault="00B873A7" w:rsidP="00B873A7"/>
    <w:tbl>
      <w:tblPr>
        <w:tblW w:w="8730" w:type="dxa"/>
        <w:tblLayout w:type="fixed"/>
        <w:tblCellMar>
          <w:left w:w="0" w:type="dxa"/>
          <w:right w:w="0" w:type="dxa"/>
        </w:tblCellMar>
        <w:tblLook w:val="0000" w:firstRow="0" w:lastRow="0" w:firstColumn="0" w:lastColumn="0" w:noHBand="0" w:noVBand="0"/>
      </w:tblPr>
      <w:tblGrid>
        <w:gridCol w:w="6576"/>
        <w:gridCol w:w="2154"/>
      </w:tblGrid>
      <w:tr w:rsidR="000E20AB" w:rsidTr="00841EA0">
        <w:tc>
          <w:tcPr>
            <w:tcW w:w="6576" w:type="dxa"/>
            <w:tcBorders>
              <w:right w:val="single" w:sz="4" w:space="0" w:color="auto"/>
            </w:tcBorders>
            <w:shd w:val="clear" w:color="auto" w:fill="auto"/>
          </w:tcPr>
          <w:p w:rsidR="000E20AB" w:rsidRDefault="000E20AB" w:rsidP="0041328C">
            <w:pPr>
              <w:pStyle w:val="Bordersmall"/>
            </w:pPr>
            <w:r>
              <w:rPr>
                <w:noProof/>
                <w:lang w:val="en-AU" w:eastAsia="en-AU"/>
              </w:rPr>
              <w:drawing>
                <wp:inline distT="0" distB="0" distL="0" distR="0" wp14:anchorId="52E669CA" wp14:editId="6C754C3D">
                  <wp:extent cx="3762375" cy="3009900"/>
                  <wp:effectExtent l="0" t="0" r="0" b="0"/>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rotWithShape="1">
                          <a:blip r:embed="rId55" cstate="print">
                            <a:extLst>
                              <a:ext uri="{28A0092B-C50C-407E-A947-70E740481C1C}">
                                <a14:useLocalDpi xmlns:a14="http://schemas.microsoft.com/office/drawing/2010/main" val="0"/>
                              </a:ext>
                            </a:extLst>
                          </a:blip>
                          <a:srcRect b="3363"/>
                          <a:stretch/>
                        </pic:blipFill>
                        <pic:spPr bwMode="auto">
                          <a:xfrm>
                            <a:off x="0" y="0"/>
                            <a:ext cx="3762375" cy="3009900"/>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2154" w:type="dxa"/>
            <w:tcBorders>
              <w:left w:val="single" w:sz="4" w:space="0" w:color="auto"/>
            </w:tcBorders>
            <w:shd w:val="clear" w:color="auto" w:fill="auto"/>
          </w:tcPr>
          <w:p w:rsidR="000E20AB" w:rsidRDefault="000E20AB" w:rsidP="0041328C">
            <w:pPr>
              <w:pStyle w:val="Captionsmall"/>
            </w:pPr>
            <w:bookmarkStart w:id="123" w:name="_Ref372567093"/>
            <w:r>
              <w:t>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r w:rsidR="008B1006">
              <w:fldChar w:fldCharType="begin"/>
            </w:r>
            <w:r w:rsidR="008B1006">
              <w:instrText xml:space="preserve"> SEQ Figure \* ARABIC \s 1 \* MERGEFORMAT </w:instrText>
            </w:r>
            <w:r w:rsidR="008B1006">
              <w:fldChar w:fldCharType="separate"/>
            </w:r>
            <w:r w:rsidR="00A87B65">
              <w:rPr>
                <w:noProof/>
              </w:rPr>
              <w:t>29</w:t>
            </w:r>
            <w:r w:rsidR="008B1006">
              <w:rPr>
                <w:noProof/>
              </w:rPr>
              <w:fldChar w:fldCharType="end"/>
            </w:r>
            <w:bookmarkEnd w:id="123"/>
            <w:r>
              <w:t>: Successive Ericsson estimates of global mobile traffic for 2010–2013 [Source: Ericsson]</w:t>
            </w:r>
            <w:r w:rsidRPr="007E5383">
              <w:rPr>
                <w:rStyle w:val="FootnoteReference"/>
                <w:i w:val="0"/>
              </w:rPr>
              <w:footnoteReference w:id="34"/>
            </w:r>
          </w:p>
        </w:tc>
      </w:tr>
    </w:tbl>
    <w:p w:rsidR="00B873A7" w:rsidRDefault="00B873A7" w:rsidP="00B873A7">
      <w:pPr>
        <w:spacing w:after="120"/>
      </w:pPr>
    </w:p>
    <w:tbl>
      <w:tblPr>
        <w:tblW w:w="8730" w:type="dxa"/>
        <w:tblLayout w:type="fixed"/>
        <w:tblCellMar>
          <w:left w:w="0" w:type="dxa"/>
          <w:right w:w="0" w:type="dxa"/>
        </w:tblCellMar>
        <w:tblLook w:val="0000" w:firstRow="0" w:lastRow="0" w:firstColumn="0" w:lastColumn="0" w:noHBand="0" w:noVBand="0"/>
      </w:tblPr>
      <w:tblGrid>
        <w:gridCol w:w="6576"/>
        <w:gridCol w:w="2154"/>
      </w:tblGrid>
      <w:tr w:rsidR="00B34C29" w:rsidTr="00841EA0">
        <w:tc>
          <w:tcPr>
            <w:tcW w:w="6576" w:type="dxa"/>
            <w:tcBorders>
              <w:right w:val="single" w:sz="4" w:space="0" w:color="auto"/>
            </w:tcBorders>
            <w:shd w:val="clear" w:color="auto" w:fill="auto"/>
          </w:tcPr>
          <w:p w:rsidR="00B34C29" w:rsidRDefault="00B34C29" w:rsidP="0041328C">
            <w:pPr>
              <w:pStyle w:val="Bordersmall"/>
            </w:pPr>
            <w:r>
              <w:rPr>
                <w:noProof/>
                <w:lang w:val="en-AU" w:eastAsia="en-AU"/>
              </w:rPr>
              <w:lastRenderedPageBreak/>
              <w:drawing>
                <wp:inline distT="0" distB="0" distL="0" distR="0" wp14:anchorId="6AFAA28A" wp14:editId="2C3A7501">
                  <wp:extent cx="3762375" cy="3009900"/>
                  <wp:effectExtent l="0" t="0" r="0" b="0"/>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rotWithShape="1">
                          <a:blip r:embed="rId56" cstate="print">
                            <a:extLst>
                              <a:ext uri="{28A0092B-C50C-407E-A947-70E740481C1C}">
                                <a14:useLocalDpi xmlns:a14="http://schemas.microsoft.com/office/drawing/2010/main" val="0"/>
                              </a:ext>
                            </a:extLst>
                          </a:blip>
                          <a:srcRect b="3363"/>
                          <a:stretch/>
                        </pic:blipFill>
                        <pic:spPr bwMode="auto">
                          <a:xfrm>
                            <a:off x="0" y="0"/>
                            <a:ext cx="3762375" cy="3009900"/>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2154" w:type="dxa"/>
            <w:tcBorders>
              <w:left w:val="single" w:sz="4" w:space="0" w:color="auto"/>
            </w:tcBorders>
            <w:shd w:val="clear" w:color="auto" w:fill="auto"/>
          </w:tcPr>
          <w:p w:rsidR="00B34C29" w:rsidRDefault="00B34C29" w:rsidP="0041328C">
            <w:pPr>
              <w:pStyle w:val="Captionsmall"/>
            </w:pPr>
            <w:bookmarkStart w:id="124" w:name="_Ref372567111"/>
            <w:r>
              <w:t>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r w:rsidR="008B1006">
              <w:fldChar w:fldCharType="begin"/>
            </w:r>
            <w:r w:rsidR="008B1006">
              <w:instrText xml:space="preserve"> SEQ Figure \* ARABIC \s 1 \* MERGEFORMAT </w:instrText>
            </w:r>
            <w:r w:rsidR="008B1006">
              <w:fldChar w:fldCharType="separate"/>
            </w:r>
            <w:r w:rsidR="00A87B65">
              <w:rPr>
                <w:noProof/>
              </w:rPr>
              <w:t>30</w:t>
            </w:r>
            <w:r w:rsidR="008B1006">
              <w:rPr>
                <w:noProof/>
              </w:rPr>
              <w:fldChar w:fldCharType="end"/>
            </w:r>
            <w:bookmarkEnd w:id="124"/>
            <w:r>
              <w:t>: Successive Analysys Mason estimates of global mobile traffic for 2010–2013 [Source: Analysys Mason]</w:t>
            </w:r>
          </w:p>
        </w:tc>
      </w:tr>
    </w:tbl>
    <w:p w:rsidR="00B873A7" w:rsidRDefault="00B873A7" w:rsidP="005A106E">
      <w:r>
        <w:br/>
        <w:t>It can be seen that Cisco reduced its forecasts by 30–40% between 2008 and 2009, but then increased them in 2010, 2011 and 2012 before reducing them by around 30% in 2013. Ericsson’s 2011 estimates were below the company’s 2007 forecasts but the 2013 revision increased the estimates for 2012 and 2013. The estimates from Analysys Mason’s research division are significantly lower than those from Cisco and Ericsson but have increased over the years. It is worth noting that the 2013 estimates of total traffic in 2012 vary from 675PB/month to 970PB/month, i.e. a ratio of 1.43 to 1, while the estimates of total traffic in 2013 vary from 1053PB.month to 1800PB/month, i.e. a ratio of 1.71 to 1.</w:t>
      </w:r>
    </w:p>
    <w:p w:rsidR="00B873A7" w:rsidRDefault="00B873A7" w:rsidP="005A106E">
      <w:r w:rsidRPr="002D2F9B">
        <w:fldChar w:fldCharType="begin"/>
      </w:r>
      <w:r w:rsidRPr="002571CA">
        <w:instrText xml:space="preserve"> REF _Ref372578220 \h </w:instrText>
      </w:r>
      <w:r w:rsidRPr="002D2F9B">
        <w:fldChar w:fldCharType="separate"/>
      </w:r>
      <w:r w:rsidR="00A87B65">
        <w:t>Figure </w:t>
      </w:r>
      <w:r w:rsidR="00A87B65">
        <w:rPr>
          <w:noProof/>
        </w:rPr>
        <w:t>4</w:t>
      </w:r>
      <w:r w:rsidR="00A87B65">
        <w:t>.</w:t>
      </w:r>
      <w:r w:rsidR="00A87B65">
        <w:rPr>
          <w:noProof/>
        </w:rPr>
        <w:t>31</w:t>
      </w:r>
      <w:r w:rsidRPr="002D2F9B">
        <w:fldChar w:fldCharType="end"/>
      </w:r>
      <w:r>
        <w:t xml:space="preserve"> shows the country-specific estimates for Australia from the ABS, Cisco and Analysys Mason’s research division. Ericsson does not provide a country-specific forecast so we show the effect of applying Ericsson’s global growth rates to the ABS starting point for 2011. If we take the ABS data as the ‘official’ figure then it can be seen that Cisco 2011 data underestimated the out-turn for 2011 by around 15%, but the forecast for 2012 was nearly 20% too high and the estimate for 2013 looks as if it will turn out to be nearly 60% too high. However, Cisco’s 2013 estimate for </w:t>
      </w:r>
      <w:r w:rsidR="00133710">
        <w:t>was</w:t>
      </w:r>
      <w:r>
        <w:t xml:space="preserve"> around </w:t>
      </w:r>
      <w:r w:rsidR="00133710">
        <w:t>13</w:t>
      </w:r>
      <w:r>
        <w:t xml:space="preserve">% too low. Ericsson’s </w:t>
      </w:r>
      <w:r w:rsidR="00133710">
        <w:t xml:space="preserve">2012 </w:t>
      </w:r>
      <w:r>
        <w:t xml:space="preserve">global growth rates appear slightly </w:t>
      </w:r>
      <w:r>
        <w:lastRenderedPageBreak/>
        <w:t xml:space="preserve">high when applied to Australia </w:t>
      </w:r>
      <w:r w:rsidR="00133710">
        <w:t>but the 2013 figures are very close to the actual outcome</w:t>
      </w:r>
      <w:r>
        <w:t xml:space="preserve">. Meanwhile, the 2012 estimate from Analysys Mason’s research division for 2012 was 24% too low </w:t>
      </w:r>
      <w:r w:rsidR="00133710">
        <w:t>and</w:t>
      </w:r>
      <w:r>
        <w:t xml:space="preserve"> the 2012 and 2013 estimates for 2013 </w:t>
      </w:r>
      <w:r w:rsidR="00133710">
        <w:t>are about 4% too low</w:t>
      </w:r>
      <w:r>
        <w:t>.</w:t>
      </w:r>
    </w:p>
    <w:tbl>
      <w:tblPr>
        <w:tblW w:w="8730" w:type="dxa"/>
        <w:tblLayout w:type="fixed"/>
        <w:tblCellMar>
          <w:left w:w="0" w:type="dxa"/>
          <w:right w:w="0" w:type="dxa"/>
        </w:tblCellMar>
        <w:tblLook w:val="0000" w:firstRow="0" w:lastRow="0" w:firstColumn="0" w:lastColumn="0" w:noHBand="0" w:noVBand="0"/>
      </w:tblPr>
      <w:tblGrid>
        <w:gridCol w:w="6576"/>
        <w:gridCol w:w="2154"/>
      </w:tblGrid>
      <w:tr w:rsidR="00052DC3" w:rsidTr="00841EA0">
        <w:tc>
          <w:tcPr>
            <w:tcW w:w="6576" w:type="dxa"/>
            <w:tcBorders>
              <w:right w:val="single" w:sz="4" w:space="0" w:color="auto"/>
            </w:tcBorders>
            <w:shd w:val="clear" w:color="auto" w:fill="auto"/>
          </w:tcPr>
          <w:p w:rsidR="00052DC3" w:rsidRDefault="00052DC3" w:rsidP="0041328C">
            <w:pPr>
              <w:pStyle w:val="Bordersmall"/>
            </w:pPr>
            <w:r>
              <w:rPr>
                <w:noProof/>
                <w:lang w:val="en-AU" w:eastAsia="en-AU"/>
              </w:rPr>
              <w:drawing>
                <wp:inline distT="0" distB="0" distL="0" distR="0" wp14:anchorId="59A77E5B" wp14:editId="09A73E7B">
                  <wp:extent cx="3762375" cy="31146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3762375" cy="3114675"/>
                          </a:xfrm>
                          <a:prstGeom prst="rect">
                            <a:avLst/>
                          </a:prstGeom>
                          <a:noFill/>
                          <a:ln>
                            <a:noFill/>
                          </a:ln>
                        </pic:spPr>
                      </pic:pic>
                    </a:graphicData>
                  </a:graphic>
                </wp:inline>
              </w:drawing>
            </w:r>
          </w:p>
        </w:tc>
        <w:tc>
          <w:tcPr>
            <w:tcW w:w="2154" w:type="dxa"/>
            <w:tcBorders>
              <w:left w:val="single" w:sz="4" w:space="0" w:color="auto"/>
            </w:tcBorders>
            <w:shd w:val="clear" w:color="auto" w:fill="auto"/>
          </w:tcPr>
          <w:p w:rsidR="00052DC3" w:rsidRDefault="00052DC3" w:rsidP="0041328C">
            <w:pPr>
              <w:pStyle w:val="Captionsmall"/>
            </w:pPr>
            <w:bookmarkStart w:id="125" w:name="_Ref372578220"/>
            <w:r>
              <w:t>Figure </w:t>
            </w:r>
            <w:r w:rsidR="008B1006">
              <w:fldChar w:fldCharType="begin"/>
            </w:r>
            <w:r w:rsidR="008B1006">
              <w:instrText xml:space="preserve"> STYLERE</w:instrText>
            </w:r>
            <w:r w:rsidR="008B1006">
              <w:instrText xml:space="preserve">F 1 \s \* MERGEFORMAT </w:instrText>
            </w:r>
            <w:r w:rsidR="008B1006">
              <w:fldChar w:fldCharType="separate"/>
            </w:r>
            <w:r w:rsidR="00A87B65">
              <w:rPr>
                <w:noProof/>
              </w:rPr>
              <w:t>4</w:t>
            </w:r>
            <w:r w:rsidR="008B1006">
              <w:rPr>
                <w:noProof/>
              </w:rPr>
              <w:fldChar w:fldCharType="end"/>
            </w:r>
            <w:r>
              <w:t>.</w:t>
            </w:r>
            <w:r w:rsidR="008B1006">
              <w:fldChar w:fldCharType="begin"/>
            </w:r>
            <w:r w:rsidR="008B1006">
              <w:instrText xml:space="preserve"> SEQ Figure \* ARABIC \s 1 \* MERGEFORMAT </w:instrText>
            </w:r>
            <w:r w:rsidR="008B1006">
              <w:fldChar w:fldCharType="separate"/>
            </w:r>
            <w:r w:rsidR="00A87B65">
              <w:rPr>
                <w:noProof/>
              </w:rPr>
              <w:t>31</w:t>
            </w:r>
            <w:r w:rsidR="008B1006">
              <w:rPr>
                <w:noProof/>
              </w:rPr>
              <w:fldChar w:fldCharType="end"/>
            </w:r>
            <w:bookmarkEnd w:id="125"/>
            <w:r>
              <w:t>: Estimates of Australian mobile traffic for 2011-2013 [Source: Cisco, Ericsson, Analysys Mason, ABS]</w:t>
            </w:r>
          </w:p>
        </w:tc>
      </w:tr>
    </w:tbl>
    <w:p w:rsidR="00B873A7" w:rsidRDefault="00B873A7" w:rsidP="00B873A7">
      <w:r>
        <w:br/>
        <w:t>We conclude from this analysis that there is a considerable margin of error in traffic forecasts, even those that are only looking 18 months to two years out, both at the global level and at the country level. We deal with this uncertainty in our report by including sensitivities which have much higher levels of traffic than our base case.</w:t>
      </w:r>
    </w:p>
    <w:p w:rsidR="00B873A7" w:rsidRDefault="00B873A7" w:rsidP="00B873A7">
      <w:pPr>
        <w:pStyle w:val="Heading3"/>
        <w:ind w:hanging="567"/>
      </w:pPr>
      <w:bookmarkStart w:id="126" w:name="_Toc373161402"/>
      <w:bookmarkStart w:id="127" w:name="_Ref378264616"/>
      <w:bookmarkStart w:id="128" w:name="_Ref380592999"/>
      <w:r>
        <w:t>Distribution of traffic by geotypes and proportion of traffic in the busy hour</w:t>
      </w:r>
      <w:bookmarkEnd w:id="126"/>
      <w:bookmarkEnd w:id="127"/>
      <w:bookmarkEnd w:id="128"/>
    </w:p>
    <w:p w:rsidR="00B873A7" w:rsidRDefault="00B873A7" w:rsidP="00B873A7">
      <w:r>
        <w:t xml:space="preserve">We allocate the total national traffic to geotypes on the basis of the population of each geotype (as shown in </w:t>
      </w:r>
      <w:r w:rsidRPr="002D2F9B">
        <w:fldChar w:fldCharType="begin"/>
      </w:r>
      <w:r w:rsidRPr="002571CA">
        <w:instrText xml:space="preserve"> REF _Ref367717009 \h </w:instrText>
      </w:r>
      <w:r w:rsidRPr="002D2F9B">
        <w:fldChar w:fldCharType="separate"/>
      </w:r>
      <w:r w:rsidR="00A87B65">
        <w:t>Figure </w:t>
      </w:r>
      <w:r w:rsidR="00A87B65">
        <w:rPr>
          <w:noProof/>
        </w:rPr>
        <w:t>4</w:t>
      </w:r>
      <w:r w:rsidR="00A87B65">
        <w:t>.</w:t>
      </w:r>
      <w:r w:rsidR="00A87B65">
        <w:rPr>
          <w:noProof/>
        </w:rPr>
        <w:t>5</w:t>
      </w:r>
      <w:r w:rsidRPr="002D2F9B">
        <w:fldChar w:fldCharType="end"/>
      </w:r>
      <w:r>
        <w:t xml:space="preserve">) but make an adjustment to account for the net flow of commuters towards the urban areas. Our assessment of the effects of commuting is based on the data regarding commuter flows published by the </w:t>
      </w:r>
      <w:r w:rsidRPr="006D477A">
        <w:t>Department of Infrastructure and Transport</w:t>
      </w:r>
      <w:r>
        <w:t xml:space="preserve"> </w:t>
      </w:r>
      <w:r w:rsidRPr="006D477A">
        <w:t xml:space="preserve">Bureau </w:t>
      </w:r>
      <w:r w:rsidRPr="006D477A">
        <w:lastRenderedPageBreak/>
        <w:t>of Infrastructure, Transport and Regional Economics</w:t>
      </w:r>
      <w:r>
        <w:t xml:space="preserve"> (BITRE).</w:t>
      </w:r>
      <w:r>
        <w:rPr>
          <w:rStyle w:val="FootnoteReference"/>
        </w:rPr>
        <w:footnoteReference w:id="35"/>
      </w:r>
      <w:r>
        <w:t xml:space="preserve"> BITRE has completed reports for Perth, Melbourne, Sydney and South East Queensland. We analysed the reports to determine the proportion of the population that commutes between inner, middle and outer regions, which we equated with our urban/dense urban, suburban and rural geotypes. We found the net inward flow of commuters averaged across the four metropolitan areas studied to be as shown in </w:t>
      </w:r>
      <w:r w:rsidRPr="002D2F9B">
        <w:fldChar w:fldCharType="begin"/>
      </w:r>
      <w:r w:rsidRPr="002571CA">
        <w:instrText xml:space="preserve"> REF _Ref372739806 \h  \* MERGEFORMAT </w:instrText>
      </w:r>
      <w:r w:rsidRPr="002D2F9B">
        <w:fldChar w:fldCharType="separate"/>
      </w:r>
      <w:r w:rsidR="00A87B65" w:rsidRPr="00A87B65">
        <w:t>Figure 4.32</w:t>
      </w:r>
      <w:r w:rsidRPr="002D2F9B">
        <w:fldChar w:fldCharType="end"/>
      </w:r>
      <w:r>
        <w:t>. The numbers of journeys from the inner and middle regions to the outer regions were relatively small so we ignored them. We used these figures to increase the number of users in the suburban, urban and dense urban geotypes. We did not make a corresponding reduction in the number of suburban and rural users since we assume that commuters almost certainly use mobile services in their commuting destination during the day and in their home location in the evenings, so the busy hours in different geotypes may well occur at different times.</w:t>
      </w:r>
    </w:p>
    <w:tbl>
      <w:tblPr>
        <w:tblStyle w:val="MediumShading2-Accent1"/>
        <w:tblW w:w="8947" w:type="dxa"/>
        <w:tblInd w:w="108" w:type="dxa"/>
        <w:tblLook w:val="0420" w:firstRow="1" w:lastRow="0" w:firstColumn="0" w:lastColumn="0" w:noHBand="0" w:noVBand="1"/>
      </w:tblPr>
      <w:tblGrid>
        <w:gridCol w:w="2410"/>
        <w:gridCol w:w="2056"/>
        <w:gridCol w:w="2057"/>
        <w:gridCol w:w="2424"/>
      </w:tblGrid>
      <w:tr w:rsidR="00B873A7" w:rsidTr="003C6417">
        <w:trPr>
          <w:cnfStyle w:val="100000000000" w:firstRow="1" w:lastRow="0" w:firstColumn="0" w:lastColumn="0" w:oddVBand="0" w:evenVBand="0" w:oddHBand="0" w:evenHBand="0" w:firstRowFirstColumn="0" w:firstRowLastColumn="0" w:lastRowFirstColumn="0" w:lastRowLastColumn="0"/>
        </w:trPr>
        <w:tc>
          <w:tcPr>
            <w:tcW w:w="2410" w:type="dxa"/>
            <w:tcBorders>
              <w:top w:val="single" w:sz="18" w:space="0" w:color="221F72"/>
              <w:bottom w:val="nil"/>
            </w:tcBorders>
            <w:shd w:val="solid" w:color="221F72" w:fill="221F72"/>
          </w:tcPr>
          <w:p w:rsidR="00B873A7" w:rsidRPr="006D477A" w:rsidRDefault="00B873A7" w:rsidP="00841EA0">
            <w:pPr>
              <w:pStyle w:val="Tableheading"/>
              <w:rPr>
                <w:b/>
              </w:rPr>
            </w:pPr>
          </w:p>
        </w:tc>
        <w:tc>
          <w:tcPr>
            <w:tcW w:w="2056" w:type="dxa"/>
            <w:tcBorders>
              <w:top w:val="single" w:sz="18" w:space="0" w:color="221F72"/>
              <w:bottom w:val="nil"/>
            </w:tcBorders>
            <w:shd w:val="solid" w:color="221F72" w:fill="221F72"/>
          </w:tcPr>
          <w:p w:rsidR="00B873A7" w:rsidRPr="007E5383" w:rsidRDefault="00B873A7" w:rsidP="00841EA0">
            <w:pPr>
              <w:pStyle w:val="Tableheading"/>
              <w:jc w:val="right"/>
              <w:rPr>
                <w:b/>
                <w:i/>
              </w:rPr>
            </w:pPr>
            <w:r w:rsidRPr="007E5383">
              <w:rPr>
                <w:b/>
              </w:rPr>
              <w:t>Commuting to inner region</w:t>
            </w:r>
          </w:p>
        </w:tc>
        <w:tc>
          <w:tcPr>
            <w:tcW w:w="2057" w:type="dxa"/>
            <w:tcBorders>
              <w:top w:val="single" w:sz="18" w:space="0" w:color="221F72"/>
              <w:bottom w:val="nil"/>
            </w:tcBorders>
            <w:shd w:val="solid" w:color="221F72" w:fill="221F72"/>
          </w:tcPr>
          <w:p w:rsidR="00B873A7" w:rsidRPr="007E5383" w:rsidRDefault="00B873A7" w:rsidP="00841EA0">
            <w:pPr>
              <w:pStyle w:val="Tableheading"/>
              <w:jc w:val="right"/>
              <w:rPr>
                <w:b/>
                <w:i/>
              </w:rPr>
            </w:pPr>
            <w:r w:rsidRPr="007E5383">
              <w:rPr>
                <w:b/>
              </w:rPr>
              <w:t>Commuting to middle regions</w:t>
            </w:r>
          </w:p>
        </w:tc>
        <w:tc>
          <w:tcPr>
            <w:tcW w:w="2424" w:type="dxa"/>
            <w:vMerge w:val="restart"/>
            <w:tcBorders>
              <w:top w:val="nil"/>
              <w:bottom w:val="single" w:sz="4" w:space="0" w:color="FFFFFF" w:themeColor="background1"/>
            </w:tcBorders>
            <w:shd w:val="solid" w:color="FFFFFF" w:fill="FFFFFF"/>
          </w:tcPr>
          <w:p w:rsidR="00B873A7" w:rsidRPr="006D477A" w:rsidRDefault="00B873A7" w:rsidP="00841EA0">
            <w:pPr>
              <w:pStyle w:val="Captionsmall"/>
              <w:rPr>
                <w:b w:val="0"/>
                <w:color w:val="000000"/>
              </w:rPr>
            </w:pPr>
            <w:bookmarkStart w:id="129" w:name="_Ref372739806"/>
            <w:r>
              <w:rPr>
                <w:b w:val="0"/>
                <w:color w:val="000000"/>
              </w:rPr>
              <w:t>Figure </w:t>
            </w:r>
            <w:r>
              <w:rPr>
                <w:color w:val="000000"/>
              </w:rPr>
              <w:fldChar w:fldCharType="begin"/>
            </w:r>
            <w:r>
              <w:rPr>
                <w:b w:val="0"/>
                <w:color w:val="000000"/>
              </w:rPr>
              <w:instrText xml:space="preserve"> STYLEREF 1 \s \* MERGEFORMAT </w:instrText>
            </w:r>
            <w:r>
              <w:rPr>
                <w:color w:val="000000"/>
              </w:rPr>
              <w:fldChar w:fldCharType="separate"/>
            </w:r>
            <w:r w:rsidR="00A87B65">
              <w:rPr>
                <w:b w:val="0"/>
                <w:noProof/>
                <w:color w:val="000000"/>
              </w:rPr>
              <w:t>4</w:t>
            </w:r>
            <w:r>
              <w:rPr>
                <w:color w:val="000000"/>
              </w:rPr>
              <w:fldChar w:fldCharType="end"/>
            </w:r>
            <w:r>
              <w:rPr>
                <w:b w:val="0"/>
                <w:color w:val="000000"/>
              </w:rPr>
              <w:t>.</w:t>
            </w:r>
            <w:r>
              <w:rPr>
                <w:color w:val="000000"/>
              </w:rPr>
              <w:fldChar w:fldCharType="begin"/>
            </w:r>
            <w:r>
              <w:rPr>
                <w:b w:val="0"/>
                <w:color w:val="000000"/>
              </w:rPr>
              <w:instrText xml:space="preserve"> SEQ Figure \* ARABIC \s 1 \* MERGEFORMAT </w:instrText>
            </w:r>
            <w:r>
              <w:rPr>
                <w:color w:val="000000"/>
              </w:rPr>
              <w:fldChar w:fldCharType="separate"/>
            </w:r>
            <w:r w:rsidR="00A87B65">
              <w:rPr>
                <w:b w:val="0"/>
                <w:noProof/>
                <w:color w:val="000000"/>
              </w:rPr>
              <w:t>32</w:t>
            </w:r>
            <w:r>
              <w:rPr>
                <w:color w:val="000000"/>
              </w:rPr>
              <w:fldChar w:fldCharType="end"/>
            </w:r>
            <w:bookmarkEnd w:id="129"/>
            <w:r>
              <w:rPr>
                <w:b w:val="0"/>
                <w:color w:val="000000"/>
              </w:rPr>
              <w:t>: Proportion of resident population that commutes for work [Source: Analysys Mason based on BITRE data, 2014]</w:t>
            </w:r>
          </w:p>
        </w:tc>
      </w:tr>
      <w:tr w:rsidR="00B873A7" w:rsidTr="003C6417">
        <w:trPr>
          <w:cnfStyle w:val="000000100000" w:firstRow="0" w:lastRow="0" w:firstColumn="0" w:lastColumn="0" w:oddVBand="0" w:evenVBand="0" w:oddHBand="1" w:evenHBand="0" w:firstRowFirstColumn="0" w:firstRowLastColumn="0" w:lastRowFirstColumn="0" w:lastRowLastColumn="0"/>
        </w:trPr>
        <w:tc>
          <w:tcPr>
            <w:tcW w:w="2410" w:type="dxa"/>
            <w:tcBorders>
              <w:top w:val="nil"/>
              <w:bottom w:val="nil"/>
            </w:tcBorders>
          </w:tcPr>
          <w:p w:rsidR="00B873A7" w:rsidRDefault="00B873A7" w:rsidP="005A106E">
            <w:pPr>
              <w:pStyle w:val="Tablecells"/>
              <w:spacing w:before="20" w:after="20"/>
            </w:pPr>
            <w:r>
              <w:t>Proportion of middle region residents</w:t>
            </w:r>
          </w:p>
        </w:tc>
        <w:tc>
          <w:tcPr>
            <w:tcW w:w="2056" w:type="dxa"/>
            <w:tcBorders>
              <w:top w:val="nil"/>
              <w:bottom w:val="nil"/>
            </w:tcBorders>
            <w:vAlign w:val="center"/>
          </w:tcPr>
          <w:p w:rsidR="00B873A7" w:rsidRDefault="00B873A7" w:rsidP="005A106E">
            <w:pPr>
              <w:pStyle w:val="Tablecells"/>
              <w:spacing w:before="20" w:after="20"/>
              <w:jc w:val="right"/>
            </w:pPr>
            <w:r>
              <w:t>12%</w:t>
            </w:r>
          </w:p>
        </w:tc>
        <w:tc>
          <w:tcPr>
            <w:tcW w:w="2057" w:type="dxa"/>
            <w:tcBorders>
              <w:top w:val="nil"/>
              <w:bottom w:val="nil"/>
            </w:tcBorders>
            <w:vAlign w:val="center"/>
          </w:tcPr>
          <w:p w:rsidR="00B873A7" w:rsidRDefault="005A106E" w:rsidP="005A106E">
            <w:pPr>
              <w:pStyle w:val="Tablecells"/>
              <w:spacing w:before="20" w:after="20"/>
              <w:jc w:val="right"/>
            </w:pPr>
            <w:r>
              <w:t>–</w:t>
            </w:r>
          </w:p>
        </w:tc>
        <w:tc>
          <w:tcPr>
            <w:tcW w:w="2424" w:type="dxa"/>
            <w:vMerge/>
            <w:tcBorders>
              <w:top w:val="single" w:sz="4" w:space="0" w:color="FFFFFF" w:themeColor="background1"/>
              <w:bottom w:val="nil"/>
            </w:tcBorders>
            <w:shd w:val="solid" w:color="FFFFFF" w:fill="FFFFFF"/>
          </w:tcPr>
          <w:p w:rsidR="00B873A7" w:rsidRDefault="00B873A7" w:rsidP="00841EA0">
            <w:pPr>
              <w:pStyle w:val="Tablecells"/>
            </w:pPr>
          </w:p>
        </w:tc>
      </w:tr>
      <w:tr w:rsidR="00B873A7" w:rsidTr="003C6417">
        <w:tc>
          <w:tcPr>
            <w:tcW w:w="2410" w:type="dxa"/>
            <w:tcBorders>
              <w:top w:val="nil"/>
              <w:bottom w:val="single" w:sz="4" w:space="0" w:color="808080"/>
            </w:tcBorders>
          </w:tcPr>
          <w:p w:rsidR="00B873A7" w:rsidRDefault="00B873A7" w:rsidP="005A106E">
            <w:pPr>
              <w:pStyle w:val="Tablecells"/>
              <w:spacing w:before="20" w:after="20"/>
            </w:pPr>
            <w:r>
              <w:t>Proportion of outer region residents</w:t>
            </w:r>
          </w:p>
        </w:tc>
        <w:tc>
          <w:tcPr>
            <w:tcW w:w="2056" w:type="dxa"/>
            <w:tcBorders>
              <w:top w:val="nil"/>
              <w:bottom w:val="single" w:sz="4" w:space="0" w:color="808080"/>
            </w:tcBorders>
            <w:vAlign w:val="center"/>
          </w:tcPr>
          <w:p w:rsidR="00B873A7" w:rsidRDefault="00B873A7" w:rsidP="005A106E">
            <w:pPr>
              <w:pStyle w:val="Tablecells"/>
              <w:spacing w:before="20" w:after="20"/>
              <w:jc w:val="right"/>
            </w:pPr>
            <w:r>
              <w:t>6%</w:t>
            </w:r>
          </w:p>
        </w:tc>
        <w:tc>
          <w:tcPr>
            <w:tcW w:w="2057" w:type="dxa"/>
            <w:tcBorders>
              <w:top w:val="nil"/>
              <w:bottom w:val="single" w:sz="4" w:space="0" w:color="808080"/>
            </w:tcBorders>
            <w:vAlign w:val="center"/>
          </w:tcPr>
          <w:p w:rsidR="00B873A7" w:rsidRDefault="00B873A7" w:rsidP="005A106E">
            <w:pPr>
              <w:pStyle w:val="Tablecells"/>
              <w:spacing w:before="20" w:after="20"/>
              <w:jc w:val="right"/>
            </w:pPr>
            <w:r>
              <w:t>3%</w:t>
            </w:r>
          </w:p>
        </w:tc>
        <w:tc>
          <w:tcPr>
            <w:tcW w:w="2424" w:type="dxa"/>
            <w:vMerge/>
            <w:tcBorders>
              <w:top w:val="nil"/>
              <w:bottom w:val="nil"/>
            </w:tcBorders>
            <w:shd w:val="solid" w:color="FFFFFF" w:fill="FFFFFF"/>
          </w:tcPr>
          <w:p w:rsidR="00B873A7" w:rsidRDefault="00B873A7" w:rsidP="00841EA0"/>
        </w:tc>
      </w:tr>
    </w:tbl>
    <w:p w:rsidR="00B873A7" w:rsidRPr="005A106E" w:rsidRDefault="00B873A7" w:rsidP="00B873A7">
      <w:pPr>
        <w:rPr>
          <w:spacing w:val="-4"/>
        </w:rPr>
      </w:pPr>
      <w:r w:rsidRPr="005A106E">
        <w:rPr>
          <w:spacing w:val="-4"/>
        </w:rPr>
        <w:br/>
        <w:t xml:space="preserve">Assumptions about the proportion of traffic in the busy hour are used to convert the monthly volume of traffic developed above into the peak traffic per geotype. Our assumptions, which are based on inputs from Australian operators and those in other developed markets, are shown in </w:t>
      </w:r>
      <w:r w:rsidRPr="002571CA">
        <w:fldChar w:fldCharType="begin"/>
      </w:r>
      <w:r w:rsidRPr="002571CA">
        <w:instrText xml:space="preserve"> REF _Ref372641499 \h  \* MERGEFORMAT </w:instrText>
      </w:r>
      <w:r w:rsidRPr="002571CA">
        <w:fldChar w:fldCharType="separate"/>
      </w:r>
      <w:r w:rsidR="00A87B65" w:rsidRPr="00A87B65">
        <w:t>Figure 4.33</w:t>
      </w:r>
      <w:r w:rsidRPr="002571CA">
        <w:fldChar w:fldCharType="end"/>
      </w:r>
      <w:r w:rsidRPr="005A106E">
        <w:rPr>
          <w:spacing w:val="-4"/>
        </w:rPr>
        <w:t>.</w:t>
      </w:r>
    </w:p>
    <w:tbl>
      <w:tblPr>
        <w:tblStyle w:val="MediumShading2-Accent1"/>
        <w:tblW w:w="8731" w:type="dxa"/>
        <w:tblInd w:w="108" w:type="dxa"/>
        <w:tblLook w:val="0420" w:firstRow="1" w:lastRow="0" w:firstColumn="0" w:lastColumn="0" w:noHBand="0" w:noVBand="1"/>
      </w:tblPr>
      <w:tblGrid>
        <w:gridCol w:w="2410"/>
        <w:gridCol w:w="1748"/>
        <w:gridCol w:w="2363"/>
        <w:gridCol w:w="2210"/>
      </w:tblGrid>
      <w:tr w:rsidR="00B873A7" w:rsidRPr="00A62990" w:rsidTr="00841EA0">
        <w:trPr>
          <w:cnfStyle w:val="100000000000" w:firstRow="1" w:lastRow="0" w:firstColumn="0" w:lastColumn="0" w:oddVBand="0" w:evenVBand="0" w:oddHBand="0" w:evenHBand="0" w:firstRowFirstColumn="0" w:firstRowLastColumn="0" w:lastRowFirstColumn="0" w:lastRowLastColumn="0"/>
        </w:trPr>
        <w:tc>
          <w:tcPr>
            <w:tcW w:w="2410" w:type="dxa"/>
            <w:tcBorders>
              <w:top w:val="single" w:sz="18" w:space="0" w:color="221F72"/>
              <w:bottom w:val="single" w:sz="18" w:space="0" w:color="221F72"/>
            </w:tcBorders>
            <w:shd w:val="solid" w:color="221F72" w:fill="221F72"/>
          </w:tcPr>
          <w:p w:rsidR="00B873A7" w:rsidRPr="00A62990" w:rsidRDefault="00B873A7" w:rsidP="00841EA0">
            <w:pPr>
              <w:pStyle w:val="Tableheading"/>
              <w:rPr>
                <w:b/>
              </w:rPr>
            </w:pPr>
          </w:p>
        </w:tc>
        <w:tc>
          <w:tcPr>
            <w:tcW w:w="1748" w:type="dxa"/>
            <w:tcBorders>
              <w:top w:val="single" w:sz="18" w:space="0" w:color="221F72"/>
              <w:bottom w:val="single" w:sz="18" w:space="0" w:color="221F72"/>
            </w:tcBorders>
            <w:shd w:val="solid" w:color="221F72" w:fill="221F72"/>
          </w:tcPr>
          <w:p w:rsidR="00B873A7" w:rsidRPr="007E5383" w:rsidRDefault="00B873A7" w:rsidP="00841EA0">
            <w:pPr>
              <w:pStyle w:val="Tableheading"/>
              <w:jc w:val="right"/>
              <w:rPr>
                <w:b/>
                <w:i/>
              </w:rPr>
            </w:pPr>
            <w:r w:rsidRPr="007E5383">
              <w:rPr>
                <w:b/>
              </w:rPr>
              <w:t>Voice</w:t>
            </w:r>
          </w:p>
        </w:tc>
        <w:tc>
          <w:tcPr>
            <w:tcW w:w="2363" w:type="dxa"/>
            <w:tcBorders>
              <w:top w:val="single" w:sz="18" w:space="0" w:color="221F72"/>
              <w:bottom w:val="single" w:sz="18" w:space="0" w:color="221F72"/>
            </w:tcBorders>
            <w:shd w:val="solid" w:color="221F72" w:fill="221F72"/>
          </w:tcPr>
          <w:p w:rsidR="00B873A7" w:rsidRPr="007E5383" w:rsidRDefault="00B873A7" w:rsidP="00841EA0">
            <w:pPr>
              <w:pStyle w:val="Tableheading"/>
              <w:jc w:val="right"/>
              <w:rPr>
                <w:b/>
                <w:i/>
              </w:rPr>
            </w:pPr>
            <w:r w:rsidRPr="007E5383">
              <w:rPr>
                <w:b/>
              </w:rPr>
              <w:t>Data</w:t>
            </w:r>
          </w:p>
        </w:tc>
        <w:tc>
          <w:tcPr>
            <w:tcW w:w="2210" w:type="dxa"/>
            <w:vMerge w:val="restart"/>
            <w:tcBorders>
              <w:top w:val="nil"/>
            </w:tcBorders>
            <w:shd w:val="solid" w:color="FFFFFF" w:fill="FFFFFF"/>
          </w:tcPr>
          <w:p w:rsidR="00B873A7" w:rsidRPr="00A62990" w:rsidRDefault="00B873A7" w:rsidP="00841EA0">
            <w:pPr>
              <w:pStyle w:val="Captionsmall"/>
              <w:rPr>
                <w:b w:val="0"/>
                <w:color w:val="000000"/>
              </w:rPr>
            </w:pPr>
            <w:bookmarkStart w:id="130" w:name="_Ref372641499"/>
            <w:r w:rsidRPr="009F3046">
              <w:rPr>
                <w:b w:val="0"/>
                <w:color w:val="000000"/>
              </w:rPr>
              <w:t>Figure </w:t>
            </w:r>
            <w:r w:rsidRPr="009F3046">
              <w:rPr>
                <w:color w:val="000000"/>
              </w:rPr>
              <w:fldChar w:fldCharType="begin"/>
            </w:r>
            <w:r w:rsidRPr="009F3046">
              <w:rPr>
                <w:b w:val="0"/>
                <w:color w:val="000000"/>
              </w:rPr>
              <w:instrText xml:space="preserve"> STYLEREF 1 \s \* MERGEFORMAT </w:instrText>
            </w:r>
            <w:r w:rsidRPr="009F3046">
              <w:rPr>
                <w:color w:val="000000"/>
              </w:rPr>
              <w:fldChar w:fldCharType="separate"/>
            </w:r>
            <w:r w:rsidR="00A87B65">
              <w:rPr>
                <w:b w:val="0"/>
                <w:noProof/>
                <w:color w:val="000000"/>
              </w:rPr>
              <w:t>4</w:t>
            </w:r>
            <w:r w:rsidRPr="009F3046">
              <w:rPr>
                <w:color w:val="000000"/>
              </w:rPr>
              <w:fldChar w:fldCharType="end"/>
            </w:r>
            <w:r w:rsidRPr="009F3046">
              <w:rPr>
                <w:b w:val="0"/>
                <w:color w:val="000000"/>
              </w:rPr>
              <w:t>.</w:t>
            </w:r>
            <w:r w:rsidRPr="009F3046">
              <w:rPr>
                <w:color w:val="000000"/>
              </w:rPr>
              <w:fldChar w:fldCharType="begin"/>
            </w:r>
            <w:r w:rsidRPr="009F3046">
              <w:rPr>
                <w:b w:val="0"/>
                <w:color w:val="000000"/>
              </w:rPr>
              <w:instrText xml:space="preserve"> SEQ Figure \* ARABIC \s 1 \* MERGEFORMAT </w:instrText>
            </w:r>
            <w:r w:rsidRPr="009F3046">
              <w:rPr>
                <w:color w:val="000000"/>
              </w:rPr>
              <w:fldChar w:fldCharType="separate"/>
            </w:r>
            <w:r w:rsidR="00A87B65">
              <w:rPr>
                <w:b w:val="0"/>
                <w:noProof/>
                <w:color w:val="000000"/>
              </w:rPr>
              <w:t>33</w:t>
            </w:r>
            <w:r w:rsidRPr="009F3046">
              <w:rPr>
                <w:color w:val="000000"/>
              </w:rPr>
              <w:fldChar w:fldCharType="end"/>
            </w:r>
            <w:bookmarkEnd w:id="130"/>
            <w:r>
              <w:rPr>
                <w:b w:val="0"/>
                <w:color w:val="000000"/>
              </w:rPr>
              <w:t>: Busy-hour parameters [Source: Analysys Mason, 2014]</w:t>
            </w:r>
          </w:p>
        </w:tc>
      </w:tr>
      <w:tr w:rsidR="00B873A7" w:rsidTr="00841EA0">
        <w:trPr>
          <w:cnfStyle w:val="000000100000" w:firstRow="0" w:lastRow="0" w:firstColumn="0" w:lastColumn="0" w:oddVBand="0" w:evenVBand="0" w:oddHBand="1" w:evenHBand="0" w:firstRowFirstColumn="0" w:firstRowLastColumn="0" w:lastRowFirstColumn="0" w:lastRowLastColumn="0"/>
        </w:trPr>
        <w:tc>
          <w:tcPr>
            <w:tcW w:w="2410" w:type="dxa"/>
            <w:tcBorders>
              <w:top w:val="single" w:sz="18" w:space="0" w:color="221F72"/>
            </w:tcBorders>
            <w:vAlign w:val="center"/>
          </w:tcPr>
          <w:p w:rsidR="00B873A7" w:rsidRDefault="00B873A7" w:rsidP="005A106E">
            <w:pPr>
              <w:pStyle w:val="Tablecells"/>
              <w:spacing w:before="20" w:after="20"/>
            </w:pPr>
            <w:r>
              <w:t>Busy days per year</w:t>
            </w:r>
          </w:p>
        </w:tc>
        <w:tc>
          <w:tcPr>
            <w:tcW w:w="1748" w:type="dxa"/>
            <w:tcBorders>
              <w:top w:val="single" w:sz="18" w:space="0" w:color="221F72"/>
            </w:tcBorders>
            <w:vAlign w:val="center"/>
          </w:tcPr>
          <w:p w:rsidR="00B873A7" w:rsidRDefault="00B873A7" w:rsidP="005A106E">
            <w:pPr>
              <w:pStyle w:val="Tablecells"/>
              <w:spacing w:before="20" w:after="20"/>
              <w:jc w:val="right"/>
            </w:pPr>
            <w:r>
              <w:t>250</w:t>
            </w:r>
          </w:p>
        </w:tc>
        <w:tc>
          <w:tcPr>
            <w:tcW w:w="2363" w:type="dxa"/>
            <w:tcBorders>
              <w:top w:val="single" w:sz="18" w:space="0" w:color="221F72"/>
            </w:tcBorders>
            <w:vAlign w:val="center"/>
          </w:tcPr>
          <w:p w:rsidR="00B873A7" w:rsidRDefault="00B873A7" w:rsidP="005A106E">
            <w:pPr>
              <w:pStyle w:val="Tablecells"/>
              <w:spacing w:before="20" w:after="20"/>
              <w:jc w:val="right"/>
            </w:pPr>
            <w:r>
              <w:t>365</w:t>
            </w:r>
          </w:p>
        </w:tc>
        <w:tc>
          <w:tcPr>
            <w:tcW w:w="2210" w:type="dxa"/>
            <w:vMerge/>
            <w:shd w:val="solid" w:color="FFFFFF" w:fill="FFFFFF"/>
          </w:tcPr>
          <w:p w:rsidR="00B873A7" w:rsidRDefault="00B873A7" w:rsidP="00841EA0">
            <w:pPr>
              <w:pStyle w:val="Tablecells"/>
            </w:pPr>
          </w:p>
        </w:tc>
      </w:tr>
      <w:tr w:rsidR="00B873A7" w:rsidTr="00841EA0">
        <w:tc>
          <w:tcPr>
            <w:tcW w:w="2410" w:type="dxa"/>
            <w:tcBorders>
              <w:bottom w:val="nil"/>
            </w:tcBorders>
            <w:vAlign w:val="center"/>
          </w:tcPr>
          <w:p w:rsidR="00B873A7" w:rsidRDefault="00B873A7" w:rsidP="005A106E">
            <w:pPr>
              <w:pStyle w:val="Tablecells"/>
              <w:spacing w:before="20" w:after="20"/>
            </w:pPr>
            <w:r>
              <w:t>Percentage of yearly traffic in these busy days</w:t>
            </w:r>
          </w:p>
        </w:tc>
        <w:tc>
          <w:tcPr>
            <w:tcW w:w="1748" w:type="dxa"/>
            <w:tcBorders>
              <w:bottom w:val="nil"/>
            </w:tcBorders>
            <w:vAlign w:val="center"/>
          </w:tcPr>
          <w:p w:rsidR="00B873A7" w:rsidRDefault="00B873A7" w:rsidP="005A106E">
            <w:pPr>
              <w:pStyle w:val="Tablecells"/>
              <w:spacing w:before="20" w:after="20"/>
              <w:jc w:val="right"/>
            </w:pPr>
            <w:r>
              <w:t>80%</w:t>
            </w:r>
          </w:p>
        </w:tc>
        <w:tc>
          <w:tcPr>
            <w:tcW w:w="2363" w:type="dxa"/>
            <w:tcBorders>
              <w:bottom w:val="nil"/>
            </w:tcBorders>
            <w:vAlign w:val="center"/>
          </w:tcPr>
          <w:p w:rsidR="00B873A7" w:rsidRDefault="00B873A7" w:rsidP="005A106E">
            <w:pPr>
              <w:pStyle w:val="Tablecells"/>
              <w:spacing w:before="20" w:after="20"/>
              <w:jc w:val="right"/>
            </w:pPr>
            <w:r>
              <w:t>100%</w:t>
            </w:r>
          </w:p>
        </w:tc>
        <w:tc>
          <w:tcPr>
            <w:tcW w:w="2210" w:type="dxa"/>
            <w:vMerge/>
            <w:shd w:val="solid" w:color="FFFFFF" w:fill="FFFFFF"/>
          </w:tcPr>
          <w:p w:rsidR="00B873A7" w:rsidRDefault="00B873A7" w:rsidP="00841EA0">
            <w:pPr>
              <w:pStyle w:val="Tablecells"/>
            </w:pPr>
          </w:p>
        </w:tc>
      </w:tr>
      <w:tr w:rsidR="00B873A7" w:rsidTr="00841EA0">
        <w:trPr>
          <w:cnfStyle w:val="000000100000" w:firstRow="0" w:lastRow="0" w:firstColumn="0" w:lastColumn="0" w:oddVBand="0" w:evenVBand="0" w:oddHBand="1" w:evenHBand="0" w:firstRowFirstColumn="0" w:firstRowLastColumn="0" w:lastRowFirstColumn="0" w:lastRowLastColumn="0"/>
        </w:trPr>
        <w:tc>
          <w:tcPr>
            <w:tcW w:w="2410" w:type="dxa"/>
            <w:tcBorders>
              <w:bottom w:val="nil"/>
            </w:tcBorders>
            <w:vAlign w:val="center"/>
          </w:tcPr>
          <w:p w:rsidR="00B873A7" w:rsidRDefault="00B873A7" w:rsidP="005A106E">
            <w:pPr>
              <w:pStyle w:val="Tablecells"/>
              <w:spacing w:before="20" w:after="20"/>
            </w:pPr>
            <w:r>
              <w:t>Percentage of daily traffic in the busy hour</w:t>
            </w:r>
          </w:p>
        </w:tc>
        <w:tc>
          <w:tcPr>
            <w:tcW w:w="1748" w:type="dxa"/>
            <w:tcBorders>
              <w:bottom w:val="nil"/>
            </w:tcBorders>
            <w:vAlign w:val="center"/>
          </w:tcPr>
          <w:p w:rsidR="00B873A7" w:rsidRDefault="00B873A7" w:rsidP="005A106E">
            <w:pPr>
              <w:pStyle w:val="Tablecells"/>
              <w:spacing w:before="20" w:after="20"/>
              <w:jc w:val="right"/>
            </w:pPr>
            <w:r>
              <w:t>7.0%</w:t>
            </w:r>
          </w:p>
        </w:tc>
        <w:tc>
          <w:tcPr>
            <w:tcW w:w="2363" w:type="dxa"/>
            <w:tcBorders>
              <w:bottom w:val="nil"/>
            </w:tcBorders>
            <w:vAlign w:val="center"/>
          </w:tcPr>
          <w:p w:rsidR="00B873A7" w:rsidRDefault="00F21A0A" w:rsidP="005A106E">
            <w:pPr>
              <w:pStyle w:val="Tablecells"/>
              <w:spacing w:before="20" w:after="20"/>
              <w:jc w:val="right"/>
            </w:pPr>
            <w:r w:rsidRPr="00A56FC9">
              <w:t>[</w:t>
            </w:r>
            <w:r w:rsidRPr="00A56FC9">
              <w:rPr>
                <w:rFonts w:ascii="Wingdings" w:hAnsi="Wingdings"/>
              </w:rPr>
              <w:t></w:t>
            </w:r>
            <w:r w:rsidRPr="00A56FC9">
              <w:t>]</w:t>
            </w:r>
          </w:p>
        </w:tc>
        <w:tc>
          <w:tcPr>
            <w:tcW w:w="2210" w:type="dxa"/>
            <w:vMerge/>
            <w:shd w:val="solid" w:color="FFFFFF" w:fill="FFFFFF"/>
          </w:tcPr>
          <w:p w:rsidR="00B873A7" w:rsidRDefault="00B873A7" w:rsidP="00841EA0">
            <w:pPr>
              <w:pStyle w:val="Tablecells"/>
            </w:pPr>
          </w:p>
        </w:tc>
      </w:tr>
      <w:tr w:rsidR="00B873A7" w:rsidTr="00841EA0">
        <w:tc>
          <w:tcPr>
            <w:tcW w:w="2410" w:type="dxa"/>
            <w:tcBorders>
              <w:top w:val="nil"/>
              <w:bottom w:val="single" w:sz="4" w:space="0" w:color="808080"/>
            </w:tcBorders>
            <w:vAlign w:val="center"/>
          </w:tcPr>
          <w:p w:rsidR="00B873A7" w:rsidRDefault="00B873A7" w:rsidP="005A106E">
            <w:pPr>
              <w:pStyle w:val="Tablecells"/>
              <w:spacing w:before="20" w:after="20"/>
            </w:pPr>
            <w:r>
              <w:lastRenderedPageBreak/>
              <w:t>Ratio of downstream to upstream traffic</w:t>
            </w:r>
          </w:p>
        </w:tc>
        <w:tc>
          <w:tcPr>
            <w:tcW w:w="1748" w:type="dxa"/>
            <w:tcBorders>
              <w:top w:val="nil"/>
              <w:bottom w:val="single" w:sz="4" w:space="0" w:color="808080"/>
            </w:tcBorders>
            <w:vAlign w:val="center"/>
          </w:tcPr>
          <w:p w:rsidR="00B873A7" w:rsidRDefault="00B873A7" w:rsidP="005A106E">
            <w:pPr>
              <w:pStyle w:val="Tablecells"/>
              <w:spacing w:before="20" w:after="20"/>
              <w:jc w:val="right"/>
            </w:pPr>
          </w:p>
        </w:tc>
        <w:tc>
          <w:tcPr>
            <w:tcW w:w="2363" w:type="dxa"/>
            <w:tcBorders>
              <w:top w:val="nil"/>
              <w:bottom w:val="single" w:sz="4" w:space="0" w:color="808080"/>
            </w:tcBorders>
            <w:vAlign w:val="center"/>
          </w:tcPr>
          <w:p w:rsidR="00B873A7" w:rsidRDefault="00F21A0A" w:rsidP="005A106E">
            <w:pPr>
              <w:pStyle w:val="Tablecells"/>
              <w:spacing w:before="20" w:after="20"/>
              <w:jc w:val="right"/>
            </w:pPr>
            <w:r w:rsidRPr="00A56FC9">
              <w:t>[</w:t>
            </w:r>
            <w:r w:rsidRPr="00A56FC9">
              <w:rPr>
                <w:rFonts w:ascii="Wingdings" w:hAnsi="Wingdings"/>
              </w:rPr>
              <w:t></w:t>
            </w:r>
            <w:r w:rsidRPr="00A56FC9">
              <w:t>]</w:t>
            </w:r>
          </w:p>
        </w:tc>
        <w:tc>
          <w:tcPr>
            <w:tcW w:w="2210" w:type="dxa"/>
            <w:vMerge/>
            <w:tcBorders>
              <w:bottom w:val="nil"/>
            </w:tcBorders>
            <w:shd w:val="solid" w:color="FFFFFF" w:fill="FFFFFF"/>
          </w:tcPr>
          <w:p w:rsidR="00B873A7" w:rsidRDefault="00B873A7" w:rsidP="00841EA0"/>
        </w:tc>
      </w:tr>
    </w:tbl>
    <w:p w:rsidR="00B873A7" w:rsidRDefault="00B873A7" w:rsidP="00B609D5">
      <w:r>
        <w:br/>
        <w:t xml:space="preserve">Since downlink traffic accounts for </w:t>
      </w:r>
      <w:r w:rsidR="00B609D5" w:rsidRPr="00A56FC9">
        <w:t>[</w:t>
      </w:r>
      <w:r w:rsidR="00B609D5">
        <w:t>a</w:t>
      </w:r>
      <w:r w:rsidR="00B609D5" w:rsidRPr="00B609D5">
        <w:t xml:space="preserve"> </w:t>
      </w:r>
      <w:r w:rsidR="00B609D5">
        <w:t>high percentage</w:t>
      </w:r>
      <w:r w:rsidR="00B609D5" w:rsidRPr="00A56FC9">
        <w:t>]</w:t>
      </w:r>
      <w:r>
        <w:t xml:space="preserve"> of total traffic and most of the spectrum used in Australia is paired, we assume that it is the downstream traffic that drives the requirement for additional base stations. We have looked for evidence regarding the trend in the ratio of downstream to upstream traffic. We were not able to find data that is specific to Australia but Sandvine’s twice-yearly Global Internet Phenomena report provides data for the Asia–Pacific region</w:t>
      </w:r>
      <w:r>
        <w:rPr>
          <w:rStyle w:val="FootnoteReference"/>
        </w:rPr>
        <w:footnoteReference w:id="36"/>
      </w:r>
      <w:r>
        <w:t xml:space="preserve">. The last four reports have contained details of the mean downstream and upstream traffic per mobile connection in Asia–Pacific (see </w:t>
      </w:r>
      <w:r w:rsidRPr="002D2F9B">
        <w:fldChar w:fldCharType="begin"/>
      </w:r>
      <w:r w:rsidRPr="002571CA">
        <w:instrText xml:space="preserve"> REF _Ref372642518 \h </w:instrText>
      </w:r>
      <w:r w:rsidRPr="002D2F9B">
        <w:fldChar w:fldCharType="separate"/>
      </w:r>
      <w:r w:rsidR="00A87B65">
        <w:t>Figure </w:t>
      </w:r>
      <w:r w:rsidR="00A87B65">
        <w:rPr>
          <w:noProof/>
        </w:rPr>
        <w:t>4</w:t>
      </w:r>
      <w:r w:rsidR="00A87B65">
        <w:t>.</w:t>
      </w:r>
      <w:r w:rsidR="00A87B65">
        <w:rPr>
          <w:noProof/>
        </w:rPr>
        <w:t>34</w:t>
      </w:r>
      <w:r w:rsidRPr="002D2F9B">
        <w:fldChar w:fldCharType="end"/>
      </w:r>
      <w:r>
        <w:t>). In general the Sandvine reports indicate that an increasing proportion of traffic is downstream, although dips were reported in 2H 2012 and 1H 2014.</w:t>
      </w:r>
    </w:p>
    <w:tbl>
      <w:tblPr>
        <w:tblW w:w="8730" w:type="dxa"/>
        <w:tblLayout w:type="fixed"/>
        <w:tblCellMar>
          <w:left w:w="0" w:type="dxa"/>
          <w:right w:w="0" w:type="dxa"/>
        </w:tblCellMar>
        <w:tblLook w:val="0000" w:firstRow="0" w:lastRow="0" w:firstColumn="0" w:lastColumn="0" w:noHBand="0" w:noVBand="0"/>
      </w:tblPr>
      <w:tblGrid>
        <w:gridCol w:w="6576"/>
        <w:gridCol w:w="2154"/>
      </w:tblGrid>
      <w:tr w:rsidR="00B873A7" w:rsidTr="00841EA0">
        <w:tc>
          <w:tcPr>
            <w:tcW w:w="6576" w:type="dxa"/>
            <w:tcBorders>
              <w:right w:val="single" w:sz="4" w:space="0" w:color="auto"/>
            </w:tcBorders>
            <w:shd w:val="clear" w:color="auto" w:fill="auto"/>
          </w:tcPr>
          <w:p w:rsidR="00B873A7" w:rsidRDefault="00B873A7" w:rsidP="00841EA0">
            <w:pPr>
              <w:pStyle w:val="Bordersmall"/>
            </w:pPr>
            <w:r>
              <w:rPr>
                <w:noProof/>
                <w:lang w:val="en-AU" w:eastAsia="en-AU"/>
              </w:rPr>
              <w:drawing>
                <wp:inline distT="0" distB="0" distL="0" distR="0" wp14:anchorId="7014AADB" wp14:editId="63EB79E9">
                  <wp:extent cx="3650400" cy="2869200"/>
                  <wp:effectExtent l="0" t="0" r="7620" b="7620"/>
                  <wp:docPr id="62"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58" cstate="print">
                            <a:extLst>
                              <a:ext uri="{28A0092B-C50C-407E-A947-70E740481C1C}">
                                <a14:useLocalDpi xmlns:a14="http://schemas.microsoft.com/office/drawing/2010/main" val="0"/>
                              </a:ext>
                            </a:extLst>
                          </a:blip>
                          <a:srcRect t="2449" b="2449"/>
                          <a:stretch/>
                        </pic:blipFill>
                        <pic:spPr bwMode="auto">
                          <a:xfrm>
                            <a:off x="0" y="0"/>
                            <a:ext cx="3650400" cy="2869200"/>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2154" w:type="dxa"/>
            <w:tcBorders>
              <w:left w:val="single" w:sz="4" w:space="0" w:color="auto"/>
            </w:tcBorders>
            <w:shd w:val="clear" w:color="auto" w:fill="auto"/>
          </w:tcPr>
          <w:p w:rsidR="00B873A7" w:rsidRDefault="00B873A7" w:rsidP="00841EA0">
            <w:pPr>
              <w:pStyle w:val="Captionsmall"/>
            </w:pPr>
            <w:bookmarkStart w:id="131" w:name="_Ref372642518"/>
            <w:r>
              <w:t>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r w:rsidR="008B1006">
              <w:fldChar w:fldCharType="begin"/>
            </w:r>
            <w:r w:rsidR="008B1006">
              <w:instrText xml:space="preserve"> SEQ Figure \* ARABIC \s 1 \* MERGEFORMAT </w:instrText>
            </w:r>
            <w:r w:rsidR="008B1006">
              <w:fldChar w:fldCharType="separate"/>
            </w:r>
            <w:r w:rsidR="00A87B65">
              <w:rPr>
                <w:noProof/>
              </w:rPr>
              <w:t>34</w:t>
            </w:r>
            <w:r w:rsidR="008B1006">
              <w:rPr>
                <w:noProof/>
              </w:rPr>
              <w:fldChar w:fldCharType="end"/>
            </w:r>
            <w:bookmarkEnd w:id="131"/>
            <w:r>
              <w:t>: Mean monthly downstream and upstream traffic per mobile connection, Asia–Pacific region [Source: Sandvine, 2012–14]</w:t>
            </w:r>
          </w:p>
        </w:tc>
      </w:tr>
    </w:tbl>
    <w:p w:rsidR="00B873A7" w:rsidRPr="009F3046" w:rsidRDefault="00B609D5" w:rsidP="00B873A7">
      <w:r>
        <w:br/>
      </w:r>
      <w:r w:rsidR="00B873A7">
        <w:t>We have assumed that the ratio of downstream to upstream traffic remains constant over the forecast period, but we test the impact of assuming higher downstream traffic levels in our sensitivities with additional traffic.</w:t>
      </w:r>
    </w:p>
    <w:p w:rsidR="00B873A7" w:rsidRDefault="00B873A7" w:rsidP="00B873A7">
      <w:pPr>
        <w:pStyle w:val="Heading3"/>
        <w:ind w:hanging="567"/>
      </w:pPr>
      <w:bookmarkStart w:id="132" w:name="_Ref372729981"/>
      <w:bookmarkStart w:id="133" w:name="_Toc373161403"/>
      <w:r w:rsidRPr="008A0DCE">
        <w:lastRenderedPageBreak/>
        <w:t>Coverage by geotype</w:t>
      </w:r>
      <w:bookmarkEnd w:id="120"/>
      <w:bookmarkEnd w:id="121"/>
      <w:bookmarkEnd w:id="132"/>
      <w:bookmarkEnd w:id="133"/>
    </w:p>
    <w:p w:rsidR="00550C5F" w:rsidRDefault="00B873A7" w:rsidP="006967DE">
      <w:r w:rsidRPr="002D2F9B">
        <w:fldChar w:fldCharType="begin"/>
      </w:r>
      <w:r w:rsidRPr="002D2F9B">
        <w:instrText xml:space="preserve"> REF _Ref367715933 \h </w:instrText>
      </w:r>
      <w:r w:rsidRPr="002D2F9B">
        <w:fldChar w:fldCharType="separate"/>
      </w:r>
      <w:r w:rsidR="00A87B65" w:rsidRPr="001E30C8">
        <w:t>Figure </w:t>
      </w:r>
      <w:r w:rsidR="00A87B65">
        <w:rPr>
          <w:noProof/>
        </w:rPr>
        <w:t>4</w:t>
      </w:r>
      <w:r w:rsidR="00A87B65" w:rsidRPr="001E30C8">
        <w:t>.</w:t>
      </w:r>
      <w:r w:rsidR="00A87B65">
        <w:rPr>
          <w:noProof/>
        </w:rPr>
        <w:t>35</w:t>
      </w:r>
      <w:r w:rsidRPr="002D2F9B">
        <w:fldChar w:fldCharType="end"/>
      </w:r>
      <w:r>
        <w:t xml:space="preserve"> presents the 3G coverage levels used in the model, by operator and geotype. These coverage levels are applied to 3G in 2013 with no increase in coverage thereafter. For 4G we assume that by 2020 Optus and Telstra’s coverage is equivalent to </w:t>
      </w:r>
      <w:r w:rsidR="00162304">
        <w:t xml:space="preserve">each operator’s </w:t>
      </w:r>
      <w:r>
        <w:t>current 3G coverage</w:t>
      </w:r>
      <w:r w:rsidR="00550C5F">
        <w:t>. We assume that</w:t>
      </w:r>
      <w:r>
        <w:t xml:space="preserve"> </w:t>
      </w:r>
      <w:r w:rsidR="00550C5F">
        <w:t xml:space="preserve">VHA’s 4G roll out is confined to the main metropolitan areas (ultimately reaching 63.5% population coverage) since </w:t>
      </w:r>
      <w:r w:rsidR="00645EF9">
        <w:t>there is</w:t>
      </w:r>
      <w:r w:rsidR="00550C5F">
        <w:t xml:space="preserve"> currently </w:t>
      </w:r>
      <w:r w:rsidR="00E36E08">
        <w:t>insufficient</w:t>
      </w:r>
      <w:r w:rsidR="00550C5F">
        <w:t xml:space="preserve"> spectrum suitable for 4G in other areas, although we note that VHA may seek apparatus licences in the 1800MHz band in parts of the other geotypes (as may other operators).</w:t>
      </w:r>
    </w:p>
    <w:p w:rsidR="00B873A7" w:rsidRDefault="00B873A7" w:rsidP="00B873A7">
      <w:r>
        <w:t>The 3G coverage levels were determined from publicly-sourced numbers. These numbers are:</w:t>
      </w:r>
    </w:p>
    <w:p w:rsidR="00B873A7" w:rsidRDefault="00B873A7" w:rsidP="00B873A7">
      <w:pPr>
        <w:pStyle w:val="ListBulletCompact"/>
        <w:tabs>
          <w:tab w:val="num" w:pos="360"/>
        </w:tabs>
        <w:ind w:left="357" w:hanging="357"/>
      </w:pPr>
      <w:r>
        <w:t>Optus: 98.</w:t>
      </w:r>
      <w:r w:rsidR="008179C6">
        <w:t>5</w:t>
      </w:r>
      <w:r>
        <w:t>% population coverage, equivalent to 1 million km</w:t>
      </w:r>
      <w:r w:rsidRPr="00096394">
        <w:rPr>
          <w:snapToGrid w:val="0"/>
        </w:rPr>
        <w:t>²</w:t>
      </w:r>
      <w:r>
        <w:rPr>
          <w:rStyle w:val="FootnoteReference"/>
        </w:rPr>
        <w:footnoteReference w:id="37"/>
      </w:r>
    </w:p>
    <w:p w:rsidR="00B873A7" w:rsidRPr="001E30C8" w:rsidRDefault="00EF22F4" w:rsidP="00B873A7">
      <w:pPr>
        <w:pStyle w:val="ListBulletCompact"/>
        <w:tabs>
          <w:tab w:val="num" w:pos="360"/>
        </w:tabs>
        <w:ind w:left="357" w:hanging="357"/>
      </w:pPr>
      <w:r>
        <w:t>Telstra: 99.3</w:t>
      </w:r>
      <w:r w:rsidR="00B873A7" w:rsidRPr="001E30C8">
        <w:t>% population coverage, equivalent to 2.</w:t>
      </w:r>
      <w:r>
        <w:t>3</w:t>
      </w:r>
      <w:r w:rsidR="005970F4">
        <w:t>6</w:t>
      </w:r>
      <w:r w:rsidR="00B873A7" w:rsidRPr="001E30C8">
        <w:t xml:space="preserve"> million km</w:t>
      </w:r>
      <w:r w:rsidR="00B873A7" w:rsidRPr="001E30C8">
        <w:rPr>
          <w:snapToGrid w:val="0"/>
        </w:rPr>
        <w:t>²</w:t>
      </w:r>
      <w:r w:rsidR="00B873A7" w:rsidRPr="001E30C8">
        <w:rPr>
          <w:rStyle w:val="FootnoteReference"/>
        </w:rPr>
        <w:footnoteReference w:id="38"/>
      </w:r>
      <w:r w:rsidRPr="00EF22F4">
        <w:rPr>
          <w:snapToGrid w:val="0"/>
          <w:vertAlign w:val="superscript"/>
        </w:rPr>
        <w:t>,</w:t>
      </w:r>
      <w:r>
        <w:fldChar w:fldCharType="begin"/>
      </w:r>
      <w:r>
        <w:rPr>
          <w:snapToGrid w:val="0"/>
          <w:vertAlign w:val="superscript"/>
        </w:rPr>
        <w:instrText xml:space="preserve"> NOTEREF _Ref408998643 \h </w:instrText>
      </w:r>
      <w:r>
        <w:fldChar w:fldCharType="separate"/>
      </w:r>
      <w:r w:rsidR="00A87B65">
        <w:rPr>
          <w:snapToGrid w:val="0"/>
          <w:vertAlign w:val="superscript"/>
        </w:rPr>
        <w:t>39</w:t>
      </w:r>
      <w:r>
        <w:fldChar w:fldCharType="end"/>
      </w:r>
    </w:p>
    <w:p w:rsidR="00B873A7" w:rsidRPr="001E30C8" w:rsidRDefault="00B873A7" w:rsidP="00B873A7">
      <w:pPr>
        <w:pStyle w:val="ListBullet"/>
        <w:tabs>
          <w:tab w:val="num" w:pos="360"/>
        </w:tabs>
        <w:ind w:left="357" w:hanging="357"/>
      </w:pPr>
      <w:r w:rsidRPr="001E30C8">
        <w:t>VHA: 95.</w:t>
      </w:r>
      <w:r w:rsidR="00133710">
        <w:t>4</w:t>
      </w:r>
      <w:r w:rsidRPr="001E30C8">
        <w:t>% population coverage, equivalent to 350 000 km</w:t>
      </w:r>
      <w:r w:rsidRPr="001E30C8">
        <w:rPr>
          <w:snapToGrid w:val="0"/>
        </w:rPr>
        <w:t>²</w:t>
      </w:r>
      <w:r w:rsidRPr="001E30C8">
        <w:rPr>
          <w:rStyle w:val="FootnoteReference"/>
        </w:rPr>
        <w:footnoteReference w:id="39"/>
      </w:r>
      <w:r w:rsidRPr="001E30C8">
        <w:rPr>
          <w:snapToGrid w:val="0"/>
        </w:rPr>
        <w:t>.</w:t>
      </w:r>
    </w:p>
    <w:p w:rsidR="00B873A7" w:rsidRPr="00D17A84" w:rsidRDefault="00B873A7" w:rsidP="00B873A7">
      <w:pPr>
        <w:rPr>
          <w:spacing w:val="-4"/>
        </w:rPr>
      </w:pPr>
      <w:r w:rsidRPr="00D17A84">
        <w:rPr>
          <w:spacing w:val="-4"/>
        </w:rPr>
        <w:t>Using the geotype definitions (based on their area and population) presented in Section</w:t>
      </w:r>
      <w:r>
        <w:rPr>
          <w:spacing w:val="-4"/>
        </w:rPr>
        <w:t> </w:t>
      </w:r>
      <w:r w:rsidR="00E15C32" w:rsidRPr="00CA282A">
        <w:fldChar w:fldCharType="begin"/>
      </w:r>
      <w:r w:rsidR="00E15C32" w:rsidRPr="00CA282A">
        <w:instrText xml:space="preserve"> REF _Ref380598776 \r \h </w:instrText>
      </w:r>
      <w:r w:rsidR="00E15C32" w:rsidRPr="00CA282A">
        <w:fldChar w:fldCharType="separate"/>
      </w:r>
      <w:r w:rsidR="00A87B65">
        <w:t>4.3.1</w:t>
      </w:r>
      <w:r w:rsidR="00E15C32" w:rsidRPr="00CA282A">
        <w:fldChar w:fldCharType="end"/>
      </w:r>
      <w:r w:rsidRPr="00D17A84">
        <w:rPr>
          <w:spacing w:val="-4"/>
        </w:rPr>
        <w:t>, and assuming that the dense urban, urban and suburban geotypes are fully covered by all three operators, we then determined the area and population coverage in the rural and remote geotypes for each operator to recreate its national population and area coverage indicated immediately above.</w:t>
      </w:r>
    </w:p>
    <w:p w:rsidR="00B873A7" w:rsidRPr="000401F7" w:rsidRDefault="00B873A7" w:rsidP="00B873A7">
      <w:pPr>
        <w:pStyle w:val="Caption"/>
      </w:pPr>
      <w:bookmarkStart w:id="134" w:name="_Ref367715933"/>
      <w:r w:rsidRPr="001E30C8">
        <w:lastRenderedPageBreak/>
        <w:t>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rsidRPr="001E30C8">
        <w:t>.</w:t>
      </w:r>
      <w:fldSimple w:instr=" SEQ Figure \* ARABIC \s 1 \* MERGEFORMAT ">
        <w:r w:rsidR="00A87B65">
          <w:rPr>
            <w:noProof/>
          </w:rPr>
          <w:t>35</w:t>
        </w:r>
      </w:fldSimple>
      <w:bookmarkEnd w:id="134"/>
      <w:r w:rsidRPr="001E30C8">
        <w:t xml:space="preserve">: Coverage by operator and geotype </w:t>
      </w:r>
      <w:r w:rsidR="008179C6">
        <w:t xml:space="preserve">in the model </w:t>
      </w:r>
      <w:r w:rsidRPr="001E30C8">
        <w:t>[Source: Analysys Mason, 2014]</w:t>
      </w:r>
    </w:p>
    <w:tbl>
      <w:tblPr>
        <w:tblStyle w:val="MediumShading2-Accent1"/>
        <w:tblW w:w="8732" w:type="dxa"/>
        <w:tblInd w:w="108" w:type="dxa"/>
        <w:tblLook w:val="0420" w:firstRow="1" w:lastRow="0" w:firstColumn="0" w:lastColumn="0" w:noHBand="0" w:noVBand="1"/>
      </w:tblPr>
      <w:tblGrid>
        <w:gridCol w:w="1418"/>
        <w:gridCol w:w="1219"/>
        <w:gridCol w:w="1219"/>
        <w:gridCol w:w="1219"/>
        <w:gridCol w:w="1219"/>
        <w:gridCol w:w="1219"/>
        <w:gridCol w:w="1219"/>
      </w:tblGrid>
      <w:tr w:rsidR="00B873A7" w:rsidRPr="007E5383" w:rsidTr="003C6417">
        <w:trPr>
          <w:cnfStyle w:val="100000000000" w:firstRow="1" w:lastRow="0" w:firstColumn="0" w:lastColumn="0" w:oddVBand="0" w:evenVBand="0" w:oddHBand="0" w:evenHBand="0" w:firstRowFirstColumn="0" w:firstRowLastColumn="0" w:lastRowFirstColumn="0" w:lastRowLastColumn="0"/>
        </w:trPr>
        <w:tc>
          <w:tcPr>
            <w:tcW w:w="1418" w:type="dxa"/>
            <w:tcBorders>
              <w:top w:val="single" w:sz="18" w:space="0" w:color="221F72"/>
              <w:bottom w:val="single" w:sz="4" w:space="0" w:color="FFFFFF" w:themeColor="background1"/>
            </w:tcBorders>
            <w:shd w:val="solid" w:color="221F72" w:fill="221F72"/>
          </w:tcPr>
          <w:p w:rsidR="00B873A7" w:rsidRPr="007E5383" w:rsidRDefault="00B873A7" w:rsidP="00841EA0">
            <w:pPr>
              <w:pStyle w:val="Tableheading"/>
              <w:rPr>
                <w:b/>
                <w:i/>
              </w:rPr>
            </w:pPr>
            <w:r w:rsidRPr="007E5383">
              <w:rPr>
                <w:b/>
              </w:rPr>
              <w:t>Geotype</w:t>
            </w:r>
          </w:p>
        </w:tc>
        <w:tc>
          <w:tcPr>
            <w:tcW w:w="1219" w:type="dxa"/>
            <w:tcBorders>
              <w:top w:val="single" w:sz="18" w:space="0" w:color="221F72"/>
              <w:bottom w:val="single" w:sz="4" w:space="0" w:color="FFFFFF" w:themeColor="background1"/>
            </w:tcBorders>
            <w:shd w:val="solid" w:color="221F72" w:fill="221F72"/>
          </w:tcPr>
          <w:p w:rsidR="00B873A7" w:rsidRPr="007E5383" w:rsidRDefault="00B873A7" w:rsidP="00841EA0">
            <w:pPr>
              <w:pStyle w:val="Tableheading"/>
              <w:ind w:right="0"/>
              <w:jc w:val="right"/>
              <w:rPr>
                <w:b/>
                <w:i/>
              </w:rPr>
            </w:pPr>
            <w:r w:rsidRPr="007E5383">
              <w:rPr>
                <w:b/>
              </w:rPr>
              <w:t>Optus population coverage</w:t>
            </w:r>
          </w:p>
        </w:tc>
        <w:tc>
          <w:tcPr>
            <w:tcW w:w="1219" w:type="dxa"/>
            <w:tcBorders>
              <w:top w:val="single" w:sz="18" w:space="0" w:color="221F72"/>
              <w:bottom w:val="single" w:sz="4" w:space="0" w:color="FFFFFF" w:themeColor="background1"/>
            </w:tcBorders>
            <w:shd w:val="solid" w:color="221F72" w:fill="221F72"/>
          </w:tcPr>
          <w:p w:rsidR="00B873A7" w:rsidRPr="007E5383" w:rsidRDefault="00B873A7" w:rsidP="00841EA0">
            <w:pPr>
              <w:pStyle w:val="Tableheading"/>
              <w:ind w:right="0"/>
              <w:jc w:val="right"/>
              <w:rPr>
                <w:b/>
                <w:i/>
              </w:rPr>
            </w:pPr>
            <w:r w:rsidRPr="007E5383">
              <w:rPr>
                <w:b/>
              </w:rPr>
              <w:t>Optus</w:t>
            </w:r>
            <w:r w:rsidRPr="007E5383">
              <w:rPr>
                <w:b/>
              </w:rPr>
              <w:br/>
              <w:t>area coverage</w:t>
            </w:r>
          </w:p>
        </w:tc>
        <w:tc>
          <w:tcPr>
            <w:tcW w:w="1219" w:type="dxa"/>
            <w:tcBorders>
              <w:top w:val="single" w:sz="18" w:space="0" w:color="221F72"/>
              <w:bottom w:val="single" w:sz="4" w:space="0" w:color="FFFFFF" w:themeColor="background1"/>
            </w:tcBorders>
            <w:shd w:val="solid" w:color="221F72" w:fill="221F72"/>
          </w:tcPr>
          <w:p w:rsidR="00B873A7" w:rsidRPr="007E5383" w:rsidRDefault="00B873A7" w:rsidP="00841EA0">
            <w:pPr>
              <w:pStyle w:val="Tableheading"/>
              <w:ind w:right="0"/>
              <w:jc w:val="right"/>
              <w:rPr>
                <w:b/>
                <w:i/>
              </w:rPr>
            </w:pPr>
            <w:r w:rsidRPr="007E5383">
              <w:rPr>
                <w:b/>
              </w:rPr>
              <w:t>Telstra population coverage</w:t>
            </w:r>
          </w:p>
        </w:tc>
        <w:tc>
          <w:tcPr>
            <w:tcW w:w="1219" w:type="dxa"/>
            <w:tcBorders>
              <w:top w:val="single" w:sz="18" w:space="0" w:color="221F72"/>
              <w:bottom w:val="single" w:sz="4" w:space="0" w:color="FFFFFF" w:themeColor="background1"/>
            </w:tcBorders>
            <w:shd w:val="solid" w:color="221F72" w:fill="221F72"/>
          </w:tcPr>
          <w:p w:rsidR="00B873A7" w:rsidRPr="007E5383" w:rsidRDefault="00B873A7" w:rsidP="00841EA0">
            <w:pPr>
              <w:pStyle w:val="Tableheading"/>
              <w:ind w:right="0"/>
              <w:jc w:val="right"/>
              <w:rPr>
                <w:b/>
                <w:i/>
              </w:rPr>
            </w:pPr>
            <w:r w:rsidRPr="007E5383">
              <w:rPr>
                <w:b/>
              </w:rPr>
              <w:t>Telstra area coverage</w:t>
            </w:r>
          </w:p>
        </w:tc>
        <w:tc>
          <w:tcPr>
            <w:tcW w:w="1219" w:type="dxa"/>
            <w:tcBorders>
              <w:top w:val="single" w:sz="18" w:space="0" w:color="221F72"/>
              <w:bottom w:val="single" w:sz="4" w:space="0" w:color="FFFFFF" w:themeColor="background1"/>
            </w:tcBorders>
            <w:shd w:val="solid" w:color="221F72" w:fill="221F72"/>
          </w:tcPr>
          <w:p w:rsidR="00B873A7" w:rsidRPr="007E5383" w:rsidRDefault="00B873A7" w:rsidP="00841EA0">
            <w:pPr>
              <w:pStyle w:val="Tableheading"/>
              <w:ind w:right="0"/>
              <w:jc w:val="right"/>
              <w:rPr>
                <w:b/>
                <w:i/>
              </w:rPr>
            </w:pPr>
            <w:r w:rsidRPr="007E5383">
              <w:rPr>
                <w:b/>
              </w:rPr>
              <w:t>VHA population coverage</w:t>
            </w:r>
          </w:p>
        </w:tc>
        <w:tc>
          <w:tcPr>
            <w:tcW w:w="1219" w:type="dxa"/>
            <w:tcBorders>
              <w:top w:val="single" w:sz="18" w:space="0" w:color="221F72"/>
              <w:bottom w:val="single" w:sz="4" w:space="0" w:color="FFFFFF" w:themeColor="background1"/>
            </w:tcBorders>
            <w:shd w:val="solid" w:color="221F72" w:fill="221F72"/>
          </w:tcPr>
          <w:p w:rsidR="00B873A7" w:rsidRPr="007E5383" w:rsidRDefault="00B873A7" w:rsidP="00841EA0">
            <w:pPr>
              <w:pStyle w:val="Tableheading"/>
              <w:ind w:right="0"/>
              <w:jc w:val="right"/>
              <w:rPr>
                <w:b/>
                <w:i/>
              </w:rPr>
            </w:pPr>
            <w:r w:rsidRPr="007E5383">
              <w:rPr>
                <w:b/>
              </w:rPr>
              <w:t>VHA area coverage</w:t>
            </w:r>
          </w:p>
        </w:tc>
      </w:tr>
      <w:tr w:rsidR="00AE44BE" w:rsidTr="003C6417">
        <w:trPr>
          <w:cnfStyle w:val="000000100000" w:firstRow="0" w:lastRow="0" w:firstColumn="0" w:lastColumn="0" w:oddVBand="0" w:evenVBand="0" w:oddHBand="1" w:evenHBand="0" w:firstRowFirstColumn="0" w:firstRowLastColumn="0" w:lastRowFirstColumn="0" w:lastRowLastColumn="0"/>
        </w:trPr>
        <w:tc>
          <w:tcPr>
            <w:tcW w:w="1418" w:type="dxa"/>
            <w:tcBorders>
              <w:top w:val="single" w:sz="4" w:space="0" w:color="FFFFFF" w:themeColor="background1"/>
            </w:tcBorders>
            <w:vAlign w:val="center"/>
          </w:tcPr>
          <w:p w:rsidR="00AE44BE" w:rsidRPr="001B23AD" w:rsidRDefault="00AE44BE" w:rsidP="00841EA0">
            <w:pPr>
              <w:pStyle w:val="Tablecells"/>
            </w:pPr>
            <w:r w:rsidRPr="001B23AD">
              <w:t>Dense urban</w:t>
            </w:r>
          </w:p>
        </w:tc>
        <w:tc>
          <w:tcPr>
            <w:tcW w:w="1219" w:type="dxa"/>
            <w:tcBorders>
              <w:top w:val="single" w:sz="4" w:space="0" w:color="FFFFFF" w:themeColor="background1"/>
            </w:tcBorders>
          </w:tcPr>
          <w:p w:rsidR="00AE44BE" w:rsidRDefault="00AE44BE" w:rsidP="00841EA0">
            <w:pPr>
              <w:pStyle w:val="Tablecells"/>
              <w:ind w:right="0"/>
              <w:jc w:val="right"/>
            </w:pPr>
            <w:r w:rsidRPr="00B96F3F">
              <w:t>[</w:t>
            </w:r>
            <w:r w:rsidRPr="00B96F3F">
              <w:rPr>
                <w:rFonts w:ascii="Wingdings" w:hAnsi="Wingdings"/>
              </w:rPr>
              <w:t></w:t>
            </w:r>
            <w:r w:rsidRPr="00B96F3F">
              <w:t>]</w:t>
            </w:r>
          </w:p>
        </w:tc>
        <w:tc>
          <w:tcPr>
            <w:tcW w:w="1219" w:type="dxa"/>
            <w:tcBorders>
              <w:top w:val="single" w:sz="4" w:space="0" w:color="FFFFFF" w:themeColor="background1"/>
            </w:tcBorders>
          </w:tcPr>
          <w:p w:rsidR="00AE44BE" w:rsidRDefault="00AE44BE" w:rsidP="00841EA0">
            <w:pPr>
              <w:pStyle w:val="Tablecells"/>
              <w:ind w:right="0"/>
              <w:jc w:val="right"/>
            </w:pPr>
            <w:r w:rsidRPr="00B96F3F">
              <w:t>[</w:t>
            </w:r>
            <w:r w:rsidRPr="00B96F3F">
              <w:rPr>
                <w:rFonts w:ascii="Wingdings" w:hAnsi="Wingdings"/>
              </w:rPr>
              <w:t></w:t>
            </w:r>
            <w:r w:rsidRPr="00B96F3F">
              <w:t>]</w:t>
            </w:r>
          </w:p>
        </w:tc>
        <w:tc>
          <w:tcPr>
            <w:tcW w:w="1219" w:type="dxa"/>
            <w:tcBorders>
              <w:top w:val="single" w:sz="4" w:space="0" w:color="FFFFFF" w:themeColor="background1"/>
            </w:tcBorders>
          </w:tcPr>
          <w:p w:rsidR="00AE44BE" w:rsidRDefault="00AE44BE" w:rsidP="00841EA0">
            <w:pPr>
              <w:pStyle w:val="Tablecells"/>
              <w:ind w:right="0"/>
              <w:jc w:val="right"/>
            </w:pPr>
            <w:r w:rsidRPr="00B96F3F">
              <w:t>[</w:t>
            </w:r>
            <w:r w:rsidRPr="00B96F3F">
              <w:rPr>
                <w:rFonts w:ascii="Wingdings" w:hAnsi="Wingdings"/>
              </w:rPr>
              <w:t></w:t>
            </w:r>
            <w:r w:rsidRPr="00B96F3F">
              <w:t>]</w:t>
            </w:r>
          </w:p>
        </w:tc>
        <w:tc>
          <w:tcPr>
            <w:tcW w:w="1219" w:type="dxa"/>
            <w:tcBorders>
              <w:top w:val="single" w:sz="4" w:space="0" w:color="FFFFFF" w:themeColor="background1"/>
            </w:tcBorders>
          </w:tcPr>
          <w:p w:rsidR="00AE44BE" w:rsidRDefault="00AE44BE" w:rsidP="00841EA0">
            <w:pPr>
              <w:pStyle w:val="Tablecells"/>
              <w:ind w:right="0"/>
              <w:jc w:val="right"/>
            </w:pPr>
            <w:r w:rsidRPr="00B96F3F">
              <w:t>[</w:t>
            </w:r>
            <w:r w:rsidRPr="00B96F3F">
              <w:rPr>
                <w:rFonts w:ascii="Wingdings" w:hAnsi="Wingdings"/>
              </w:rPr>
              <w:t></w:t>
            </w:r>
            <w:r w:rsidRPr="00B96F3F">
              <w:t>]</w:t>
            </w:r>
          </w:p>
        </w:tc>
        <w:tc>
          <w:tcPr>
            <w:tcW w:w="1219" w:type="dxa"/>
            <w:tcBorders>
              <w:top w:val="single" w:sz="4" w:space="0" w:color="FFFFFF" w:themeColor="background1"/>
            </w:tcBorders>
          </w:tcPr>
          <w:p w:rsidR="00AE44BE" w:rsidRDefault="00AE44BE" w:rsidP="00841EA0">
            <w:pPr>
              <w:pStyle w:val="Tablecells"/>
              <w:ind w:right="0"/>
              <w:jc w:val="right"/>
            </w:pPr>
            <w:r w:rsidRPr="00B96F3F">
              <w:t>[</w:t>
            </w:r>
            <w:r w:rsidRPr="00B96F3F">
              <w:rPr>
                <w:rFonts w:ascii="Wingdings" w:hAnsi="Wingdings"/>
              </w:rPr>
              <w:t></w:t>
            </w:r>
            <w:r w:rsidRPr="00B96F3F">
              <w:t>]</w:t>
            </w:r>
          </w:p>
        </w:tc>
        <w:tc>
          <w:tcPr>
            <w:tcW w:w="1219" w:type="dxa"/>
            <w:tcBorders>
              <w:top w:val="single" w:sz="4" w:space="0" w:color="FFFFFF" w:themeColor="background1"/>
            </w:tcBorders>
          </w:tcPr>
          <w:p w:rsidR="00AE44BE" w:rsidRDefault="00AE44BE" w:rsidP="00841EA0">
            <w:pPr>
              <w:pStyle w:val="Tablecells"/>
              <w:ind w:right="0"/>
              <w:jc w:val="right"/>
            </w:pPr>
            <w:r w:rsidRPr="00B96F3F">
              <w:t>[</w:t>
            </w:r>
            <w:r w:rsidRPr="00B96F3F">
              <w:rPr>
                <w:rFonts w:ascii="Wingdings" w:hAnsi="Wingdings"/>
              </w:rPr>
              <w:t></w:t>
            </w:r>
            <w:r w:rsidRPr="00B96F3F">
              <w:t>]</w:t>
            </w:r>
          </w:p>
        </w:tc>
      </w:tr>
      <w:tr w:rsidR="00AE44BE" w:rsidTr="00841EA0">
        <w:tc>
          <w:tcPr>
            <w:tcW w:w="1418" w:type="dxa"/>
            <w:tcBorders>
              <w:bottom w:val="nil"/>
            </w:tcBorders>
            <w:vAlign w:val="center"/>
          </w:tcPr>
          <w:p w:rsidR="00AE44BE" w:rsidRPr="00CE4914" w:rsidRDefault="00AE44BE" w:rsidP="00841EA0">
            <w:pPr>
              <w:pStyle w:val="Tablecells"/>
            </w:pPr>
            <w:r w:rsidRPr="00CE4914">
              <w:t>Urban</w:t>
            </w:r>
          </w:p>
        </w:tc>
        <w:tc>
          <w:tcPr>
            <w:tcW w:w="1219" w:type="dxa"/>
            <w:tcBorders>
              <w:bottom w:val="nil"/>
            </w:tcBorders>
          </w:tcPr>
          <w:p w:rsidR="00AE44BE" w:rsidRDefault="00AE44BE" w:rsidP="00841EA0">
            <w:pPr>
              <w:pStyle w:val="Tablecells"/>
              <w:ind w:right="0"/>
              <w:jc w:val="right"/>
            </w:pPr>
            <w:r w:rsidRPr="00B96F3F">
              <w:t>[</w:t>
            </w:r>
            <w:r w:rsidRPr="00B96F3F">
              <w:rPr>
                <w:rFonts w:ascii="Wingdings" w:hAnsi="Wingdings"/>
              </w:rPr>
              <w:t></w:t>
            </w:r>
            <w:r w:rsidRPr="00B96F3F">
              <w:t>]</w:t>
            </w:r>
          </w:p>
        </w:tc>
        <w:tc>
          <w:tcPr>
            <w:tcW w:w="1219" w:type="dxa"/>
            <w:tcBorders>
              <w:bottom w:val="nil"/>
            </w:tcBorders>
          </w:tcPr>
          <w:p w:rsidR="00AE44BE" w:rsidRDefault="00AE44BE" w:rsidP="00841EA0">
            <w:pPr>
              <w:pStyle w:val="Tablecells"/>
              <w:ind w:right="0"/>
              <w:jc w:val="right"/>
            </w:pPr>
            <w:r w:rsidRPr="00B96F3F">
              <w:t>[</w:t>
            </w:r>
            <w:r w:rsidRPr="00B96F3F">
              <w:rPr>
                <w:rFonts w:ascii="Wingdings" w:hAnsi="Wingdings"/>
              </w:rPr>
              <w:t></w:t>
            </w:r>
            <w:r w:rsidRPr="00B96F3F">
              <w:t>]</w:t>
            </w:r>
          </w:p>
        </w:tc>
        <w:tc>
          <w:tcPr>
            <w:tcW w:w="1219" w:type="dxa"/>
            <w:tcBorders>
              <w:bottom w:val="nil"/>
            </w:tcBorders>
          </w:tcPr>
          <w:p w:rsidR="00AE44BE" w:rsidRDefault="00AE44BE" w:rsidP="00841EA0">
            <w:pPr>
              <w:pStyle w:val="Tablecells"/>
              <w:ind w:right="0"/>
              <w:jc w:val="right"/>
            </w:pPr>
            <w:r w:rsidRPr="00B96F3F">
              <w:t>[</w:t>
            </w:r>
            <w:r w:rsidRPr="00B96F3F">
              <w:rPr>
                <w:rFonts w:ascii="Wingdings" w:hAnsi="Wingdings"/>
              </w:rPr>
              <w:t></w:t>
            </w:r>
            <w:r w:rsidRPr="00B96F3F">
              <w:t>]</w:t>
            </w:r>
          </w:p>
        </w:tc>
        <w:tc>
          <w:tcPr>
            <w:tcW w:w="1219" w:type="dxa"/>
            <w:tcBorders>
              <w:bottom w:val="nil"/>
            </w:tcBorders>
          </w:tcPr>
          <w:p w:rsidR="00AE44BE" w:rsidRDefault="00AE44BE" w:rsidP="00841EA0">
            <w:pPr>
              <w:pStyle w:val="Tablecells"/>
              <w:ind w:right="0"/>
              <w:jc w:val="right"/>
            </w:pPr>
            <w:r w:rsidRPr="00B96F3F">
              <w:t>[</w:t>
            </w:r>
            <w:r w:rsidRPr="00B96F3F">
              <w:rPr>
                <w:rFonts w:ascii="Wingdings" w:hAnsi="Wingdings"/>
              </w:rPr>
              <w:t></w:t>
            </w:r>
            <w:r w:rsidRPr="00B96F3F">
              <w:t>]</w:t>
            </w:r>
          </w:p>
        </w:tc>
        <w:tc>
          <w:tcPr>
            <w:tcW w:w="1219" w:type="dxa"/>
            <w:tcBorders>
              <w:bottom w:val="nil"/>
            </w:tcBorders>
          </w:tcPr>
          <w:p w:rsidR="00AE44BE" w:rsidRDefault="00AE44BE" w:rsidP="00841EA0">
            <w:pPr>
              <w:pStyle w:val="Tablecells"/>
              <w:ind w:right="0"/>
              <w:jc w:val="right"/>
            </w:pPr>
            <w:r w:rsidRPr="00B96F3F">
              <w:t>[</w:t>
            </w:r>
            <w:r w:rsidRPr="00B96F3F">
              <w:rPr>
                <w:rFonts w:ascii="Wingdings" w:hAnsi="Wingdings"/>
              </w:rPr>
              <w:t></w:t>
            </w:r>
            <w:r w:rsidRPr="00B96F3F">
              <w:t>]</w:t>
            </w:r>
          </w:p>
        </w:tc>
        <w:tc>
          <w:tcPr>
            <w:tcW w:w="1219" w:type="dxa"/>
            <w:tcBorders>
              <w:bottom w:val="nil"/>
            </w:tcBorders>
          </w:tcPr>
          <w:p w:rsidR="00AE44BE" w:rsidRDefault="00AE44BE" w:rsidP="00841EA0">
            <w:pPr>
              <w:pStyle w:val="Tablecells"/>
              <w:ind w:right="0"/>
              <w:jc w:val="right"/>
            </w:pPr>
            <w:r w:rsidRPr="00B96F3F">
              <w:t>[</w:t>
            </w:r>
            <w:r w:rsidRPr="00B96F3F">
              <w:rPr>
                <w:rFonts w:ascii="Wingdings" w:hAnsi="Wingdings"/>
              </w:rPr>
              <w:t></w:t>
            </w:r>
            <w:r w:rsidRPr="00B96F3F">
              <w:t>]</w:t>
            </w:r>
          </w:p>
        </w:tc>
      </w:tr>
      <w:tr w:rsidR="00AE44BE" w:rsidTr="00841EA0">
        <w:trPr>
          <w:cnfStyle w:val="000000100000" w:firstRow="0" w:lastRow="0" w:firstColumn="0" w:lastColumn="0" w:oddVBand="0" w:evenVBand="0" w:oddHBand="1" w:evenHBand="0" w:firstRowFirstColumn="0" w:firstRowLastColumn="0" w:lastRowFirstColumn="0" w:lastRowLastColumn="0"/>
        </w:trPr>
        <w:tc>
          <w:tcPr>
            <w:tcW w:w="1418" w:type="dxa"/>
            <w:tcBorders>
              <w:bottom w:val="nil"/>
            </w:tcBorders>
            <w:vAlign w:val="center"/>
          </w:tcPr>
          <w:p w:rsidR="00AE44BE" w:rsidRPr="00CE4914" w:rsidRDefault="00AE44BE" w:rsidP="00841EA0">
            <w:pPr>
              <w:pStyle w:val="Tablecells"/>
            </w:pPr>
            <w:r w:rsidRPr="00CE4914">
              <w:t>Suburban</w:t>
            </w:r>
          </w:p>
        </w:tc>
        <w:tc>
          <w:tcPr>
            <w:tcW w:w="1219" w:type="dxa"/>
            <w:tcBorders>
              <w:bottom w:val="nil"/>
            </w:tcBorders>
          </w:tcPr>
          <w:p w:rsidR="00AE44BE" w:rsidRDefault="00AE44BE" w:rsidP="00841EA0">
            <w:pPr>
              <w:pStyle w:val="Tablecells"/>
              <w:ind w:right="0"/>
              <w:jc w:val="right"/>
            </w:pPr>
            <w:r w:rsidRPr="00B96F3F">
              <w:t>[</w:t>
            </w:r>
            <w:r w:rsidRPr="00B96F3F">
              <w:rPr>
                <w:rFonts w:ascii="Wingdings" w:hAnsi="Wingdings"/>
              </w:rPr>
              <w:t></w:t>
            </w:r>
            <w:r w:rsidRPr="00B96F3F">
              <w:t>]</w:t>
            </w:r>
          </w:p>
        </w:tc>
        <w:tc>
          <w:tcPr>
            <w:tcW w:w="1219" w:type="dxa"/>
            <w:tcBorders>
              <w:bottom w:val="nil"/>
            </w:tcBorders>
          </w:tcPr>
          <w:p w:rsidR="00AE44BE" w:rsidRDefault="00AE44BE" w:rsidP="00841EA0">
            <w:pPr>
              <w:pStyle w:val="Tablecells"/>
              <w:ind w:right="0"/>
              <w:jc w:val="right"/>
            </w:pPr>
            <w:r w:rsidRPr="00B96F3F">
              <w:t>[</w:t>
            </w:r>
            <w:r w:rsidRPr="00B96F3F">
              <w:rPr>
                <w:rFonts w:ascii="Wingdings" w:hAnsi="Wingdings"/>
              </w:rPr>
              <w:t></w:t>
            </w:r>
            <w:r w:rsidRPr="00B96F3F">
              <w:t>]</w:t>
            </w:r>
          </w:p>
        </w:tc>
        <w:tc>
          <w:tcPr>
            <w:tcW w:w="1219" w:type="dxa"/>
            <w:tcBorders>
              <w:bottom w:val="nil"/>
            </w:tcBorders>
          </w:tcPr>
          <w:p w:rsidR="00AE44BE" w:rsidRDefault="00AE44BE" w:rsidP="00841EA0">
            <w:pPr>
              <w:pStyle w:val="Tablecells"/>
              <w:ind w:right="0"/>
              <w:jc w:val="right"/>
            </w:pPr>
            <w:r w:rsidRPr="00B96F3F">
              <w:t>[</w:t>
            </w:r>
            <w:r w:rsidRPr="00B96F3F">
              <w:rPr>
                <w:rFonts w:ascii="Wingdings" w:hAnsi="Wingdings"/>
              </w:rPr>
              <w:t></w:t>
            </w:r>
            <w:r w:rsidRPr="00B96F3F">
              <w:t>]</w:t>
            </w:r>
          </w:p>
        </w:tc>
        <w:tc>
          <w:tcPr>
            <w:tcW w:w="1219" w:type="dxa"/>
            <w:tcBorders>
              <w:bottom w:val="nil"/>
            </w:tcBorders>
          </w:tcPr>
          <w:p w:rsidR="00AE44BE" w:rsidRDefault="00AE44BE" w:rsidP="00841EA0">
            <w:pPr>
              <w:pStyle w:val="Tablecells"/>
              <w:ind w:right="0"/>
              <w:jc w:val="right"/>
            </w:pPr>
            <w:r w:rsidRPr="00B96F3F">
              <w:t>[</w:t>
            </w:r>
            <w:r w:rsidRPr="00B96F3F">
              <w:rPr>
                <w:rFonts w:ascii="Wingdings" w:hAnsi="Wingdings"/>
              </w:rPr>
              <w:t></w:t>
            </w:r>
            <w:r w:rsidRPr="00B96F3F">
              <w:t>]</w:t>
            </w:r>
          </w:p>
        </w:tc>
        <w:tc>
          <w:tcPr>
            <w:tcW w:w="1219" w:type="dxa"/>
            <w:tcBorders>
              <w:bottom w:val="nil"/>
            </w:tcBorders>
          </w:tcPr>
          <w:p w:rsidR="00AE44BE" w:rsidRDefault="00AE44BE" w:rsidP="00841EA0">
            <w:pPr>
              <w:pStyle w:val="Tablecells"/>
              <w:ind w:right="0"/>
              <w:jc w:val="right"/>
            </w:pPr>
            <w:r w:rsidRPr="00B96F3F">
              <w:t>[</w:t>
            </w:r>
            <w:r w:rsidRPr="00B96F3F">
              <w:rPr>
                <w:rFonts w:ascii="Wingdings" w:hAnsi="Wingdings"/>
              </w:rPr>
              <w:t></w:t>
            </w:r>
            <w:r w:rsidRPr="00B96F3F">
              <w:t>]</w:t>
            </w:r>
          </w:p>
        </w:tc>
        <w:tc>
          <w:tcPr>
            <w:tcW w:w="1219" w:type="dxa"/>
            <w:tcBorders>
              <w:bottom w:val="nil"/>
            </w:tcBorders>
          </w:tcPr>
          <w:p w:rsidR="00AE44BE" w:rsidRDefault="00AE44BE" w:rsidP="00841EA0">
            <w:pPr>
              <w:pStyle w:val="Tablecells"/>
              <w:ind w:right="0"/>
              <w:jc w:val="right"/>
            </w:pPr>
            <w:r w:rsidRPr="00B96F3F">
              <w:t>[</w:t>
            </w:r>
            <w:r w:rsidRPr="00B96F3F">
              <w:rPr>
                <w:rFonts w:ascii="Wingdings" w:hAnsi="Wingdings"/>
              </w:rPr>
              <w:t></w:t>
            </w:r>
            <w:r w:rsidRPr="00B96F3F">
              <w:t>]</w:t>
            </w:r>
          </w:p>
        </w:tc>
      </w:tr>
      <w:tr w:rsidR="00AE44BE" w:rsidTr="00841EA0">
        <w:tc>
          <w:tcPr>
            <w:tcW w:w="1418" w:type="dxa"/>
            <w:tcBorders>
              <w:bottom w:val="nil"/>
            </w:tcBorders>
            <w:vAlign w:val="center"/>
          </w:tcPr>
          <w:p w:rsidR="00AE44BE" w:rsidRPr="00CE4914" w:rsidRDefault="00AE44BE" w:rsidP="00841EA0">
            <w:pPr>
              <w:pStyle w:val="Tablecells"/>
            </w:pPr>
            <w:r w:rsidRPr="00CE4914">
              <w:t>Rural</w:t>
            </w:r>
          </w:p>
        </w:tc>
        <w:tc>
          <w:tcPr>
            <w:tcW w:w="1219" w:type="dxa"/>
            <w:tcBorders>
              <w:bottom w:val="nil"/>
            </w:tcBorders>
          </w:tcPr>
          <w:p w:rsidR="00AE44BE" w:rsidRDefault="00AE44BE" w:rsidP="00841EA0">
            <w:pPr>
              <w:pStyle w:val="Tablecells"/>
              <w:ind w:right="0"/>
              <w:jc w:val="right"/>
            </w:pPr>
            <w:r w:rsidRPr="00B96F3F">
              <w:t>[</w:t>
            </w:r>
            <w:r w:rsidRPr="00B96F3F">
              <w:rPr>
                <w:rFonts w:ascii="Wingdings" w:hAnsi="Wingdings"/>
              </w:rPr>
              <w:t></w:t>
            </w:r>
            <w:r w:rsidRPr="00B96F3F">
              <w:t>]</w:t>
            </w:r>
          </w:p>
        </w:tc>
        <w:tc>
          <w:tcPr>
            <w:tcW w:w="1219" w:type="dxa"/>
            <w:tcBorders>
              <w:bottom w:val="nil"/>
            </w:tcBorders>
          </w:tcPr>
          <w:p w:rsidR="00AE44BE" w:rsidRDefault="00AE44BE" w:rsidP="00841EA0">
            <w:pPr>
              <w:pStyle w:val="Tablecells"/>
              <w:ind w:right="0"/>
              <w:jc w:val="right"/>
            </w:pPr>
            <w:r w:rsidRPr="00B96F3F">
              <w:t>[</w:t>
            </w:r>
            <w:r w:rsidRPr="00B96F3F">
              <w:rPr>
                <w:rFonts w:ascii="Wingdings" w:hAnsi="Wingdings"/>
              </w:rPr>
              <w:t></w:t>
            </w:r>
            <w:r w:rsidRPr="00B96F3F">
              <w:t>]</w:t>
            </w:r>
          </w:p>
        </w:tc>
        <w:tc>
          <w:tcPr>
            <w:tcW w:w="1219" w:type="dxa"/>
            <w:tcBorders>
              <w:bottom w:val="nil"/>
            </w:tcBorders>
          </w:tcPr>
          <w:p w:rsidR="00AE44BE" w:rsidRDefault="00AE44BE" w:rsidP="00841EA0">
            <w:pPr>
              <w:pStyle w:val="Tablecells"/>
              <w:ind w:right="0"/>
              <w:jc w:val="right"/>
            </w:pPr>
            <w:r w:rsidRPr="00B96F3F">
              <w:t>[</w:t>
            </w:r>
            <w:r w:rsidRPr="00B96F3F">
              <w:rPr>
                <w:rFonts w:ascii="Wingdings" w:hAnsi="Wingdings"/>
              </w:rPr>
              <w:t></w:t>
            </w:r>
            <w:r w:rsidRPr="00B96F3F">
              <w:t>]</w:t>
            </w:r>
          </w:p>
        </w:tc>
        <w:tc>
          <w:tcPr>
            <w:tcW w:w="1219" w:type="dxa"/>
            <w:tcBorders>
              <w:bottom w:val="nil"/>
            </w:tcBorders>
          </w:tcPr>
          <w:p w:rsidR="00AE44BE" w:rsidRDefault="00AE44BE" w:rsidP="00841EA0">
            <w:pPr>
              <w:pStyle w:val="Tablecells"/>
              <w:ind w:right="0"/>
              <w:jc w:val="right"/>
            </w:pPr>
            <w:r w:rsidRPr="00B96F3F">
              <w:t>[</w:t>
            </w:r>
            <w:r w:rsidRPr="00B96F3F">
              <w:rPr>
                <w:rFonts w:ascii="Wingdings" w:hAnsi="Wingdings"/>
              </w:rPr>
              <w:t></w:t>
            </w:r>
            <w:r w:rsidRPr="00B96F3F">
              <w:t>]</w:t>
            </w:r>
          </w:p>
        </w:tc>
        <w:tc>
          <w:tcPr>
            <w:tcW w:w="1219" w:type="dxa"/>
            <w:tcBorders>
              <w:bottom w:val="nil"/>
            </w:tcBorders>
          </w:tcPr>
          <w:p w:rsidR="00AE44BE" w:rsidRDefault="00AE44BE" w:rsidP="00841EA0">
            <w:pPr>
              <w:pStyle w:val="Tablecells"/>
              <w:ind w:right="0"/>
              <w:jc w:val="right"/>
            </w:pPr>
            <w:r w:rsidRPr="00B96F3F">
              <w:t>[</w:t>
            </w:r>
            <w:r w:rsidRPr="00B96F3F">
              <w:rPr>
                <w:rFonts w:ascii="Wingdings" w:hAnsi="Wingdings"/>
              </w:rPr>
              <w:t></w:t>
            </w:r>
            <w:r w:rsidRPr="00B96F3F">
              <w:t>]</w:t>
            </w:r>
          </w:p>
        </w:tc>
        <w:tc>
          <w:tcPr>
            <w:tcW w:w="1219" w:type="dxa"/>
            <w:tcBorders>
              <w:bottom w:val="nil"/>
            </w:tcBorders>
          </w:tcPr>
          <w:p w:rsidR="00AE44BE" w:rsidRDefault="00AE44BE" w:rsidP="00841EA0">
            <w:pPr>
              <w:pStyle w:val="Tablecells"/>
              <w:ind w:right="0"/>
              <w:jc w:val="right"/>
            </w:pPr>
            <w:r w:rsidRPr="00B96F3F">
              <w:t>[</w:t>
            </w:r>
            <w:r w:rsidRPr="00B96F3F">
              <w:rPr>
                <w:rFonts w:ascii="Wingdings" w:hAnsi="Wingdings"/>
              </w:rPr>
              <w:t></w:t>
            </w:r>
            <w:r w:rsidRPr="00B96F3F">
              <w:t>]</w:t>
            </w:r>
          </w:p>
        </w:tc>
      </w:tr>
      <w:tr w:rsidR="00AE44BE" w:rsidTr="00841EA0">
        <w:trPr>
          <w:cnfStyle w:val="000000100000" w:firstRow="0" w:lastRow="0" w:firstColumn="0" w:lastColumn="0" w:oddVBand="0" w:evenVBand="0" w:oddHBand="1" w:evenHBand="0" w:firstRowFirstColumn="0" w:firstRowLastColumn="0" w:lastRowFirstColumn="0" w:lastRowLastColumn="0"/>
        </w:trPr>
        <w:tc>
          <w:tcPr>
            <w:tcW w:w="1418" w:type="dxa"/>
            <w:tcBorders>
              <w:top w:val="nil"/>
              <w:bottom w:val="nil"/>
            </w:tcBorders>
            <w:vAlign w:val="center"/>
          </w:tcPr>
          <w:p w:rsidR="00AE44BE" w:rsidRDefault="00AE44BE" w:rsidP="00841EA0">
            <w:pPr>
              <w:pStyle w:val="Tablecells"/>
            </w:pPr>
            <w:r>
              <w:t>Remote</w:t>
            </w:r>
          </w:p>
        </w:tc>
        <w:tc>
          <w:tcPr>
            <w:tcW w:w="1219" w:type="dxa"/>
            <w:tcBorders>
              <w:top w:val="nil"/>
              <w:bottom w:val="nil"/>
            </w:tcBorders>
          </w:tcPr>
          <w:p w:rsidR="00AE44BE" w:rsidRDefault="00AE44BE" w:rsidP="00841EA0">
            <w:pPr>
              <w:pStyle w:val="Tablecells"/>
              <w:ind w:right="0"/>
              <w:jc w:val="right"/>
            </w:pPr>
            <w:r w:rsidRPr="00B96F3F">
              <w:t>[</w:t>
            </w:r>
            <w:r w:rsidRPr="00B96F3F">
              <w:rPr>
                <w:rFonts w:ascii="Wingdings" w:hAnsi="Wingdings"/>
              </w:rPr>
              <w:t></w:t>
            </w:r>
            <w:r w:rsidRPr="00B96F3F">
              <w:t>]</w:t>
            </w:r>
          </w:p>
        </w:tc>
        <w:tc>
          <w:tcPr>
            <w:tcW w:w="1219" w:type="dxa"/>
            <w:tcBorders>
              <w:top w:val="nil"/>
              <w:bottom w:val="nil"/>
            </w:tcBorders>
          </w:tcPr>
          <w:p w:rsidR="00AE44BE" w:rsidRDefault="00AE44BE" w:rsidP="00841EA0">
            <w:pPr>
              <w:pStyle w:val="Tablecells"/>
              <w:ind w:right="0"/>
              <w:jc w:val="right"/>
            </w:pPr>
            <w:r w:rsidRPr="00B96F3F">
              <w:t>[</w:t>
            </w:r>
            <w:r w:rsidRPr="00B96F3F">
              <w:rPr>
                <w:rFonts w:ascii="Wingdings" w:hAnsi="Wingdings"/>
              </w:rPr>
              <w:t></w:t>
            </w:r>
            <w:r w:rsidRPr="00B96F3F">
              <w:t>]</w:t>
            </w:r>
          </w:p>
        </w:tc>
        <w:tc>
          <w:tcPr>
            <w:tcW w:w="1219" w:type="dxa"/>
            <w:tcBorders>
              <w:top w:val="nil"/>
              <w:bottom w:val="nil"/>
            </w:tcBorders>
          </w:tcPr>
          <w:p w:rsidR="00AE44BE" w:rsidRDefault="00AE44BE" w:rsidP="00841EA0">
            <w:pPr>
              <w:pStyle w:val="Tablecells"/>
              <w:ind w:right="0"/>
              <w:jc w:val="right"/>
            </w:pPr>
            <w:r w:rsidRPr="00B96F3F">
              <w:t>[</w:t>
            </w:r>
            <w:r w:rsidRPr="00B96F3F">
              <w:rPr>
                <w:rFonts w:ascii="Wingdings" w:hAnsi="Wingdings"/>
              </w:rPr>
              <w:t></w:t>
            </w:r>
            <w:r w:rsidRPr="00B96F3F">
              <w:t>]</w:t>
            </w:r>
          </w:p>
        </w:tc>
        <w:tc>
          <w:tcPr>
            <w:tcW w:w="1219" w:type="dxa"/>
            <w:tcBorders>
              <w:top w:val="nil"/>
              <w:bottom w:val="nil"/>
            </w:tcBorders>
          </w:tcPr>
          <w:p w:rsidR="00AE44BE" w:rsidRDefault="00AE44BE" w:rsidP="00841EA0">
            <w:pPr>
              <w:pStyle w:val="Tablecells"/>
              <w:ind w:right="0"/>
              <w:jc w:val="right"/>
            </w:pPr>
            <w:r w:rsidRPr="00B96F3F">
              <w:t>[</w:t>
            </w:r>
            <w:r w:rsidRPr="00B96F3F">
              <w:rPr>
                <w:rFonts w:ascii="Wingdings" w:hAnsi="Wingdings"/>
              </w:rPr>
              <w:t></w:t>
            </w:r>
            <w:r w:rsidRPr="00B96F3F">
              <w:t>]</w:t>
            </w:r>
          </w:p>
        </w:tc>
        <w:tc>
          <w:tcPr>
            <w:tcW w:w="1219" w:type="dxa"/>
            <w:tcBorders>
              <w:top w:val="nil"/>
              <w:bottom w:val="nil"/>
            </w:tcBorders>
          </w:tcPr>
          <w:p w:rsidR="00AE44BE" w:rsidRDefault="00AE44BE" w:rsidP="00841EA0">
            <w:pPr>
              <w:pStyle w:val="Tablecells"/>
              <w:ind w:right="0"/>
              <w:jc w:val="right"/>
            </w:pPr>
            <w:r w:rsidRPr="00B96F3F">
              <w:t>[</w:t>
            </w:r>
            <w:r w:rsidRPr="00B96F3F">
              <w:rPr>
                <w:rFonts w:ascii="Wingdings" w:hAnsi="Wingdings"/>
              </w:rPr>
              <w:t></w:t>
            </w:r>
            <w:r w:rsidRPr="00B96F3F">
              <w:t>]</w:t>
            </w:r>
          </w:p>
        </w:tc>
        <w:tc>
          <w:tcPr>
            <w:tcW w:w="1219" w:type="dxa"/>
            <w:tcBorders>
              <w:top w:val="nil"/>
              <w:bottom w:val="nil"/>
            </w:tcBorders>
          </w:tcPr>
          <w:p w:rsidR="00AE44BE" w:rsidRDefault="00AE44BE" w:rsidP="00841EA0">
            <w:pPr>
              <w:pStyle w:val="Tablecells"/>
              <w:ind w:right="0"/>
              <w:jc w:val="right"/>
            </w:pPr>
            <w:r w:rsidRPr="00B96F3F">
              <w:t>[</w:t>
            </w:r>
            <w:r w:rsidRPr="00B96F3F">
              <w:rPr>
                <w:rFonts w:ascii="Wingdings" w:hAnsi="Wingdings"/>
              </w:rPr>
              <w:t></w:t>
            </w:r>
            <w:r w:rsidRPr="00B96F3F">
              <w:t>]</w:t>
            </w:r>
          </w:p>
        </w:tc>
      </w:tr>
      <w:tr w:rsidR="00B873A7" w:rsidTr="00841EA0">
        <w:tc>
          <w:tcPr>
            <w:tcW w:w="1418" w:type="dxa"/>
            <w:tcBorders>
              <w:top w:val="nil"/>
              <w:bottom w:val="single" w:sz="4" w:space="0" w:color="808080"/>
            </w:tcBorders>
            <w:vAlign w:val="center"/>
          </w:tcPr>
          <w:p w:rsidR="00B873A7" w:rsidRDefault="00B873A7" w:rsidP="00841EA0">
            <w:pPr>
              <w:pStyle w:val="Tablecells"/>
            </w:pPr>
            <w:r>
              <w:t>All</w:t>
            </w:r>
          </w:p>
        </w:tc>
        <w:tc>
          <w:tcPr>
            <w:tcW w:w="1219" w:type="dxa"/>
            <w:tcBorders>
              <w:top w:val="nil"/>
              <w:bottom w:val="single" w:sz="4" w:space="0" w:color="808080"/>
            </w:tcBorders>
          </w:tcPr>
          <w:p w:rsidR="00B873A7" w:rsidRDefault="00B873A7" w:rsidP="00841EA0">
            <w:pPr>
              <w:pStyle w:val="Tablecells"/>
              <w:ind w:right="0"/>
              <w:jc w:val="right"/>
            </w:pPr>
            <w:r>
              <w:t>98.4%</w:t>
            </w:r>
          </w:p>
        </w:tc>
        <w:tc>
          <w:tcPr>
            <w:tcW w:w="1219" w:type="dxa"/>
            <w:tcBorders>
              <w:top w:val="nil"/>
              <w:bottom w:val="single" w:sz="4" w:space="0" w:color="808080"/>
            </w:tcBorders>
          </w:tcPr>
          <w:p w:rsidR="00B873A7" w:rsidRDefault="00B873A7" w:rsidP="00841EA0">
            <w:pPr>
              <w:pStyle w:val="Tablecells"/>
              <w:ind w:right="0"/>
              <w:jc w:val="right"/>
            </w:pPr>
            <w:r>
              <w:t>12.6%</w:t>
            </w:r>
          </w:p>
        </w:tc>
        <w:tc>
          <w:tcPr>
            <w:tcW w:w="1219" w:type="dxa"/>
            <w:tcBorders>
              <w:top w:val="nil"/>
              <w:bottom w:val="single" w:sz="4" w:space="0" w:color="808080"/>
            </w:tcBorders>
          </w:tcPr>
          <w:p w:rsidR="00B873A7" w:rsidRDefault="00B873A7" w:rsidP="00841EA0">
            <w:pPr>
              <w:pStyle w:val="Tablecells"/>
              <w:ind w:right="0"/>
              <w:jc w:val="right"/>
            </w:pPr>
            <w:r>
              <w:t>99.6%</w:t>
            </w:r>
          </w:p>
        </w:tc>
        <w:tc>
          <w:tcPr>
            <w:tcW w:w="1219" w:type="dxa"/>
            <w:tcBorders>
              <w:top w:val="nil"/>
              <w:bottom w:val="single" w:sz="4" w:space="0" w:color="808080"/>
            </w:tcBorders>
          </w:tcPr>
          <w:p w:rsidR="00B873A7" w:rsidRDefault="00B873A7" w:rsidP="00841EA0">
            <w:pPr>
              <w:pStyle w:val="Tablecells"/>
              <w:ind w:right="0"/>
              <w:jc w:val="right"/>
            </w:pPr>
            <w:r>
              <w:t>30.7%</w:t>
            </w:r>
          </w:p>
        </w:tc>
        <w:tc>
          <w:tcPr>
            <w:tcW w:w="1219" w:type="dxa"/>
            <w:tcBorders>
              <w:top w:val="nil"/>
              <w:bottom w:val="single" w:sz="4" w:space="0" w:color="808080"/>
            </w:tcBorders>
          </w:tcPr>
          <w:p w:rsidR="00B873A7" w:rsidRDefault="00B873A7" w:rsidP="00841EA0">
            <w:pPr>
              <w:pStyle w:val="Tablecells"/>
              <w:ind w:right="0"/>
              <w:jc w:val="right"/>
            </w:pPr>
            <w:r>
              <w:t>95.4%</w:t>
            </w:r>
          </w:p>
        </w:tc>
        <w:tc>
          <w:tcPr>
            <w:tcW w:w="1219" w:type="dxa"/>
            <w:tcBorders>
              <w:top w:val="nil"/>
              <w:bottom w:val="single" w:sz="4" w:space="0" w:color="808080"/>
            </w:tcBorders>
          </w:tcPr>
          <w:p w:rsidR="00B873A7" w:rsidRDefault="00B873A7" w:rsidP="00841EA0">
            <w:pPr>
              <w:pStyle w:val="Tablecells"/>
              <w:ind w:right="0"/>
              <w:jc w:val="right"/>
            </w:pPr>
            <w:r>
              <w:t>4.5%</w:t>
            </w:r>
          </w:p>
        </w:tc>
      </w:tr>
    </w:tbl>
    <w:p w:rsidR="00CA282A" w:rsidRDefault="00CA282A" w:rsidP="00CA282A">
      <w:pPr>
        <w:pStyle w:val="Heading3"/>
      </w:pPr>
      <w:r>
        <w:t>Use/provision of national roaming</w:t>
      </w:r>
    </w:p>
    <w:p w:rsidR="00CA282A" w:rsidRDefault="00E74180" w:rsidP="00CA282A">
      <w:r>
        <w:t xml:space="preserve">The model takes account </w:t>
      </w:r>
      <w:r w:rsidR="005B197D">
        <w:t xml:space="preserve">of </w:t>
      </w:r>
      <w:r>
        <w:t xml:space="preserve">the fact that VHA uses a national roaming </w:t>
      </w:r>
      <w:r w:rsidR="005B197D">
        <w:t xml:space="preserve">service </w:t>
      </w:r>
      <w:r>
        <w:t>provided by Optus in some parts of the country. The model assumes the following:</w:t>
      </w:r>
    </w:p>
    <w:p w:rsidR="00E74180" w:rsidRDefault="00E74180" w:rsidP="00E74180">
      <w:pPr>
        <w:pStyle w:val="ListBulletCompact"/>
      </w:pPr>
      <w:r>
        <w:t>National roaming is only used/provided in the rural and remote geotypes</w:t>
      </w:r>
    </w:p>
    <w:p w:rsidR="00E74180" w:rsidRDefault="00E74180" w:rsidP="00E74180">
      <w:pPr>
        <w:pStyle w:val="ListBulletCompact"/>
      </w:pPr>
      <w:r>
        <w:t>National roaming is only used/provided for 2G and 3G traffic, not for LTE</w:t>
      </w:r>
    </w:p>
    <w:p w:rsidR="004B1770" w:rsidRPr="00CA282A" w:rsidRDefault="004B1770" w:rsidP="004B1770">
      <w:pPr>
        <w:pStyle w:val="ListBullet"/>
      </w:pPr>
      <w:bookmarkStart w:id="135" w:name="_Ref367741880"/>
      <w:bookmarkStart w:id="136" w:name="_Toc373161404"/>
      <w:r>
        <w:t>60% of the traffic from VHA’s subscribers in the rural geotype and 40% of the traffic from VHA’s subscribers in the remote geotype is carried by Optus’ network rather than by VHA’s network (these numbers are only assumptions).</w:t>
      </w:r>
    </w:p>
    <w:p w:rsidR="00B873A7" w:rsidRDefault="00B873A7" w:rsidP="00B873A7">
      <w:pPr>
        <w:pStyle w:val="Heading3"/>
        <w:ind w:hanging="567"/>
      </w:pPr>
      <w:bookmarkStart w:id="137" w:name="_Ref419108962"/>
      <w:r w:rsidRPr="008A0DCE">
        <w:t>Bands used for coverage and associated cell radii</w:t>
      </w:r>
      <w:bookmarkEnd w:id="135"/>
      <w:bookmarkEnd w:id="136"/>
      <w:bookmarkEnd w:id="137"/>
    </w:p>
    <w:p w:rsidR="00B873A7" w:rsidRDefault="00B873A7" w:rsidP="00B873A7">
      <w:r>
        <w:t>The model assumes that the following bands are used for coverage (note: additional bands may be used for capacity):</w:t>
      </w:r>
    </w:p>
    <w:p w:rsidR="00B873A7" w:rsidRDefault="00B873A7" w:rsidP="00B873A7">
      <w:pPr>
        <w:pStyle w:val="ListBulletCompact"/>
        <w:tabs>
          <w:tab w:val="num" w:pos="360"/>
        </w:tabs>
        <w:ind w:left="357" w:hanging="357"/>
      </w:pPr>
      <w:r>
        <w:t>2G: the 900MHz band for all three operators</w:t>
      </w:r>
    </w:p>
    <w:p w:rsidR="00B873A7" w:rsidRDefault="00B873A7" w:rsidP="00B873A7">
      <w:pPr>
        <w:pStyle w:val="ListBulletCompact"/>
        <w:tabs>
          <w:tab w:val="num" w:pos="360"/>
        </w:tabs>
        <w:ind w:left="357" w:hanging="357"/>
      </w:pPr>
      <w:r>
        <w:t>3G: the 800MHz band for Telstra and VHA and the 900MHz band for Optus</w:t>
      </w:r>
    </w:p>
    <w:p w:rsidR="00B873A7" w:rsidRDefault="00B873A7" w:rsidP="00B873A7">
      <w:pPr>
        <w:pStyle w:val="ListBullet"/>
        <w:tabs>
          <w:tab w:val="num" w:pos="360"/>
        </w:tabs>
        <w:ind w:left="357" w:hanging="357"/>
      </w:pPr>
      <w:r>
        <w:t>4G: the 1800MHz band until 2014 for all three operators; from 2015 Optus and Telstra use 700MHz band</w:t>
      </w:r>
      <w:r w:rsidR="00E36E08">
        <w:t xml:space="preserve"> while VHA continues to use the 1800MHz band</w:t>
      </w:r>
      <w:r>
        <w:t>.</w:t>
      </w:r>
      <w:r>
        <w:rPr>
          <w:rStyle w:val="FootnoteReference"/>
        </w:rPr>
        <w:footnoteReference w:id="40"/>
      </w:r>
      <w:r w:rsidR="00133710" w:rsidRPr="00133710">
        <w:rPr>
          <w:vertAlign w:val="superscript"/>
        </w:rPr>
        <w:t>,</w:t>
      </w:r>
      <w:r w:rsidR="00133710">
        <w:rPr>
          <w:rStyle w:val="FootnoteReference"/>
        </w:rPr>
        <w:footnoteReference w:id="41"/>
      </w:r>
    </w:p>
    <w:p w:rsidR="00B873A7" w:rsidRPr="005A106E" w:rsidRDefault="00B873A7" w:rsidP="006967DE">
      <w:pPr>
        <w:rPr>
          <w:spacing w:val="-4"/>
        </w:rPr>
      </w:pPr>
      <w:r w:rsidRPr="005A106E">
        <w:rPr>
          <w:spacing w:val="-4"/>
        </w:rPr>
        <w:t xml:space="preserve">The number of sites required to cover a given area in a particular band is calculated using an average cell radius for each band and geotype. This is a simplification since in the real world the achievable cell radius will vary depending based on topographical and man-made features and sites will be unevenly distributed due to problems with securing permission to build in the ideal locations. </w:t>
      </w:r>
    </w:p>
    <w:p w:rsidR="00150A1E" w:rsidRDefault="00B873A7" w:rsidP="00150A1E">
      <w:r>
        <w:t>We have however, tried to calibrate the cell radii so that the starting number of sites for each operator calculated by the model is in line with the actual figures (based on data provided by the operators and extracted from the ACMA’s database). We have also ensured that the relative cell radii for different bands are broadly in line with those calculated using standard mobile network radio frequency link budgets. The coverage cell radii for 2G are presented in</w:t>
      </w:r>
      <w:r w:rsidR="004747EA">
        <w:t xml:space="preserve"> Figure 4.36</w:t>
      </w:r>
      <w:r>
        <w:t xml:space="preserve"> below</w:t>
      </w:r>
      <w:bookmarkStart w:id="138" w:name="_Ref367741594"/>
      <w:bookmarkStart w:id="139" w:name="_Ref367741590"/>
      <w:r w:rsidR="006967DE">
        <w:t>.</w:t>
      </w:r>
      <w:r w:rsidR="00150A1E">
        <w:t xml:space="preserve"> </w:t>
      </w:r>
    </w:p>
    <w:p w:rsidR="00B873A7" w:rsidRDefault="00B873A7" w:rsidP="00150A1E">
      <w:pPr>
        <w:pStyle w:val="Caption"/>
      </w:pPr>
      <w:r>
        <w:t>Figure </w:t>
      </w:r>
      <w:r w:rsidR="008B1006">
        <w:fldChar w:fldCharType="begin"/>
      </w:r>
      <w:r w:rsidR="008B1006">
        <w:instrText xml:space="preserve"> STYLEREF 1 \s \*</w:instrText>
      </w:r>
      <w:r w:rsidR="008B1006">
        <w:instrText xml:space="preserve"> MERGEFORMAT </w:instrText>
      </w:r>
      <w:r w:rsidR="008B1006">
        <w:fldChar w:fldCharType="separate"/>
      </w:r>
      <w:r w:rsidR="00A87B65">
        <w:t>4</w:t>
      </w:r>
      <w:r w:rsidR="008B1006">
        <w:fldChar w:fldCharType="end"/>
      </w:r>
      <w:r>
        <w:t>.</w:t>
      </w:r>
      <w:fldSimple w:instr=" SEQ Figure \* ARABIC \s 1 \* MERGEFORMAT ">
        <w:r w:rsidR="00A87B65">
          <w:t>36</w:t>
        </w:r>
      </w:fldSimple>
      <w:bookmarkEnd w:id="138"/>
      <w:r>
        <w:t>: 2G c</w:t>
      </w:r>
      <w:r w:rsidRPr="00517BA8">
        <w:t>ell radii by geotype and spectrum band (in km)</w:t>
      </w:r>
      <w:r>
        <w:t xml:space="preserve"> [Source: Analysys Mason, 2014, from the site database provided by ACMA and operators’ answers to the data request]</w:t>
      </w:r>
      <w:bookmarkEnd w:id="139"/>
    </w:p>
    <w:tbl>
      <w:tblPr>
        <w:tblStyle w:val="MediumShading2-Accent1"/>
        <w:tblW w:w="8789" w:type="dxa"/>
        <w:tblInd w:w="108" w:type="dxa"/>
        <w:tblLayout w:type="fixed"/>
        <w:tblLook w:val="0420" w:firstRow="1" w:lastRow="0" w:firstColumn="0" w:lastColumn="0" w:noHBand="0" w:noVBand="1"/>
      </w:tblPr>
      <w:tblGrid>
        <w:gridCol w:w="2929"/>
        <w:gridCol w:w="2930"/>
        <w:gridCol w:w="2930"/>
      </w:tblGrid>
      <w:tr w:rsidR="00B873A7" w:rsidRPr="007E5383" w:rsidTr="003C6417">
        <w:trPr>
          <w:cnfStyle w:val="100000000000" w:firstRow="1" w:lastRow="0" w:firstColumn="0" w:lastColumn="0" w:oddVBand="0" w:evenVBand="0" w:oddHBand="0" w:evenHBand="0" w:firstRowFirstColumn="0" w:firstRowLastColumn="0" w:lastRowFirstColumn="0" w:lastRowLastColumn="0"/>
        </w:trPr>
        <w:tc>
          <w:tcPr>
            <w:tcW w:w="2929" w:type="dxa"/>
            <w:tcBorders>
              <w:top w:val="single" w:sz="18" w:space="0" w:color="221F72"/>
              <w:bottom w:val="single" w:sz="4" w:space="0" w:color="FFFFFF" w:themeColor="background1"/>
            </w:tcBorders>
            <w:shd w:val="solid" w:color="221F72" w:fill="221F72"/>
          </w:tcPr>
          <w:p w:rsidR="00B873A7" w:rsidRPr="007E5383" w:rsidRDefault="00B873A7" w:rsidP="00841EA0">
            <w:pPr>
              <w:pStyle w:val="Tableheading"/>
              <w:rPr>
                <w:b/>
                <w:i/>
              </w:rPr>
            </w:pPr>
            <w:r w:rsidRPr="007E5383">
              <w:rPr>
                <w:b/>
              </w:rPr>
              <w:t>Geotype</w:t>
            </w:r>
          </w:p>
        </w:tc>
        <w:tc>
          <w:tcPr>
            <w:tcW w:w="2930" w:type="dxa"/>
            <w:tcBorders>
              <w:top w:val="single" w:sz="18" w:space="0" w:color="221F72"/>
              <w:bottom w:val="single" w:sz="4" w:space="0" w:color="FFFFFF" w:themeColor="background1"/>
            </w:tcBorders>
            <w:shd w:val="solid" w:color="221F72" w:fill="221F72"/>
          </w:tcPr>
          <w:p w:rsidR="00B873A7" w:rsidRPr="007E5383" w:rsidRDefault="00B873A7" w:rsidP="00841EA0">
            <w:pPr>
              <w:pStyle w:val="Tableheading"/>
              <w:jc w:val="right"/>
              <w:rPr>
                <w:b/>
                <w:i/>
              </w:rPr>
            </w:pPr>
            <w:r w:rsidRPr="007E5383">
              <w:rPr>
                <w:b/>
                <w:bCs w:val="0"/>
              </w:rPr>
              <w:t>900MHz</w:t>
            </w:r>
          </w:p>
        </w:tc>
        <w:tc>
          <w:tcPr>
            <w:tcW w:w="2930" w:type="dxa"/>
            <w:tcBorders>
              <w:top w:val="single" w:sz="18" w:space="0" w:color="221F72"/>
              <w:bottom w:val="single" w:sz="4" w:space="0" w:color="FFFFFF" w:themeColor="background1"/>
            </w:tcBorders>
            <w:shd w:val="solid" w:color="221F72" w:fill="221F72"/>
          </w:tcPr>
          <w:p w:rsidR="00B873A7" w:rsidRPr="007E5383" w:rsidRDefault="00B873A7" w:rsidP="00841EA0">
            <w:pPr>
              <w:pStyle w:val="Tableheading"/>
              <w:jc w:val="right"/>
              <w:rPr>
                <w:b/>
                <w:i/>
              </w:rPr>
            </w:pPr>
            <w:r w:rsidRPr="007E5383">
              <w:rPr>
                <w:b/>
                <w:bCs w:val="0"/>
              </w:rPr>
              <w:t>1800MHz</w:t>
            </w:r>
          </w:p>
        </w:tc>
      </w:tr>
      <w:tr w:rsidR="00B873A7" w:rsidTr="003C6417">
        <w:trPr>
          <w:cnfStyle w:val="000000100000" w:firstRow="0" w:lastRow="0" w:firstColumn="0" w:lastColumn="0" w:oddVBand="0" w:evenVBand="0" w:oddHBand="1" w:evenHBand="0" w:firstRowFirstColumn="0" w:firstRowLastColumn="0" w:lastRowFirstColumn="0" w:lastRowLastColumn="0"/>
        </w:trPr>
        <w:tc>
          <w:tcPr>
            <w:tcW w:w="2929" w:type="dxa"/>
            <w:tcBorders>
              <w:top w:val="single" w:sz="4" w:space="0" w:color="FFFFFF" w:themeColor="background1"/>
            </w:tcBorders>
            <w:vAlign w:val="center"/>
          </w:tcPr>
          <w:p w:rsidR="00B873A7" w:rsidRPr="00351AA2" w:rsidRDefault="00B873A7" w:rsidP="00841EA0">
            <w:pPr>
              <w:pStyle w:val="Tablecells"/>
            </w:pPr>
            <w:r w:rsidRPr="00517BA8">
              <w:t>Dense urban</w:t>
            </w:r>
          </w:p>
        </w:tc>
        <w:tc>
          <w:tcPr>
            <w:tcW w:w="2930" w:type="dxa"/>
            <w:tcBorders>
              <w:top w:val="single" w:sz="4" w:space="0" w:color="FFFFFF" w:themeColor="background1"/>
            </w:tcBorders>
            <w:vAlign w:val="center"/>
          </w:tcPr>
          <w:p w:rsidR="00B873A7" w:rsidRPr="00351AA2" w:rsidRDefault="00B873A7" w:rsidP="00841EA0">
            <w:pPr>
              <w:pStyle w:val="Tablecells"/>
              <w:jc w:val="right"/>
            </w:pPr>
            <w:r w:rsidRPr="00517BA8">
              <w:t>0.60</w:t>
            </w:r>
          </w:p>
        </w:tc>
        <w:tc>
          <w:tcPr>
            <w:tcW w:w="2930" w:type="dxa"/>
            <w:tcBorders>
              <w:top w:val="single" w:sz="4" w:space="0" w:color="FFFFFF" w:themeColor="background1"/>
            </w:tcBorders>
            <w:vAlign w:val="center"/>
          </w:tcPr>
          <w:p w:rsidR="00B873A7" w:rsidRPr="00351AA2" w:rsidRDefault="00B873A7" w:rsidP="00841EA0">
            <w:pPr>
              <w:pStyle w:val="Tablecells"/>
              <w:jc w:val="right"/>
            </w:pPr>
            <w:r w:rsidRPr="00517BA8">
              <w:t>0.41</w:t>
            </w:r>
          </w:p>
        </w:tc>
      </w:tr>
      <w:tr w:rsidR="00B873A7" w:rsidTr="00841EA0">
        <w:tc>
          <w:tcPr>
            <w:tcW w:w="2929" w:type="dxa"/>
            <w:tcBorders>
              <w:bottom w:val="nil"/>
            </w:tcBorders>
            <w:vAlign w:val="center"/>
          </w:tcPr>
          <w:p w:rsidR="00B873A7" w:rsidRPr="00517BA8" w:rsidRDefault="00B873A7" w:rsidP="00841EA0">
            <w:pPr>
              <w:pStyle w:val="Tablecells"/>
            </w:pPr>
            <w:r w:rsidRPr="00517BA8">
              <w:t>Urban</w:t>
            </w:r>
          </w:p>
        </w:tc>
        <w:tc>
          <w:tcPr>
            <w:tcW w:w="2930" w:type="dxa"/>
            <w:tcBorders>
              <w:bottom w:val="nil"/>
            </w:tcBorders>
            <w:vAlign w:val="center"/>
          </w:tcPr>
          <w:p w:rsidR="00B873A7" w:rsidRPr="00517BA8" w:rsidRDefault="00B873A7" w:rsidP="00841EA0">
            <w:pPr>
              <w:pStyle w:val="Tablecells"/>
              <w:jc w:val="right"/>
            </w:pPr>
            <w:r w:rsidRPr="00517BA8">
              <w:t xml:space="preserve">1.20 </w:t>
            </w:r>
          </w:p>
        </w:tc>
        <w:tc>
          <w:tcPr>
            <w:tcW w:w="2930" w:type="dxa"/>
            <w:tcBorders>
              <w:bottom w:val="nil"/>
            </w:tcBorders>
            <w:vAlign w:val="center"/>
          </w:tcPr>
          <w:p w:rsidR="00B873A7" w:rsidRPr="00517BA8" w:rsidRDefault="00B873A7" w:rsidP="00841EA0">
            <w:pPr>
              <w:pStyle w:val="Tablecells"/>
              <w:jc w:val="right"/>
            </w:pPr>
            <w:r w:rsidRPr="00517BA8">
              <w:t xml:space="preserve">0.82 </w:t>
            </w:r>
          </w:p>
        </w:tc>
      </w:tr>
      <w:tr w:rsidR="00B873A7" w:rsidTr="00841EA0">
        <w:trPr>
          <w:cnfStyle w:val="000000100000" w:firstRow="0" w:lastRow="0" w:firstColumn="0" w:lastColumn="0" w:oddVBand="0" w:evenVBand="0" w:oddHBand="1" w:evenHBand="0" w:firstRowFirstColumn="0" w:firstRowLastColumn="0" w:lastRowFirstColumn="0" w:lastRowLastColumn="0"/>
        </w:trPr>
        <w:tc>
          <w:tcPr>
            <w:tcW w:w="2929" w:type="dxa"/>
            <w:tcBorders>
              <w:bottom w:val="nil"/>
            </w:tcBorders>
            <w:vAlign w:val="center"/>
          </w:tcPr>
          <w:p w:rsidR="00B873A7" w:rsidRPr="00517BA8" w:rsidRDefault="00B873A7" w:rsidP="00841EA0">
            <w:pPr>
              <w:pStyle w:val="Tablecells"/>
            </w:pPr>
            <w:r w:rsidRPr="00517BA8">
              <w:t>Suburban</w:t>
            </w:r>
          </w:p>
        </w:tc>
        <w:tc>
          <w:tcPr>
            <w:tcW w:w="2930" w:type="dxa"/>
            <w:tcBorders>
              <w:bottom w:val="nil"/>
            </w:tcBorders>
            <w:vAlign w:val="center"/>
          </w:tcPr>
          <w:p w:rsidR="00B873A7" w:rsidRPr="00517BA8" w:rsidRDefault="00B873A7" w:rsidP="00841EA0">
            <w:pPr>
              <w:pStyle w:val="Tablecells"/>
              <w:jc w:val="right"/>
            </w:pPr>
            <w:r w:rsidRPr="00517BA8">
              <w:t xml:space="preserve">2.80 </w:t>
            </w:r>
          </w:p>
        </w:tc>
        <w:tc>
          <w:tcPr>
            <w:tcW w:w="2930" w:type="dxa"/>
            <w:tcBorders>
              <w:bottom w:val="nil"/>
            </w:tcBorders>
            <w:vAlign w:val="center"/>
          </w:tcPr>
          <w:p w:rsidR="00B873A7" w:rsidRPr="00517BA8" w:rsidRDefault="00B873A7" w:rsidP="00841EA0">
            <w:pPr>
              <w:pStyle w:val="Tablecells"/>
              <w:jc w:val="right"/>
            </w:pPr>
            <w:r w:rsidRPr="00517BA8">
              <w:t xml:space="preserve">1.90 </w:t>
            </w:r>
          </w:p>
        </w:tc>
      </w:tr>
      <w:tr w:rsidR="00B873A7" w:rsidTr="00841EA0">
        <w:tc>
          <w:tcPr>
            <w:tcW w:w="2929" w:type="dxa"/>
            <w:tcBorders>
              <w:bottom w:val="nil"/>
            </w:tcBorders>
            <w:vAlign w:val="center"/>
          </w:tcPr>
          <w:p w:rsidR="00B873A7" w:rsidRPr="00517BA8" w:rsidRDefault="00B873A7" w:rsidP="00841EA0">
            <w:pPr>
              <w:pStyle w:val="Tablecells"/>
            </w:pPr>
            <w:r w:rsidRPr="00517BA8">
              <w:t>Rural</w:t>
            </w:r>
          </w:p>
        </w:tc>
        <w:tc>
          <w:tcPr>
            <w:tcW w:w="2930" w:type="dxa"/>
            <w:tcBorders>
              <w:bottom w:val="nil"/>
            </w:tcBorders>
          </w:tcPr>
          <w:p w:rsidR="00B873A7" w:rsidRPr="00422574" w:rsidRDefault="00B873A7" w:rsidP="00841EA0">
            <w:pPr>
              <w:pStyle w:val="Tablecells"/>
              <w:jc w:val="right"/>
            </w:pPr>
            <w:r w:rsidRPr="00422574">
              <w:t xml:space="preserve">14.00 </w:t>
            </w:r>
          </w:p>
        </w:tc>
        <w:tc>
          <w:tcPr>
            <w:tcW w:w="2930" w:type="dxa"/>
            <w:tcBorders>
              <w:bottom w:val="nil"/>
            </w:tcBorders>
          </w:tcPr>
          <w:p w:rsidR="00B873A7" w:rsidRPr="00422574" w:rsidRDefault="00B873A7" w:rsidP="00841EA0">
            <w:pPr>
              <w:pStyle w:val="Tablecells"/>
              <w:jc w:val="right"/>
            </w:pPr>
            <w:r w:rsidRPr="00422574">
              <w:t xml:space="preserve">9.52 </w:t>
            </w:r>
          </w:p>
        </w:tc>
      </w:tr>
      <w:tr w:rsidR="00B873A7" w:rsidTr="00841EA0">
        <w:trPr>
          <w:cnfStyle w:val="000000100000" w:firstRow="0" w:lastRow="0" w:firstColumn="0" w:lastColumn="0" w:oddVBand="0" w:evenVBand="0" w:oddHBand="1" w:evenHBand="0" w:firstRowFirstColumn="0" w:firstRowLastColumn="0" w:lastRowFirstColumn="0" w:lastRowLastColumn="0"/>
        </w:trPr>
        <w:tc>
          <w:tcPr>
            <w:tcW w:w="2929" w:type="dxa"/>
            <w:tcBorders>
              <w:top w:val="nil"/>
              <w:bottom w:val="single" w:sz="4" w:space="0" w:color="808080"/>
            </w:tcBorders>
            <w:vAlign w:val="center"/>
          </w:tcPr>
          <w:p w:rsidR="00B873A7" w:rsidRPr="00517BA8" w:rsidRDefault="00B873A7" w:rsidP="00841EA0">
            <w:pPr>
              <w:pStyle w:val="Tablecells"/>
            </w:pPr>
            <w:r w:rsidRPr="00517BA8">
              <w:t>Remote</w:t>
            </w:r>
          </w:p>
        </w:tc>
        <w:tc>
          <w:tcPr>
            <w:tcW w:w="2930" w:type="dxa"/>
            <w:tcBorders>
              <w:top w:val="nil"/>
              <w:bottom w:val="single" w:sz="4" w:space="0" w:color="808080"/>
            </w:tcBorders>
            <w:vAlign w:val="center"/>
          </w:tcPr>
          <w:p w:rsidR="00B873A7" w:rsidRPr="00517BA8" w:rsidRDefault="00B873A7" w:rsidP="00841EA0">
            <w:pPr>
              <w:pStyle w:val="Tablecells"/>
              <w:jc w:val="right"/>
            </w:pPr>
            <w:r>
              <w:t>22</w:t>
            </w:r>
            <w:r w:rsidRPr="00517BA8">
              <w:t xml:space="preserve">.00 </w:t>
            </w:r>
          </w:p>
        </w:tc>
        <w:tc>
          <w:tcPr>
            <w:tcW w:w="2930" w:type="dxa"/>
            <w:tcBorders>
              <w:top w:val="nil"/>
              <w:bottom w:val="single" w:sz="4" w:space="0" w:color="808080"/>
            </w:tcBorders>
            <w:vAlign w:val="center"/>
          </w:tcPr>
          <w:p w:rsidR="00B873A7" w:rsidRPr="00517BA8" w:rsidRDefault="00B873A7" w:rsidP="00841EA0">
            <w:pPr>
              <w:pStyle w:val="Tablecells"/>
              <w:jc w:val="right"/>
            </w:pPr>
            <w:r>
              <w:t>14.96</w:t>
            </w:r>
          </w:p>
        </w:tc>
      </w:tr>
    </w:tbl>
    <w:p w:rsidR="00B873A7" w:rsidRDefault="00B873A7" w:rsidP="00B873A7">
      <w:r>
        <w:br/>
        <w:t xml:space="preserve">We assume that the effective cell radius for 3G is 15% less than for 2G due to the need to ensure adequate data throughput at the cell edge and also the phenomenon known as cell breathing, which means that 3G cells shrink as they become more heavily loaded. The coverage cell radii for 3G are presented in </w:t>
      </w:r>
      <w:r w:rsidR="001F0E2F">
        <w:fldChar w:fldCharType="begin"/>
      </w:r>
      <w:r w:rsidR="001F0E2F">
        <w:instrText xml:space="preserve"> REF _Ref409445354 \h </w:instrText>
      </w:r>
      <w:r w:rsidR="001F0E2F">
        <w:fldChar w:fldCharType="separate"/>
      </w:r>
      <w:r w:rsidR="00A87B65">
        <w:t>Figure </w:t>
      </w:r>
      <w:r w:rsidR="00A87B65">
        <w:rPr>
          <w:noProof/>
        </w:rPr>
        <w:t>4</w:t>
      </w:r>
      <w:r w:rsidR="00A87B65">
        <w:t>.</w:t>
      </w:r>
      <w:r w:rsidR="00A87B65">
        <w:rPr>
          <w:noProof/>
        </w:rPr>
        <w:t>37</w:t>
      </w:r>
      <w:r w:rsidR="001F0E2F">
        <w:fldChar w:fldCharType="end"/>
      </w:r>
      <w:r w:rsidR="001F0E2F">
        <w:t>.</w:t>
      </w:r>
      <w:r>
        <w:t xml:space="preserve"> We use the same radii for 4G cells and 3G cells, although we note that 4G cells do not breathe in the way that 3G cells do.</w:t>
      </w:r>
    </w:p>
    <w:p w:rsidR="00B873A7" w:rsidRDefault="00B873A7" w:rsidP="00B873A7">
      <w:pPr>
        <w:pStyle w:val="Caption"/>
      </w:pPr>
      <w:bookmarkStart w:id="140" w:name="_Ref409445354"/>
      <w:r>
        <w:t>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fldSimple w:instr=" SEQ Figure \* ARABIC \s 1 \* MERGEFORMAT ">
        <w:r w:rsidR="00A87B65">
          <w:rPr>
            <w:noProof/>
          </w:rPr>
          <w:t>37</w:t>
        </w:r>
      </w:fldSimple>
      <w:bookmarkEnd w:id="140"/>
      <w:r>
        <w:t>: 3G/4G c</w:t>
      </w:r>
      <w:r w:rsidRPr="00517BA8">
        <w:t>ell radii by geotype and spectrum band (in km)</w:t>
      </w:r>
      <w:r>
        <w:t xml:space="preserve"> [Source: Analysys Mason, 2014, from the site database provided by the ACMA and operators’ answers to the data request]</w:t>
      </w:r>
    </w:p>
    <w:tbl>
      <w:tblPr>
        <w:tblStyle w:val="MediumShading2-Accent1"/>
        <w:tblW w:w="8839" w:type="dxa"/>
        <w:tblInd w:w="108" w:type="dxa"/>
        <w:tblLayout w:type="fixed"/>
        <w:tblLook w:val="0420" w:firstRow="1" w:lastRow="0" w:firstColumn="0" w:lastColumn="0" w:noHBand="0" w:noVBand="1"/>
      </w:tblPr>
      <w:tblGrid>
        <w:gridCol w:w="1418"/>
        <w:gridCol w:w="1060"/>
        <w:gridCol w:w="1060"/>
        <w:gridCol w:w="1060"/>
        <w:gridCol w:w="1214"/>
        <w:gridCol w:w="906"/>
        <w:gridCol w:w="1060"/>
        <w:gridCol w:w="1061"/>
      </w:tblGrid>
      <w:tr w:rsidR="00B873A7" w:rsidRPr="00ED116A" w:rsidTr="003C6417">
        <w:trPr>
          <w:cnfStyle w:val="100000000000" w:firstRow="1" w:lastRow="0" w:firstColumn="0" w:lastColumn="0" w:oddVBand="0" w:evenVBand="0" w:oddHBand="0" w:evenHBand="0" w:firstRowFirstColumn="0" w:firstRowLastColumn="0" w:lastRowFirstColumn="0" w:lastRowLastColumn="0"/>
        </w:trPr>
        <w:tc>
          <w:tcPr>
            <w:tcW w:w="1418" w:type="dxa"/>
            <w:tcBorders>
              <w:top w:val="single" w:sz="18" w:space="0" w:color="221F72"/>
              <w:bottom w:val="single" w:sz="4" w:space="0" w:color="FFFFFF" w:themeColor="background1"/>
            </w:tcBorders>
            <w:shd w:val="solid" w:color="221F72" w:fill="221F72"/>
          </w:tcPr>
          <w:p w:rsidR="00B873A7" w:rsidRPr="00ED116A" w:rsidRDefault="00B873A7" w:rsidP="00841EA0">
            <w:pPr>
              <w:pStyle w:val="Tableheading"/>
              <w:rPr>
                <w:b/>
                <w:i/>
              </w:rPr>
            </w:pPr>
            <w:r w:rsidRPr="00ED116A">
              <w:rPr>
                <w:b/>
              </w:rPr>
              <w:t>Geotype</w:t>
            </w:r>
          </w:p>
        </w:tc>
        <w:tc>
          <w:tcPr>
            <w:tcW w:w="1060" w:type="dxa"/>
            <w:tcBorders>
              <w:top w:val="single" w:sz="18" w:space="0" w:color="221F72"/>
              <w:bottom w:val="single" w:sz="4" w:space="0" w:color="FFFFFF" w:themeColor="background1"/>
            </w:tcBorders>
            <w:shd w:val="solid" w:color="221F72" w:fill="221F72"/>
          </w:tcPr>
          <w:p w:rsidR="00B873A7" w:rsidRPr="00ED116A" w:rsidRDefault="00B873A7" w:rsidP="00841EA0">
            <w:pPr>
              <w:pStyle w:val="Tableheading"/>
              <w:jc w:val="right"/>
              <w:rPr>
                <w:b/>
                <w:i/>
              </w:rPr>
            </w:pPr>
            <w:r w:rsidRPr="00ED116A">
              <w:rPr>
                <w:b/>
                <w:bCs w:val="0"/>
              </w:rPr>
              <w:t>700MHz</w:t>
            </w:r>
          </w:p>
        </w:tc>
        <w:tc>
          <w:tcPr>
            <w:tcW w:w="1060" w:type="dxa"/>
            <w:tcBorders>
              <w:top w:val="single" w:sz="18" w:space="0" w:color="221F72"/>
              <w:bottom w:val="single" w:sz="4" w:space="0" w:color="FFFFFF" w:themeColor="background1"/>
            </w:tcBorders>
            <w:shd w:val="solid" w:color="221F72" w:fill="221F72"/>
          </w:tcPr>
          <w:p w:rsidR="00B873A7" w:rsidRPr="00ED116A" w:rsidRDefault="00B873A7" w:rsidP="00841EA0">
            <w:pPr>
              <w:pStyle w:val="Tableheading"/>
              <w:jc w:val="right"/>
              <w:rPr>
                <w:b/>
                <w:i/>
              </w:rPr>
            </w:pPr>
            <w:r w:rsidRPr="00ED116A">
              <w:rPr>
                <w:b/>
                <w:bCs w:val="0"/>
              </w:rPr>
              <w:t>800MHz</w:t>
            </w:r>
          </w:p>
        </w:tc>
        <w:tc>
          <w:tcPr>
            <w:tcW w:w="1060" w:type="dxa"/>
            <w:tcBorders>
              <w:top w:val="single" w:sz="18" w:space="0" w:color="221F72"/>
              <w:bottom w:val="single" w:sz="4" w:space="0" w:color="FFFFFF" w:themeColor="background1"/>
            </w:tcBorders>
            <w:shd w:val="solid" w:color="221F72" w:fill="221F72"/>
          </w:tcPr>
          <w:p w:rsidR="00B873A7" w:rsidRPr="00ED116A" w:rsidRDefault="00B873A7" w:rsidP="00841EA0">
            <w:pPr>
              <w:pStyle w:val="Tableheading"/>
              <w:jc w:val="right"/>
              <w:rPr>
                <w:b/>
                <w:i/>
              </w:rPr>
            </w:pPr>
            <w:r w:rsidRPr="00ED116A">
              <w:rPr>
                <w:b/>
                <w:bCs w:val="0"/>
              </w:rPr>
              <w:t>900MHz</w:t>
            </w:r>
          </w:p>
        </w:tc>
        <w:tc>
          <w:tcPr>
            <w:tcW w:w="1214" w:type="dxa"/>
            <w:tcBorders>
              <w:top w:val="single" w:sz="18" w:space="0" w:color="221F72"/>
              <w:bottom w:val="single" w:sz="4" w:space="0" w:color="FFFFFF" w:themeColor="background1"/>
            </w:tcBorders>
            <w:shd w:val="solid" w:color="221F72" w:fill="221F72"/>
          </w:tcPr>
          <w:p w:rsidR="00B873A7" w:rsidRPr="00ED116A" w:rsidRDefault="00B873A7" w:rsidP="00841EA0">
            <w:pPr>
              <w:pStyle w:val="Tableheading"/>
              <w:jc w:val="right"/>
              <w:rPr>
                <w:b/>
                <w:i/>
              </w:rPr>
            </w:pPr>
            <w:r w:rsidRPr="00ED116A">
              <w:rPr>
                <w:b/>
                <w:bCs w:val="0"/>
              </w:rPr>
              <w:t>1800MHz</w:t>
            </w:r>
          </w:p>
        </w:tc>
        <w:tc>
          <w:tcPr>
            <w:tcW w:w="906" w:type="dxa"/>
            <w:tcBorders>
              <w:top w:val="single" w:sz="18" w:space="0" w:color="221F72"/>
              <w:bottom w:val="single" w:sz="4" w:space="0" w:color="FFFFFF" w:themeColor="background1"/>
            </w:tcBorders>
            <w:shd w:val="solid" w:color="221F72" w:fill="221F72"/>
          </w:tcPr>
          <w:p w:rsidR="00B873A7" w:rsidRPr="00ED116A" w:rsidRDefault="00B873A7" w:rsidP="00841EA0">
            <w:pPr>
              <w:pStyle w:val="Tableheading"/>
              <w:jc w:val="right"/>
              <w:rPr>
                <w:b/>
                <w:i/>
              </w:rPr>
            </w:pPr>
            <w:r w:rsidRPr="00ED116A">
              <w:rPr>
                <w:b/>
                <w:bCs w:val="0"/>
              </w:rPr>
              <w:t>2GHz</w:t>
            </w:r>
          </w:p>
        </w:tc>
        <w:tc>
          <w:tcPr>
            <w:tcW w:w="1060" w:type="dxa"/>
            <w:tcBorders>
              <w:top w:val="single" w:sz="18" w:space="0" w:color="221F72"/>
              <w:bottom w:val="single" w:sz="4" w:space="0" w:color="FFFFFF" w:themeColor="background1"/>
            </w:tcBorders>
            <w:shd w:val="solid" w:color="221F72" w:fill="221F72"/>
          </w:tcPr>
          <w:p w:rsidR="00B873A7" w:rsidRPr="00ED116A" w:rsidRDefault="00B873A7" w:rsidP="00841EA0">
            <w:pPr>
              <w:pStyle w:val="Tableheading"/>
              <w:jc w:val="right"/>
              <w:rPr>
                <w:b/>
                <w:bCs w:val="0"/>
                <w:i/>
              </w:rPr>
            </w:pPr>
            <w:r w:rsidRPr="00ED116A">
              <w:rPr>
                <w:b/>
                <w:bCs w:val="0"/>
              </w:rPr>
              <w:t>2.3GHz</w:t>
            </w:r>
          </w:p>
        </w:tc>
        <w:tc>
          <w:tcPr>
            <w:tcW w:w="1061" w:type="dxa"/>
            <w:tcBorders>
              <w:top w:val="single" w:sz="18" w:space="0" w:color="221F72"/>
              <w:bottom w:val="single" w:sz="4" w:space="0" w:color="FFFFFF" w:themeColor="background1"/>
            </w:tcBorders>
            <w:shd w:val="solid" w:color="221F72" w:fill="221F72"/>
          </w:tcPr>
          <w:p w:rsidR="00B873A7" w:rsidRPr="00ED116A" w:rsidRDefault="00B873A7" w:rsidP="00841EA0">
            <w:pPr>
              <w:pStyle w:val="Tableheading"/>
              <w:jc w:val="right"/>
              <w:rPr>
                <w:b/>
                <w:i/>
              </w:rPr>
            </w:pPr>
            <w:r w:rsidRPr="00ED116A">
              <w:rPr>
                <w:b/>
                <w:bCs w:val="0"/>
              </w:rPr>
              <w:t>2.5GHz</w:t>
            </w:r>
          </w:p>
        </w:tc>
      </w:tr>
      <w:tr w:rsidR="00B873A7" w:rsidTr="003C6417">
        <w:trPr>
          <w:cnfStyle w:val="000000100000" w:firstRow="0" w:lastRow="0" w:firstColumn="0" w:lastColumn="0" w:oddVBand="0" w:evenVBand="0" w:oddHBand="1" w:evenHBand="0" w:firstRowFirstColumn="0" w:firstRowLastColumn="0" w:lastRowFirstColumn="0" w:lastRowLastColumn="0"/>
        </w:trPr>
        <w:tc>
          <w:tcPr>
            <w:tcW w:w="1418" w:type="dxa"/>
            <w:tcBorders>
              <w:top w:val="single" w:sz="4" w:space="0" w:color="FFFFFF" w:themeColor="background1"/>
            </w:tcBorders>
            <w:vAlign w:val="center"/>
          </w:tcPr>
          <w:p w:rsidR="00B873A7" w:rsidRPr="00EE2314" w:rsidRDefault="00B873A7" w:rsidP="00841EA0">
            <w:pPr>
              <w:pStyle w:val="Tableheading"/>
              <w:rPr>
                <w:b w:val="0"/>
                <w:color w:val="auto"/>
              </w:rPr>
            </w:pPr>
            <w:r w:rsidRPr="00EE2314">
              <w:rPr>
                <w:b w:val="0"/>
                <w:color w:val="auto"/>
              </w:rPr>
              <w:t>Dense urban</w:t>
            </w:r>
          </w:p>
        </w:tc>
        <w:tc>
          <w:tcPr>
            <w:tcW w:w="1060" w:type="dxa"/>
            <w:tcBorders>
              <w:top w:val="single" w:sz="4" w:space="0" w:color="FFFFFF" w:themeColor="background1"/>
            </w:tcBorders>
            <w:vAlign w:val="center"/>
          </w:tcPr>
          <w:p w:rsidR="00B873A7" w:rsidRPr="00EE2314" w:rsidRDefault="00B873A7" w:rsidP="00841EA0">
            <w:pPr>
              <w:pStyle w:val="Tableheading"/>
              <w:jc w:val="right"/>
              <w:rPr>
                <w:b w:val="0"/>
                <w:color w:val="auto"/>
              </w:rPr>
            </w:pPr>
            <w:r w:rsidRPr="00EE2314">
              <w:rPr>
                <w:b w:val="0"/>
                <w:color w:val="auto"/>
              </w:rPr>
              <w:t xml:space="preserve">0.61 </w:t>
            </w:r>
          </w:p>
        </w:tc>
        <w:tc>
          <w:tcPr>
            <w:tcW w:w="1060" w:type="dxa"/>
            <w:tcBorders>
              <w:top w:val="single" w:sz="4" w:space="0" w:color="FFFFFF" w:themeColor="background1"/>
            </w:tcBorders>
            <w:vAlign w:val="center"/>
          </w:tcPr>
          <w:p w:rsidR="00B873A7" w:rsidRPr="00EE2314" w:rsidRDefault="00B873A7" w:rsidP="00841EA0">
            <w:pPr>
              <w:pStyle w:val="Tableheading"/>
              <w:jc w:val="right"/>
              <w:rPr>
                <w:b w:val="0"/>
                <w:color w:val="auto"/>
              </w:rPr>
            </w:pPr>
            <w:r w:rsidRPr="00EE2314">
              <w:rPr>
                <w:b w:val="0"/>
                <w:color w:val="auto"/>
              </w:rPr>
              <w:t xml:space="preserve">0.56 </w:t>
            </w:r>
          </w:p>
        </w:tc>
        <w:tc>
          <w:tcPr>
            <w:tcW w:w="1060" w:type="dxa"/>
            <w:tcBorders>
              <w:top w:val="single" w:sz="4" w:space="0" w:color="FFFFFF" w:themeColor="background1"/>
            </w:tcBorders>
            <w:vAlign w:val="center"/>
          </w:tcPr>
          <w:p w:rsidR="00B873A7" w:rsidRPr="00EE2314" w:rsidRDefault="00B873A7" w:rsidP="00841EA0">
            <w:pPr>
              <w:pStyle w:val="Tableheading"/>
              <w:jc w:val="right"/>
              <w:rPr>
                <w:b w:val="0"/>
                <w:color w:val="auto"/>
              </w:rPr>
            </w:pPr>
            <w:r w:rsidRPr="00EE2314">
              <w:rPr>
                <w:b w:val="0"/>
                <w:color w:val="auto"/>
              </w:rPr>
              <w:t xml:space="preserve">0.51 </w:t>
            </w:r>
          </w:p>
        </w:tc>
        <w:tc>
          <w:tcPr>
            <w:tcW w:w="1214" w:type="dxa"/>
            <w:tcBorders>
              <w:top w:val="single" w:sz="4" w:space="0" w:color="FFFFFF" w:themeColor="background1"/>
            </w:tcBorders>
            <w:vAlign w:val="center"/>
          </w:tcPr>
          <w:p w:rsidR="00B873A7" w:rsidRPr="00EE2314" w:rsidRDefault="00B873A7" w:rsidP="00841EA0">
            <w:pPr>
              <w:pStyle w:val="Tableheading"/>
              <w:jc w:val="right"/>
              <w:rPr>
                <w:b w:val="0"/>
                <w:color w:val="auto"/>
              </w:rPr>
            </w:pPr>
            <w:r w:rsidRPr="00EE2314">
              <w:rPr>
                <w:b w:val="0"/>
                <w:color w:val="auto"/>
              </w:rPr>
              <w:t xml:space="preserve">0.35 </w:t>
            </w:r>
          </w:p>
        </w:tc>
        <w:tc>
          <w:tcPr>
            <w:tcW w:w="906" w:type="dxa"/>
            <w:tcBorders>
              <w:top w:val="single" w:sz="4" w:space="0" w:color="FFFFFF" w:themeColor="background1"/>
            </w:tcBorders>
            <w:vAlign w:val="center"/>
          </w:tcPr>
          <w:p w:rsidR="00B873A7" w:rsidRPr="00EE2314" w:rsidRDefault="00B873A7" w:rsidP="00841EA0">
            <w:pPr>
              <w:pStyle w:val="Tableheading"/>
              <w:jc w:val="right"/>
              <w:rPr>
                <w:b w:val="0"/>
                <w:color w:val="auto"/>
              </w:rPr>
            </w:pPr>
            <w:r w:rsidRPr="00EE2314">
              <w:rPr>
                <w:b w:val="0"/>
                <w:color w:val="auto"/>
              </w:rPr>
              <w:t xml:space="preserve">0.31 </w:t>
            </w:r>
          </w:p>
        </w:tc>
        <w:tc>
          <w:tcPr>
            <w:tcW w:w="1060" w:type="dxa"/>
            <w:tcBorders>
              <w:top w:val="single" w:sz="4" w:space="0" w:color="FFFFFF" w:themeColor="background1"/>
            </w:tcBorders>
            <w:vAlign w:val="center"/>
          </w:tcPr>
          <w:p w:rsidR="00B873A7" w:rsidRPr="00EE2314" w:rsidRDefault="00B873A7" w:rsidP="00841EA0">
            <w:pPr>
              <w:pStyle w:val="Tableheading"/>
              <w:jc w:val="right"/>
              <w:rPr>
                <w:b w:val="0"/>
                <w:color w:val="auto"/>
              </w:rPr>
            </w:pPr>
            <w:r w:rsidRPr="00EE2314">
              <w:rPr>
                <w:b w:val="0"/>
                <w:color w:val="auto"/>
              </w:rPr>
              <w:t xml:space="preserve">0.29 </w:t>
            </w:r>
          </w:p>
        </w:tc>
        <w:tc>
          <w:tcPr>
            <w:tcW w:w="1061" w:type="dxa"/>
            <w:tcBorders>
              <w:top w:val="single" w:sz="4" w:space="0" w:color="FFFFFF" w:themeColor="background1"/>
            </w:tcBorders>
            <w:vAlign w:val="center"/>
          </w:tcPr>
          <w:p w:rsidR="00B873A7" w:rsidRPr="00EE2314" w:rsidRDefault="00B873A7" w:rsidP="00841EA0">
            <w:pPr>
              <w:pStyle w:val="Tableheading"/>
              <w:jc w:val="right"/>
              <w:rPr>
                <w:b w:val="0"/>
                <w:color w:val="auto"/>
              </w:rPr>
            </w:pPr>
            <w:r w:rsidRPr="00EE2314">
              <w:rPr>
                <w:b w:val="0"/>
                <w:color w:val="auto"/>
              </w:rPr>
              <w:t xml:space="preserve">0.28 </w:t>
            </w:r>
          </w:p>
        </w:tc>
      </w:tr>
      <w:tr w:rsidR="00B873A7" w:rsidTr="00841EA0">
        <w:tc>
          <w:tcPr>
            <w:tcW w:w="1418" w:type="dxa"/>
            <w:tcBorders>
              <w:bottom w:val="nil"/>
            </w:tcBorders>
            <w:vAlign w:val="center"/>
          </w:tcPr>
          <w:p w:rsidR="00B873A7" w:rsidRPr="00EE2314" w:rsidRDefault="00B873A7" w:rsidP="00841EA0">
            <w:pPr>
              <w:pStyle w:val="Tablecells"/>
            </w:pPr>
            <w:r w:rsidRPr="00EE2314">
              <w:t>Urban</w:t>
            </w:r>
          </w:p>
        </w:tc>
        <w:tc>
          <w:tcPr>
            <w:tcW w:w="1060" w:type="dxa"/>
            <w:tcBorders>
              <w:bottom w:val="nil"/>
            </w:tcBorders>
            <w:vAlign w:val="center"/>
          </w:tcPr>
          <w:p w:rsidR="00B873A7" w:rsidRPr="00EE2314" w:rsidRDefault="00B873A7" w:rsidP="00841EA0">
            <w:pPr>
              <w:pStyle w:val="Tablecells"/>
              <w:jc w:val="right"/>
            </w:pPr>
            <w:r w:rsidRPr="00EE2314">
              <w:t xml:space="preserve">1.22 </w:t>
            </w:r>
          </w:p>
        </w:tc>
        <w:tc>
          <w:tcPr>
            <w:tcW w:w="1060" w:type="dxa"/>
            <w:tcBorders>
              <w:bottom w:val="nil"/>
            </w:tcBorders>
            <w:vAlign w:val="center"/>
          </w:tcPr>
          <w:p w:rsidR="00B873A7" w:rsidRPr="00EE2314" w:rsidRDefault="00B873A7" w:rsidP="00841EA0">
            <w:pPr>
              <w:pStyle w:val="Tablecells"/>
              <w:jc w:val="right"/>
            </w:pPr>
            <w:r w:rsidRPr="00EE2314">
              <w:t xml:space="preserve">1.12 </w:t>
            </w:r>
          </w:p>
        </w:tc>
        <w:tc>
          <w:tcPr>
            <w:tcW w:w="1060" w:type="dxa"/>
            <w:tcBorders>
              <w:bottom w:val="nil"/>
            </w:tcBorders>
            <w:vAlign w:val="center"/>
          </w:tcPr>
          <w:p w:rsidR="00B873A7" w:rsidRPr="00EE2314" w:rsidRDefault="00B873A7" w:rsidP="00841EA0">
            <w:pPr>
              <w:pStyle w:val="Tablecells"/>
              <w:jc w:val="right"/>
            </w:pPr>
            <w:r w:rsidRPr="00EE2314">
              <w:t xml:space="preserve">1.02 </w:t>
            </w:r>
          </w:p>
        </w:tc>
        <w:tc>
          <w:tcPr>
            <w:tcW w:w="1214" w:type="dxa"/>
            <w:tcBorders>
              <w:bottom w:val="nil"/>
            </w:tcBorders>
            <w:vAlign w:val="center"/>
          </w:tcPr>
          <w:p w:rsidR="00B873A7" w:rsidRPr="00EE2314" w:rsidRDefault="00B873A7" w:rsidP="00841EA0">
            <w:pPr>
              <w:pStyle w:val="Tablecells"/>
              <w:jc w:val="right"/>
            </w:pPr>
            <w:r w:rsidRPr="00EE2314">
              <w:t xml:space="preserve">0.69 </w:t>
            </w:r>
          </w:p>
        </w:tc>
        <w:tc>
          <w:tcPr>
            <w:tcW w:w="906" w:type="dxa"/>
            <w:tcBorders>
              <w:bottom w:val="nil"/>
            </w:tcBorders>
            <w:vAlign w:val="center"/>
          </w:tcPr>
          <w:p w:rsidR="00B873A7" w:rsidRPr="00EE2314" w:rsidRDefault="00B873A7" w:rsidP="00841EA0">
            <w:pPr>
              <w:pStyle w:val="Tablecells"/>
              <w:jc w:val="right"/>
            </w:pPr>
            <w:r w:rsidRPr="00EE2314">
              <w:t xml:space="preserve">0.61 </w:t>
            </w:r>
          </w:p>
        </w:tc>
        <w:tc>
          <w:tcPr>
            <w:tcW w:w="1060" w:type="dxa"/>
            <w:tcBorders>
              <w:bottom w:val="nil"/>
            </w:tcBorders>
            <w:vAlign w:val="center"/>
          </w:tcPr>
          <w:p w:rsidR="00B873A7" w:rsidRPr="00EE2314" w:rsidRDefault="00B873A7" w:rsidP="00841EA0">
            <w:pPr>
              <w:pStyle w:val="Tablecells"/>
              <w:jc w:val="right"/>
            </w:pPr>
            <w:r w:rsidRPr="00EE2314">
              <w:t xml:space="preserve">0.58 </w:t>
            </w:r>
          </w:p>
        </w:tc>
        <w:tc>
          <w:tcPr>
            <w:tcW w:w="1061" w:type="dxa"/>
            <w:tcBorders>
              <w:bottom w:val="nil"/>
            </w:tcBorders>
            <w:vAlign w:val="center"/>
          </w:tcPr>
          <w:p w:rsidR="00B873A7" w:rsidRPr="00EE2314" w:rsidRDefault="00B873A7" w:rsidP="00841EA0">
            <w:pPr>
              <w:pStyle w:val="Tablecells"/>
              <w:jc w:val="right"/>
            </w:pPr>
            <w:r w:rsidRPr="00EE2314">
              <w:t xml:space="preserve">0.56 </w:t>
            </w:r>
          </w:p>
        </w:tc>
      </w:tr>
      <w:tr w:rsidR="00B873A7" w:rsidTr="00841EA0">
        <w:trPr>
          <w:cnfStyle w:val="000000100000" w:firstRow="0" w:lastRow="0" w:firstColumn="0" w:lastColumn="0" w:oddVBand="0" w:evenVBand="0" w:oddHBand="1" w:evenHBand="0" w:firstRowFirstColumn="0" w:firstRowLastColumn="0" w:lastRowFirstColumn="0" w:lastRowLastColumn="0"/>
        </w:trPr>
        <w:tc>
          <w:tcPr>
            <w:tcW w:w="1418" w:type="dxa"/>
            <w:tcBorders>
              <w:bottom w:val="nil"/>
            </w:tcBorders>
            <w:vAlign w:val="center"/>
          </w:tcPr>
          <w:p w:rsidR="00B873A7" w:rsidRPr="00517BA8" w:rsidRDefault="00B873A7" w:rsidP="00841EA0">
            <w:pPr>
              <w:pStyle w:val="Tablecells"/>
            </w:pPr>
            <w:r w:rsidRPr="00517BA8">
              <w:t>Suburban</w:t>
            </w:r>
          </w:p>
        </w:tc>
        <w:tc>
          <w:tcPr>
            <w:tcW w:w="1060" w:type="dxa"/>
            <w:tcBorders>
              <w:bottom w:val="nil"/>
            </w:tcBorders>
            <w:vAlign w:val="center"/>
          </w:tcPr>
          <w:p w:rsidR="00B873A7" w:rsidRDefault="00B873A7" w:rsidP="00841EA0">
            <w:pPr>
              <w:pStyle w:val="Tablecells"/>
              <w:jc w:val="right"/>
            </w:pPr>
            <w:r>
              <w:t xml:space="preserve">2.86 </w:t>
            </w:r>
          </w:p>
        </w:tc>
        <w:tc>
          <w:tcPr>
            <w:tcW w:w="1060" w:type="dxa"/>
            <w:tcBorders>
              <w:bottom w:val="nil"/>
            </w:tcBorders>
            <w:vAlign w:val="center"/>
          </w:tcPr>
          <w:p w:rsidR="00B873A7" w:rsidRDefault="00B873A7" w:rsidP="00841EA0">
            <w:pPr>
              <w:pStyle w:val="Tablecells"/>
              <w:jc w:val="right"/>
            </w:pPr>
            <w:r>
              <w:t xml:space="preserve">2.62 </w:t>
            </w:r>
          </w:p>
        </w:tc>
        <w:tc>
          <w:tcPr>
            <w:tcW w:w="1060" w:type="dxa"/>
            <w:tcBorders>
              <w:bottom w:val="nil"/>
            </w:tcBorders>
            <w:vAlign w:val="center"/>
          </w:tcPr>
          <w:p w:rsidR="00B873A7" w:rsidRDefault="00B873A7" w:rsidP="00841EA0">
            <w:pPr>
              <w:pStyle w:val="Tablecells"/>
              <w:jc w:val="right"/>
            </w:pPr>
            <w:r>
              <w:t xml:space="preserve">2.38 </w:t>
            </w:r>
          </w:p>
        </w:tc>
        <w:tc>
          <w:tcPr>
            <w:tcW w:w="1214" w:type="dxa"/>
            <w:tcBorders>
              <w:bottom w:val="nil"/>
            </w:tcBorders>
            <w:vAlign w:val="center"/>
          </w:tcPr>
          <w:p w:rsidR="00B873A7" w:rsidRDefault="00B873A7" w:rsidP="00841EA0">
            <w:pPr>
              <w:pStyle w:val="Tablecells"/>
              <w:jc w:val="right"/>
            </w:pPr>
            <w:r>
              <w:t xml:space="preserve">1.62 </w:t>
            </w:r>
          </w:p>
        </w:tc>
        <w:tc>
          <w:tcPr>
            <w:tcW w:w="906" w:type="dxa"/>
            <w:tcBorders>
              <w:bottom w:val="nil"/>
            </w:tcBorders>
            <w:vAlign w:val="center"/>
          </w:tcPr>
          <w:p w:rsidR="00B873A7" w:rsidRDefault="00B873A7" w:rsidP="00841EA0">
            <w:pPr>
              <w:pStyle w:val="Tablecells"/>
              <w:jc w:val="right"/>
            </w:pPr>
            <w:r>
              <w:t xml:space="preserve">1.43 </w:t>
            </w:r>
          </w:p>
        </w:tc>
        <w:tc>
          <w:tcPr>
            <w:tcW w:w="1060" w:type="dxa"/>
            <w:tcBorders>
              <w:bottom w:val="nil"/>
            </w:tcBorders>
            <w:vAlign w:val="center"/>
          </w:tcPr>
          <w:p w:rsidR="00B873A7" w:rsidRDefault="00B873A7" w:rsidP="00841EA0">
            <w:pPr>
              <w:pStyle w:val="Tablecells"/>
              <w:jc w:val="right"/>
            </w:pPr>
            <w:r>
              <w:t xml:space="preserve">1.36 </w:t>
            </w:r>
          </w:p>
        </w:tc>
        <w:tc>
          <w:tcPr>
            <w:tcW w:w="1061" w:type="dxa"/>
            <w:tcBorders>
              <w:bottom w:val="nil"/>
            </w:tcBorders>
            <w:vAlign w:val="center"/>
          </w:tcPr>
          <w:p w:rsidR="00B873A7" w:rsidRDefault="00B873A7" w:rsidP="00841EA0">
            <w:pPr>
              <w:pStyle w:val="Tablecells"/>
              <w:jc w:val="right"/>
            </w:pPr>
            <w:r>
              <w:t xml:space="preserve">1.31 </w:t>
            </w:r>
          </w:p>
        </w:tc>
      </w:tr>
      <w:tr w:rsidR="00B873A7" w:rsidTr="00841EA0">
        <w:tc>
          <w:tcPr>
            <w:tcW w:w="1418" w:type="dxa"/>
            <w:tcBorders>
              <w:bottom w:val="nil"/>
            </w:tcBorders>
            <w:vAlign w:val="center"/>
          </w:tcPr>
          <w:p w:rsidR="00B873A7" w:rsidRPr="00517BA8" w:rsidRDefault="00B873A7" w:rsidP="00841EA0">
            <w:pPr>
              <w:pStyle w:val="Tablecells"/>
            </w:pPr>
            <w:r w:rsidRPr="00517BA8">
              <w:t>Rural</w:t>
            </w:r>
          </w:p>
        </w:tc>
        <w:tc>
          <w:tcPr>
            <w:tcW w:w="1060" w:type="dxa"/>
            <w:tcBorders>
              <w:bottom w:val="nil"/>
            </w:tcBorders>
            <w:vAlign w:val="center"/>
          </w:tcPr>
          <w:p w:rsidR="00B873A7" w:rsidRDefault="00B873A7" w:rsidP="00841EA0">
            <w:pPr>
              <w:pStyle w:val="Tablecells"/>
              <w:jc w:val="right"/>
            </w:pPr>
            <w:r>
              <w:t xml:space="preserve">14.28 </w:t>
            </w:r>
          </w:p>
        </w:tc>
        <w:tc>
          <w:tcPr>
            <w:tcW w:w="1060" w:type="dxa"/>
            <w:tcBorders>
              <w:bottom w:val="nil"/>
            </w:tcBorders>
            <w:vAlign w:val="center"/>
          </w:tcPr>
          <w:p w:rsidR="00B873A7" w:rsidRDefault="00B873A7" w:rsidP="00841EA0">
            <w:pPr>
              <w:pStyle w:val="Tablecells"/>
              <w:jc w:val="right"/>
            </w:pPr>
            <w:r>
              <w:t xml:space="preserve">13.09 </w:t>
            </w:r>
          </w:p>
        </w:tc>
        <w:tc>
          <w:tcPr>
            <w:tcW w:w="1060" w:type="dxa"/>
            <w:tcBorders>
              <w:bottom w:val="nil"/>
            </w:tcBorders>
            <w:vAlign w:val="center"/>
          </w:tcPr>
          <w:p w:rsidR="00B873A7" w:rsidRDefault="00B873A7" w:rsidP="00841EA0">
            <w:pPr>
              <w:pStyle w:val="Tablecells"/>
              <w:jc w:val="right"/>
            </w:pPr>
            <w:r>
              <w:t xml:space="preserve">11.90 </w:t>
            </w:r>
          </w:p>
        </w:tc>
        <w:tc>
          <w:tcPr>
            <w:tcW w:w="1214" w:type="dxa"/>
            <w:tcBorders>
              <w:bottom w:val="nil"/>
            </w:tcBorders>
            <w:vAlign w:val="center"/>
          </w:tcPr>
          <w:p w:rsidR="00B873A7" w:rsidRDefault="00B873A7" w:rsidP="00841EA0">
            <w:pPr>
              <w:pStyle w:val="Tablecells"/>
              <w:jc w:val="right"/>
            </w:pPr>
            <w:r>
              <w:t xml:space="preserve">8.09 </w:t>
            </w:r>
          </w:p>
        </w:tc>
        <w:tc>
          <w:tcPr>
            <w:tcW w:w="906" w:type="dxa"/>
            <w:tcBorders>
              <w:bottom w:val="nil"/>
            </w:tcBorders>
            <w:vAlign w:val="center"/>
          </w:tcPr>
          <w:p w:rsidR="00B873A7" w:rsidRDefault="00B873A7" w:rsidP="00841EA0">
            <w:pPr>
              <w:pStyle w:val="Tablecells"/>
              <w:jc w:val="right"/>
            </w:pPr>
            <w:r>
              <w:t xml:space="preserve">7.14 </w:t>
            </w:r>
          </w:p>
        </w:tc>
        <w:tc>
          <w:tcPr>
            <w:tcW w:w="1060" w:type="dxa"/>
            <w:tcBorders>
              <w:bottom w:val="nil"/>
            </w:tcBorders>
            <w:vAlign w:val="center"/>
          </w:tcPr>
          <w:p w:rsidR="00B873A7" w:rsidRDefault="00B873A7" w:rsidP="00841EA0">
            <w:pPr>
              <w:pStyle w:val="Tablecells"/>
              <w:jc w:val="right"/>
            </w:pPr>
            <w:r>
              <w:t xml:space="preserve">6.78 </w:t>
            </w:r>
          </w:p>
        </w:tc>
        <w:tc>
          <w:tcPr>
            <w:tcW w:w="1061" w:type="dxa"/>
            <w:tcBorders>
              <w:bottom w:val="nil"/>
            </w:tcBorders>
            <w:vAlign w:val="center"/>
          </w:tcPr>
          <w:p w:rsidR="00B873A7" w:rsidRDefault="00B873A7" w:rsidP="00841EA0">
            <w:pPr>
              <w:pStyle w:val="Tablecells"/>
              <w:jc w:val="right"/>
            </w:pPr>
            <w:r>
              <w:t xml:space="preserve">6.55 </w:t>
            </w:r>
          </w:p>
        </w:tc>
      </w:tr>
      <w:tr w:rsidR="00B873A7" w:rsidTr="00841EA0">
        <w:trPr>
          <w:cnfStyle w:val="000000100000" w:firstRow="0" w:lastRow="0" w:firstColumn="0" w:lastColumn="0" w:oddVBand="0" w:evenVBand="0" w:oddHBand="1" w:evenHBand="0" w:firstRowFirstColumn="0" w:firstRowLastColumn="0" w:lastRowFirstColumn="0" w:lastRowLastColumn="0"/>
        </w:trPr>
        <w:tc>
          <w:tcPr>
            <w:tcW w:w="1418" w:type="dxa"/>
            <w:tcBorders>
              <w:top w:val="nil"/>
              <w:bottom w:val="single" w:sz="4" w:space="0" w:color="808080"/>
            </w:tcBorders>
            <w:vAlign w:val="center"/>
          </w:tcPr>
          <w:p w:rsidR="00B873A7" w:rsidRPr="00517BA8" w:rsidRDefault="00B873A7" w:rsidP="00841EA0">
            <w:pPr>
              <w:pStyle w:val="Tablecells"/>
            </w:pPr>
            <w:r w:rsidRPr="00517BA8">
              <w:t>Remote</w:t>
            </w:r>
          </w:p>
        </w:tc>
        <w:tc>
          <w:tcPr>
            <w:tcW w:w="1060" w:type="dxa"/>
            <w:tcBorders>
              <w:top w:val="nil"/>
              <w:bottom w:val="single" w:sz="4" w:space="0" w:color="808080"/>
            </w:tcBorders>
            <w:vAlign w:val="center"/>
          </w:tcPr>
          <w:p w:rsidR="00B873A7" w:rsidRDefault="00B873A7" w:rsidP="00841EA0">
            <w:pPr>
              <w:pStyle w:val="Tablecells"/>
              <w:jc w:val="right"/>
            </w:pPr>
            <w:r>
              <w:t xml:space="preserve">22.44 </w:t>
            </w:r>
          </w:p>
        </w:tc>
        <w:tc>
          <w:tcPr>
            <w:tcW w:w="1060" w:type="dxa"/>
            <w:tcBorders>
              <w:top w:val="nil"/>
              <w:bottom w:val="single" w:sz="4" w:space="0" w:color="808080"/>
            </w:tcBorders>
            <w:vAlign w:val="center"/>
          </w:tcPr>
          <w:p w:rsidR="00B873A7" w:rsidRDefault="00B873A7" w:rsidP="00841EA0">
            <w:pPr>
              <w:pStyle w:val="Tablecells"/>
              <w:jc w:val="right"/>
            </w:pPr>
            <w:r>
              <w:t xml:space="preserve">20.57 </w:t>
            </w:r>
          </w:p>
        </w:tc>
        <w:tc>
          <w:tcPr>
            <w:tcW w:w="1060" w:type="dxa"/>
            <w:tcBorders>
              <w:top w:val="nil"/>
              <w:bottom w:val="single" w:sz="4" w:space="0" w:color="808080"/>
            </w:tcBorders>
            <w:vAlign w:val="center"/>
          </w:tcPr>
          <w:p w:rsidR="00B873A7" w:rsidRDefault="00B873A7" w:rsidP="00841EA0">
            <w:pPr>
              <w:pStyle w:val="Tablecells"/>
              <w:jc w:val="right"/>
            </w:pPr>
            <w:r>
              <w:t xml:space="preserve">18.70 </w:t>
            </w:r>
          </w:p>
        </w:tc>
        <w:tc>
          <w:tcPr>
            <w:tcW w:w="1214" w:type="dxa"/>
            <w:tcBorders>
              <w:top w:val="nil"/>
              <w:bottom w:val="single" w:sz="4" w:space="0" w:color="808080"/>
            </w:tcBorders>
            <w:vAlign w:val="center"/>
          </w:tcPr>
          <w:p w:rsidR="00B873A7" w:rsidRDefault="00B873A7" w:rsidP="00841EA0">
            <w:pPr>
              <w:pStyle w:val="Tablecells"/>
              <w:jc w:val="right"/>
            </w:pPr>
            <w:r>
              <w:t xml:space="preserve">12.72 </w:t>
            </w:r>
          </w:p>
        </w:tc>
        <w:tc>
          <w:tcPr>
            <w:tcW w:w="906" w:type="dxa"/>
            <w:tcBorders>
              <w:top w:val="nil"/>
              <w:bottom w:val="single" w:sz="4" w:space="0" w:color="808080"/>
            </w:tcBorders>
            <w:vAlign w:val="center"/>
          </w:tcPr>
          <w:p w:rsidR="00B873A7" w:rsidRDefault="00B873A7" w:rsidP="00841EA0">
            <w:pPr>
              <w:pStyle w:val="Tablecells"/>
              <w:jc w:val="right"/>
            </w:pPr>
            <w:r>
              <w:t xml:space="preserve">11.22 </w:t>
            </w:r>
          </w:p>
        </w:tc>
        <w:tc>
          <w:tcPr>
            <w:tcW w:w="1060" w:type="dxa"/>
            <w:tcBorders>
              <w:top w:val="nil"/>
              <w:bottom w:val="single" w:sz="4" w:space="0" w:color="808080"/>
            </w:tcBorders>
            <w:vAlign w:val="center"/>
          </w:tcPr>
          <w:p w:rsidR="00B873A7" w:rsidRDefault="00B873A7" w:rsidP="00841EA0">
            <w:pPr>
              <w:pStyle w:val="Tablecells"/>
              <w:jc w:val="right"/>
            </w:pPr>
            <w:r>
              <w:t xml:space="preserve">10.66 </w:t>
            </w:r>
          </w:p>
        </w:tc>
        <w:tc>
          <w:tcPr>
            <w:tcW w:w="1061" w:type="dxa"/>
            <w:tcBorders>
              <w:top w:val="nil"/>
              <w:bottom w:val="single" w:sz="4" w:space="0" w:color="808080"/>
            </w:tcBorders>
            <w:vAlign w:val="center"/>
          </w:tcPr>
          <w:p w:rsidR="00B873A7" w:rsidRDefault="00B873A7" w:rsidP="00841EA0">
            <w:pPr>
              <w:pStyle w:val="Tablecells"/>
              <w:jc w:val="right"/>
            </w:pPr>
            <w:r>
              <w:t xml:space="preserve">10.29 </w:t>
            </w:r>
          </w:p>
        </w:tc>
      </w:tr>
    </w:tbl>
    <w:p w:rsidR="00B873A7" w:rsidRDefault="00B873A7" w:rsidP="00B873A7">
      <w:pPr>
        <w:pStyle w:val="Heading3"/>
        <w:ind w:hanging="567"/>
      </w:pPr>
      <w:bookmarkStart w:id="141" w:name="_Toc373161405"/>
      <w:r w:rsidRPr="008A0DCE">
        <w:t xml:space="preserve">Number of coverage sites and </w:t>
      </w:r>
      <w:r>
        <w:t>requirements for additional capacity</w:t>
      </w:r>
      <w:bookmarkEnd w:id="141"/>
    </w:p>
    <w:p w:rsidR="00B873A7" w:rsidRDefault="00B873A7" w:rsidP="00B873A7">
      <w:r>
        <w:t>The number of coverage sites is determined by the area covered in each geotype (as presented in Section </w:t>
      </w:r>
      <w:r w:rsidRPr="002D2F9B">
        <w:fldChar w:fldCharType="begin"/>
      </w:r>
      <w:r w:rsidRPr="002571CA">
        <w:instrText xml:space="preserve"> REF _Ref372729981 \r \h </w:instrText>
      </w:r>
      <w:r w:rsidRPr="002D2F9B">
        <w:fldChar w:fldCharType="separate"/>
      </w:r>
      <w:r w:rsidR="00A87B65">
        <w:t>4.3.8</w:t>
      </w:r>
      <w:r w:rsidRPr="002D2F9B">
        <w:fldChar w:fldCharType="end"/>
      </w:r>
      <w:r>
        <w:t>), the coverage cell radius in each geotype and spectrum band, and</w:t>
      </w:r>
      <w:r w:rsidRPr="008E34E3">
        <w:t xml:space="preserve"> </w:t>
      </w:r>
      <w:r>
        <w:t>the spectrum band used for coverage (as presented in Section </w:t>
      </w:r>
      <w:r w:rsidR="00B609D5">
        <w:fldChar w:fldCharType="begin"/>
      </w:r>
      <w:r w:rsidR="00B609D5">
        <w:instrText xml:space="preserve"> REF _Ref419108962 \n \h </w:instrText>
      </w:r>
      <w:r w:rsidR="00B609D5">
        <w:fldChar w:fldCharType="separate"/>
      </w:r>
      <w:r w:rsidR="00B609D5">
        <w:t>4.3.10</w:t>
      </w:r>
      <w:r w:rsidR="00B609D5">
        <w:fldChar w:fldCharType="end"/>
      </w:r>
      <w:r>
        <w:t>).</w:t>
      </w:r>
    </w:p>
    <w:p w:rsidR="00B873A7" w:rsidRPr="008B6779" w:rsidRDefault="00B873A7" w:rsidP="00B873A7">
      <w:r>
        <w:t xml:space="preserve">Spectral efficiency typically increases in steps with new versions of 3G and 4G standards and higher-order MIMO (multiple-input, multiple-output) antenna technology. However, it takes a while for all base stations to be upgraded to the latest standards and to higher-order MIMO and also for the latest technology to diffuse into the installed base of terminals. We therefore think that it is reasonable to assume that the average spectral efficiency of a network increases in a linear fashion. We make the following assumptions </w:t>
      </w:r>
      <w:r w:rsidR="00162304">
        <w:t xml:space="preserve">about spectral efficiency </w:t>
      </w:r>
      <w:r>
        <w:t>in our base case.</w:t>
      </w:r>
      <w:r w:rsidRPr="007B0B9B">
        <w:t xml:space="preserve"> </w:t>
      </w:r>
      <w:r>
        <w:t>We believe that these assumptions are conservative compared to the assumptions in recent third-party reports such as that prepared by Real Wireless for the UK regulator, Ofcom.</w:t>
      </w:r>
      <w:r>
        <w:rPr>
          <w:rStyle w:val="FootnoteReference"/>
        </w:rPr>
        <w:footnoteReference w:id="42"/>
      </w:r>
    </w:p>
    <w:p w:rsidR="00B873A7" w:rsidRDefault="00B873A7" w:rsidP="00B873A7">
      <w:pPr>
        <w:pStyle w:val="ListBulletCompact"/>
        <w:tabs>
          <w:tab w:val="num" w:pos="360"/>
        </w:tabs>
        <w:ind w:left="357" w:hanging="357"/>
      </w:pPr>
      <w:r>
        <w:t>For 3G: we assume that spectral efficiency stays constant at 0.6</w:t>
      </w:r>
      <w:r w:rsidR="005B197D">
        <w:t xml:space="preserve"> </w:t>
      </w:r>
      <w:r>
        <w:t>bits/Hz/sector throughout the modelled period</w:t>
      </w:r>
      <w:r w:rsidR="005A106E">
        <w:t>.</w:t>
      </w:r>
    </w:p>
    <w:p w:rsidR="00B873A7" w:rsidRDefault="00B873A7" w:rsidP="00B873A7">
      <w:pPr>
        <w:pStyle w:val="ListBullet"/>
        <w:tabs>
          <w:tab w:val="num" w:pos="360"/>
        </w:tabs>
        <w:ind w:left="357" w:hanging="357"/>
      </w:pPr>
      <w:r>
        <w:t>For 4G</w:t>
      </w:r>
      <w:r w:rsidR="00E15C32">
        <w:t xml:space="preserve"> (both macro and small cells)</w:t>
      </w:r>
      <w:r>
        <w:t>: we assume that spectral efficiency increases from 1.0</w:t>
      </w:r>
      <w:r w:rsidR="005B197D">
        <w:t> </w:t>
      </w:r>
      <w:r>
        <w:t>bits/Hz/sector in 2012 to 2.6</w:t>
      </w:r>
      <w:r w:rsidR="005B197D">
        <w:t xml:space="preserve"> </w:t>
      </w:r>
      <w:r>
        <w:t>bits/Hz/sector in 2025.</w:t>
      </w:r>
    </w:p>
    <w:p w:rsidR="00B873A7" w:rsidRDefault="00B873A7" w:rsidP="00B873A7">
      <w:r>
        <w:t>We use the spectral efficiency assumptions to calculate the maximum capacity of each 3G and 4G base station.</w:t>
      </w:r>
    </w:p>
    <w:p w:rsidR="00B873A7" w:rsidRDefault="00B873A7" w:rsidP="00B873A7">
      <w:r>
        <w:t>Specifically our calculation works as follows.</w:t>
      </w:r>
    </w:p>
    <w:p w:rsidR="00B873A7" w:rsidRDefault="00B873A7" w:rsidP="00B873A7">
      <m:oMathPara>
        <m:oMath>
          <m:r>
            <w:rPr>
              <w:rFonts w:ascii="Cambria Math" w:hAnsi="Cambria Math"/>
            </w:rPr>
            <m:t xml:space="preserve">Max downlink capacity of site=S x SE x # sectors x UF x </m:t>
          </m:r>
          <m:f>
            <m:fPr>
              <m:ctrlPr>
                <w:rPr>
                  <w:rFonts w:ascii="Cambria Math" w:hAnsi="Cambria Math"/>
                  <w:i/>
                </w:rPr>
              </m:ctrlPr>
            </m:fPr>
            <m:num>
              <m:r>
                <w:rPr>
                  <w:rFonts w:ascii="Cambria Math" w:hAnsi="Cambria Math"/>
                </w:rPr>
                <m:t>1</m:t>
              </m:r>
            </m:num>
            <m:den>
              <m:r>
                <w:rPr>
                  <w:rFonts w:ascii="Cambria Math" w:hAnsi="Cambria Math"/>
                </w:rPr>
                <m:t>1+IP overhead</m:t>
              </m:r>
            </m:den>
          </m:f>
        </m:oMath>
      </m:oMathPara>
    </w:p>
    <w:p w:rsidR="00B873A7" w:rsidRDefault="00B873A7" w:rsidP="00B873A7">
      <w:r>
        <w:t>where:</w:t>
      </w:r>
    </w:p>
    <w:p w:rsidR="00B873A7" w:rsidRDefault="00B873A7" w:rsidP="005A106E">
      <w:pPr>
        <w:pStyle w:val="ListBulletCompact"/>
      </w:pPr>
      <w:r>
        <w:t>S is the amount of downlink spectrum available</w:t>
      </w:r>
    </w:p>
    <w:p w:rsidR="00B873A7" w:rsidRDefault="00B873A7" w:rsidP="005A106E">
      <w:pPr>
        <w:pStyle w:val="ListBulletCompact"/>
      </w:pPr>
      <w:r>
        <w:t>SE is the spectral efficiency</w:t>
      </w:r>
    </w:p>
    <w:p w:rsidR="00B873A7" w:rsidRDefault="00B873A7" w:rsidP="005A106E">
      <w:pPr>
        <w:pStyle w:val="ListBulletCompact"/>
      </w:pPr>
      <w:r>
        <w:t># sectors = 3 for a macrocell and 1 for a small cell</w:t>
      </w:r>
    </w:p>
    <w:p w:rsidR="00B873A7" w:rsidRDefault="00B873A7" w:rsidP="005A106E">
      <w:pPr>
        <w:pStyle w:val="ListBulletCompact"/>
      </w:pPr>
      <w:r>
        <w:t>UF (utilisation factor) = 60% for 3G and 4G</w:t>
      </w:r>
    </w:p>
    <w:p w:rsidR="00B873A7" w:rsidRDefault="00B873A7" w:rsidP="005A106E">
      <w:pPr>
        <w:pStyle w:val="ListBullet"/>
      </w:pPr>
      <w:r>
        <w:t>IP overhead = 15%</w:t>
      </w:r>
      <w:r w:rsidR="005A106E">
        <w:t>.</w:t>
      </w:r>
    </w:p>
    <w:p w:rsidR="00B873A7" w:rsidRDefault="00B873A7" w:rsidP="00B873A7">
      <w:pPr>
        <w:rPr>
          <w:spacing w:val="-4"/>
        </w:rPr>
      </w:pPr>
      <w:r>
        <w:rPr>
          <w:spacing w:val="-4"/>
        </w:rPr>
        <w:t>Although the possibility to load the busiest sector of a site more than the other two (in a three-sector macrocell) has been incorporated to the model, it is not used in the base case or the sensitivities presented in this report. This means we assume the capacity provided by a site is three times the capacity of a sector. We believe this reflect the reality, where the capacity of a sector remains constant (for a given level of each of the parameters described above) and equal for all sectors of a site, and what varies by sector is the capacity allocated to each individual user (which depends on the number of users connected to each sector).</w:t>
      </w:r>
    </w:p>
    <w:p w:rsidR="00B873A7" w:rsidRDefault="00B873A7" w:rsidP="00B873A7">
      <w:r>
        <w:t>If adding capacity layers in spectrum bands other than the band used for coverage is not enough, our model assumes that additional capacity sites are deployed, using all the spectrum bands available for the technology requiring the additional capacity sites (to limit the number of such sites required). We do not include an explicit factor in our calculation to take account of the fact that some devices may not be compatible with all of the capacity bands but consider that the relatively conservative assumptions that we have made about network-wide spectral efficiency take account of any device compatibility issues. In this final report we also assume a limited deployment of small cells in the central business districts of the five largest cities (100 sites per city rolled out between 2015 and 2019). We understand that the mobile operators in Australia are currently trialling, or planning trials of, small cells. At this stage it is unclear how extensive any future roll-out may be, particularly if the existing macrocell network can support most of the expected traffic in dense urban and urban areas.</w:t>
      </w:r>
    </w:p>
    <w:p w:rsidR="00B873A7" w:rsidRDefault="00B873A7" w:rsidP="00B873A7">
      <w:r>
        <w:t>We note that s</w:t>
      </w:r>
      <w:r w:rsidRPr="00351AA2">
        <w:t>ome</w:t>
      </w:r>
      <w:r>
        <w:t xml:space="preserve"> of the input received from operators suggested that average spectral efficiency could be much higher than we assume in the base case. We have therefore modelled a sensitivity with 60% higher spectral efficiency throughout.</w:t>
      </w:r>
    </w:p>
    <w:p w:rsidR="00B873A7" w:rsidRDefault="00B873A7" w:rsidP="00B873A7">
      <w:pPr>
        <w:pStyle w:val="Heading2"/>
      </w:pPr>
      <w:bookmarkStart w:id="142" w:name="_Toc373161406"/>
      <w:bookmarkStart w:id="143" w:name="_Toc399178490"/>
      <w:bookmarkStart w:id="144" w:name="_Toc402102957"/>
      <w:bookmarkStart w:id="145" w:name="_Toc409445587"/>
      <w:r>
        <w:t>Base case results</w:t>
      </w:r>
      <w:bookmarkEnd w:id="142"/>
      <w:bookmarkEnd w:id="143"/>
      <w:bookmarkEnd w:id="144"/>
      <w:bookmarkEnd w:id="145"/>
    </w:p>
    <w:p w:rsidR="00B873A7" w:rsidRDefault="00B873A7" w:rsidP="005A106E">
      <w:pPr>
        <w:spacing w:after="160"/>
      </w:pPr>
      <w:r>
        <w:t xml:space="preserve">In this section we show how we expect the number of sites required by the mobile operators to evolve given the assumptions discussed in the previous sections and assuming that no more spectrum is made available. </w:t>
      </w:r>
      <w:r w:rsidR="00162304">
        <w:t xml:space="preserve">In </w:t>
      </w:r>
      <w:r w:rsidR="00E36E08">
        <w:t>Section</w:t>
      </w:r>
      <w:r w:rsidR="00162304">
        <w:t xml:space="preserve"> </w:t>
      </w:r>
      <w:r w:rsidR="00162304" w:rsidRPr="002D2F9B">
        <w:fldChar w:fldCharType="begin"/>
      </w:r>
      <w:r w:rsidR="00162304" w:rsidRPr="002571CA">
        <w:instrText xml:space="preserve"> REF _Ref399838557 \r \h </w:instrText>
      </w:r>
      <w:r w:rsidR="00162304" w:rsidRPr="002D2F9B">
        <w:fldChar w:fldCharType="separate"/>
      </w:r>
      <w:r w:rsidR="00A87B65">
        <w:t>4.6</w:t>
      </w:r>
      <w:r w:rsidR="00162304" w:rsidRPr="002D2F9B">
        <w:fldChar w:fldCharType="end"/>
      </w:r>
      <w:r w:rsidR="00162304">
        <w:t xml:space="preserve"> we show </w:t>
      </w:r>
      <w:r>
        <w:t>the impact of various sensitivities around th</w:t>
      </w:r>
      <w:r w:rsidR="00596887">
        <w:t>e base case set of assumptions.</w:t>
      </w:r>
    </w:p>
    <w:p w:rsidR="00B873A7" w:rsidRDefault="00B873A7" w:rsidP="005A106E">
      <w:pPr>
        <w:spacing w:after="160"/>
      </w:pPr>
      <w:r>
        <w:t>We use the label ‘logical sites’ in our results charts to indicate the number of locations (masts, towers, rooftop antennas) used for each technology. However, the total number of logical sites is considerably larger than the number of physical sites in Australia, as more than one technology can be co-located on a single physical site and in some cases a single physical site may be shared by more than one operator.</w:t>
      </w:r>
      <w:r>
        <w:rPr>
          <w:rStyle w:val="FootnoteReference"/>
        </w:rPr>
        <w:footnoteReference w:id="43"/>
      </w:r>
    </w:p>
    <w:p w:rsidR="00B873A7" w:rsidRDefault="00B873A7" w:rsidP="00B873A7">
      <w:r w:rsidRPr="002D2F9B">
        <w:fldChar w:fldCharType="begin"/>
      </w:r>
      <w:r w:rsidRPr="002571CA">
        <w:instrText xml:space="preserve"> REF _Ref367743417 \h </w:instrText>
      </w:r>
      <w:r w:rsidRPr="002D2F9B">
        <w:fldChar w:fldCharType="separate"/>
      </w:r>
      <w:r w:rsidR="00A87B65">
        <w:t>Figure </w:t>
      </w:r>
      <w:r w:rsidR="00A87B65">
        <w:rPr>
          <w:noProof/>
        </w:rPr>
        <w:t>4</w:t>
      </w:r>
      <w:r w:rsidR="00A87B65">
        <w:t>.</w:t>
      </w:r>
      <w:r w:rsidR="00A87B65">
        <w:rPr>
          <w:noProof/>
        </w:rPr>
        <w:t>38</w:t>
      </w:r>
      <w:r w:rsidRPr="002D2F9B">
        <w:fldChar w:fldCharType="end"/>
      </w:r>
      <w:r>
        <w:t xml:space="preserve"> shows the total number of logical sites increasing from 35,600 in 2013 to a peak of </w:t>
      </w:r>
      <w:r w:rsidR="00FB236B">
        <w:t>42,500 in</w:t>
      </w:r>
      <w:r>
        <w:t xml:space="preserve"> 2016, an increase of </w:t>
      </w:r>
      <w:r w:rsidR="00FB236B">
        <w:t>6,900</w:t>
      </w:r>
      <w:r>
        <w:t xml:space="preserve"> or 1</w:t>
      </w:r>
      <w:r w:rsidR="00FB236B">
        <w:t>9</w:t>
      </w:r>
      <w:r>
        <w:t>%. In later years the total number of logical sites is lower because we assume that 2G networks are turned off. After 2015, the growth in the number of sites is exclusively confined to 4G. A large majority of 4G sites added are required simply to expand the coverage of 4G networks but from 2015 onwards some of these coverage sites start to require capacity upgrades and some additional capacity sites are required.</w:t>
      </w:r>
    </w:p>
    <w:p w:rsidR="00B873A7" w:rsidRDefault="00B873A7" w:rsidP="00B873A7">
      <w:r>
        <w:t xml:space="preserve">The number of logical sites </w:t>
      </w:r>
      <w:r w:rsidR="00FB236B">
        <w:t>in</w:t>
      </w:r>
      <w:r>
        <w:t xml:space="preserve"> 2020 </w:t>
      </w:r>
      <w:r w:rsidR="00FB236B">
        <w:t xml:space="preserve">is 38,200 and </w:t>
      </w:r>
      <w:r w:rsidR="008D6BE8">
        <w:t>the total only increases by around 100 between 2020 and 2025, since the addition of around 600 4G capacity sites is largely offset by a reduction of around 500 3G capacity sites.</w:t>
      </w:r>
    </w:p>
    <w:p w:rsidR="00B873A7" w:rsidRDefault="00B873A7" w:rsidP="00B873A7">
      <w:pPr>
        <w:pStyle w:val="Caption"/>
      </w:pPr>
      <w:bookmarkStart w:id="146" w:name="_Ref367743417"/>
      <w:r>
        <w:t>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fldSimple w:instr=" SEQ Figure \* ARABIC \s 1 \* MERGEFORMAT ">
        <w:r w:rsidR="00A87B65">
          <w:rPr>
            <w:noProof/>
          </w:rPr>
          <w:t>38</w:t>
        </w:r>
      </w:fldSimple>
      <w:bookmarkEnd w:id="146"/>
      <w:r>
        <w:t xml:space="preserve">: </w:t>
      </w:r>
      <w:r w:rsidRPr="00AD321B">
        <w:t>Logical sites for all operators</w:t>
      </w:r>
      <w:r>
        <w:t>: base case</w:t>
      </w:r>
      <w:r w:rsidRPr="00AD321B">
        <w:t xml:space="preserve"> </w:t>
      </w:r>
      <w:r>
        <w:t>[Source: Analysys Mason, 2014] (‘M’ stands for macrocells; ‘s’ stands for small cells)</w:t>
      </w:r>
    </w:p>
    <w:p w:rsidR="00B873A7" w:rsidRDefault="00E15C32" w:rsidP="00E15C32">
      <w:pPr>
        <w:jc w:val="center"/>
        <w:rPr>
          <w:rFonts w:ascii="Arial" w:hAnsi="Arial"/>
          <w:sz w:val="18"/>
          <w:szCs w:val="18"/>
        </w:rPr>
      </w:pPr>
      <w:r w:rsidRPr="00E15C32">
        <w:rPr>
          <w:noProof/>
          <w:lang w:val="en-AU" w:eastAsia="en-AU"/>
        </w:rPr>
        <w:drawing>
          <wp:inline distT="0" distB="0" distL="0" distR="0" wp14:anchorId="5BB0BE21" wp14:editId="267AD3B4">
            <wp:extent cx="5362575" cy="3114675"/>
            <wp:effectExtent l="0" t="0" r="0" b="0"/>
            <wp:docPr id="101" name="Picture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5362575" cy="3114675"/>
                    </a:xfrm>
                    <a:prstGeom prst="rect">
                      <a:avLst/>
                    </a:prstGeom>
                    <a:noFill/>
                    <a:ln>
                      <a:noFill/>
                    </a:ln>
                  </pic:spPr>
                </pic:pic>
              </a:graphicData>
            </a:graphic>
          </wp:inline>
        </w:drawing>
      </w:r>
    </w:p>
    <w:p w:rsidR="00965B37" w:rsidRDefault="00965B37" w:rsidP="00B873A7">
      <w:r>
        <w:t xml:space="preserve">The public model produces results which differ from those presented </w:t>
      </w:r>
      <w:r w:rsidR="00FD608F">
        <w:t xml:space="preserve">in this report, which are based on the confidential version of the model. In the public model, </w:t>
      </w:r>
      <w:r>
        <w:t>the cove</w:t>
      </w:r>
      <w:r w:rsidR="00FD608F">
        <w:t>rage by operator and geotype,</w:t>
      </w:r>
      <w:r>
        <w:t xml:space="preserve"> the market shares by geotype </w:t>
      </w:r>
      <w:r w:rsidR="00FD608F">
        <w:t xml:space="preserve">and the split of radio bands between technologies </w:t>
      </w:r>
      <w:r>
        <w:t xml:space="preserve">have been replaced </w:t>
      </w:r>
      <w:r w:rsidR="00FD608F">
        <w:t>by</w:t>
      </w:r>
      <w:r>
        <w:t xml:space="preserve"> dummy data.</w:t>
      </w:r>
    </w:p>
    <w:p w:rsidR="00B873A7" w:rsidRDefault="00B873A7" w:rsidP="00B873A7">
      <w:r>
        <w:t xml:space="preserve">The tables below </w:t>
      </w:r>
      <w:r w:rsidRPr="002A0932">
        <w:t>show how the number of logical sites changes in each geotype between 201</w:t>
      </w:r>
      <w:r>
        <w:t>3</w:t>
      </w:r>
      <w:r w:rsidRPr="002A0932">
        <w:t xml:space="preserve"> and 2020. </w:t>
      </w:r>
      <w:r>
        <w:t>The number of 3G sites decreases marginally from around 18,700 in 2013 to 18,600 in 2020 (an decrease of around 0.8%). The peak number of 3G sites is reached in 2015 (around 19,000) and then slowly decreases taking into account both the move of data traffic from 3G to 4G and the delay in decommissioning radio equipment when it is no longer needed for traffic (the number of sites required for coverage</w:t>
      </w:r>
      <w:r>
        <w:rPr>
          <w:rStyle w:val="FootnoteReference"/>
        </w:rPr>
        <w:footnoteReference w:id="44"/>
      </w:r>
      <w:r>
        <w:t xml:space="preserve"> remains constant as the 3G coverage is assumed constant </w:t>
      </w:r>
      <w:r w:rsidR="008D6BE8">
        <w:t>for</w:t>
      </w:r>
      <w:r>
        <w:t xml:space="preserve"> the duration of the model).</w:t>
      </w:r>
    </w:p>
    <w:p w:rsidR="00B873A7" w:rsidRDefault="00B873A7" w:rsidP="00B873A7">
      <w:r>
        <w:t>The number of 4G sites increases from around 3500 in 2013 to around 1</w:t>
      </w:r>
      <w:r w:rsidR="00FB236B">
        <w:t>9</w:t>
      </w:r>
      <w:r>
        <w:t>,700 i</w:t>
      </w:r>
      <w:r w:rsidR="00FB236B">
        <w:t>n 2020, including small cells. Although t</w:t>
      </w:r>
      <w:r>
        <w:t xml:space="preserve">he total number of 4G sites grows by a factor of around </w:t>
      </w:r>
      <w:r w:rsidR="00FB236B">
        <w:t>5</w:t>
      </w:r>
      <w:r>
        <w:t xml:space="preserve">.5 over the period </w:t>
      </w:r>
      <w:r w:rsidR="00FB236B">
        <w:t>most</w:t>
      </w:r>
      <w:r>
        <w:t xml:space="preserve"> of this growth can be attributed to the expansion of 4G coverage. Around </w:t>
      </w:r>
      <w:r w:rsidR="00FB236B">
        <w:t>30</w:t>
      </w:r>
      <w:r>
        <w:t xml:space="preserve">% of the 4G macrocell coverage sites require at least one capacity upgrade by 2020 but our model suggests that fewer than </w:t>
      </w:r>
      <w:r w:rsidR="00FB236B">
        <w:t>600</w:t>
      </w:r>
      <w:r>
        <w:t xml:space="preserve"> new 4G macrocell sites will need to be built purely for capacity reasons (although we also assume that each operator deploys 500 small cells in the dense urban geotype which absorb 10% of the 4G data traffic in this geotype). The number of new 4G sites required is an important figure since we estimate that the cost of building a new 4G site is typically about ten times the cost of adding an additional band to an existing site.</w:t>
      </w:r>
    </w:p>
    <w:p w:rsidR="00B873A7" w:rsidRPr="008F68E5" w:rsidRDefault="00B873A7" w:rsidP="00B873A7">
      <w:pPr>
        <w:pStyle w:val="Caption"/>
      </w:pPr>
      <w:bookmarkStart w:id="147" w:name="_Ref369254109"/>
      <w:r>
        <w:t>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fldSimple w:instr=" SEQ Figure \* ARABIC \s 1 \* MERGEFORMAT ">
        <w:r w:rsidR="00A87B65">
          <w:rPr>
            <w:noProof/>
          </w:rPr>
          <w:t>39</w:t>
        </w:r>
      </w:fldSimple>
      <w:bookmarkEnd w:id="147"/>
      <w:r>
        <w:t xml:space="preserve">: Total </w:t>
      </w:r>
      <w:r w:rsidRPr="0030562D">
        <w:t xml:space="preserve">2G logical sites by geotype </w:t>
      </w:r>
      <w:r>
        <w:t>in 2013 and 2020</w:t>
      </w:r>
      <w:r w:rsidRPr="0030562D">
        <w:t>; base case [Source: Analysys Mason, 201</w:t>
      </w:r>
      <w:r>
        <w:t>4</w:t>
      </w:r>
      <w:r w:rsidRPr="0030562D">
        <w:t>]</w:t>
      </w:r>
    </w:p>
    <w:tbl>
      <w:tblPr>
        <w:tblStyle w:val="MediumShading2-Accent1"/>
        <w:tblW w:w="8824" w:type="dxa"/>
        <w:tblInd w:w="108" w:type="dxa"/>
        <w:tblLook w:val="0420" w:firstRow="1" w:lastRow="0" w:firstColumn="0" w:lastColumn="0" w:noHBand="0" w:noVBand="1"/>
      </w:tblPr>
      <w:tblGrid>
        <w:gridCol w:w="1473"/>
        <w:gridCol w:w="1225"/>
        <w:gridCol w:w="1225"/>
        <w:gridCol w:w="1225"/>
        <w:gridCol w:w="1225"/>
        <w:gridCol w:w="1225"/>
        <w:gridCol w:w="1226"/>
      </w:tblGrid>
      <w:tr w:rsidR="00B873A7" w:rsidRPr="00780DBF" w:rsidTr="00FB236B">
        <w:trPr>
          <w:cnfStyle w:val="100000000000" w:firstRow="1" w:lastRow="0" w:firstColumn="0" w:lastColumn="0" w:oddVBand="0" w:evenVBand="0" w:oddHBand="0" w:evenHBand="0" w:firstRowFirstColumn="0" w:firstRowLastColumn="0" w:lastRowFirstColumn="0" w:lastRowLastColumn="0"/>
        </w:trPr>
        <w:tc>
          <w:tcPr>
            <w:tcW w:w="1473" w:type="dxa"/>
            <w:tcBorders>
              <w:top w:val="single" w:sz="18" w:space="0" w:color="221F72"/>
              <w:bottom w:val="single" w:sz="18" w:space="0" w:color="221F72"/>
            </w:tcBorders>
            <w:shd w:val="solid" w:color="221F72" w:fill="221F72"/>
          </w:tcPr>
          <w:p w:rsidR="00B873A7" w:rsidRPr="00780DBF" w:rsidRDefault="00B873A7" w:rsidP="00841EA0">
            <w:pPr>
              <w:pStyle w:val="Tableheading"/>
              <w:rPr>
                <w:i/>
              </w:rPr>
            </w:pPr>
          </w:p>
        </w:tc>
        <w:tc>
          <w:tcPr>
            <w:tcW w:w="3675" w:type="dxa"/>
            <w:gridSpan w:val="3"/>
            <w:tcBorders>
              <w:top w:val="nil"/>
              <w:bottom w:val="single" w:sz="4" w:space="0" w:color="FFFFFF" w:themeColor="background1"/>
            </w:tcBorders>
            <w:shd w:val="solid" w:color="221F72" w:fill="221F72"/>
            <w:vAlign w:val="center"/>
          </w:tcPr>
          <w:p w:rsidR="00B873A7" w:rsidRPr="00CB517E" w:rsidRDefault="00B873A7" w:rsidP="00841EA0">
            <w:pPr>
              <w:pStyle w:val="Tableheading"/>
              <w:ind w:right="0"/>
              <w:jc w:val="center"/>
              <w:rPr>
                <w:b/>
              </w:rPr>
            </w:pPr>
            <w:r w:rsidRPr="00CB517E">
              <w:rPr>
                <w:b/>
              </w:rPr>
              <w:t>2013</w:t>
            </w:r>
          </w:p>
        </w:tc>
        <w:tc>
          <w:tcPr>
            <w:tcW w:w="3676" w:type="dxa"/>
            <w:gridSpan w:val="3"/>
            <w:tcBorders>
              <w:top w:val="nil"/>
              <w:bottom w:val="single" w:sz="4" w:space="0" w:color="FFFFFF" w:themeColor="background1"/>
            </w:tcBorders>
            <w:shd w:val="solid" w:color="221F72" w:fill="221F72"/>
            <w:vAlign w:val="center"/>
          </w:tcPr>
          <w:p w:rsidR="00B873A7" w:rsidRPr="00CB517E" w:rsidRDefault="00B873A7" w:rsidP="00841EA0">
            <w:pPr>
              <w:pStyle w:val="Tableheading"/>
              <w:ind w:right="0"/>
              <w:jc w:val="center"/>
              <w:rPr>
                <w:b/>
              </w:rPr>
            </w:pPr>
            <w:r>
              <w:rPr>
                <w:b/>
              </w:rPr>
              <w:t>2020</w:t>
            </w:r>
          </w:p>
        </w:tc>
      </w:tr>
      <w:tr w:rsidR="00B873A7" w:rsidRPr="00780DBF" w:rsidTr="00841EA0">
        <w:trPr>
          <w:cnfStyle w:val="000000100000" w:firstRow="0" w:lastRow="0" w:firstColumn="0" w:lastColumn="0" w:oddVBand="0" w:evenVBand="0" w:oddHBand="1" w:evenHBand="0" w:firstRowFirstColumn="0" w:firstRowLastColumn="0" w:lastRowFirstColumn="0" w:lastRowLastColumn="0"/>
        </w:trPr>
        <w:tc>
          <w:tcPr>
            <w:tcW w:w="1473" w:type="dxa"/>
            <w:tcBorders>
              <w:top w:val="single" w:sz="18" w:space="0" w:color="221F72"/>
              <w:bottom w:val="single" w:sz="18" w:space="0" w:color="221F72"/>
            </w:tcBorders>
            <w:shd w:val="solid" w:color="221F72" w:fill="221F72"/>
          </w:tcPr>
          <w:p w:rsidR="00B873A7" w:rsidRPr="00780DBF" w:rsidRDefault="00B873A7" w:rsidP="00841EA0">
            <w:pPr>
              <w:pStyle w:val="Tableheading"/>
              <w:rPr>
                <w:i/>
              </w:rPr>
            </w:pPr>
          </w:p>
        </w:tc>
        <w:tc>
          <w:tcPr>
            <w:tcW w:w="1225" w:type="dxa"/>
            <w:tcBorders>
              <w:top w:val="single" w:sz="4" w:space="0" w:color="FFFFFF" w:themeColor="background1"/>
              <w:bottom w:val="single" w:sz="18" w:space="0" w:color="221F72"/>
            </w:tcBorders>
            <w:shd w:val="solid" w:color="221F72" w:fill="221F72"/>
            <w:vAlign w:val="center"/>
          </w:tcPr>
          <w:p w:rsidR="00B873A7" w:rsidRPr="00A42B4A" w:rsidRDefault="00B873A7" w:rsidP="00841EA0">
            <w:pPr>
              <w:pStyle w:val="Tableheading"/>
              <w:ind w:right="0"/>
              <w:jc w:val="center"/>
              <w:rPr>
                <w:b w:val="0"/>
                <w:i/>
              </w:rPr>
            </w:pPr>
            <w:r w:rsidRPr="00A42B4A">
              <w:t>2G purely coverage sites</w:t>
            </w:r>
          </w:p>
        </w:tc>
        <w:tc>
          <w:tcPr>
            <w:tcW w:w="1225" w:type="dxa"/>
            <w:tcBorders>
              <w:top w:val="single" w:sz="4" w:space="0" w:color="FFFFFF" w:themeColor="background1"/>
              <w:bottom w:val="single" w:sz="18" w:space="0" w:color="221F72"/>
            </w:tcBorders>
            <w:shd w:val="solid" w:color="221F72" w:fill="221F72"/>
            <w:vAlign w:val="center"/>
          </w:tcPr>
          <w:p w:rsidR="00B873A7" w:rsidRPr="00A42B4A" w:rsidRDefault="00B873A7" w:rsidP="00841EA0">
            <w:pPr>
              <w:pStyle w:val="Tableheading"/>
              <w:ind w:right="0"/>
              <w:jc w:val="center"/>
              <w:rPr>
                <w:b w:val="0"/>
                <w:i/>
              </w:rPr>
            </w:pPr>
            <w:r w:rsidRPr="00A42B4A">
              <w:t>2G coverage sites with capacity upgrade</w:t>
            </w:r>
          </w:p>
        </w:tc>
        <w:tc>
          <w:tcPr>
            <w:tcW w:w="1225" w:type="dxa"/>
            <w:tcBorders>
              <w:top w:val="single" w:sz="4" w:space="0" w:color="FFFFFF" w:themeColor="background1"/>
              <w:bottom w:val="single" w:sz="18" w:space="0" w:color="221F72"/>
            </w:tcBorders>
            <w:shd w:val="solid" w:color="221F72" w:fill="221F72"/>
            <w:vAlign w:val="center"/>
          </w:tcPr>
          <w:p w:rsidR="00B873A7" w:rsidRPr="00A42B4A" w:rsidRDefault="00B873A7" w:rsidP="00841EA0">
            <w:pPr>
              <w:pStyle w:val="Tableheading"/>
              <w:ind w:right="0"/>
              <w:jc w:val="center"/>
              <w:rPr>
                <w:b w:val="0"/>
                <w:i/>
              </w:rPr>
            </w:pPr>
            <w:r w:rsidRPr="00A42B4A">
              <w:t>2G capacity sites</w:t>
            </w:r>
          </w:p>
        </w:tc>
        <w:tc>
          <w:tcPr>
            <w:tcW w:w="1225" w:type="dxa"/>
            <w:tcBorders>
              <w:top w:val="single" w:sz="4" w:space="0" w:color="FFFFFF" w:themeColor="background1"/>
              <w:bottom w:val="single" w:sz="18" w:space="0" w:color="221F72"/>
            </w:tcBorders>
            <w:shd w:val="solid" w:color="221F72" w:fill="221F72"/>
            <w:vAlign w:val="center"/>
          </w:tcPr>
          <w:p w:rsidR="00B873A7" w:rsidRPr="00A42B4A" w:rsidRDefault="00B873A7" w:rsidP="00841EA0">
            <w:pPr>
              <w:pStyle w:val="Tableheading"/>
              <w:ind w:right="0"/>
              <w:jc w:val="center"/>
              <w:rPr>
                <w:b w:val="0"/>
                <w:i/>
              </w:rPr>
            </w:pPr>
            <w:r w:rsidRPr="00A42B4A">
              <w:t>2G purely coverage sites</w:t>
            </w:r>
          </w:p>
        </w:tc>
        <w:tc>
          <w:tcPr>
            <w:tcW w:w="1225" w:type="dxa"/>
            <w:tcBorders>
              <w:top w:val="single" w:sz="4" w:space="0" w:color="FFFFFF" w:themeColor="background1"/>
              <w:bottom w:val="single" w:sz="18" w:space="0" w:color="221F72"/>
            </w:tcBorders>
            <w:shd w:val="solid" w:color="221F72" w:fill="221F72"/>
            <w:vAlign w:val="center"/>
          </w:tcPr>
          <w:p w:rsidR="00B873A7" w:rsidRPr="00A42B4A" w:rsidRDefault="00B873A7" w:rsidP="00841EA0">
            <w:pPr>
              <w:pStyle w:val="Tableheading"/>
              <w:ind w:right="0"/>
              <w:jc w:val="center"/>
              <w:rPr>
                <w:b w:val="0"/>
                <w:i/>
              </w:rPr>
            </w:pPr>
            <w:r w:rsidRPr="00A42B4A">
              <w:t>2G coverage sites with capacity upgrade</w:t>
            </w:r>
          </w:p>
        </w:tc>
        <w:tc>
          <w:tcPr>
            <w:tcW w:w="1226" w:type="dxa"/>
            <w:tcBorders>
              <w:top w:val="single" w:sz="4" w:space="0" w:color="FFFFFF" w:themeColor="background1"/>
              <w:bottom w:val="single" w:sz="18" w:space="0" w:color="221F72"/>
            </w:tcBorders>
            <w:shd w:val="solid" w:color="221F72" w:fill="221F72"/>
            <w:vAlign w:val="center"/>
          </w:tcPr>
          <w:p w:rsidR="00B873A7" w:rsidRPr="00A42B4A" w:rsidRDefault="00B873A7" w:rsidP="00841EA0">
            <w:pPr>
              <w:pStyle w:val="Tableheading"/>
              <w:ind w:right="0"/>
              <w:jc w:val="center"/>
              <w:rPr>
                <w:b w:val="0"/>
                <w:i/>
              </w:rPr>
            </w:pPr>
            <w:r w:rsidRPr="00A42B4A">
              <w:t>2G capacity sites</w:t>
            </w:r>
          </w:p>
        </w:tc>
      </w:tr>
      <w:tr w:rsidR="00FB236B" w:rsidTr="00841EA0">
        <w:tc>
          <w:tcPr>
            <w:tcW w:w="1473" w:type="dxa"/>
            <w:tcBorders>
              <w:top w:val="single" w:sz="18" w:space="0" w:color="221F72"/>
            </w:tcBorders>
            <w:vAlign w:val="center"/>
          </w:tcPr>
          <w:p w:rsidR="00FB236B" w:rsidRDefault="00FB236B" w:rsidP="00841EA0">
            <w:pPr>
              <w:pStyle w:val="Tablecells"/>
            </w:pPr>
            <w:r>
              <w:t>Dense urban</w:t>
            </w:r>
          </w:p>
        </w:tc>
        <w:tc>
          <w:tcPr>
            <w:tcW w:w="1225" w:type="dxa"/>
            <w:tcBorders>
              <w:top w:val="single" w:sz="18" w:space="0" w:color="221F72"/>
            </w:tcBorders>
            <w:vAlign w:val="center"/>
          </w:tcPr>
          <w:p w:rsidR="00FB236B" w:rsidRPr="00FB236B" w:rsidRDefault="00FB236B" w:rsidP="00FB236B">
            <w:pPr>
              <w:pStyle w:val="Tablecells"/>
              <w:jc w:val="right"/>
            </w:pPr>
            <w:r w:rsidRPr="00FB236B">
              <w:t xml:space="preserve">2,568 </w:t>
            </w:r>
          </w:p>
        </w:tc>
        <w:tc>
          <w:tcPr>
            <w:tcW w:w="1225" w:type="dxa"/>
            <w:tcBorders>
              <w:top w:val="single" w:sz="18" w:space="0" w:color="221F72"/>
            </w:tcBorders>
            <w:vAlign w:val="center"/>
          </w:tcPr>
          <w:p w:rsidR="00FB236B" w:rsidRDefault="00FB236B" w:rsidP="00841EA0">
            <w:pPr>
              <w:pStyle w:val="Tablecells"/>
              <w:jc w:val="right"/>
            </w:pPr>
            <w:r>
              <w:t xml:space="preserve">0 </w:t>
            </w:r>
          </w:p>
        </w:tc>
        <w:tc>
          <w:tcPr>
            <w:tcW w:w="1225" w:type="dxa"/>
            <w:tcBorders>
              <w:top w:val="single" w:sz="18" w:space="0" w:color="221F72"/>
            </w:tcBorders>
            <w:vAlign w:val="center"/>
          </w:tcPr>
          <w:p w:rsidR="00FB236B" w:rsidRPr="00C41511" w:rsidRDefault="00FB236B" w:rsidP="00841EA0">
            <w:pPr>
              <w:pStyle w:val="Tablecells"/>
              <w:jc w:val="right"/>
              <w:rPr>
                <w:b/>
              </w:rPr>
            </w:pPr>
            <w:r w:rsidRPr="00C41511">
              <w:t>0</w:t>
            </w:r>
            <w:r>
              <w:t xml:space="preserve"> </w:t>
            </w:r>
          </w:p>
        </w:tc>
        <w:tc>
          <w:tcPr>
            <w:tcW w:w="1225" w:type="dxa"/>
            <w:tcBorders>
              <w:top w:val="single" w:sz="18" w:space="0" w:color="221F72"/>
            </w:tcBorders>
            <w:vAlign w:val="center"/>
          </w:tcPr>
          <w:p w:rsidR="00FB236B" w:rsidRPr="00CB517E" w:rsidRDefault="00FB236B" w:rsidP="00841EA0">
            <w:pPr>
              <w:pStyle w:val="Tablecells"/>
              <w:jc w:val="right"/>
            </w:pPr>
            <w:r w:rsidRPr="00CB517E">
              <w:t xml:space="preserve">0 </w:t>
            </w:r>
          </w:p>
        </w:tc>
        <w:tc>
          <w:tcPr>
            <w:tcW w:w="1225" w:type="dxa"/>
            <w:tcBorders>
              <w:top w:val="single" w:sz="18" w:space="0" w:color="221F72"/>
            </w:tcBorders>
            <w:vAlign w:val="center"/>
          </w:tcPr>
          <w:p w:rsidR="00FB236B" w:rsidRPr="00C41511" w:rsidRDefault="00FB236B" w:rsidP="00841EA0">
            <w:pPr>
              <w:pStyle w:val="Tablecells"/>
              <w:jc w:val="right"/>
              <w:rPr>
                <w:b/>
              </w:rPr>
            </w:pPr>
            <w:r w:rsidRPr="00C41511">
              <w:t>0</w:t>
            </w:r>
            <w:r>
              <w:t xml:space="preserve"> </w:t>
            </w:r>
          </w:p>
        </w:tc>
        <w:tc>
          <w:tcPr>
            <w:tcW w:w="1226" w:type="dxa"/>
            <w:tcBorders>
              <w:top w:val="single" w:sz="18" w:space="0" w:color="221F72"/>
            </w:tcBorders>
            <w:vAlign w:val="center"/>
          </w:tcPr>
          <w:p w:rsidR="00FB236B" w:rsidRPr="00C41511" w:rsidRDefault="00FB236B" w:rsidP="00841EA0">
            <w:pPr>
              <w:pStyle w:val="Tablecells"/>
              <w:jc w:val="right"/>
              <w:rPr>
                <w:b/>
              </w:rPr>
            </w:pPr>
            <w:r w:rsidRPr="00C41511">
              <w:t>0</w:t>
            </w:r>
            <w:r>
              <w:t xml:space="preserve"> </w:t>
            </w:r>
          </w:p>
        </w:tc>
      </w:tr>
      <w:tr w:rsidR="00FB236B" w:rsidTr="00841EA0">
        <w:trPr>
          <w:cnfStyle w:val="000000100000" w:firstRow="0" w:lastRow="0" w:firstColumn="0" w:lastColumn="0" w:oddVBand="0" w:evenVBand="0" w:oddHBand="1" w:evenHBand="0" w:firstRowFirstColumn="0" w:firstRowLastColumn="0" w:lastRowFirstColumn="0" w:lastRowLastColumn="0"/>
        </w:trPr>
        <w:tc>
          <w:tcPr>
            <w:tcW w:w="1473" w:type="dxa"/>
            <w:tcBorders>
              <w:bottom w:val="nil"/>
            </w:tcBorders>
            <w:vAlign w:val="center"/>
          </w:tcPr>
          <w:p w:rsidR="00FB236B" w:rsidRDefault="00FB236B" w:rsidP="00841EA0">
            <w:pPr>
              <w:pStyle w:val="Tablecells"/>
            </w:pPr>
            <w:r>
              <w:t>Urban in metro areas</w:t>
            </w:r>
          </w:p>
        </w:tc>
        <w:tc>
          <w:tcPr>
            <w:tcW w:w="1225" w:type="dxa"/>
            <w:tcBorders>
              <w:bottom w:val="nil"/>
            </w:tcBorders>
            <w:vAlign w:val="center"/>
          </w:tcPr>
          <w:p w:rsidR="00FB236B" w:rsidRPr="00FB236B" w:rsidRDefault="00FB236B" w:rsidP="00FB236B">
            <w:pPr>
              <w:pStyle w:val="Tablecells"/>
              <w:jc w:val="right"/>
            </w:pPr>
            <w:r w:rsidRPr="00FB236B">
              <w:t xml:space="preserve">2,985 </w:t>
            </w:r>
          </w:p>
        </w:tc>
        <w:tc>
          <w:tcPr>
            <w:tcW w:w="1225" w:type="dxa"/>
            <w:tcBorders>
              <w:bottom w:val="nil"/>
            </w:tcBorders>
            <w:vAlign w:val="center"/>
          </w:tcPr>
          <w:p w:rsidR="00FB236B" w:rsidRDefault="00FB236B" w:rsidP="00841EA0">
            <w:pPr>
              <w:pStyle w:val="Tablecells"/>
              <w:jc w:val="right"/>
            </w:pPr>
            <w:r>
              <w:t xml:space="preserve">82 </w:t>
            </w:r>
          </w:p>
        </w:tc>
        <w:tc>
          <w:tcPr>
            <w:tcW w:w="1225" w:type="dxa"/>
            <w:tcBorders>
              <w:bottom w:val="nil"/>
            </w:tcBorders>
            <w:vAlign w:val="center"/>
          </w:tcPr>
          <w:p w:rsidR="00FB236B" w:rsidRDefault="00FB236B" w:rsidP="00841EA0">
            <w:pPr>
              <w:pStyle w:val="Tablecells"/>
              <w:jc w:val="right"/>
            </w:pPr>
            <w:r>
              <w:t xml:space="preserve">0 </w:t>
            </w:r>
          </w:p>
        </w:tc>
        <w:tc>
          <w:tcPr>
            <w:tcW w:w="1225" w:type="dxa"/>
            <w:tcBorders>
              <w:bottom w:val="nil"/>
            </w:tcBorders>
            <w:vAlign w:val="center"/>
          </w:tcPr>
          <w:p w:rsidR="00FB236B" w:rsidRDefault="00FB236B" w:rsidP="00841EA0">
            <w:pPr>
              <w:pStyle w:val="Tablecells"/>
              <w:jc w:val="right"/>
            </w:pPr>
            <w:r>
              <w:t xml:space="preserve">0 </w:t>
            </w:r>
          </w:p>
        </w:tc>
        <w:tc>
          <w:tcPr>
            <w:tcW w:w="1225" w:type="dxa"/>
            <w:tcBorders>
              <w:bottom w:val="nil"/>
            </w:tcBorders>
            <w:vAlign w:val="center"/>
          </w:tcPr>
          <w:p w:rsidR="00FB236B" w:rsidRDefault="00FB236B" w:rsidP="00841EA0">
            <w:pPr>
              <w:pStyle w:val="Tablecells"/>
              <w:jc w:val="right"/>
            </w:pPr>
            <w:r>
              <w:t xml:space="preserve">0 </w:t>
            </w:r>
          </w:p>
        </w:tc>
        <w:tc>
          <w:tcPr>
            <w:tcW w:w="1226" w:type="dxa"/>
            <w:tcBorders>
              <w:bottom w:val="nil"/>
            </w:tcBorders>
            <w:vAlign w:val="center"/>
          </w:tcPr>
          <w:p w:rsidR="00FB236B" w:rsidRDefault="00FB236B" w:rsidP="00841EA0">
            <w:pPr>
              <w:pStyle w:val="Tablecells"/>
              <w:jc w:val="right"/>
            </w:pPr>
            <w:r>
              <w:t xml:space="preserve">0 </w:t>
            </w:r>
          </w:p>
        </w:tc>
      </w:tr>
      <w:tr w:rsidR="00FB236B" w:rsidTr="00841EA0">
        <w:tc>
          <w:tcPr>
            <w:tcW w:w="1473" w:type="dxa"/>
            <w:tcBorders>
              <w:bottom w:val="nil"/>
            </w:tcBorders>
            <w:vAlign w:val="center"/>
          </w:tcPr>
          <w:p w:rsidR="00FB236B" w:rsidRDefault="00FB236B" w:rsidP="00841EA0">
            <w:pPr>
              <w:pStyle w:val="Tablecells"/>
            </w:pPr>
            <w:r>
              <w:t>Urban in regional areas</w:t>
            </w:r>
          </w:p>
        </w:tc>
        <w:tc>
          <w:tcPr>
            <w:tcW w:w="1225" w:type="dxa"/>
            <w:tcBorders>
              <w:bottom w:val="nil"/>
            </w:tcBorders>
            <w:vAlign w:val="center"/>
          </w:tcPr>
          <w:p w:rsidR="00FB236B" w:rsidRPr="00FB236B" w:rsidRDefault="00FB236B" w:rsidP="00FB236B">
            <w:pPr>
              <w:pStyle w:val="Tablecells"/>
              <w:jc w:val="right"/>
            </w:pPr>
            <w:r w:rsidRPr="00FB236B">
              <w:t xml:space="preserve">348 </w:t>
            </w:r>
          </w:p>
        </w:tc>
        <w:tc>
          <w:tcPr>
            <w:tcW w:w="1225" w:type="dxa"/>
            <w:tcBorders>
              <w:bottom w:val="nil"/>
            </w:tcBorders>
            <w:vAlign w:val="center"/>
          </w:tcPr>
          <w:p w:rsidR="00FB236B" w:rsidRDefault="00FB236B" w:rsidP="00841EA0">
            <w:pPr>
              <w:pStyle w:val="Tablecells"/>
              <w:jc w:val="right"/>
            </w:pPr>
            <w:r>
              <w:t xml:space="preserve">0 </w:t>
            </w:r>
          </w:p>
        </w:tc>
        <w:tc>
          <w:tcPr>
            <w:tcW w:w="1225" w:type="dxa"/>
            <w:tcBorders>
              <w:bottom w:val="nil"/>
            </w:tcBorders>
            <w:vAlign w:val="center"/>
          </w:tcPr>
          <w:p w:rsidR="00FB236B" w:rsidRDefault="00FB236B" w:rsidP="00841EA0">
            <w:pPr>
              <w:pStyle w:val="Tablecells"/>
              <w:jc w:val="right"/>
            </w:pPr>
            <w:r>
              <w:t xml:space="preserve">7 </w:t>
            </w:r>
          </w:p>
        </w:tc>
        <w:tc>
          <w:tcPr>
            <w:tcW w:w="1225" w:type="dxa"/>
            <w:tcBorders>
              <w:bottom w:val="nil"/>
            </w:tcBorders>
            <w:vAlign w:val="center"/>
          </w:tcPr>
          <w:p w:rsidR="00FB236B" w:rsidRDefault="00FB236B" w:rsidP="00841EA0">
            <w:pPr>
              <w:pStyle w:val="Tablecells"/>
              <w:jc w:val="right"/>
            </w:pPr>
            <w:r>
              <w:t xml:space="preserve">0 </w:t>
            </w:r>
          </w:p>
        </w:tc>
        <w:tc>
          <w:tcPr>
            <w:tcW w:w="1225" w:type="dxa"/>
            <w:tcBorders>
              <w:bottom w:val="nil"/>
            </w:tcBorders>
            <w:vAlign w:val="center"/>
          </w:tcPr>
          <w:p w:rsidR="00FB236B" w:rsidRDefault="00FB236B" w:rsidP="00841EA0">
            <w:pPr>
              <w:pStyle w:val="Tablecells"/>
              <w:jc w:val="right"/>
            </w:pPr>
            <w:r>
              <w:t xml:space="preserve">0 </w:t>
            </w:r>
          </w:p>
        </w:tc>
        <w:tc>
          <w:tcPr>
            <w:tcW w:w="1226" w:type="dxa"/>
            <w:tcBorders>
              <w:bottom w:val="nil"/>
            </w:tcBorders>
            <w:vAlign w:val="center"/>
          </w:tcPr>
          <w:p w:rsidR="00FB236B" w:rsidRDefault="00FB236B" w:rsidP="00841EA0">
            <w:pPr>
              <w:pStyle w:val="Tablecells"/>
              <w:jc w:val="right"/>
            </w:pPr>
            <w:r>
              <w:t xml:space="preserve">0 </w:t>
            </w:r>
          </w:p>
        </w:tc>
      </w:tr>
      <w:tr w:rsidR="00FB236B" w:rsidTr="00841EA0">
        <w:trPr>
          <w:cnfStyle w:val="000000100000" w:firstRow="0" w:lastRow="0" w:firstColumn="0" w:lastColumn="0" w:oddVBand="0" w:evenVBand="0" w:oddHBand="1" w:evenHBand="0" w:firstRowFirstColumn="0" w:firstRowLastColumn="0" w:lastRowFirstColumn="0" w:lastRowLastColumn="0"/>
        </w:trPr>
        <w:tc>
          <w:tcPr>
            <w:tcW w:w="1473" w:type="dxa"/>
            <w:tcBorders>
              <w:bottom w:val="nil"/>
            </w:tcBorders>
            <w:vAlign w:val="center"/>
          </w:tcPr>
          <w:p w:rsidR="00FB236B" w:rsidRDefault="00FB236B" w:rsidP="00841EA0">
            <w:pPr>
              <w:pStyle w:val="Tablecells"/>
            </w:pPr>
            <w:r>
              <w:t>Suburban in metro areas</w:t>
            </w:r>
          </w:p>
        </w:tc>
        <w:tc>
          <w:tcPr>
            <w:tcW w:w="1225" w:type="dxa"/>
            <w:tcBorders>
              <w:bottom w:val="nil"/>
            </w:tcBorders>
            <w:vAlign w:val="center"/>
          </w:tcPr>
          <w:p w:rsidR="00FB236B" w:rsidRPr="00FB236B" w:rsidRDefault="00FB236B" w:rsidP="00FB236B">
            <w:pPr>
              <w:pStyle w:val="Tablecells"/>
              <w:jc w:val="right"/>
            </w:pPr>
            <w:r w:rsidRPr="00FB236B">
              <w:t xml:space="preserve">1,380 </w:t>
            </w:r>
          </w:p>
        </w:tc>
        <w:tc>
          <w:tcPr>
            <w:tcW w:w="1225" w:type="dxa"/>
            <w:tcBorders>
              <w:bottom w:val="nil"/>
            </w:tcBorders>
            <w:vAlign w:val="center"/>
          </w:tcPr>
          <w:p w:rsidR="00FB236B" w:rsidRDefault="00FB236B" w:rsidP="00841EA0">
            <w:pPr>
              <w:pStyle w:val="Tablecells"/>
              <w:jc w:val="right"/>
            </w:pPr>
            <w:r>
              <w:t xml:space="preserve">13 </w:t>
            </w:r>
          </w:p>
        </w:tc>
        <w:tc>
          <w:tcPr>
            <w:tcW w:w="1225" w:type="dxa"/>
            <w:tcBorders>
              <w:bottom w:val="nil"/>
            </w:tcBorders>
            <w:vAlign w:val="center"/>
          </w:tcPr>
          <w:p w:rsidR="00FB236B" w:rsidRDefault="00FB236B" w:rsidP="00841EA0">
            <w:pPr>
              <w:pStyle w:val="Tablecells"/>
              <w:jc w:val="right"/>
            </w:pPr>
            <w:r>
              <w:t xml:space="preserve">0 </w:t>
            </w:r>
          </w:p>
        </w:tc>
        <w:tc>
          <w:tcPr>
            <w:tcW w:w="1225" w:type="dxa"/>
            <w:tcBorders>
              <w:bottom w:val="nil"/>
            </w:tcBorders>
            <w:vAlign w:val="center"/>
          </w:tcPr>
          <w:p w:rsidR="00FB236B" w:rsidRDefault="00FB236B" w:rsidP="00841EA0">
            <w:pPr>
              <w:pStyle w:val="Tablecells"/>
              <w:jc w:val="right"/>
            </w:pPr>
            <w:r>
              <w:t xml:space="preserve">0 </w:t>
            </w:r>
          </w:p>
        </w:tc>
        <w:tc>
          <w:tcPr>
            <w:tcW w:w="1225" w:type="dxa"/>
            <w:tcBorders>
              <w:bottom w:val="nil"/>
            </w:tcBorders>
            <w:vAlign w:val="center"/>
          </w:tcPr>
          <w:p w:rsidR="00FB236B" w:rsidRDefault="00FB236B" w:rsidP="00841EA0">
            <w:pPr>
              <w:pStyle w:val="Tablecells"/>
              <w:jc w:val="right"/>
            </w:pPr>
            <w:r>
              <w:t xml:space="preserve">0 </w:t>
            </w:r>
          </w:p>
        </w:tc>
        <w:tc>
          <w:tcPr>
            <w:tcW w:w="1226" w:type="dxa"/>
            <w:tcBorders>
              <w:bottom w:val="nil"/>
            </w:tcBorders>
            <w:vAlign w:val="center"/>
          </w:tcPr>
          <w:p w:rsidR="00FB236B" w:rsidRDefault="00FB236B" w:rsidP="00841EA0">
            <w:pPr>
              <w:pStyle w:val="Tablecells"/>
              <w:jc w:val="right"/>
            </w:pPr>
            <w:r>
              <w:t xml:space="preserve">0 </w:t>
            </w:r>
          </w:p>
        </w:tc>
      </w:tr>
      <w:tr w:rsidR="00FB236B" w:rsidTr="00841EA0">
        <w:tc>
          <w:tcPr>
            <w:tcW w:w="1473" w:type="dxa"/>
            <w:tcBorders>
              <w:bottom w:val="nil"/>
            </w:tcBorders>
            <w:vAlign w:val="center"/>
          </w:tcPr>
          <w:p w:rsidR="00FB236B" w:rsidRDefault="00FB236B" w:rsidP="00841EA0">
            <w:pPr>
              <w:pStyle w:val="Tablecells"/>
            </w:pPr>
            <w:r>
              <w:t>Suburban in regional areas</w:t>
            </w:r>
          </w:p>
        </w:tc>
        <w:tc>
          <w:tcPr>
            <w:tcW w:w="1225" w:type="dxa"/>
            <w:tcBorders>
              <w:bottom w:val="nil"/>
            </w:tcBorders>
            <w:vAlign w:val="center"/>
          </w:tcPr>
          <w:p w:rsidR="00FB236B" w:rsidRPr="00FB236B" w:rsidRDefault="00FB236B" w:rsidP="00FB236B">
            <w:pPr>
              <w:pStyle w:val="Tablecells"/>
              <w:jc w:val="right"/>
            </w:pPr>
            <w:r w:rsidRPr="00FB236B">
              <w:t xml:space="preserve">1,944 </w:t>
            </w:r>
          </w:p>
        </w:tc>
        <w:tc>
          <w:tcPr>
            <w:tcW w:w="1225" w:type="dxa"/>
            <w:tcBorders>
              <w:bottom w:val="nil"/>
            </w:tcBorders>
            <w:vAlign w:val="center"/>
          </w:tcPr>
          <w:p w:rsidR="00FB236B" w:rsidRDefault="00FB236B" w:rsidP="00841EA0">
            <w:pPr>
              <w:pStyle w:val="Tablecells"/>
              <w:jc w:val="right"/>
            </w:pPr>
            <w:r>
              <w:t xml:space="preserve">0 </w:t>
            </w:r>
          </w:p>
        </w:tc>
        <w:tc>
          <w:tcPr>
            <w:tcW w:w="1225" w:type="dxa"/>
            <w:tcBorders>
              <w:bottom w:val="nil"/>
            </w:tcBorders>
            <w:vAlign w:val="center"/>
          </w:tcPr>
          <w:p w:rsidR="00FB236B" w:rsidRDefault="00FB236B" w:rsidP="00841EA0">
            <w:pPr>
              <w:pStyle w:val="Tablecells"/>
              <w:jc w:val="right"/>
            </w:pPr>
            <w:r>
              <w:t xml:space="preserve">0 </w:t>
            </w:r>
          </w:p>
        </w:tc>
        <w:tc>
          <w:tcPr>
            <w:tcW w:w="1225" w:type="dxa"/>
            <w:tcBorders>
              <w:bottom w:val="nil"/>
            </w:tcBorders>
            <w:vAlign w:val="center"/>
          </w:tcPr>
          <w:p w:rsidR="00FB236B" w:rsidRDefault="00FB236B" w:rsidP="00841EA0">
            <w:pPr>
              <w:pStyle w:val="Tablecells"/>
              <w:jc w:val="right"/>
            </w:pPr>
            <w:r>
              <w:t xml:space="preserve">0 </w:t>
            </w:r>
          </w:p>
        </w:tc>
        <w:tc>
          <w:tcPr>
            <w:tcW w:w="1225" w:type="dxa"/>
            <w:tcBorders>
              <w:bottom w:val="nil"/>
            </w:tcBorders>
            <w:vAlign w:val="center"/>
          </w:tcPr>
          <w:p w:rsidR="00FB236B" w:rsidRDefault="00FB236B" w:rsidP="00841EA0">
            <w:pPr>
              <w:pStyle w:val="Tablecells"/>
              <w:jc w:val="right"/>
            </w:pPr>
            <w:r>
              <w:t xml:space="preserve">0 </w:t>
            </w:r>
          </w:p>
        </w:tc>
        <w:tc>
          <w:tcPr>
            <w:tcW w:w="1226" w:type="dxa"/>
            <w:tcBorders>
              <w:bottom w:val="nil"/>
            </w:tcBorders>
            <w:vAlign w:val="center"/>
          </w:tcPr>
          <w:p w:rsidR="00FB236B" w:rsidRDefault="00FB236B" w:rsidP="00841EA0">
            <w:pPr>
              <w:pStyle w:val="Tablecells"/>
              <w:jc w:val="right"/>
            </w:pPr>
            <w:r>
              <w:t xml:space="preserve">0 </w:t>
            </w:r>
          </w:p>
        </w:tc>
      </w:tr>
      <w:tr w:rsidR="00FB236B" w:rsidTr="00841EA0">
        <w:trPr>
          <w:cnfStyle w:val="000000100000" w:firstRow="0" w:lastRow="0" w:firstColumn="0" w:lastColumn="0" w:oddVBand="0" w:evenVBand="0" w:oddHBand="1" w:evenHBand="0" w:firstRowFirstColumn="0" w:firstRowLastColumn="0" w:lastRowFirstColumn="0" w:lastRowLastColumn="0"/>
          <w:trHeight w:val="231"/>
        </w:trPr>
        <w:tc>
          <w:tcPr>
            <w:tcW w:w="1473" w:type="dxa"/>
            <w:tcBorders>
              <w:bottom w:val="nil"/>
            </w:tcBorders>
            <w:vAlign w:val="center"/>
          </w:tcPr>
          <w:p w:rsidR="00FB236B" w:rsidRDefault="00FB236B" w:rsidP="00841EA0">
            <w:pPr>
              <w:pStyle w:val="Tablecells"/>
            </w:pPr>
            <w:r>
              <w:t>Rural</w:t>
            </w:r>
          </w:p>
        </w:tc>
        <w:tc>
          <w:tcPr>
            <w:tcW w:w="1225" w:type="dxa"/>
            <w:tcBorders>
              <w:bottom w:val="nil"/>
            </w:tcBorders>
            <w:vAlign w:val="center"/>
          </w:tcPr>
          <w:p w:rsidR="00FB236B" w:rsidRPr="00FB236B" w:rsidRDefault="00FB236B" w:rsidP="00FB236B">
            <w:pPr>
              <w:pStyle w:val="Tablecells"/>
              <w:jc w:val="right"/>
            </w:pPr>
            <w:r w:rsidRPr="00FB236B">
              <w:t xml:space="preserve">3,906 </w:t>
            </w:r>
          </w:p>
        </w:tc>
        <w:tc>
          <w:tcPr>
            <w:tcW w:w="1225" w:type="dxa"/>
            <w:tcBorders>
              <w:bottom w:val="nil"/>
            </w:tcBorders>
            <w:vAlign w:val="center"/>
          </w:tcPr>
          <w:p w:rsidR="00FB236B" w:rsidRDefault="00FB236B" w:rsidP="00841EA0">
            <w:pPr>
              <w:pStyle w:val="Tablecells"/>
              <w:jc w:val="right"/>
            </w:pPr>
            <w:r>
              <w:t xml:space="preserve">0 </w:t>
            </w:r>
          </w:p>
        </w:tc>
        <w:tc>
          <w:tcPr>
            <w:tcW w:w="1225" w:type="dxa"/>
            <w:tcBorders>
              <w:bottom w:val="nil"/>
            </w:tcBorders>
            <w:vAlign w:val="center"/>
          </w:tcPr>
          <w:p w:rsidR="00FB236B" w:rsidRDefault="00FB236B" w:rsidP="00841EA0">
            <w:pPr>
              <w:pStyle w:val="Tablecells"/>
              <w:jc w:val="right"/>
            </w:pPr>
            <w:r>
              <w:t xml:space="preserve">0 </w:t>
            </w:r>
          </w:p>
        </w:tc>
        <w:tc>
          <w:tcPr>
            <w:tcW w:w="1225" w:type="dxa"/>
            <w:tcBorders>
              <w:bottom w:val="nil"/>
            </w:tcBorders>
            <w:vAlign w:val="center"/>
          </w:tcPr>
          <w:p w:rsidR="00FB236B" w:rsidRDefault="00FB236B" w:rsidP="00841EA0">
            <w:pPr>
              <w:pStyle w:val="Tablecells"/>
              <w:jc w:val="right"/>
            </w:pPr>
            <w:r>
              <w:t xml:space="preserve">0 </w:t>
            </w:r>
          </w:p>
        </w:tc>
        <w:tc>
          <w:tcPr>
            <w:tcW w:w="1225" w:type="dxa"/>
            <w:tcBorders>
              <w:bottom w:val="nil"/>
            </w:tcBorders>
            <w:vAlign w:val="center"/>
          </w:tcPr>
          <w:p w:rsidR="00FB236B" w:rsidRDefault="00FB236B" w:rsidP="00841EA0">
            <w:pPr>
              <w:pStyle w:val="Tablecells"/>
              <w:jc w:val="right"/>
            </w:pPr>
            <w:r>
              <w:t xml:space="preserve">0 </w:t>
            </w:r>
          </w:p>
        </w:tc>
        <w:tc>
          <w:tcPr>
            <w:tcW w:w="1226" w:type="dxa"/>
            <w:tcBorders>
              <w:bottom w:val="nil"/>
            </w:tcBorders>
            <w:vAlign w:val="center"/>
          </w:tcPr>
          <w:p w:rsidR="00FB236B" w:rsidRDefault="00FB236B" w:rsidP="00841EA0">
            <w:pPr>
              <w:pStyle w:val="Tablecells"/>
              <w:jc w:val="right"/>
            </w:pPr>
            <w:r>
              <w:t xml:space="preserve">0 </w:t>
            </w:r>
          </w:p>
        </w:tc>
      </w:tr>
      <w:tr w:rsidR="00FB236B" w:rsidTr="00841EA0">
        <w:tc>
          <w:tcPr>
            <w:tcW w:w="1473" w:type="dxa"/>
            <w:tcBorders>
              <w:top w:val="nil"/>
              <w:bottom w:val="single" w:sz="4" w:space="0" w:color="808080"/>
            </w:tcBorders>
            <w:vAlign w:val="center"/>
          </w:tcPr>
          <w:p w:rsidR="00FB236B" w:rsidRDefault="00FB236B" w:rsidP="00841EA0">
            <w:pPr>
              <w:pStyle w:val="Tablecells"/>
            </w:pPr>
            <w:r>
              <w:t>Remote</w:t>
            </w:r>
          </w:p>
        </w:tc>
        <w:tc>
          <w:tcPr>
            <w:tcW w:w="1225" w:type="dxa"/>
            <w:tcBorders>
              <w:top w:val="nil"/>
              <w:bottom w:val="single" w:sz="4" w:space="0" w:color="808080"/>
            </w:tcBorders>
            <w:vAlign w:val="center"/>
          </w:tcPr>
          <w:p w:rsidR="00FB236B" w:rsidRPr="00FB236B" w:rsidRDefault="00FB236B" w:rsidP="00FB236B">
            <w:pPr>
              <w:pStyle w:val="Tablecells"/>
              <w:jc w:val="right"/>
            </w:pPr>
            <w:r w:rsidRPr="00FB236B">
              <w:t xml:space="preserve">199 </w:t>
            </w:r>
          </w:p>
        </w:tc>
        <w:tc>
          <w:tcPr>
            <w:tcW w:w="1225" w:type="dxa"/>
            <w:tcBorders>
              <w:top w:val="nil"/>
              <w:bottom w:val="single" w:sz="4" w:space="0" w:color="808080"/>
            </w:tcBorders>
            <w:vAlign w:val="center"/>
          </w:tcPr>
          <w:p w:rsidR="00FB236B" w:rsidRDefault="00FB236B" w:rsidP="00841EA0">
            <w:pPr>
              <w:pStyle w:val="Tablecells"/>
              <w:jc w:val="right"/>
            </w:pPr>
            <w:r>
              <w:t xml:space="preserve">0 </w:t>
            </w:r>
          </w:p>
        </w:tc>
        <w:tc>
          <w:tcPr>
            <w:tcW w:w="1225" w:type="dxa"/>
            <w:tcBorders>
              <w:top w:val="nil"/>
              <w:bottom w:val="single" w:sz="4" w:space="0" w:color="808080"/>
            </w:tcBorders>
            <w:vAlign w:val="center"/>
          </w:tcPr>
          <w:p w:rsidR="00FB236B" w:rsidRDefault="00FB236B" w:rsidP="00841EA0">
            <w:pPr>
              <w:pStyle w:val="Tablecells"/>
              <w:jc w:val="right"/>
            </w:pPr>
            <w:r>
              <w:t xml:space="preserve">0 </w:t>
            </w:r>
          </w:p>
        </w:tc>
        <w:tc>
          <w:tcPr>
            <w:tcW w:w="1225" w:type="dxa"/>
            <w:tcBorders>
              <w:top w:val="nil"/>
              <w:bottom w:val="single" w:sz="4" w:space="0" w:color="808080"/>
            </w:tcBorders>
            <w:vAlign w:val="center"/>
          </w:tcPr>
          <w:p w:rsidR="00FB236B" w:rsidRDefault="00FB236B" w:rsidP="00841EA0">
            <w:pPr>
              <w:pStyle w:val="Tablecells"/>
              <w:jc w:val="right"/>
            </w:pPr>
            <w:r>
              <w:t xml:space="preserve">0 </w:t>
            </w:r>
          </w:p>
        </w:tc>
        <w:tc>
          <w:tcPr>
            <w:tcW w:w="1225" w:type="dxa"/>
            <w:tcBorders>
              <w:top w:val="nil"/>
              <w:bottom w:val="single" w:sz="4" w:space="0" w:color="808080"/>
            </w:tcBorders>
            <w:vAlign w:val="center"/>
          </w:tcPr>
          <w:p w:rsidR="00FB236B" w:rsidRDefault="00FB236B" w:rsidP="00841EA0">
            <w:pPr>
              <w:pStyle w:val="Tablecells"/>
              <w:jc w:val="right"/>
            </w:pPr>
            <w:r>
              <w:t xml:space="preserve">0 </w:t>
            </w:r>
          </w:p>
        </w:tc>
        <w:tc>
          <w:tcPr>
            <w:tcW w:w="1226" w:type="dxa"/>
            <w:tcBorders>
              <w:top w:val="nil"/>
              <w:bottom w:val="single" w:sz="4" w:space="0" w:color="808080"/>
            </w:tcBorders>
            <w:vAlign w:val="center"/>
          </w:tcPr>
          <w:p w:rsidR="00FB236B" w:rsidRDefault="00FB236B" w:rsidP="00841EA0">
            <w:pPr>
              <w:pStyle w:val="Tablecells"/>
              <w:jc w:val="right"/>
            </w:pPr>
            <w:r>
              <w:t xml:space="preserve">0 </w:t>
            </w:r>
          </w:p>
        </w:tc>
      </w:tr>
      <w:tr w:rsidR="00B873A7" w:rsidRPr="00CB517E" w:rsidTr="00841EA0">
        <w:trPr>
          <w:cnfStyle w:val="000000100000" w:firstRow="0" w:lastRow="0" w:firstColumn="0" w:lastColumn="0" w:oddVBand="0" w:evenVBand="0" w:oddHBand="1" w:evenHBand="0" w:firstRowFirstColumn="0" w:firstRowLastColumn="0" w:lastRowFirstColumn="0" w:lastRowLastColumn="0"/>
        </w:trPr>
        <w:tc>
          <w:tcPr>
            <w:tcW w:w="1473" w:type="dxa"/>
            <w:tcBorders>
              <w:top w:val="nil"/>
              <w:bottom w:val="single" w:sz="4" w:space="0" w:color="808080"/>
            </w:tcBorders>
            <w:vAlign w:val="center"/>
          </w:tcPr>
          <w:p w:rsidR="00B873A7" w:rsidRPr="00CB517E" w:rsidRDefault="00B873A7" w:rsidP="00841EA0">
            <w:pPr>
              <w:pStyle w:val="Tablecells"/>
              <w:rPr>
                <w:b/>
              </w:rPr>
            </w:pPr>
            <w:r w:rsidRPr="00CB517E">
              <w:rPr>
                <w:b/>
              </w:rPr>
              <w:t>Total</w:t>
            </w:r>
          </w:p>
        </w:tc>
        <w:tc>
          <w:tcPr>
            <w:tcW w:w="1225" w:type="dxa"/>
            <w:tcBorders>
              <w:top w:val="nil"/>
              <w:bottom w:val="single" w:sz="4" w:space="0" w:color="808080"/>
            </w:tcBorders>
            <w:vAlign w:val="center"/>
          </w:tcPr>
          <w:p w:rsidR="00B873A7" w:rsidRPr="00CB517E" w:rsidRDefault="00B873A7" w:rsidP="00FB236B">
            <w:pPr>
              <w:pStyle w:val="Tablecells"/>
              <w:jc w:val="right"/>
              <w:rPr>
                <w:b/>
              </w:rPr>
            </w:pPr>
            <w:r w:rsidRPr="00CB517E">
              <w:rPr>
                <w:b/>
              </w:rPr>
              <w:t>13,</w:t>
            </w:r>
            <w:r w:rsidR="00FB236B">
              <w:rPr>
                <w:b/>
              </w:rPr>
              <w:t>330</w:t>
            </w:r>
            <w:r>
              <w:rPr>
                <w:b/>
              </w:rPr>
              <w:t xml:space="preserve"> </w:t>
            </w:r>
          </w:p>
        </w:tc>
        <w:tc>
          <w:tcPr>
            <w:tcW w:w="1225" w:type="dxa"/>
            <w:tcBorders>
              <w:top w:val="nil"/>
              <w:bottom w:val="single" w:sz="4" w:space="0" w:color="808080"/>
            </w:tcBorders>
            <w:vAlign w:val="center"/>
          </w:tcPr>
          <w:p w:rsidR="00B873A7" w:rsidRPr="00CB517E" w:rsidRDefault="00B873A7" w:rsidP="00841EA0">
            <w:pPr>
              <w:pStyle w:val="Tablecells"/>
              <w:jc w:val="right"/>
              <w:rPr>
                <w:b/>
              </w:rPr>
            </w:pPr>
            <w:r w:rsidRPr="00CB517E">
              <w:rPr>
                <w:b/>
              </w:rPr>
              <w:t>95</w:t>
            </w:r>
            <w:r>
              <w:rPr>
                <w:b/>
              </w:rPr>
              <w:t xml:space="preserve"> </w:t>
            </w:r>
          </w:p>
        </w:tc>
        <w:tc>
          <w:tcPr>
            <w:tcW w:w="1225" w:type="dxa"/>
            <w:tcBorders>
              <w:top w:val="nil"/>
              <w:bottom w:val="single" w:sz="4" w:space="0" w:color="808080"/>
            </w:tcBorders>
            <w:vAlign w:val="center"/>
          </w:tcPr>
          <w:p w:rsidR="00B873A7" w:rsidRPr="00CB517E" w:rsidRDefault="00B873A7" w:rsidP="00841EA0">
            <w:pPr>
              <w:pStyle w:val="Tablecells"/>
              <w:jc w:val="right"/>
              <w:rPr>
                <w:b/>
              </w:rPr>
            </w:pPr>
            <w:r>
              <w:rPr>
                <w:b/>
              </w:rPr>
              <w:t xml:space="preserve">7 </w:t>
            </w:r>
          </w:p>
        </w:tc>
        <w:tc>
          <w:tcPr>
            <w:tcW w:w="1225" w:type="dxa"/>
            <w:tcBorders>
              <w:top w:val="nil"/>
              <w:bottom w:val="single" w:sz="4" w:space="0" w:color="808080"/>
            </w:tcBorders>
            <w:vAlign w:val="center"/>
          </w:tcPr>
          <w:p w:rsidR="00B873A7" w:rsidRPr="00CB517E" w:rsidRDefault="00B873A7" w:rsidP="00841EA0">
            <w:pPr>
              <w:pStyle w:val="Tablecells"/>
              <w:jc w:val="right"/>
              <w:rPr>
                <w:b/>
              </w:rPr>
            </w:pPr>
            <w:r w:rsidRPr="00CB517E">
              <w:rPr>
                <w:b/>
              </w:rPr>
              <w:t>0</w:t>
            </w:r>
            <w:r>
              <w:rPr>
                <w:b/>
              </w:rPr>
              <w:t xml:space="preserve"> </w:t>
            </w:r>
          </w:p>
        </w:tc>
        <w:tc>
          <w:tcPr>
            <w:tcW w:w="1225" w:type="dxa"/>
            <w:tcBorders>
              <w:top w:val="nil"/>
              <w:bottom w:val="single" w:sz="4" w:space="0" w:color="808080"/>
            </w:tcBorders>
            <w:vAlign w:val="center"/>
          </w:tcPr>
          <w:p w:rsidR="00B873A7" w:rsidRPr="00CB517E" w:rsidRDefault="00B873A7" w:rsidP="00841EA0">
            <w:pPr>
              <w:pStyle w:val="Tablecells"/>
              <w:jc w:val="right"/>
              <w:rPr>
                <w:b/>
              </w:rPr>
            </w:pPr>
            <w:r w:rsidRPr="00CB517E">
              <w:rPr>
                <w:b/>
              </w:rPr>
              <w:t>0</w:t>
            </w:r>
            <w:r>
              <w:rPr>
                <w:b/>
              </w:rPr>
              <w:t xml:space="preserve"> </w:t>
            </w:r>
          </w:p>
        </w:tc>
        <w:tc>
          <w:tcPr>
            <w:tcW w:w="1226" w:type="dxa"/>
            <w:tcBorders>
              <w:top w:val="nil"/>
              <w:bottom w:val="single" w:sz="4" w:space="0" w:color="808080"/>
            </w:tcBorders>
            <w:vAlign w:val="center"/>
          </w:tcPr>
          <w:p w:rsidR="00B873A7" w:rsidRPr="00CB517E" w:rsidRDefault="00B873A7" w:rsidP="00841EA0">
            <w:pPr>
              <w:pStyle w:val="Tablecells"/>
              <w:jc w:val="right"/>
              <w:rPr>
                <w:b/>
              </w:rPr>
            </w:pPr>
            <w:r w:rsidRPr="00CB517E">
              <w:rPr>
                <w:b/>
              </w:rPr>
              <w:t>0</w:t>
            </w:r>
            <w:r>
              <w:rPr>
                <w:b/>
              </w:rPr>
              <w:t xml:space="preserve"> </w:t>
            </w:r>
          </w:p>
        </w:tc>
      </w:tr>
    </w:tbl>
    <w:p w:rsidR="00B873A7" w:rsidRPr="00F409F0" w:rsidRDefault="00B873A7" w:rsidP="00B873A7">
      <w:pPr>
        <w:pStyle w:val="01"/>
      </w:pPr>
      <w:bookmarkStart w:id="148" w:name="_Ref369254111"/>
    </w:p>
    <w:p w:rsidR="00B873A7" w:rsidRPr="008F68E5" w:rsidRDefault="00B873A7" w:rsidP="00B873A7">
      <w:pPr>
        <w:pStyle w:val="Caption"/>
        <w:spacing w:before="360" w:after="60" w:line="240" w:lineRule="atLeast"/>
      </w:pPr>
      <w:r>
        <w:t>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fldSimple w:instr=" SEQ Figure \* ARABIC \s 1 \* MERGEFORMAT ">
        <w:r w:rsidR="00A87B65">
          <w:rPr>
            <w:noProof/>
          </w:rPr>
          <w:t>40</w:t>
        </w:r>
      </w:fldSimple>
      <w:bookmarkEnd w:id="148"/>
      <w:r>
        <w:t>: Total 3</w:t>
      </w:r>
      <w:r w:rsidRPr="0030562D">
        <w:t xml:space="preserve">G logical sites by geotype </w:t>
      </w:r>
      <w:r>
        <w:t>in 2013 and 2020</w:t>
      </w:r>
      <w:r w:rsidRPr="0030562D">
        <w:t>; base ca</w:t>
      </w:r>
      <w:r>
        <w:t>se [Source: Analysys Mason, 2014</w:t>
      </w:r>
      <w:r w:rsidRPr="0030562D">
        <w:t>]</w:t>
      </w:r>
    </w:p>
    <w:tbl>
      <w:tblPr>
        <w:tblStyle w:val="MediumShading2-Accent1"/>
        <w:tblW w:w="8824" w:type="dxa"/>
        <w:tblInd w:w="108" w:type="dxa"/>
        <w:tblLook w:val="0420" w:firstRow="1" w:lastRow="0" w:firstColumn="0" w:lastColumn="0" w:noHBand="0" w:noVBand="1"/>
      </w:tblPr>
      <w:tblGrid>
        <w:gridCol w:w="1473"/>
        <w:gridCol w:w="1225"/>
        <w:gridCol w:w="1225"/>
        <w:gridCol w:w="1225"/>
        <w:gridCol w:w="1225"/>
        <w:gridCol w:w="1225"/>
        <w:gridCol w:w="1226"/>
      </w:tblGrid>
      <w:tr w:rsidR="00B873A7" w:rsidRPr="00780DBF" w:rsidTr="00841EA0">
        <w:trPr>
          <w:cnfStyle w:val="100000000000" w:firstRow="1" w:lastRow="0" w:firstColumn="0" w:lastColumn="0" w:oddVBand="0" w:evenVBand="0" w:oddHBand="0" w:evenHBand="0" w:firstRowFirstColumn="0" w:firstRowLastColumn="0" w:lastRowFirstColumn="0" w:lastRowLastColumn="0"/>
        </w:trPr>
        <w:tc>
          <w:tcPr>
            <w:tcW w:w="1473" w:type="dxa"/>
            <w:tcBorders>
              <w:top w:val="single" w:sz="18" w:space="0" w:color="221F72"/>
              <w:bottom w:val="single" w:sz="18" w:space="0" w:color="221F72"/>
            </w:tcBorders>
            <w:shd w:val="solid" w:color="221F72" w:fill="221F72"/>
          </w:tcPr>
          <w:p w:rsidR="00B873A7" w:rsidRPr="00A42B4A" w:rsidRDefault="00B873A7" w:rsidP="00841EA0">
            <w:pPr>
              <w:pStyle w:val="Tableheading"/>
              <w:rPr>
                <w:b/>
                <w:i/>
              </w:rPr>
            </w:pPr>
          </w:p>
        </w:tc>
        <w:tc>
          <w:tcPr>
            <w:tcW w:w="3675" w:type="dxa"/>
            <w:gridSpan w:val="3"/>
            <w:tcBorders>
              <w:top w:val="single" w:sz="18" w:space="0" w:color="221F72"/>
              <w:bottom w:val="single" w:sz="4" w:space="0" w:color="BFBFBF" w:themeColor="background1" w:themeShade="BF"/>
            </w:tcBorders>
            <w:shd w:val="solid" w:color="221F72" w:fill="221F72"/>
          </w:tcPr>
          <w:p w:rsidR="00B873A7" w:rsidRPr="00F409F0" w:rsidRDefault="00B873A7" w:rsidP="00841EA0">
            <w:pPr>
              <w:pStyle w:val="Tableheading"/>
              <w:jc w:val="center"/>
              <w:rPr>
                <w:b/>
                <w:i/>
              </w:rPr>
            </w:pPr>
            <w:r w:rsidRPr="00F409F0">
              <w:rPr>
                <w:b/>
              </w:rPr>
              <w:t>201</w:t>
            </w:r>
            <w:r>
              <w:rPr>
                <w:b/>
              </w:rPr>
              <w:t>3</w:t>
            </w:r>
          </w:p>
        </w:tc>
        <w:tc>
          <w:tcPr>
            <w:tcW w:w="3674" w:type="dxa"/>
            <w:gridSpan w:val="3"/>
            <w:tcBorders>
              <w:top w:val="single" w:sz="18" w:space="0" w:color="221F72"/>
              <w:bottom w:val="single" w:sz="4" w:space="0" w:color="BFBFBF" w:themeColor="background1" w:themeShade="BF"/>
            </w:tcBorders>
            <w:shd w:val="solid" w:color="221F72" w:fill="221F72"/>
          </w:tcPr>
          <w:p w:rsidR="00B873A7" w:rsidRPr="00F409F0" w:rsidRDefault="00B873A7" w:rsidP="00841EA0">
            <w:pPr>
              <w:pStyle w:val="Tableheading"/>
              <w:jc w:val="center"/>
              <w:rPr>
                <w:b/>
                <w:i/>
              </w:rPr>
            </w:pPr>
            <w:r w:rsidRPr="00F409F0">
              <w:rPr>
                <w:b/>
              </w:rPr>
              <w:t>2020</w:t>
            </w:r>
          </w:p>
        </w:tc>
      </w:tr>
      <w:tr w:rsidR="00B873A7" w:rsidRPr="00780DBF" w:rsidTr="00841EA0">
        <w:trPr>
          <w:cnfStyle w:val="000000100000" w:firstRow="0" w:lastRow="0" w:firstColumn="0" w:lastColumn="0" w:oddVBand="0" w:evenVBand="0" w:oddHBand="1" w:evenHBand="0" w:firstRowFirstColumn="0" w:firstRowLastColumn="0" w:lastRowFirstColumn="0" w:lastRowLastColumn="0"/>
        </w:trPr>
        <w:tc>
          <w:tcPr>
            <w:tcW w:w="1473" w:type="dxa"/>
            <w:tcBorders>
              <w:top w:val="single" w:sz="18" w:space="0" w:color="221F72"/>
              <w:bottom w:val="single" w:sz="18" w:space="0" w:color="221F72"/>
            </w:tcBorders>
            <w:shd w:val="solid" w:color="221F72" w:fill="221F72"/>
          </w:tcPr>
          <w:p w:rsidR="00B873A7" w:rsidRPr="00A42B4A" w:rsidRDefault="00B873A7" w:rsidP="00841EA0">
            <w:pPr>
              <w:pStyle w:val="Tableheading"/>
              <w:rPr>
                <w:i/>
              </w:rPr>
            </w:pPr>
          </w:p>
        </w:tc>
        <w:tc>
          <w:tcPr>
            <w:tcW w:w="1225" w:type="dxa"/>
            <w:tcBorders>
              <w:top w:val="single" w:sz="4" w:space="0" w:color="BFBFBF" w:themeColor="background1" w:themeShade="BF"/>
              <w:bottom w:val="single" w:sz="18" w:space="0" w:color="221F72"/>
            </w:tcBorders>
            <w:shd w:val="solid" w:color="221F72" w:fill="221F72"/>
            <w:vAlign w:val="center"/>
          </w:tcPr>
          <w:p w:rsidR="00B873A7" w:rsidRPr="00A42B4A" w:rsidRDefault="00B873A7" w:rsidP="00841EA0">
            <w:pPr>
              <w:pStyle w:val="Tableheading"/>
              <w:ind w:right="0"/>
              <w:jc w:val="center"/>
              <w:rPr>
                <w:b w:val="0"/>
                <w:i/>
              </w:rPr>
            </w:pPr>
            <w:r w:rsidRPr="00A42B4A">
              <w:t>3G purely coverage sites</w:t>
            </w:r>
          </w:p>
        </w:tc>
        <w:tc>
          <w:tcPr>
            <w:tcW w:w="1225" w:type="dxa"/>
            <w:tcBorders>
              <w:top w:val="single" w:sz="4" w:space="0" w:color="BFBFBF" w:themeColor="background1" w:themeShade="BF"/>
              <w:bottom w:val="single" w:sz="18" w:space="0" w:color="221F72"/>
            </w:tcBorders>
            <w:shd w:val="solid" w:color="221F72" w:fill="221F72"/>
            <w:vAlign w:val="center"/>
          </w:tcPr>
          <w:p w:rsidR="00B873A7" w:rsidRPr="00A42B4A" w:rsidRDefault="00B873A7" w:rsidP="00841EA0">
            <w:pPr>
              <w:pStyle w:val="Tableheading"/>
              <w:ind w:right="0"/>
              <w:jc w:val="center"/>
              <w:rPr>
                <w:b w:val="0"/>
                <w:i/>
              </w:rPr>
            </w:pPr>
            <w:r w:rsidRPr="00A42B4A">
              <w:t>3G coverage sites with capacity upgrade</w:t>
            </w:r>
          </w:p>
        </w:tc>
        <w:tc>
          <w:tcPr>
            <w:tcW w:w="1225" w:type="dxa"/>
            <w:tcBorders>
              <w:top w:val="single" w:sz="4" w:space="0" w:color="BFBFBF" w:themeColor="background1" w:themeShade="BF"/>
              <w:bottom w:val="single" w:sz="18" w:space="0" w:color="221F72"/>
            </w:tcBorders>
            <w:shd w:val="solid" w:color="221F72" w:fill="221F72"/>
            <w:vAlign w:val="center"/>
          </w:tcPr>
          <w:p w:rsidR="00B873A7" w:rsidRPr="00A42B4A" w:rsidRDefault="00B873A7" w:rsidP="00841EA0">
            <w:pPr>
              <w:pStyle w:val="Tableheading"/>
              <w:ind w:right="0"/>
              <w:jc w:val="center"/>
              <w:rPr>
                <w:b w:val="0"/>
                <w:i/>
              </w:rPr>
            </w:pPr>
            <w:r w:rsidRPr="00A42B4A">
              <w:t>3G capacity sites</w:t>
            </w:r>
          </w:p>
        </w:tc>
        <w:tc>
          <w:tcPr>
            <w:tcW w:w="1225" w:type="dxa"/>
            <w:tcBorders>
              <w:top w:val="single" w:sz="4" w:space="0" w:color="BFBFBF" w:themeColor="background1" w:themeShade="BF"/>
              <w:bottom w:val="single" w:sz="18" w:space="0" w:color="221F72"/>
            </w:tcBorders>
            <w:shd w:val="solid" w:color="221F72" w:fill="221F72"/>
            <w:vAlign w:val="center"/>
          </w:tcPr>
          <w:p w:rsidR="00B873A7" w:rsidRPr="00A42B4A" w:rsidRDefault="00B873A7" w:rsidP="00841EA0">
            <w:pPr>
              <w:pStyle w:val="Tableheading"/>
              <w:ind w:right="0"/>
              <w:jc w:val="center"/>
              <w:rPr>
                <w:b w:val="0"/>
                <w:i/>
              </w:rPr>
            </w:pPr>
            <w:r w:rsidRPr="00A42B4A">
              <w:t>3G purely coverage sites</w:t>
            </w:r>
          </w:p>
        </w:tc>
        <w:tc>
          <w:tcPr>
            <w:tcW w:w="1225" w:type="dxa"/>
            <w:tcBorders>
              <w:top w:val="single" w:sz="4" w:space="0" w:color="BFBFBF" w:themeColor="background1" w:themeShade="BF"/>
              <w:bottom w:val="single" w:sz="18" w:space="0" w:color="221F72"/>
            </w:tcBorders>
            <w:shd w:val="solid" w:color="221F72" w:fill="221F72"/>
            <w:vAlign w:val="center"/>
          </w:tcPr>
          <w:p w:rsidR="00B873A7" w:rsidRPr="00A42B4A" w:rsidRDefault="00B873A7" w:rsidP="00841EA0">
            <w:pPr>
              <w:pStyle w:val="Tableheading"/>
              <w:ind w:right="0"/>
              <w:jc w:val="center"/>
              <w:rPr>
                <w:b w:val="0"/>
                <w:i/>
              </w:rPr>
            </w:pPr>
            <w:r w:rsidRPr="00A42B4A">
              <w:t>3G coverage sites with capacity upgrade</w:t>
            </w:r>
          </w:p>
        </w:tc>
        <w:tc>
          <w:tcPr>
            <w:tcW w:w="1226" w:type="dxa"/>
            <w:tcBorders>
              <w:top w:val="single" w:sz="4" w:space="0" w:color="BFBFBF" w:themeColor="background1" w:themeShade="BF"/>
              <w:bottom w:val="single" w:sz="18" w:space="0" w:color="221F72"/>
            </w:tcBorders>
            <w:shd w:val="solid" w:color="221F72" w:fill="221F72"/>
            <w:vAlign w:val="center"/>
          </w:tcPr>
          <w:p w:rsidR="00B873A7" w:rsidRPr="00A42B4A" w:rsidRDefault="00B873A7" w:rsidP="00841EA0">
            <w:pPr>
              <w:pStyle w:val="Tableheading"/>
              <w:ind w:right="0"/>
              <w:jc w:val="center"/>
              <w:rPr>
                <w:b w:val="0"/>
                <w:i/>
              </w:rPr>
            </w:pPr>
            <w:r w:rsidRPr="00A42B4A">
              <w:t>3G capacity sites</w:t>
            </w:r>
          </w:p>
        </w:tc>
      </w:tr>
      <w:tr w:rsidR="00B873A7" w:rsidTr="00841EA0">
        <w:tc>
          <w:tcPr>
            <w:tcW w:w="1473" w:type="dxa"/>
            <w:tcBorders>
              <w:top w:val="single" w:sz="18" w:space="0" w:color="221F72"/>
            </w:tcBorders>
            <w:vAlign w:val="center"/>
          </w:tcPr>
          <w:p w:rsidR="00B873A7" w:rsidRDefault="00B873A7" w:rsidP="00841EA0">
            <w:pPr>
              <w:pStyle w:val="Tablecells"/>
            </w:pPr>
            <w:r>
              <w:t>Dense urban</w:t>
            </w:r>
          </w:p>
        </w:tc>
        <w:tc>
          <w:tcPr>
            <w:tcW w:w="1225" w:type="dxa"/>
            <w:tcBorders>
              <w:top w:val="single" w:sz="18" w:space="0" w:color="221F72"/>
            </w:tcBorders>
            <w:vAlign w:val="center"/>
          </w:tcPr>
          <w:p w:rsidR="00B873A7" w:rsidRPr="007C2272" w:rsidRDefault="00B873A7" w:rsidP="00841EA0">
            <w:pPr>
              <w:pStyle w:val="Tablecells"/>
              <w:jc w:val="right"/>
            </w:pPr>
            <w:r w:rsidRPr="007C2272">
              <w:t xml:space="preserve">1,397 </w:t>
            </w:r>
          </w:p>
        </w:tc>
        <w:tc>
          <w:tcPr>
            <w:tcW w:w="1225" w:type="dxa"/>
            <w:tcBorders>
              <w:top w:val="single" w:sz="18" w:space="0" w:color="221F72"/>
            </w:tcBorders>
            <w:vAlign w:val="center"/>
          </w:tcPr>
          <w:p w:rsidR="00B873A7" w:rsidRPr="000D1BE4" w:rsidRDefault="00B873A7" w:rsidP="00841EA0">
            <w:pPr>
              <w:pStyle w:val="Tablecells"/>
              <w:jc w:val="right"/>
            </w:pPr>
            <w:r w:rsidRPr="000D1BE4">
              <w:t xml:space="preserve">1,745 </w:t>
            </w:r>
          </w:p>
        </w:tc>
        <w:tc>
          <w:tcPr>
            <w:tcW w:w="1225" w:type="dxa"/>
            <w:tcBorders>
              <w:top w:val="single" w:sz="18" w:space="0" w:color="221F72"/>
            </w:tcBorders>
            <w:vAlign w:val="center"/>
          </w:tcPr>
          <w:p w:rsidR="00B873A7" w:rsidRDefault="00B873A7" w:rsidP="00841EA0">
            <w:pPr>
              <w:pStyle w:val="Tablecells"/>
              <w:jc w:val="right"/>
            </w:pPr>
            <w:r>
              <w:t xml:space="preserve">89 </w:t>
            </w:r>
          </w:p>
        </w:tc>
        <w:tc>
          <w:tcPr>
            <w:tcW w:w="1225" w:type="dxa"/>
            <w:tcBorders>
              <w:top w:val="single" w:sz="18" w:space="0" w:color="221F72"/>
            </w:tcBorders>
            <w:vAlign w:val="center"/>
          </w:tcPr>
          <w:p w:rsidR="00B873A7" w:rsidRDefault="00B873A7" w:rsidP="00841EA0">
            <w:pPr>
              <w:pStyle w:val="Tablecells"/>
              <w:jc w:val="right"/>
            </w:pPr>
            <w:r>
              <w:t xml:space="preserve">1,639 </w:t>
            </w:r>
          </w:p>
        </w:tc>
        <w:tc>
          <w:tcPr>
            <w:tcW w:w="1225" w:type="dxa"/>
            <w:tcBorders>
              <w:top w:val="single" w:sz="18" w:space="0" w:color="221F72"/>
            </w:tcBorders>
            <w:vAlign w:val="center"/>
          </w:tcPr>
          <w:p w:rsidR="00B873A7" w:rsidRDefault="00B873A7" w:rsidP="00841EA0">
            <w:pPr>
              <w:pStyle w:val="Tablecells"/>
              <w:jc w:val="right"/>
            </w:pPr>
            <w:r>
              <w:t xml:space="preserve">1,503 </w:t>
            </w:r>
          </w:p>
        </w:tc>
        <w:tc>
          <w:tcPr>
            <w:tcW w:w="1226" w:type="dxa"/>
            <w:tcBorders>
              <w:top w:val="single" w:sz="18" w:space="0" w:color="221F72"/>
            </w:tcBorders>
            <w:vAlign w:val="center"/>
          </w:tcPr>
          <w:p w:rsidR="00B873A7" w:rsidRDefault="00B873A7" w:rsidP="00841EA0">
            <w:pPr>
              <w:pStyle w:val="Tablecells"/>
              <w:jc w:val="right"/>
            </w:pPr>
            <w:r>
              <w:t xml:space="preserve">64 </w:t>
            </w:r>
          </w:p>
        </w:tc>
      </w:tr>
      <w:tr w:rsidR="00B873A7" w:rsidTr="00841EA0">
        <w:trPr>
          <w:cnfStyle w:val="000000100000" w:firstRow="0" w:lastRow="0" w:firstColumn="0" w:lastColumn="0" w:oddVBand="0" w:evenVBand="0" w:oddHBand="1" w:evenHBand="0" w:firstRowFirstColumn="0" w:firstRowLastColumn="0" w:lastRowFirstColumn="0" w:lastRowLastColumn="0"/>
        </w:trPr>
        <w:tc>
          <w:tcPr>
            <w:tcW w:w="1473" w:type="dxa"/>
            <w:tcBorders>
              <w:bottom w:val="nil"/>
            </w:tcBorders>
            <w:vAlign w:val="center"/>
          </w:tcPr>
          <w:p w:rsidR="00B873A7" w:rsidRDefault="00B873A7" w:rsidP="00841EA0">
            <w:pPr>
              <w:pStyle w:val="Tablecells"/>
            </w:pPr>
            <w:r>
              <w:t>Urban in metro areas</w:t>
            </w:r>
          </w:p>
        </w:tc>
        <w:tc>
          <w:tcPr>
            <w:tcW w:w="1225" w:type="dxa"/>
            <w:tcBorders>
              <w:bottom w:val="nil"/>
            </w:tcBorders>
            <w:vAlign w:val="center"/>
          </w:tcPr>
          <w:p w:rsidR="00B873A7" w:rsidRPr="007C2272" w:rsidRDefault="00B873A7" w:rsidP="00841EA0">
            <w:pPr>
              <w:pStyle w:val="Tablecells"/>
              <w:jc w:val="right"/>
            </w:pPr>
            <w:r w:rsidRPr="007C2272">
              <w:t xml:space="preserve">1,087 </w:t>
            </w:r>
          </w:p>
        </w:tc>
        <w:tc>
          <w:tcPr>
            <w:tcW w:w="1225" w:type="dxa"/>
            <w:tcBorders>
              <w:bottom w:val="nil"/>
            </w:tcBorders>
            <w:vAlign w:val="center"/>
          </w:tcPr>
          <w:p w:rsidR="00B873A7" w:rsidRPr="000D1BE4" w:rsidRDefault="00B873A7" w:rsidP="00841EA0">
            <w:pPr>
              <w:pStyle w:val="Tablecells"/>
              <w:jc w:val="right"/>
            </w:pPr>
            <w:r w:rsidRPr="000D1BE4">
              <w:t xml:space="preserve">2,566 </w:t>
            </w:r>
          </w:p>
        </w:tc>
        <w:tc>
          <w:tcPr>
            <w:tcW w:w="1225" w:type="dxa"/>
            <w:tcBorders>
              <w:bottom w:val="nil"/>
            </w:tcBorders>
            <w:vAlign w:val="center"/>
          </w:tcPr>
          <w:p w:rsidR="00B873A7" w:rsidRDefault="00B873A7" w:rsidP="00841EA0">
            <w:pPr>
              <w:pStyle w:val="Tablecells"/>
              <w:jc w:val="right"/>
            </w:pPr>
            <w:r>
              <w:t xml:space="preserve">214 </w:t>
            </w:r>
          </w:p>
        </w:tc>
        <w:tc>
          <w:tcPr>
            <w:tcW w:w="1225" w:type="dxa"/>
            <w:tcBorders>
              <w:bottom w:val="nil"/>
            </w:tcBorders>
            <w:vAlign w:val="center"/>
          </w:tcPr>
          <w:p w:rsidR="00B873A7" w:rsidRDefault="00B873A7" w:rsidP="00841EA0">
            <w:pPr>
              <w:pStyle w:val="Tablecells"/>
              <w:jc w:val="right"/>
            </w:pPr>
            <w:r>
              <w:t xml:space="preserve">1,376 </w:t>
            </w:r>
          </w:p>
        </w:tc>
        <w:tc>
          <w:tcPr>
            <w:tcW w:w="1225" w:type="dxa"/>
            <w:tcBorders>
              <w:bottom w:val="nil"/>
            </w:tcBorders>
            <w:vAlign w:val="center"/>
          </w:tcPr>
          <w:p w:rsidR="00B873A7" w:rsidRDefault="00B873A7" w:rsidP="00841EA0">
            <w:pPr>
              <w:pStyle w:val="Tablecells"/>
              <w:jc w:val="right"/>
            </w:pPr>
            <w:r>
              <w:t xml:space="preserve">2,277 </w:t>
            </w:r>
          </w:p>
        </w:tc>
        <w:tc>
          <w:tcPr>
            <w:tcW w:w="1226" w:type="dxa"/>
            <w:tcBorders>
              <w:bottom w:val="nil"/>
            </w:tcBorders>
            <w:vAlign w:val="center"/>
          </w:tcPr>
          <w:p w:rsidR="00B873A7" w:rsidRDefault="00B873A7" w:rsidP="00841EA0">
            <w:pPr>
              <w:pStyle w:val="Tablecells"/>
              <w:jc w:val="right"/>
            </w:pPr>
            <w:r>
              <w:t xml:space="preserve">164 </w:t>
            </w:r>
          </w:p>
        </w:tc>
      </w:tr>
      <w:tr w:rsidR="00B873A7" w:rsidTr="00841EA0">
        <w:tc>
          <w:tcPr>
            <w:tcW w:w="1473" w:type="dxa"/>
            <w:tcBorders>
              <w:bottom w:val="nil"/>
            </w:tcBorders>
            <w:vAlign w:val="center"/>
          </w:tcPr>
          <w:p w:rsidR="00B873A7" w:rsidRDefault="00B873A7" w:rsidP="00841EA0">
            <w:pPr>
              <w:pStyle w:val="Tablecells"/>
            </w:pPr>
            <w:r>
              <w:t>Urban in regional areas</w:t>
            </w:r>
          </w:p>
        </w:tc>
        <w:tc>
          <w:tcPr>
            <w:tcW w:w="1225" w:type="dxa"/>
            <w:tcBorders>
              <w:bottom w:val="nil"/>
            </w:tcBorders>
            <w:vAlign w:val="center"/>
          </w:tcPr>
          <w:p w:rsidR="00B873A7" w:rsidRPr="007C2272" w:rsidRDefault="00B873A7" w:rsidP="00841EA0">
            <w:pPr>
              <w:pStyle w:val="Tablecells"/>
              <w:jc w:val="right"/>
            </w:pPr>
            <w:r w:rsidRPr="007C2272">
              <w:t xml:space="preserve">199 </w:t>
            </w:r>
          </w:p>
        </w:tc>
        <w:tc>
          <w:tcPr>
            <w:tcW w:w="1225" w:type="dxa"/>
            <w:tcBorders>
              <w:bottom w:val="nil"/>
            </w:tcBorders>
            <w:vAlign w:val="center"/>
          </w:tcPr>
          <w:p w:rsidR="00B873A7" w:rsidRPr="000D1BE4" w:rsidRDefault="00B873A7" w:rsidP="00841EA0">
            <w:pPr>
              <w:pStyle w:val="Tablecells"/>
              <w:jc w:val="right"/>
            </w:pPr>
            <w:r w:rsidRPr="000D1BE4">
              <w:t xml:space="preserve">228 </w:t>
            </w:r>
          </w:p>
        </w:tc>
        <w:tc>
          <w:tcPr>
            <w:tcW w:w="1225" w:type="dxa"/>
            <w:tcBorders>
              <w:bottom w:val="nil"/>
            </w:tcBorders>
            <w:vAlign w:val="center"/>
          </w:tcPr>
          <w:p w:rsidR="00B873A7" w:rsidRDefault="00B873A7" w:rsidP="00841EA0">
            <w:pPr>
              <w:pStyle w:val="Tablecells"/>
              <w:jc w:val="right"/>
            </w:pPr>
            <w:r>
              <w:t xml:space="preserve">44 </w:t>
            </w:r>
          </w:p>
        </w:tc>
        <w:tc>
          <w:tcPr>
            <w:tcW w:w="1225" w:type="dxa"/>
            <w:tcBorders>
              <w:bottom w:val="nil"/>
            </w:tcBorders>
            <w:vAlign w:val="center"/>
          </w:tcPr>
          <w:p w:rsidR="00B873A7" w:rsidRDefault="00B873A7" w:rsidP="00841EA0">
            <w:pPr>
              <w:pStyle w:val="Tablecells"/>
              <w:jc w:val="right"/>
            </w:pPr>
            <w:r>
              <w:t xml:space="preserve">228 </w:t>
            </w:r>
          </w:p>
        </w:tc>
        <w:tc>
          <w:tcPr>
            <w:tcW w:w="1225" w:type="dxa"/>
            <w:tcBorders>
              <w:bottom w:val="nil"/>
            </w:tcBorders>
            <w:vAlign w:val="center"/>
          </w:tcPr>
          <w:p w:rsidR="00B873A7" w:rsidRDefault="00B873A7" w:rsidP="00841EA0">
            <w:pPr>
              <w:pStyle w:val="Tablecells"/>
              <w:jc w:val="right"/>
            </w:pPr>
            <w:r>
              <w:t xml:space="preserve">199 </w:t>
            </w:r>
          </w:p>
        </w:tc>
        <w:tc>
          <w:tcPr>
            <w:tcW w:w="1226" w:type="dxa"/>
            <w:tcBorders>
              <w:bottom w:val="nil"/>
            </w:tcBorders>
            <w:vAlign w:val="center"/>
          </w:tcPr>
          <w:p w:rsidR="00B873A7" w:rsidRDefault="00B873A7" w:rsidP="00841EA0">
            <w:pPr>
              <w:pStyle w:val="Tablecells"/>
              <w:jc w:val="right"/>
            </w:pPr>
            <w:r>
              <w:t xml:space="preserve">32 </w:t>
            </w:r>
          </w:p>
        </w:tc>
      </w:tr>
      <w:tr w:rsidR="00B873A7" w:rsidTr="00841EA0">
        <w:trPr>
          <w:cnfStyle w:val="000000100000" w:firstRow="0" w:lastRow="0" w:firstColumn="0" w:lastColumn="0" w:oddVBand="0" w:evenVBand="0" w:oddHBand="1" w:evenHBand="0" w:firstRowFirstColumn="0" w:firstRowLastColumn="0" w:lastRowFirstColumn="0" w:lastRowLastColumn="0"/>
        </w:trPr>
        <w:tc>
          <w:tcPr>
            <w:tcW w:w="1473" w:type="dxa"/>
            <w:tcBorders>
              <w:bottom w:val="nil"/>
            </w:tcBorders>
            <w:vAlign w:val="center"/>
          </w:tcPr>
          <w:p w:rsidR="00B873A7" w:rsidRDefault="00B873A7" w:rsidP="00841EA0">
            <w:pPr>
              <w:pStyle w:val="Tablecells"/>
            </w:pPr>
            <w:r>
              <w:t>Suburban in metro areas</w:t>
            </w:r>
          </w:p>
        </w:tc>
        <w:tc>
          <w:tcPr>
            <w:tcW w:w="1225" w:type="dxa"/>
            <w:tcBorders>
              <w:bottom w:val="nil"/>
            </w:tcBorders>
            <w:vAlign w:val="center"/>
          </w:tcPr>
          <w:p w:rsidR="00B873A7" w:rsidRPr="007C2272" w:rsidRDefault="00B873A7" w:rsidP="00841EA0">
            <w:pPr>
              <w:pStyle w:val="Tablecells"/>
              <w:jc w:val="right"/>
            </w:pPr>
            <w:r w:rsidRPr="007C2272">
              <w:t xml:space="preserve">673 </w:t>
            </w:r>
          </w:p>
        </w:tc>
        <w:tc>
          <w:tcPr>
            <w:tcW w:w="1225" w:type="dxa"/>
            <w:tcBorders>
              <w:bottom w:val="nil"/>
            </w:tcBorders>
            <w:vAlign w:val="center"/>
          </w:tcPr>
          <w:p w:rsidR="00B873A7" w:rsidRPr="000D1BE4" w:rsidRDefault="00B873A7" w:rsidP="00841EA0">
            <w:pPr>
              <w:pStyle w:val="Tablecells"/>
              <w:jc w:val="right"/>
            </w:pPr>
            <w:r w:rsidRPr="000D1BE4">
              <w:t xml:space="preserve">1,016 </w:t>
            </w:r>
          </w:p>
        </w:tc>
        <w:tc>
          <w:tcPr>
            <w:tcW w:w="1225" w:type="dxa"/>
            <w:tcBorders>
              <w:bottom w:val="nil"/>
            </w:tcBorders>
            <w:vAlign w:val="center"/>
          </w:tcPr>
          <w:p w:rsidR="00B873A7" w:rsidRDefault="00B873A7" w:rsidP="00841EA0">
            <w:pPr>
              <w:pStyle w:val="Tablecells"/>
              <w:jc w:val="right"/>
            </w:pPr>
            <w:r>
              <w:t xml:space="preserve">281 </w:t>
            </w:r>
          </w:p>
        </w:tc>
        <w:tc>
          <w:tcPr>
            <w:tcW w:w="1225" w:type="dxa"/>
            <w:tcBorders>
              <w:bottom w:val="nil"/>
            </w:tcBorders>
            <w:vAlign w:val="center"/>
          </w:tcPr>
          <w:p w:rsidR="00B873A7" w:rsidRDefault="00B873A7" w:rsidP="00841EA0">
            <w:pPr>
              <w:pStyle w:val="Tablecells"/>
              <w:jc w:val="right"/>
            </w:pPr>
            <w:r>
              <w:t xml:space="preserve">744 </w:t>
            </w:r>
          </w:p>
        </w:tc>
        <w:tc>
          <w:tcPr>
            <w:tcW w:w="1225" w:type="dxa"/>
            <w:tcBorders>
              <w:bottom w:val="nil"/>
            </w:tcBorders>
            <w:vAlign w:val="center"/>
          </w:tcPr>
          <w:p w:rsidR="00B873A7" w:rsidRDefault="00B873A7" w:rsidP="00841EA0">
            <w:pPr>
              <w:pStyle w:val="Tablecells"/>
              <w:jc w:val="right"/>
            </w:pPr>
            <w:r>
              <w:t xml:space="preserve">945 </w:t>
            </w:r>
          </w:p>
        </w:tc>
        <w:tc>
          <w:tcPr>
            <w:tcW w:w="1226" w:type="dxa"/>
            <w:tcBorders>
              <w:bottom w:val="nil"/>
            </w:tcBorders>
            <w:vAlign w:val="center"/>
          </w:tcPr>
          <w:p w:rsidR="00B873A7" w:rsidRDefault="00B873A7" w:rsidP="00841EA0">
            <w:pPr>
              <w:pStyle w:val="Tablecells"/>
              <w:jc w:val="right"/>
            </w:pPr>
            <w:r>
              <w:t xml:space="preserve">235 </w:t>
            </w:r>
          </w:p>
        </w:tc>
      </w:tr>
      <w:tr w:rsidR="00B873A7" w:rsidTr="00841EA0">
        <w:tc>
          <w:tcPr>
            <w:tcW w:w="1473" w:type="dxa"/>
            <w:tcBorders>
              <w:bottom w:val="nil"/>
            </w:tcBorders>
            <w:vAlign w:val="center"/>
          </w:tcPr>
          <w:p w:rsidR="00B873A7" w:rsidRDefault="00B873A7" w:rsidP="00841EA0">
            <w:pPr>
              <w:pStyle w:val="Tablecells"/>
            </w:pPr>
            <w:r>
              <w:t>Suburban in regional areas</w:t>
            </w:r>
          </w:p>
        </w:tc>
        <w:tc>
          <w:tcPr>
            <w:tcW w:w="1225" w:type="dxa"/>
            <w:tcBorders>
              <w:bottom w:val="nil"/>
            </w:tcBorders>
            <w:vAlign w:val="center"/>
          </w:tcPr>
          <w:p w:rsidR="00B873A7" w:rsidRPr="007C2272" w:rsidRDefault="00B873A7" w:rsidP="00841EA0">
            <w:pPr>
              <w:pStyle w:val="Tablecells"/>
              <w:jc w:val="right"/>
            </w:pPr>
            <w:r w:rsidRPr="007C2272">
              <w:t xml:space="preserve">1,666 </w:t>
            </w:r>
          </w:p>
        </w:tc>
        <w:tc>
          <w:tcPr>
            <w:tcW w:w="1225" w:type="dxa"/>
            <w:tcBorders>
              <w:bottom w:val="nil"/>
            </w:tcBorders>
            <w:vAlign w:val="center"/>
          </w:tcPr>
          <w:p w:rsidR="00B873A7" w:rsidRPr="000D1BE4" w:rsidRDefault="00B873A7" w:rsidP="00841EA0">
            <w:pPr>
              <w:pStyle w:val="Tablecells"/>
              <w:jc w:val="right"/>
            </w:pPr>
            <w:r w:rsidRPr="000D1BE4">
              <w:t xml:space="preserve">712 </w:t>
            </w:r>
          </w:p>
        </w:tc>
        <w:tc>
          <w:tcPr>
            <w:tcW w:w="1225" w:type="dxa"/>
            <w:tcBorders>
              <w:bottom w:val="nil"/>
            </w:tcBorders>
            <w:vAlign w:val="center"/>
          </w:tcPr>
          <w:p w:rsidR="00B873A7" w:rsidRDefault="00B873A7" w:rsidP="00841EA0">
            <w:pPr>
              <w:pStyle w:val="Tablecells"/>
              <w:jc w:val="right"/>
            </w:pPr>
            <w:r>
              <w:t xml:space="preserve">63 </w:t>
            </w:r>
          </w:p>
        </w:tc>
        <w:tc>
          <w:tcPr>
            <w:tcW w:w="1225" w:type="dxa"/>
            <w:tcBorders>
              <w:bottom w:val="nil"/>
            </w:tcBorders>
            <w:vAlign w:val="center"/>
          </w:tcPr>
          <w:p w:rsidR="00B873A7" w:rsidRDefault="00B873A7" w:rsidP="00841EA0">
            <w:pPr>
              <w:pStyle w:val="Tablecells"/>
              <w:jc w:val="right"/>
            </w:pPr>
            <w:r>
              <w:t xml:space="preserve">1,792 </w:t>
            </w:r>
          </w:p>
        </w:tc>
        <w:tc>
          <w:tcPr>
            <w:tcW w:w="1225" w:type="dxa"/>
            <w:tcBorders>
              <w:bottom w:val="nil"/>
            </w:tcBorders>
            <w:vAlign w:val="center"/>
          </w:tcPr>
          <w:p w:rsidR="00B873A7" w:rsidRDefault="00B873A7" w:rsidP="00841EA0">
            <w:pPr>
              <w:pStyle w:val="Tablecells"/>
              <w:jc w:val="right"/>
            </w:pPr>
            <w:r>
              <w:t xml:space="preserve">586 </w:t>
            </w:r>
          </w:p>
        </w:tc>
        <w:tc>
          <w:tcPr>
            <w:tcW w:w="1226" w:type="dxa"/>
            <w:tcBorders>
              <w:bottom w:val="nil"/>
            </w:tcBorders>
            <w:vAlign w:val="center"/>
          </w:tcPr>
          <w:p w:rsidR="00B873A7" w:rsidRDefault="00B873A7" w:rsidP="00841EA0">
            <w:pPr>
              <w:pStyle w:val="Tablecells"/>
              <w:jc w:val="right"/>
            </w:pPr>
            <w:r>
              <w:t xml:space="preserve">40 </w:t>
            </w:r>
          </w:p>
        </w:tc>
      </w:tr>
      <w:tr w:rsidR="00B873A7" w:rsidTr="00841EA0">
        <w:trPr>
          <w:cnfStyle w:val="000000100000" w:firstRow="0" w:lastRow="0" w:firstColumn="0" w:lastColumn="0" w:oddVBand="0" w:evenVBand="0" w:oddHBand="1" w:evenHBand="0" w:firstRowFirstColumn="0" w:firstRowLastColumn="0" w:lastRowFirstColumn="0" w:lastRowLastColumn="0"/>
        </w:trPr>
        <w:tc>
          <w:tcPr>
            <w:tcW w:w="1473" w:type="dxa"/>
            <w:tcBorders>
              <w:bottom w:val="nil"/>
            </w:tcBorders>
            <w:vAlign w:val="center"/>
          </w:tcPr>
          <w:p w:rsidR="00B873A7" w:rsidRDefault="00B873A7" w:rsidP="00841EA0">
            <w:pPr>
              <w:pStyle w:val="Tablecells"/>
            </w:pPr>
            <w:r>
              <w:t>Rural</w:t>
            </w:r>
          </w:p>
        </w:tc>
        <w:tc>
          <w:tcPr>
            <w:tcW w:w="1225" w:type="dxa"/>
            <w:tcBorders>
              <w:bottom w:val="nil"/>
            </w:tcBorders>
            <w:vAlign w:val="center"/>
          </w:tcPr>
          <w:p w:rsidR="00B873A7" w:rsidRPr="007C2272" w:rsidRDefault="00B873A7" w:rsidP="00841EA0">
            <w:pPr>
              <w:pStyle w:val="Tablecells"/>
              <w:jc w:val="right"/>
            </w:pPr>
            <w:r w:rsidRPr="007C2272">
              <w:t xml:space="preserve">5,292 </w:t>
            </w:r>
          </w:p>
        </w:tc>
        <w:tc>
          <w:tcPr>
            <w:tcW w:w="1225" w:type="dxa"/>
            <w:tcBorders>
              <w:bottom w:val="nil"/>
            </w:tcBorders>
            <w:vAlign w:val="center"/>
          </w:tcPr>
          <w:p w:rsidR="00B873A7" w:rsidRDefault="00B873A7" w:rsidP="00841EA0">
            <w:pPr>
              <w:pStyle w:val="Tablecells"/>
              <w:jc w:val="right"/>
            </w:pPr>
            <w:r w:rsidRPr="000D1BE4">
              <w:t xml:space="preserve">236 </w:t>
            </w:r>
          </w:p>
        </w:tc>
        <w:tc>
          <w:tcPr>
            <w:tcW w:w="1225" w:type="dxa"/>
            <w:tcBorders>
              <w:bottom w:val="nil"/>
            </w:tcBorders>
            <w:vAlign w:val="center"/>
          </w:tcPr>
          <w:p w:rsidR="00B873A7" w:rsidRDefault="00B873A7" w:rsidP="00841EA0">
            <w:pPr>
              <w:pStyle w:val="Tablecells"/>
              <w:jc w:val="right"/>
            </w:pPr>
            <w:r>
              <w:t xml:space="preserve">2 </w:t>
            </w:r>
          </w:p>
        </w:tc>
        <w:tc>
          <w:tcPr>
            <w:tcW w:w="1225" w:type="dxa"/>
            <w:tcBorders>
              <w:bottom w:val="nil"/>
            </w:tcBorders>
            <w:vAlign w:val="center"/>
          </w:tcPr>
          <w:p w:rsidR="00B873A7" w:rsidRDefault="00B873A7" w:rsidP="00841EA0">
            <w:pPr>
              <w:pStyle w:val="Tablecells"/>
              <w:jc w:val="right"/>
            </w:pPr>
            <w:r>
              <w:t xml:space="preserve">5,371 </w:t>
            </w:r>
          </w:p>
        </w:tc>
        <w:tc>
          <w:tcPr>
            <w:tcW w:w="1225" w:type="dxa"/>
            <w:tcBorders>
              <w:bottom w:val="nil"/>
            </w:tcBorders>
            <w:vAlign w:val="center"/>
          </w:tcPr>
          <w:p w:rsidR="00B873A7" w:rsidRDefault="00B873A7" w:rsidP="00841EA0">
            <w:pPr>
              <w:pStyle w:val="Tablecells"/>
              <w:jc w:val="right"/>
            </w:pPr>
            <w:r>
              <w:t xml:space="preserve">157 </w:t>
            </w:r>
          </w:p>
        </w:tc>
        <w:tc>
          <w:tcPr>
            <w:tcW w:w="1226" w:type="dxa"/>
            <w:tcBorders>
              <w:bottom w:val="nil"/>
            </w:tcBorders>
            <w:vAlign w:val="center"/>
          </w:tcPr>
          <w:p w:rsidR="00B873A7" w:rsidRDefault="00B873A7" w:rsidP="00841EA0">
            <w:pPr>
              <w:pStyle w:val="Tablecells"/>
              <w:jc w:val="right"/>
            </w:pPr>
            <w:r>
              <w:t xml:space="preserve">2 </w:t>
            </w:r>
          </w:p>
        </w:tc>
      </w:tr>
      <w:tr w:rsidR="00B873A7" w:rsidTr="00841EA0">
        <w:tc>
          <w:tcPr>
            <w:tcW w:w="1473" w:type="dxa"/>
            <w:tcBorders>
              <w:top w:val="nil"/>
              <w:bottom w:val="single" w:sz="4" w:space="0" w:color="808080"/>
            </w:tcBorders>
            <w:vAlign w:val="center"/>
          </w:tcPr>
          <w:p w:rsidR="00B873A7" w:rsidRDefault="00B873A7" w:rsidP="00841EA0">
            <w:pPr>
              <w:pStyle w:val="Tablecells"/>
            </w:pPr>
            <w:r>
              <w:t>Remote</w:t>
            </w:r>
          </w:p>
        </w:tc>
        <w:tc>
          <w:tcPr>
            <w:tcW w:w="1225" w:type="dxa"/>
            <w:tcBorders>
              <w:top w:val="nil"/>
              <w:bottom w:val="single" w:sz="4" w:space="0" w:color="808080"/>
            </w:tcBorders>
            <w:vAlign w:val="center"/>
          </w:tcPr>
          <w:p w:rsidR="00B873A7" w:rsidRDefault="00B873A7" w:rsidP="00841EA0">
            <w:pPr>
              <w:pStyle w:val="Tablecells"/>
              <w:jc w:val="right"/>
            </w:pPr>
            <w:r w:rsidRPr="007C2272">
              <w:t xml:space="preserve">1,211 </w:t>
            </w:r>
          </w:p>
        </w:tc>
        <w:tc>
          <w:tcPr>
            <w:tcW w:w="1225" w:type="dxa"/>
            <w:tcBorders>
              <w:top w:val="nil"/>
              <w:bottom w:val="single" w:sz="4" w:space="0" w:color="808080"/>
            </w:tcBorders>
            <w:vAlign w:val="center"/>
          </w:tcPr>
          <w:p w:rsidR="00B873A7" w:rsidRDefault="00B873A7" w:rsidP="00841EA0">
            <w:pPr>
              <w:pStyle w:val="Tablecells"/>
              <w:jc w:val="right"/>
            </w:pPr>
            <w:r>
              <w:t xml:space="preserve">0 </w:t>
            </w:r>
          </w:p>
        </w:tc>
        <w:tc>
          <w:tcPr>
            <w:tcW w:w="1225" w:type="dxa"/>
            <w:tcBorders>
              <w:top w:val="nil"/>
              <w:bottom w:val="single" w:sz="4" w:space="0" w:color="808080"/>
            </w:tcBorders>
            <w:vAlign w:val="center"/>
          </w:tcPr>
          <w:p w:rsidR="00B873A7" w:rsidRDefault="00B873A7" w:rsidP="00841EA0">
            <w:pPr>
              <w:pStyle w:val="Tablecells"/>
              <w:jc w:val="right"/>
            </w:pPr>
            <w:r>
              <w:t xml:space="preserve">89 </w:t>
            </w:r>
          </w:p>
        </w:tc>
        <w:tc>
          <w:tcPr>
            <w:tcW w:w="1225" w:type="dxa"/>
            <w:tcBorders>
              <w:top w:val="nil"/>
              <w:bottom w:val="single" w:sz="4" w:space="0" w:color="808080"/>
            </w:tcBorders>
            <w:vAlign w:val="center"/>
          </w:tcPr>
          <w:p w:rsidR="00B873A7" w:rsidRDefault="00B873A7" w:rsidP="00841EA0">
            <w:pPr>
              <w:pStyle w:val="Tablecells"/>
              <w:jc w:val="right"/>
            </w:pPr>
            <w:r>
              <w:t xml:space="preserve">1,211 </w:t>
            </w:r>
          </w:p>
        </w:tc>
        <w:tc>
          <w:tcPr>
            <w:tcW w:w="1225" w:type="dxa"/>
            <w:tcBorders>
              <w:top w:val="nil"/>
              <w:bottom w:val="single" w:sz="4" w:space="0" w:color="808080"/>
            </w:tcBorders>
            <w:vAlign w:val="center"/>
          </w:tcPr>
          <w:p w:rsidR="00B873A7" w:rsidRDefault="00B873A7" w:rsidP="00841EA0">
            <w:pPr>
              <w:pStyle w:val="Tablecells"/>
              <w:jc w:val="right"/>
            </w:pPr>
            <w:r>
              <w:t xml:space="preserve">0 </w:t>
            </w:r>
          </w:p>
        </w:tc>
        <w:tc>
          <w:tcPr>
            <w:tcW w:w="1226" w:type="dxa"/>
            <w:tcBorders>
              <w:top w:val="nil"/>
              <w:bottom w:val="single" w:sz="4" w:space="0" w:color="808080"/>
            </w:tcBorders>
            <w:vAlign w:val="center"/>
          </w:tcPr>
          <w:p w:rsidR="00B873A7" w:rsidRDefault="00B873A7" w:rsidP="00841EA0">
            <w:pPr>
              <w:pStyle w:val="Tablecells"/>
              <w:jc w:val="right"/>
            </w:pPr>
            <w:r>
              <w:t xml:space="preserve">64 </w:t>
            </w:r>
          </w:p>
        </w:tc>
      </w:tr>
      <w:tr w:rsidR="00B873A7" w:rsidTr="00841EA0">
        <w:trPr>
          <w:cnfStyle w:val="000000100000" w:firstRow="0" w:lastRow="0" w:firstColumn="0" w:lastColumn="0" w:oddVBand="0" w:evenVBand="0" w:oddHBand="1" w:evenHBand="0" w:firstRowFirstColumn="0" w:firstRowLastColumn="0" w:lastRowFirstColumn="0" w:lastRowLastColumn="0"/>
        </w:trPr>
        <w:tc>
          <w:tcPr>
            <w:tcW w:w="1473" w:type="dxa"/>
            <w:tcBorders>
              <w:top w:val="nil"/>
              <w:bottom w:val="single" w:sz="4" w:space="0" w:color="808080"/>
            </w:tcBorders>
            <w:vAlign w:val="center"/>
          </w:tcPr>
          <w:p w:rsidR="00B873A7" w:rsidRPr="00E62D86" w:rsidRDefault="00B873A7" w:rsidP="00841EA0">
            <w:pPr>
              <w:pStyle w:val="Tablecells"/>
              <w:rPr>
                <w:b/>
              </w:rPr>
            </w:pPr>
            <w:r w:rsidRPr="00E62D86">
              <w:rPr>
                <w:b/>
              </w:rPr>
              <w:t>Total</w:t>
            </w:r>
          </w:p>
        </w:tc>
        <w:tc>
          <w:tcPr>
            <w:tcW w:w="1225" w:type="dxa"/>
            <w:tcBorders>
              <w:top w:val="nil"/>
              <w:bottom w:val="single" w:sz="4" w:space="0" w:color="808080"/>
            </w:tcBorders>
            <w:vAlign w:val="center"/>
          </w:tcPr>
          <w:p w:rsidR="00B873A7" w:rsidRPr="00CB517E" w:rsidRDefault="00B873A7" w:rsidP="00841EA0">
            <w:pPr>
              <w:pStyle w:val="Tablecells"/>
              <w:jc w:val="right"/>
              <w:rPr>
                <w:b/>
                <w:bCs/>
              </w:rPr>
            </w:pPr>
            <w:r>
              <w:rPr>
                <w:b/>
                <w:bCs/>
              </w:rPr>
              <w:t>11,525</w:t>
            </w:r>
          </w:p>
        </w:tc>
        <w:tc>
          <w:tcPr>
            <w:tcW w:w="1225" w:type="dxa"/>
            <w:tcBorders>
              <w:top w:val="nil"/>
              <w:bottom w:val="single" w:sz="4" w:space="0" w:color="808080"/>
            </w:tcBorders>
            <w:vAlign w:val="center"/>
          </w:tcPr>
          <w:p w:rsidR="00B873A7" w:rsidRDefault="00B873A7" w:rsidP="00841EA0">
            <w:pPr>
              <w:pStyle w:val="Tablecells"/>
              <w:jc w:val="right"/>
              <w:rPr>
                <w:b/>
                <w:bCs/>
              </w:rPr>
            </w:pPr>
            <w:r>
              <w:rPr>
                <w:b/>
                <w:bCs/>
              </w:rPr>
              <w:t xml:space="preserve">6,503 </w:t>
            </w:r>
          </w:p>
        </w:tc>
        <w:tc>
          <w:tcPr>
            <w:tcW w:w="1225" w:type="dxa"/>
            <w:tcBorders>
              <w:top w:val="nil"/>
              <w:bottom w:val="single" w:sz="4" w:space="0" w:color="808080"/>
            </w:tcBorders>
            <w:vAlign w:val="center"/>
          </w:tcPr>
          <w:p w:rsidR="00B873A7" w:rsidRDefault="00B873A7" w:rsidP="00841EA0">
            <w:pPr>
              <w:pStyle w:val="Tablecells"/>
              <w:jc w:val="right"/>
              <w:rPr>
                <w:b/>
                <w:bCs/>
              </w:rPr>
            </w:pPr>
            <w:r>
              <w:rPr>
                <w:b/>
                <w:bCs/>
              </w:rPr>
              <w:t xml:space="preserve">693 </w:t>
            </w:r>
          </w:p>
        </w:tc>
        <w:tc>
          <w:tcPr>
            <w:tcW w:w="1225" w:type="dxa"/>
            <w:tcBorders>
              <w:top w:val="nil"/>
              <w:bottom w:val="single" w:sz="4" w:space="0" w:color="808080"/>
            </w:tcBorders>
            <w:vAlign w:val="center"/>
          </w:tcPr>
          <w:p w:rsidR="00B873A7" w:rsidRDefault="00B873A7" w:rsidP="00841EA0">
            <w:pPr>
              <w:pStyle w:val="Tablecells"/>
              <w:jc w:val="right"/>
              <w:rPr>
                <w:b/>
                <w:bCs/>
              </w:rPr>
            </w:pPr>
            <w:r w:rsidRPr="00CB517E">
              <w:rPr>
                <w:b/>
                <w:bCs/>
              </w:rPr>
              <w:t>12,361</w:t>
            </w:r>
            <w:r>
              <w:rPr>
                <w:b/>
                <w:bCs/>
              </w:rPr>
              <w:t xml:space="preserve"> </w:t>
            </w:r>
          </w:p>
        </w:tc>
        <w:tc>
          <w:tcPr>
            <w:tcW w:w="1225" w:type="dxa"/>
            <w:tcBorders>
              <w:top w:val="nil"/>
              <w:bottom w:val="single" w:sz="4" w:space="0" w:color="808080"/>
            </w:tcBorders>
            <w:vAlign w:val="center"/>
          </w:tcPr>
          <w:p w:rsidR="00B873A7" w:rsidRDefault="00B873A7" w:rsidP="00841EA0">
            <w:pPr>
              <w:pStyle w:val="Tablecells"/>
              <w:jc w:val="right"/>
              <w:rPr>
                <w:b/>
                <w:bCs/>
              </w:rPr>
            </w:pPr>
            <w:r>
              <w:rPr>
                <w:b/>
                <w:bCs/>
              </w:rPr>
              <w:t xml:space="preserve">5,667 </w:t>
            </w:r>
          </w:p>
        </w:tc>
        <w:tc>
          <w:tcPr>
            <w:tcW w:w="1226" w:type="dxa"/>
            <w:tcBorders>
              <w:top w:val="nil"/>
              <w:bottom w:val="single" w:sz="4" w:space="0" w:color="808080"/>
            </w:tcBorders>
            <w:vAlign w:val="center"/>
          </w:tcPr>
          <w:p w:rsidR="00B873A7" w:rsidRDefault="00B873A7" w:rsidP="00841EA0">
            <w:pPr>
              <w:pStyle w:val="Tablecells"/>
              <w:jc w:val="right"/>
              <w:rPr>
                <w:b/>
                <w:bCs/>
              </w:rPr>
            </w:pPr>
            <w:r>
              <w:rPr>
                <w:b/>
                <w:bCs/>
              </w:rPr>
              <w:t xml:space="preserve">537 </w:t>
            </w:r>
          </w:p>
        </w:tc>
      </w:tr>
    </w:tbl>
    <w:p w:rsidR="00B873A7" w:rsidRPr="008F68E5" w:rsidRDefault="00B873A7" w:rsidP="00B873A7">
      <w:pPr>
        <w:pStyle w:val="Caption"/>
        <w:spacing w:before="360" w:after="60" w:line="240" w:lineRule="atLeast"/>
      </w:pPr>
      <w:bookmarkStart w:id="149" w:name="_Ref369348921"/>
      <w:r>
        <w:t>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fldSimple w:instr=" SEQ Figure \* ARABIC \s 1 \* MERGEFORMAT ">
        <w:r w:rsidR="00A87B65">
          <w:rPr>
            <w:noProof/>
          </w:rPr>
          <w:t>41</w:t>
        </w:r>
      </w:fldSimple>
      <w:bookmarkEnd w:id="149"/>
      <w:r>
        <w:t>: Total 4</w:t>
      </w:r>
      <w:r w:rsidRPr="0030562D">
        <w:t xml:space="preserve">G logical sites by geotype </w:t>
      </w:r>
      <w:r>
        <w:t>in 2013 and 2020</w:t>
      </w:r>
      <w:r w:rsidRPr="0030562D">
        <w:t>; base ca</w:t>
      </w:r>
      <w:r>
        <w:t>se [Source: Analysys Mason, 2014</w:t>
      </w:r>
      <w:r w:rsidRPr="0030562D">
        <w:t>]</w:t>
      </w:r>
    </w:p>
    <w:tbl>
      <w:tblPr>
        <w:tblStyle w:val="MediumShading2-Accent1"/>
        <w:tblW w:w="8822" w:type="dxa"/>
        <w:tblInd w:w="108" w:type="dxa"/>
        <w:tblLook w:val="0420" w:firstRow="1" w:lastRow="0" w:firstColumn="0" w:lastColumn="0" w:noHBand="0" w:noVBand="1"/>
      </w:tblPr>
      <w:tblGrid>
        <w:gridCol w:w="1474"/>
        <w:gridCol w:w="1224"/>
        <w:gridCol w:w="1225"/>
        <w:gridCol w:w="1225"/>
        <w:gridCol w:w="1224"/>
        <w:gridCol w:w="1225"/>
        <w:gridCol w:w="1225"/>
      </w:tblGrid>
      <w:tr w:rsidR="00B873A7" w:rsidRPr="00780DBF" w:rsidTr="00841EA0">
        <w:trPr>
          <w:cnfStyle w:val="100000000000" w:firstRow="1" w:lastRow="0" w:firstColumn="0" w:lastColumn="0" w:oddVBand="0" w:evenVBand="0" w:oddHBand="0" w:evenHBand="0" w:firstRowFirstColumn="0" w:firstRowLastColumn="0" w:lastRowFirstColumn="0" w:lastRowLastColumn="0"/>
        </w:trPr>
        <w:tc>
          <w:tcPr>
            <w:tcW w:w="1474" w:type="dxa"/>
            <w:tcBorders>
              <w:top w:val="single" w:sz="18" w:space="0" w:color="221F72"/>
              <w:bottom w:val="single" w:sz="18" w:space="0" w:color="221F72"/>
            </w:tcBorders>
            <w:shd w:val="solid" w:color="221F72" w:fill="221F72"/>
          </w:tcPr>
          <w:p w:rsidR="00B873A7" w:rsidRPr="00A42B4A" w:rsidRDefault="00B873A7" w:rsidP="00841EA0">
            <w:pPr>
              <w:pStyle w:val="Tableheading"/>
              <w:rPr>
                <w:b/>
                <w:i/>
              </w:rPr>
            </w:pPr>
          </w:p>
        </w:tc>
        <w:tc>
          <w:tcPr>
            <w:tcW w:w="3674" w:type="dxa"/>
            <w:gridSpan w:val="3"/>
            <w:tcBorders>
              <w:top w:val="single" w:sz="18" w:space="0" w:color="221F72"/>
              <w:bottom w:val="single" w:sz="4" w:space="0" w:color="BFBFBF" w:themeColor="background1" w:themeShade="BF"/>
            </w:tcBorders>
            <w:shd w:val="solid" w:color="221F72" w:fill="221F72"/>
          </w:tcPr>
          <w:p w:rsidR="00B873A7" w:rsidRPr="00F409F0" w:rsidRDefault="00B873A7" w:rsidP="00841EA0">
            <w:pPr>
              <w:pStyle w:val="Tableheading"/>
              <w:jc w:val="center"/>
              <w:rPr>
                <w:b/>
                <w:i/>
              </w:rPr>
            </w:pPr>
            <w:r>
              <w:rPr>
                <w:b/>
              </w:rPr>
              <w:t>2013</w:t>
            </w:r>
          </w:p>
        </w:tc>
        <w:tc>
          <w:tcPr>
            <w:tcW w:w="3674" w:type="dxa"/>
            <w:gridSpan w:val="3"/>
            <w:tcBorders>
              <w:top w:val="single" w:sz="18" w:space="0" w:color="221F72"/>
              <w:bottom w:val="single" w:sz="4" w:space="0" w:color="BFBFBF" w:themeColor="background1" w:themeShade="BF"/>
            </w:tcBorders>
            <w:shd w:val="solid" w:color="221F72" w:fill="221F72"/>
          </w:tcPr>
          <w:p w:rsidR="00B873A7" w:rsidRPr="00F409F0" w:rsidRDefault="00B873A7" w:rsidP="00841EA0">
            <w:pPr>
              <w:pStyle w:val="Tableheading"/>
              <w:jc w:val="center"/>
              <w:rPr>
                <w:b/>
                <w:i/>
              </w:rPr>
            </w:pPr>
            <w:r w:rsidRPr="00F409F0">
              <w:rPr>
                <w:b/>
              </w:rPr>
              <w:t>2020</w:t>
            </w:r>
          </w:p>
        </w:tc>
      </w:tr>
      <w:tr w:rsidR="00B873A7" w:rsidRPr="00780DBF" w:rsidTr="00841EA0">
        <w:trPr>
          <w:cnfStyle w:val="000000100000" w:firstRow="0" w:lastRow="0" w:firstColumn="0" w:lastColumn="0" w:oddVBand="0" w:evenVBand="0" w:oddHBand="1" w:evenHBand="0" w:firstRowFirstColumn="0" w:firstRowLastColumn="0" w:lastRowFirstColumn="0" w:lastRowLastColumn="0"/>
        </w:trPr>
        <w:tc>
          <w:tcPr>
            <w:tcW w:w="1474" w:type="dxa"/>
            <w:tcBorders>
              <w:top w:val="single" w:sz="18" w:space="0" w:color="221F72"/>
              <w:bottom w:val="single" w:sz="18" w:space="0" w:color="221F72"/>
            </w:tcBorders>
            <w:shd w:val="solid" w:color="221F72" w:fill="221F72"/>
          </w:tcPr>
          <w:p w:rsidR="00B873A7" w:rsidRPr="00A42B4A" w:rsidRDefault="00B873A7" w:rsidP="00841EA0">
            <w:pPr>
              <w:pStyle w:val="Tableheading"/>
              <w:rPr>
                <w:i/>
              </w:rPr>
            </w:pPr>
          </w:p>
        </w:tc>
        <w:tc>
          <w:tcPr>
            <w:tcW w:w="1224" w:type="dxa"/>
            <w:tcBorders>
              <w:top w:val="single" w:sz="4" w:space="0" w:color="BFBFBF" w:themeColor="background1" w:themeShade="BF"/>
              <w:bottom w:val="single" w:sz="18" w:space="0" w:color="221F72"/>
            </w:tcBorders>
            <w:shd w:val="solid" w:color="221F72" w:fill="221F72"/>
            <w:vAlign w:val="center"/>
          </w:tcPr>
          <w:p w:rsidR="00B873A7" w:rsidRPr="00A42B4A" w:rsidRDefault="00B873A7" w:rsidP="00841EA0">
            <w:pPr>
              <w:pStyle w:val="Tableheading"/>
              <w:ind w:right="0"/>
              <w:jc w:val="center"/>
              <w:rPr>
                <w:b w:val="0"/>
                <w:i/>
              </w:rPr>
            </w:pPr>
            <w:r w:rsidRPr="00A42B4A">
              <w:t>4G purely coverage sites</w:t>
            </w:r>
          </w:p>
        </w:tc>
        <w:tc>
          <w:tcPr>
            <w:tcW w:w="1225" w:type="dxa"/>
            <w:tcBorders>
              <w:top w:val="single" w:sz="4" w:space="0" w:color="BFBFBF" w:themeColor="background1" w:themeShade="BF"/>
              <w:bottom w:val="single" w:sz="18" w:space="0" w:color="221F72"/>
            </w:tcBorders>
            <w:shd w:val="solid" w:color="221F72" w:fill="221F72"/>
            <w:vAlign w:val="center"/>
          </w:tcPr>
          <w:p w:rsidR="00B873A7" w:rsidRPr="00A42B4A" w:rsidRDefault="00B873A7" w:rsidP="00841EA0">
            <w:pPr>
              <w:pStyle w:val="Tableheading"/>
              <w:ind w:right="0"/>
              <w:jc w:val="center"/>
              <w:rPr>
                <w:b w:val="0"/>
                <w:i/>
              </w:rPr>
            </w:pPr>
            <w:r w:rsidRPr="00A42B4A">
              <w:t>4G coverage sites with capacity upgrade</w:t>
            </w:r>
          </w:p>
        </w:tc>
        <w:tc>
          <w:tcPr>
            <w:tcW w:w="1225" w:type="dxa"/>
            <w:tcBorders>
              <w:top w:val="single" w:sz="4" w:space="0" w:color="BFBFBF" w:themeColor="background1" w:themeShade="BF"/>
              <w:bottom w:val="single" w:sz="18" w:space="0" w:color="221F72"/>
            </w:tcBorders>
            <w:shd w:val="solid" w:color="221F72" w:fill="221F72"/>
            <w:vAlign w:val="center"/>
          </w:tcPr>
          <w:p w:rsidR="00B873A7" w:rsidRPr="00A42B4A" w:rsidRDefault="00B873A7" w:rsidP="00841EA0">
            <w:pPr>
              <w:pStyle w:val="Tableheading"/>
              <w:ind w:right="0"/>
              <w:jc w:val="center"/>
              <w:rPr>
                <w:b w:val="0"/>
                <w:i/>
              </w:rPr>
            </w:pPr>
            <w:r w:rsidRPr="00A42B4A">
              <w:t>4G capacity sites</w:t>
            </w:r>
          </w:p>
        </w:tc>
        <w:tc>
          <w:tcPr>
            <w:tcW w:w="1224" w:type="dxa"/>
            <w:tcBorders>
              <w:top w:val="single" w:sz="4" w:space="0" w:color="BFBFBF" w:themeColor="background1" w:themeShade="BF"/>
              <w:bottom w:val="single" w:sz="18" w:space="0" w:color="221F72"/>
            </w:tcBorders>
            <w:shd w:val="solid" w:color="221F72" w:fill="221F72"/>
            <w:vAlign w:val="center"/>
          </w:tcPr>
          <w:p w:rsidR="00B873A7" w:rsidRPr="00A42B4A" w:rsidRDefault="00B873A7" w:rsidP="00841EA0">
            <w:pPr>
              <w:pStyle w:val="Tableheading"/>
              <w:ind w:right="0"/>
              <w:jc w:val="center"/>
              <w:rPr>
                <w:b w:val="0"/>
                <w:i/>
              </w:rPr>
            </w:pPr>
            <w:r w:rsidRPr="00A42B4A">
              <w:t>4G purely coverage sites</w:t>
            </w:r>
          </w:p>
        </w:tc>
        <w:tc>
          <w:tcPr>
            <w:tcW w:w="1225" w:type="dxa"/>
            <w:tcBorders>
              <w:top w:val="single" w:sz="4" w:space="0" w:color="BFBFBF" w:themeColor="background1" w:themeShade="BF"/>
              <w:bottom w:val="single" w:sz="18" w:space="0" w:color="221F72"/>
            </w:tcBorders>
            <w:shd w:val="solid" w:color="221F72" w:fill="221F72"/>
            <w:vAlign w:val="center"/>
          </w:tcPr>
          <w:p w:rsidR="00B873A7" w:rsidRPr="00A42B4A" w:rsidRDefault="00B873A7" w:rsidP="00841EA0">
            <w:pPr>
              <w:pStyle w:val="Tableheading"/>
              <w:ind w:right="0"/>
              <w:jc w:val="center"/>
              <w:rPr>
                <w:b w:val="0"/>
                <w:i/>
              </w:rPr>
            </w:pPr>
            <w:r w:rsidRPr="00A42B4A">
              <w:t>4G coverage sites with capacity upgrade</w:t>
            </w:r>
          </w:p>
        </w:tc>
        <w:tc>
          <w:tcPr>
            <w:tcW w:w="1225" w:type="dxa"/>
            <w:tcBorders>
              <w:top w:val="single" w:sz="4" w:space="0" w:color="BFBFBF" w:themeColor="background1" w:themeShade="BF"/>
              <w:bottom w:val="single" w:sz="18" w:space="0" w:color="221F72"/>
            </w:tcBorders>
            <w:shd w:val="solid" w:color="221F72" w:fill="221F72"/>
            <w:vAlign w:val="center"/>
          </w:tcPr>
          <w:p w:rsidR="00B873A7" w:rsidRPr="00A42B4A" w:rsidRDefault="00B873A7" w:rsidP="00841EA0">
            <w:pPr>
              <w:pStyle w:val="Tableheading"/>
              <w:ind w:right="0"/>
              <w:jc w:val="center"/>
              <w:rPr>
                <w:b w:val="0"/>
                <w:i/>
              </w:rPr>
            </w:pPr>
            <w:r w:rsidRPr="00A42B4A">
              <w:t>4G capacity sites</w:t>
            </w:r>
          </w:p>
        </w:tc>
      </w:tr>
      <w:tr w:rsidR="00FB236B" w:rsidTr="00841EA0">
        <w:tc>
          <w:tcPr>
            <w:tcW w:w="1474" w:type="dxa"/>
            <w:tcBorders>
              <w:top w:val="single" w:sz="18" w:space="0" w:color="221F72"/>
            </w:tcBorders>
            <w:vAlign w:val="center"/>
          </w:tcPr>
          <w:p w:rsidR="00FB236B" w:rsidRDefault="00FB236B" w:rsidP="00841EA0">
            <w:pPr>
              <w:pStyle w:val="Tablecells"/>
            </w:pPr>
            <w:r>
              <w:t>Dense urban</w:t>
            </w:r>
          </w:p>
        </w:tc>
        <w:tc>
          <w:tcPr>
            <w:tcW w:w="1224" w:type="dxa"/>
            <w:tcBorders>
              <w:top w:val="single" w:sz="18" w:space="0" w:color="221F72"/>
            </w:tcBorders>
            <w:vAlign w:val="center"/>
          </w:tcPr>
          <w:p w:rsidR="00FB236B" w:rsidRPr="00F305D9" w:rsidRDefault="00FB236B" w:rsidP="00841EA0">
            <w:pPr>
              <w:pStyle w:val="Tablecells"/>
              <w:jc w:val="right"/>
            </w:pPr>
            <w:r w:rsidRPr="00F305D9">
              <w:t xml:space="preserve">1,987 </w:t>
            </w:r>
          </w:p>
        </w:tc>
        <w:tc>
          <w:tcPr>
            <w:tcW w:w="1225" w:type="dxa"/>
            <w:tcBorders>
              <w:top w:val="single" w:sz="18" w:space="0" w:color="221F72"/>
            </w:tcBorders>
            <w:vAlign w:val="center"/>
          </w:tcPr>
          <w:p w:rsidR="00FB236B" w:rsidRPr="00C41511" w:rsidRDefault="00FB236B" w:rsidP="00841EA0">
            <w:pPr>
              <w:pStyle w:val="Tablecells"/>
              <w:jc w:val="right"/>
              <w:rPr>
                <w:b/>
              </w:rPr>
            </w:pPr>
            <w:r w:rsidRPr="00C41511">
              <w:t xml:space="preserve">0 </w:t>
            </w:r>
          </w:p>
        </w:tc>
        <w:tc>
          <w:tcPr>
            <w:tcW w:w="1225" w:type="dxa"/>
            <w:tcBorders>
              <w:top w:val="single" w:sz="18" w:space="0" w:color="221F72"/>
            </w:tcBorders>
            <w:vAlign w:val="center"/>
          </w:tcPr>
          <w:p w:rsidR="00FB236B" w:rsidRPr="00C41511" w:rsidRDefault="00FB236B" w:rsidP="00841EA0">
            <w:pPr>
              <w:pStyle w:val="Tablecells"/>
              <w:jc w:val="right"/>
              <w:rPr>
                <w:b/>
              </w:rPr>
            </w:pPr>
            <w:r w:rsidRPr="00C41511">
              <w:t xml:space="preserve">0 </w:t>
            </w:r>
          </w:p>
        </w:tc>
        <w:tc>
          <w:tcPr>
            <w:tcW w:w="1224" w:type="dxa"/>
            <w:tcBorders>
              <w:top w:val="single" w:sz="18" w:space="0" w:color="221F72"/>
            </w:tcBorders>
            <w:vAlign w:val="center"/>
          </w:tcPr>
          <w:p w:rsidR="00FB236B" w:rsidRPr="00FB236B" w:rsidRDefault="00FB236B" w:rsidP="00FB236B">
            <w:pPr>
              <w:pStyle w:val="Tablecells"/>
              <w:jc w:val="right"/>
            </w:pPr>
            <w:r>
              <w:t>4,555</w:t>
            </w:r>
            <w:r w:rsidRPr="00FB236B">
              <w:t xml:space="preserve"> </w:t>
            </w:r>
          </w:p>
        </w:tc>
        <w:tc>
          <w:tcPr>
            <w:tcW w:w="1225" w:type="dxa"/>
            <w:tcBorders>
              <w:top w:val="single" w:sz="18" w:space="0" w:color="221F72"/>
            </w:tcBorders>
            <w:vAlign w:val="center"/>
          </w:tcPr>
          <w:p w:rsidR="00FB236B" w:rsidRPr="00FB236B" w:rsidRDefault="00FB236B" w:rsidP="00FB236B">
            <w:pPr>
              <w:pStyle w:val="Tablecells"/>
              <w:jc w:val="right"/>
            </w:pPr>
            <w:r>
              <w:t>1,149</w:t>
            </w:r>
            <w:r w:rsidRPr="00FB236B">
              <w:t xml:space="preserve"> </w:t>
            </w:r>
          </w:p>
        </w:tc>
        <w:tc>
          <w:tcPr>
            <w:tcW w:w="1225" w:type="dxa"/>
            <w:tcBorders>
              <w:top w:val="single" w:sz="18" w:space="0" w:color="221F72"/>
            </w:tcBorders>
            <w:vAlign w:val="center"/>
          </w:tcPr>
          <w:p w:rsidR="00FB236B" w:rsidRPr="00FB236B" w:rsidRDefault="00FB236B" w:rsidP="00FB236B">
            <w:pPr>
              <w:pStyle w:val="Tablecells"/>
              <w:jc w:val="right"/>
            </w:pPr>
            <w:r>
              <w:t>61</w:t>
            </w:r>
            <w:r w:rsidRPr="00FB236B">
              <w:t xml:space="preserve"> </w:t>
            </w:r>
          </w:p>
        </w:tc>
      </w:tr>
      <w:tr w:rsidR="00FB236B" w:rsidTr="00841EA0">
        <w:trPr>
          <w:cnfStyle w:val="000000100000" w:firstRow="0" w:lastRow="0" w:firstColumn="0" w:lastColumn="0" w:oddVBand="0" w:evenVBand="0" w:oddHBand="1" w:evenHBand="0" w:firstRowFirstColumn="0" w:firstRowLastColumn="0" w:lastRowFirstColumn="0" w:lastRowLastColumn="0"/>
        </w:trPr>
        <w:tc>
          <w:tcPr>
            <w:tcW w:w="1474" w:type="dxa"/>
            <w:tcBorders>
              <w:bottom w:val="nil"/>
            </w:tcBorders>
            <w:vAlign w:val="center"/>
          </w:tcPr>
          <w:p w:rsidR="00FB236B" w:rsidRDefault="00FB236B" w:rsidP="00841EA0">
            <w:pPr>
              <w:pStyle w:val="Tablecells"/>
            </w:pPr>
            <w:r>
              <w:t>Urban in metro areas</w:t>
            </w:r>
          </w:p>
        </w:tc>
        <w:tc>
          <w:tcPr>
            <w:tcW w:w="1224" w:type="dxa"/>
            <w:tcBorders>
              <w:bottom w:val="nil"/>
            </w:tcBorders>
            <w:vAlign w:val="center"/>
          </w:tcPr>
          <w:p w:rsidR="00FB236B" w:rsidRPr="00F305D9" w:rsidRDefault="00FB236B" w:rsidP="00841EA0">
            <w:pPr>
              <w:pStyle w:val="Tablecells"/>
              <w:jc w:val="right"/>
            </w:pPr>
            <w:r w:rsidRPr="00F305D9">
              <w:t xml:space="preserve">1,145 </w:t>
            </w:r>
          </w:p>
        </w:tc>
        <w:tc>
          <w:tcPr>
            <w:tcW w:w="1225" w:type="dxa"/>
            <w:tcBorders>
              <w:bottom w:val="nil"/>
            </w:tcBorders>
            <w:vAlign w:val="center"/>
          </w:tcPr>
          <w:p w:rsidR="00FB236B" w:rsidRDefault="00FB236B" w:rsidP="00841EA0">
            <w:pPr>
              <w:pStyle w:val="Tablecells"/>
              <w:jc w:val="right"/>
            </w:pPr>
            <w:r>
              <w:t xml:space="preserve">0 </w:t>
            </w:r>
          </w:p>
        </w:tc>
        <w:tc>
          <w:tcPr>
            <w:tcW w:w="1225" w:type="dxa"/>
            <w:tcBorders>
              <w:bottom w:val="nil"/>
            </w:tcBorders>
            <w:vAlign w:val="center"/>
          </w:tcPr>
          <w:p w:rsidR="00FB236B" w:rsidRDefault="00FB236B" w:rsidP="00841EA0">
            <w:pPr>
              <w:pStyle w:val="Tablecells"/>
              <w:jc w:val="right"/>
            </w:pPr>
            <w:r>
              <w:t xml:space="preserve">0 </w:t>
            </w:r>
          </w:p>
        </w:tc>
        <w:tc>
          <w:tcPr>
            <w:tcW w:w="1224" w:type="dxa"/>
            <w:tcBorders>
              <w:bottom w:val="nil"/>
            </w:tcBorders>
            <w:vAlign w:val="center"/>
          </w:tcPr>
          <w:p w:rsidR="00FB236B" w:rsidRPr="00FB236B" w:rsidRDefault="00FB236B" w:rsidP="00FB236B">
            <w:pPr>
              <w:pStyle w:val="Tablecells"/>
              <w:jc w:val="right"/>
            </w:pPr>
            <w:r w:rsidRPr="00FB236B">
              <w:t xml:space="preserve">3,272 </w:t>
            </w:r>
          </w:p>
        </w:tc>
        <w:tc>
          <w:tcPr>
            <w:tcW w:w="1225" w:type="dxa"/>
            <w:tcBorders>
              <w:bottom w:val="nil"/>
            </w:tcBorders>
            <w:vAlign w:val="center"/>
          </w:tcPr>
          <w:p w:rsidR="00FB236B" w:rsidRPr="00FB236B" w:rsidRDefault="00FB236B" w:rsidP="00FB236B">
            <w:pPr>
              <w:pStyle w:val="Tablecells"/>
              <w:jc w:val="right"/>
            </w:pPr>
            <w:r w:rsidRPr="00FB236B">
              <w:t xml:space="preserve">1,617 </w:t>
            </w:r>
          </w:p>
        </w:tc>
        <w:tc>
          <w:tcPr>
            <w:tcW w:w="1225" w:type="dxa"/>
            <w:tcBorders>
              <w:bottom w:val="nil"/>
            </w:tcBorders>
            <w:vAlign w:val="center"/>
          </w:tcPr>
          <w:p w:rsidR="00FB236B" w:rsidRPr="00FB236B" w:rsidRDefault="00FB236B" w:rsidP="00FB236B">
            <w:pPr>
              <w:pStyle w:val="Tablecells"/>
              <w:jc w:val="right"/>
            </w:pPr>
            <w:r w:rsidRPr="00FB236B">
              <w:t xml:space="preserve">171 </w:t>
            </w:r>
          </w:p>
        </w:tc>
      </w:tr>
      <w:tr w:rsidR="00FB236B" w:rsidTr="00841EA0">
        <w:tc>
          <w:tcPr>
            <w:tcW w:w="1474" w:type="dxa"/>
            <w:tcBorders>
              <w:bottom w:val="nil"/>
            </w:tcBorders>
            <w:vAlign w:val="center"/>
          </w:tcPr>
          <w:p w:rsidR="00FB236B" w:rsidRDefault="00FB236B" w:rsidP="00841EA0">
            <w:pPr>
              <w:pStyle w:val="Tablecells"/>
            </w:pPr>
            <w:r>
              <w:t>Urban in regional areas</w:t>
            </w:r>
          </w:p>
        </w:tc>
        <w:tc>
          <w:tcPr>
            <w:tcW w:w="1224" w:type="dxa"/>
            <w:tcBorders>
              <w:bottom w:val="nil"/>
            </w:tcBorders>
            <w:vAlign w:val="center"/>
          </w:tcPr>
          <w:p w:rsidR="00FB236B" w:rsidRPr="00F305D9" w:rsidRDefault="00FB236B" w:rsidP="00841EA0">
            <w:pPr>
              <w:pStyle w:val="Tablecells"/>
              <w:jc w:val="right"/>
            </w:pPr>
            <w:r w:rsidRPr="00F305D9">
              <w:t xml:space="preserve">56 </w:t>
            </w:r>
          </w:p>
        </w:tc>
        <w:tc>
          <w:tcPr>
            <w:tcW w:w="1225" w:type="dxa"/>
            <w:tcBorders>
              <w:bottom w:val="nil"/>
            </w:tcBorders>
            <w:vAlign w:val="center"/>
          </w:tcPr>
          <w:p w:rsidR="00FB236B" w:rsidRDefault="00FB236B" w:rsidP="00841EA0">
            <w:pPr>
              <w:pStyle w:val="Tablecells"/>
              <w:jc w:val="right"/>
            </w:pPr>
            <w:r>
              <w:t xml:space="preserve">0 </w:t>
            </w:r>
          </w:p>
        </w:tc>
        <w:tc>
          <w:tcPr>
            <w:tcW w:w="1225" w:type="dxa"/>
            <w:tcBorders>
              <w:bottom w:val="nil"/>
            </w:tcBorders>
            <w:vAlign w:val="center"/>
          </w:tcPr>
          <w:p w:rsidR="00FB236B" w:rsidRDefault="00FB236B" w:rsidP="00841EA0">
            <w:pPr>
              <w:pStyle w:val="Tablecells"/>
              <w:jc w:val="right"/>
            </w:pPr>
            <w:r>
              <w:t xml:space="preserve">0 </w:t>
            </w:r>
          </w:p>
        </w:tc>
        <w:tc>
          <w:tcPr>
            <w:tcW w:w="1224" w:type="dxa"/>
            <w:tcBorders>
              <w:bottom w:val="nil"/>
            </w:tcBorders>
            <w:vAlign w:val="center"/>
          </w:tcPr>
          <w:p w:rsidR="00FB236B" w:rsidRPr="00FB236B" w:rsidRDefault="00FB236B" w:rsidP="00FB236B">
            <w:pPr>
              <w:pStyle w:val="Tablecells"/>
              <w:jc w:val="right"/>
            </w:pPr>
            <w:r w:rsidRPr="00FB236B">
              <w:t xml:space="preserve">-  </w:t>
            </w:r>
          </w:p>
        </w:tc>
        <w:tc>
          <w:tcPr>
            <w:tcW w:w="1225" w:type="dxa"/>
            <w:tcBorders>
              <w:bottom w:val="nil"/>
            </w:tcBorders>
            <w:vAlign w:val="center"/>
          </w:tcPr>
          <w:p w:rsidR="00FB236B" w:rsidRPr="00FB236B" w:rsidRDefault="00FB236B" w:rsidP="00FB236B">
            <w:pPr>
              <w:pStyle w:val="Tablecells"/>
              <w:jc w:val="right"/>
            </w:pPr>
            <w:r w:rsidRPr="00FB236B">
              <w:t xml:space="preserve">224 </w:t>
            </w:r>
          </w:p>
        </w:tc>
        <w:tc>
          <w:tcPr>
            <w:tcW w:w="1225" w:type="dxa"/>
            <w:tcBorders>
              <w:bottom w:val="nil"/>
            </w:tcBorders>
            <w:vAlign w:val="center"/>
          </w:tcPr>
          <w:p w:rsidR="00FB236B" w:rsidRPr="00FB236B" w:rsidRDefault="00FB236B" w:rsidP="00FB236B">
            <w:pPr>
              <w:pStyle w:val="Tablecells"/>
              <w:jc w:val="right"/>
            </w:pPr>
            <w:r w:rsidRPr="00FB236B">
              <w:t xml:space="preserve">54 </w:t>
            </w:r>
          </w:p>
        </w:tc>
      </w:tr>
      <w:tr w:rsidR="00FB236B" w:rsidTr="00841EA0">
        <w:trPr>
          <w:cnfStyle w:val="000000100000" w:firstRow="0" w:lastRow="0" w:firstColumn="0" w:lastColumn="0" w:oddVBand="0" w:evenVBand="0" w:oddHBand="1" w:evenHBand="0" w:firstRowFirstColumn="0" w:firstRowLastColumn="0" w:lastRowFirstColumn="0" w:lastRowLastColumn="0"/>
        </w:trPr>
        <w:tc>
          <w:tcPr>
            <w:tcW w:w="1474" w:type="dxa"/>
            <w:tcBorders>
              <w:bottom w:val="nil"/>
            </w:tcBorders>
            <w:vAlign w:val="center"/>
          </w:tcPr>
          <w:p w:rsidR="00FB236B" w:rsidRDefault="00FB236B" w:rsidP="00841EA0">
            <w:pPr>
              <w:pStyle w:val="Tablecells"/>
            </w:pPr>
            <w:r>
              <w:t>Suburban in metro areas</w:t>
            </w:r>
          </w:p>
        </w:tc>
        <w:tc>
          <w:tcPr>
            <w:tcW w:w="1224" w:type="dxa"/>
            <w:tcBorders>
              <w:bottom w:val="nil"/>
            </w:tcBorders>
            <w:vAlign w:val="center"/>
          </w:tcPr>
          <w:p w:rsidR="00FB236B" w:rsidRPr="00F305D9" w:rsidRDefault="00FB236B" w:rsidP="00841EA0">
            <w:pPr>
              <w:pStyle w:val="Tablecells"/>
              <w:jc w:val="right"/>
            </w:pPr>
            <w:r w:rsidRPr="00F305D9">
              <w:t xml:space="preserve">216 </w:t>
            </w:r>
          </w:p>
        </w:tc>
        <w:tc>
          <w:tcPr>
            <w:tcW w:w="1225" w:type="dxa"/>
            <w:tcBorders>
              <w:bottom w:val="nil"/>
            </w:tcBorders>
            <w:vAlign w:val="center"/>
          </w:tcPr>
          <w:p w:rsidR="00FB236B" w:rsidRDefault="00FB236B" w:rsidP="00841EA0">
            <w:pPr>
              <w:pStyle w:val="Tablecells"/>
              <w:jc w:val="right"/>
            </w:pPr>
            <w:r>
              <w:t xml:space="preserve">0 </w:t>
            </w:r>
          </w:p>
        </w:tc>
        <w:tc>
          <w:tcPr>
            <w:tcW w:w="1225" w:type="dxa"/>
            <w:tcBorders>
              <w:bottom w:val="nil"/>
            </w:tcBorders>
            <w:vAlign w:val="center"/>
          </w:tcPr>
          <w:p w:rsidR="00FB236B" w:rsidRDefault="00FB236B" w:rsidP="00841EA0">
            <w:pPr>
              <w:pStyle w:val="Tablecells"/>
              <w:jc w:val="right"/>
            </w:pPr>
            <w:r>
              <w:t xml:space="preserve">0 </w:t>
            </w:r>
          </w:p>
        </w:tc>
        <w:tc>
          <w:tcPr>
            <w:tcW w:w="1224" w:type="dxa"/>
            <w:tcBorders>
              <w:bottom w:val="nil"/>
            </w:tcBorders>
            <w:vAlign w:val="center"/>
          </w:tcPr>
          <w:p w:rsidR="00FB236B" w:rsidRPr="00FB236B" w:rsidRDefault="00FB236B" w:rsidP="00FB236B">
            <w:pPr>
              <w:pStyle w:val="Tablecells"/>
              <w:jc w:val="right"/>
            </w:pPr>
            <w:r w:rsidRPr="00FB236B">
              <w:t xml:space="preserve">1,375 </w:t>
            </w:r>
          </w:p>
        </w:tc>
        <w:tc>
          <w:tcPr>
            <w:tcW w:w="1225" w:type="dxa"/>
            <w:tcBorders>
              <w:bottom w:val="nil"/>
            </w:tcBorders>
            <w:vAlign w:val="center"/>
          </w:tcPr>
          <w:p w:rsidR="00FB236B" w:rsidRPr="00FB236B" w:rsidRDefault="00FB236B" w:rsidP="00FB236B">
            <w:pPr>
              <w:pStyle w:val="Tablecells"/>
              <w:jc w:val="right"/>
            </w:pPr>
            <w:r w:rsidRPr="00FB236B">
              <w:t xml:space="preserve">885 </w:t>
            </w:r>
          </w:p>
        </w:tc>
        <w:tc>
          <w:tcPr>
            <w:tcW w:w="1225" w:type="dxa"/>
            <w:tcBorders>
              <w:bottom w:val="nil"/>
            </w:tcBorders>
            <w:vAlign w:val="center"/>
          </w:tcPr>
          <w:p w:rsidR="00FB236B" w:rsidRPr="00FB236B" w:rsidRDefault="00FB236B" w:rsidP="00FB236B">
            <w:pPr>
              <w:pStyle w:val="Tablecells"/>
              <w:jc w:val="right"/>
            </w:pPr>
            <w:r w:rsidRPr="00FB236B">
              <w:t xml:space="preserve">136 </w:t>
            </w:r>
          </w:p>
        </w:tc>
      </w:tr>
      <w:tr w:rsidR="00FB236B" w:rsidTr="00841EA0">
        <w:tc>
          <w:tcPr>
            <w:tcW w:w="1474" w:type="dxa"/>
            <w:tcBorders>
              <w:bottom w:val="nil"/>
            </w:tcBorders>
            <w:vAlign w:val="center"/>
          </w:tcPr>
          <w:p w:rsidR="00FB236B" w:rsidRDefault="00FB236B" w:rsidP="00841EA0">
            <w:pPr>
              <w:pStyle w:val="Tablecells"/>
            </w:pPr>
            <w:r>
              <w:t>Suburban in regional areas</w:t>
            </w:r>
          </w:p>
        </w:tc>
        <w:tc>
          <w:tcPr>
            <w:tcW w:w="1224" w:type="dxa"/>
            <w:tcBorders>
              <w:bottom w:val="nil"/>
            </w:tcBorders>
            <w:vAlign w:val="center"/>
          </w:tcPr>
          <w:p w:rsidR="00FB236B" w:rsidRDefault="00FB236B" w:rsidP="00841EA0">
            <w:pPr>
              <w:pStyle w:val="Tablecells"/>
              <w:jc w:val="right"/>
            </w:pPr>
            <w:r w:rsidRPr="00F305D9">
              <w:t xml:space="preserve">130 </w:t>
            </w:r>
          </w:p>
        </w:tc>
        <w:tc>
          <w:tcPr>
            <w:tcW w:w="1225" w:type="dxa"/>
            <w:tcBorders>
              <w:bottom w:val="nil"/>
            </w:tcBorders>
            <w:vAlign w:val="center"/>
          </w:tcPr>
          <w:p w:rsidR="00FB236B" w:rsidRDefault="00FB236B" w:rsidP="00841EA0">
            <w:pPr>
              <w:pStyle w:val="Tablecells"/>
              <w:jc w:val="right"/>
            </w:pPr>
            <w:r>
              <w:t xml:space="preserve">0 </w:t>
            </w:r>
          </w:p>
        </w:tc>
        <w:tc>
          <w:tcPr>
            <w:tcW w:w="1225" w:type="dxa"/>
            <w:tcBorders>
              <w:bottom w:val="nil"/>
            </w:tcBorders>
            <w:vAlign w:val="center"/>
          </w:tcPr>
          <w:p w:rsidR="00FB236B" w:rsidRDefault="00FB236B" w:rsidP="00841EA0">
            <w:pPr>
              <w:pStyle w:val="Tablecells"/>
              <w:jc w:val="right"/>
            </w:pPr>
            <w:r>
              <w:t xml:space="preserve">0 </w:t>
            </w:r>
          </w:p>
        </w:tc>
        <w:tc>
          <w:tcPr>
            <w:tcW w:w="1224" w:type="dxa"/>
            <w:tcBorders>
              <w:bottom w:val="nil"/>
            </w:tcBorders>
            <w:vAlign w:val="center"/>
          </w:tcPr>
          <w:p w:rsidR="00FB236B" w:rsidRPr="00FB236B" w:rsidRDefault="00FB236B" w:rsidP="00FB236B">
            <w:pPr>
              <w:pStyle w:val="Tablecells"/>
              <w:jc w:val="right"/>
            </w:pPr>
            <w:r w:rsidRPr="00FB236B">
              <w:t xml:space="preserve">280 </w:t>
            </w:r>
          </w:p>
        </w:tc>
        <w:tc>
          <w:tcPr>
            <w:tcW w:w="1225" w:type="dxa"/>
            <w:tcBorders>
              <w:bottom w:val="nil"/>
            </w:tcBorders>
            <w:vAlign w:val="center"/>
          </w:tcPr>
          <w:p w:rsidR="00FB236B" w:rsidRPr="00FB236B" w:rsidRDefault="00FB236B" w:rsidP="00FB236B">
            <w:pPr>
              <w:pStyle w:val="Tablecells"/>
              <w:jc w:val="right"/>
            </w:pPr>
            <w:r w:rsidRPr="00FB236B">
              <w:t xml:space="preserve">964 </w:t>
            </w:r>
          </w:p>
        </w:tc>
        <w:tc>
          <w:tcPr>
            <w:tcW w:w="1225" w:type="dxa"/>
            <w:tcBorders>
              <w:bottom w:val="nil"/>
            </w:tcBorders>
            <w:vAlign w:val="center"/>
          </w:tcPr>
          <w:p w:rsidR="00FB236B" w:rsidRPr="00FB236B" w:rsidRDefault="00FB236B" w:rsidP="00FB236B">
            <w:pPr>
              <w:pStyle w:val="Tablecells"/>
              <w:jc w:val="right"/>
            </w:pPr>
            <w:r w:rsidRPr="00FB236B">
              <w:t xml:space="preserve">97 </w:t>
            </w:r>
          </w:p>
        </w:tc>
      </w:tr>
      <w:tr w:rsidR="00FB236B" w:rsidTr="00841EA0">
        <w:trPr>
          <w:cnfStyle w:val="000000100000" w:firstRow="0" w:lastRow="0" w:firstColumn="0" w:lastColumn="0" w:oddVBand="0" w:evenVBand="0" w:oddHBand="1" w:evenHBand="0" w:firstRowFirstColumn="0" w:firstRowLastColumn="0" w:lastRowFirstColumn="0" w:lastRowLastColumn="0"/>
        </w:trPr>
        <w:tc>
          <w:tcPr>
            <w:tcW w:w="1474" w:type="dxa"/>
            <w:tcBorders>
              <w:bottom w:val="nil"/>
            </w:tcBorders>
            <w:vAlign w:val="center"/>
          </w:tcPr>
          <w:p w:rsidR="00FB236B" w:rsidRDefault="00FB236B" w:rsidP="00841EA0">
            <w:pPr>
              <w:pStyle w:val="Tablecells"/>
            </w:pPr>
            <w:r>
              <w:t>Rural</w:t>
            </w:r>
          </w:p>
        </w:tc>
        <w:tc>
          <w:tcPr>
            <w:tcW w:w="1224" w:type="dxa"/>
            <w:tcBorders>
              <w:bottom w:val="nil"/>
            </w:tcBorders>
            <w:vAlign w:val="center"/>
          </w:tcPr>
          <w:p w:rsidR="00FB236B" w:rsidRDefault="00FB236B" w:rsidP="00841EA0">
            <w:pPr>
              <w:pStyle w:val="Tablecells"/>
              <w:jc w:val="right"/>
            </w:pPr>
            <w:r>
              <w:t xml:space="preserve">0 </w:t>
            </w:r>
          </w:p>
        </w:tc>
        <w:tc>
          <w:tcPr>
            <w:tcW w:w="1225" w:type="dxa"/>
            <w:tcBorders>
              <w:bottom w:val="nil"/>
            </w:tcBorders>
            <w:vAlign w:val="center"/>
          </w:tcPr>
          <w:p w:rsidR="00FB236B" w:rsidRDefault="00FB236B" w:rsidP="00841EA0">
            <w:pPr>
              <w:pStyle w:val="Tablecells"/>
              <w:jc w:val="right"/>
            </w:pPr>
            <w:r>
              <w:t xml:space="preserve">0 </w:t>
            </w:r>
          </w:p>
        </w:tc>
        <w:tc>
          <w:tcPr>
            <w:tcW w:w="1225" w:type="dxa"/>
            <w:tcBorders>
              <w:bottom w:val="nil"/>
            </w:tcBorders>
            <w:vAlign w:val="center"/>
          </w:tcPr>
          <w:p w:rsidR="00FB236B" w:rsidRDefault="00FB236B" w:rsidP="00841EA0">
            <w:pPr>
              <w:pStyle w:val="Tablecells"/>
              <w:jc w:val="right"/>
            </w:pPr>
            <w:r>
              <w:t xml:space="preserve">0 </w:t>
            </w:r>
          </w:p>
        </w:tc>
        <w:tc>
          <w:tcPr>
            <w:tcW w:w="1224" w:type="dxa"/>
            <w:tcBorders>
              <w:bottom w:val="nil"/>
            </w:tcBorders>
            <w:vAlign w:val="center"/>
          </w:tcPr>
          <w:p w:rsidR="00FB236B" w:rsidRPr="00FB236B" w:rsidRDefault="00FB236B" w:rsidP="00FB236B">
            <w:pPr>
              <w:pStyle w:val="Tablecells"/>
              <w:jc w:val="right"/>
            </w:pPr>
            <w:r w:rsidRPr="00FB236B">
              <w:t xml:space="preserve">3,227 </w:t>
            </w:r>
          </w:p>
        </w:tc>
        <w:tc>
          <w:tcPr>
            <w:tcW w:w="1225" w:type="dxa"/>
            <w:tcBorders>
              <w:bottom w:val="nil"/>
            </w:tcBorders>
            <w:vAlign w:val="center"/>
          </w:tcPr>
          <w:p w:rsidR="00FB236B" w:rsidRPr="00FB236B" w:rsidRDefault="00FB236B" w:rsidP="00FB236B">
            <w:pPr>
              <w:pStyle w:val="Tablecells"/>
              <w:jc w:val="right"/>
            </w:pPr>
            <w:r w:rsidRPr="00FB236B">
              <w:t xml:space="preserve">599 </w:t>
            </w:r>
          </w:p>
        </w:tc>
        <w:tc>
          <w:tcPr>
            <w:tcW w:w="1225" w:type="dxa"/>
            <w:tcBorders>
              <w:bottom w:val="nil"/>
            </w:tcBorders>
            <w:vAlign w:val="center"/>
          </w:tcPr>
          <w:p w:rsidR="00FB236B" w:rsidRPr="00FB236B" w:rsidRDefault="00FB236B" w:rsidP="00FB236B">
            <w:pPr>
              <w:pStyle w:val="Tablecells"/>
              <w:jc w:val="right"/>
            </w:pPr>
            <w:r w:rsidRPr="00FB236B">
              <w:t xml:space="preserve">41 </w:t>
            </w:r>
          </w:p>
        </w:tc>
      </w:tr>
      <w:tr w:rsidR="00FB236B" w:rsidTr="00841EA0">
        <w:tc>
          <w:tcPr>
            <w:tcW w:w="1474" w:type="dxa"/>
            <w:tcBorders>
              <w:top w:val="nil"/>
              <w:bottom w:val="single" w:sz="4" w:space="0" w:color="808080"/>
            </w:tcBorders>
            <w:vAlign w:val="center"/>
          </w:tcPr>
          <w:p w:rsidR="00FB236B" w:rsidRDefault="00FB236B" w:rsidP="00841EA0">
            <w:pPr>
              <w:pStyle w:val="Tablecells"/>
            </w:pPr>
            <w:r>
              <w:t>Remote</w:t>
            </w:r>
          </w:p>
        </w:tc>
        <w:tc>
          <w:tcPr>
            <w:tcW w:w="1224" w:type="dxa"/>
            <w:tcBorders>
              <w:top w:val="nil"/>
              <w:bottom w:val="single" w:sz="4" w:space="0" w:color="808080"/>
            </w:tcBorders>
            <w:vAlign w:val="center"/>
          </w:tcPr>
          <w:p w:rsidR="00FB236B" w:rsidRDefault="00FB236B" w:rsidP="00841EA0">
            <w:pPr>
              <w:pStyle w:val="Tablecells"/>
              <w:jc w:val="right"/>
            </w:pPr>
            <w:r>
              <w:t xml:space="preserve">0 </w:t>
            </w:r>
          </w:p>
        </w:tc>
        <w:tc>
          <w:tcPr>
            <w:tcW w:w="1225" w:type="dxa"/>
            <w:tcBorders>
              <w:top w:val="nil"/>
              <w:bottom w:val="single" w:sz="4" w:space="0" w:color="808080"/>
            </w:tcBorders>
            <w:vAlign w:val="center"/>
          </w:tcPr>
          <w:p w:rsidR="00FB236B" w:rsidRDefault="00FB236B" w:rsidP="00841EA0">
            <w:pPr>
              <w:pStyle w:val="Tablecells"/>
              <w:jc w:val="right"/>
            </w:pPr>
            <w:r>
              <w:t xml:space="preserve">0 </w:t>
            </w:r>
          </w:p>
        </w:tc>
        <w:tc>
          <w:tcPr>
            <w:tcW w:w="1225" w:type="dxa"/>
            <w:tcBorders>
              <w:top w:val="nil"/>
              <w:bottom w:val="single" w:sz="4" w:space="0" w:color="808080"/>
            </w:tcBorders>
            <w:vAlign w:val="center"/>
          </w:tcPr>
          <w:p w:rsidR="00FB236B" w:rsidRDefault="00FB236B" w:rsidP="00841EA0">
            <w:pPr>
              <w:pStyle w:val="Tablecells"/>
              <w:jc w:val="right"/>
            </w:pPr>
            <w:r>
              <w:t xml:space="preserve">0 </w:t>
            </w:r>
          </w:p>
        </w:tc>
        <w:tc>
          <w:tcPr>
            <w:tcW w:w="1224" w:type="dxa"/>
            <w:tcBorders>
              <w:top w:val="nil"/>
              <w:bottom w:val="single" w:sz="4" w:space="0" w:color="808080"/>
            </w:tcBorders>
            <w:vAlign w:val="center"/>
          </w:tcPr>
          <w:p w:rsidR="00FB236B" w:rsidRPr="00FB236B" w:rsidRDefault="00FB236B" w:rsidP="00FB236B">
            <w:pPr>
              <w:pStyle w:val="Tablecells"/>
              <w:jc w:val="right"/>
            </w:pPr>
            <w:r w:rsidRPr="00FB236B">
              <w:t xml:space="preserve">955 </w:t>
            </w:r>
          </w:p>
        </w:tc>
        <w:tc>
          <w:tcPr>
            <w:tcW w:w="1225" w:type="dxa"/>
            <w:tcBorders>
              <w:top w:val="nil"/>
              <w:bottom w:val="single" w:sz="4" w:space="0" w:color="808080"/>
            </w:tcBorders>
            <w:vAlign w:val="center"/>
          </w:tcPr>
          <w:p w:rsidR="00FB236B" w:rsidRPr="00FB236B" w:rsidRDefault="00FB236B" w:rsidP="00FB236B">
            <w:pPr>
              <w:pStyle w:val="Tablecells"/>
              <w:jc w:val="right"/>
            </w:pPr>
            <w:r w:rsidRPr="00FB236B">
              <w:t xml:space="preserve">0 </w:t>
            </w:r>
          </w:p>
        </w:tc>
        <w:tc>
          <w:tcPr>
            <w:tcW w:w="1225" w:type="dxa"/>
            <w:tcBorders>
              <w:top w:val="nil"/>
              <w:bottom w:val="single" w:sz="4" w:space="0" w:color="808080"/>
            </w:tcBorders>
            <w:vAlign w:val="center"/>
          </w:tcPr>
          <w:p w:rsidR="00FB236B" w:rsidRDefault="00FB236B" w:rsidP="00FB236B">
            <w:pPr>
              <w:pStyle w:val="Tablecells"/>
              <w:jc w:val="right"/>
            </w:pPr>
            <w:r>
              <w:t xml:space="preserve">0 </w:t>
            </w:r>
          </w:p>
        </w:tc>
      </w:tr>
      <w:tr w:rsidR="00B873A7" w:rsidRPr="009F5DBB" w:rsidTr="00841EA0">
        <w:trPr>
          <w:cnfStyle w:val="000000100000" w:firstRow="0" w:lastRow="0" w:firstColumn="0" w:lastColumn="0" w:oddVBand="0" w:evenVBand="0" w:oddHBand="1" w:evenHBand="0" w:firstRowFirstColumn="0" w:firstRowLastColumn="0" w:lastRowFirstColumn="0" w:lastRowLastColumn="0"/>
        </w:trPr>
        <w:tc>
          <w:tcPr>
            <w:tcW w:w="1474" w:type="dxa"/>
            <w:tcBorders>
              <w:top w:val="nil"/>
              <w:bottom w:val="single" w:sz="4" w:space="0" w:color="808080"/>
            </w:tcBorders>
            <w:vAlign w:val="center"/>
          </w:tcPr>
          <w:p w:rsidR="00B873A7" w:rsidRPr="00E62D86" w:rsidRDefault="00B873A7" w:rsidP="00841EA0">
            <w:pPr>
              <w:pStyle w:val="Tablecells"/>
              <w:rPr>
                <w:b/>
              </w:rPr>
            </w:pPr>
            <w:r w:rsidRPr="00E62D86">
              <w:rPr>
                <w:b/>
              </w:rPr>
              <w:t>Total</w:t>
            </w:r>
          </w:p>
        </w:tc>
        <w:tc>
          <w:tcPr>
            <w:tcW w:w="1224" w:type="dxa"/>
            <w:tcBorders>
              <w:top w:val="nil"/>
              <w:bottom w:val="single" w:sz="4" w:space="0" w:color="808080"/>
            </w:tcBorders>
            <w:vAlign w:val="center"/>
          </w:tcPr>
          <w:p w:rsidR="00B873A7" w:rsidRDefault="00B873A7" w:rsidP="00841EA0">
            <w:pPr>
              <w:pStyle w:val="Tablecells"/>
              <w:jc w:val="right"/>
              <w:rPr>
                <w:b/>
                <w:bCs/>
              </w:rPr>
            </w:pPr>
            <w:r>
              <w:rPr>
                <w:b/>
                <w:bCs/>
              </w:rPr>
              <w:t xml:space="preserve">3,534 </w:t>
            </w:r>
          </w:p>
        </w:tc>
        <w:tc>
          <w:tcPr>
            <w:tcW w:w="1225" w:type="dxa"/>
            <w:tcBorders>
              <w:top w:val="nil"/>
              <w:bottom w:val="single" w:sz="4" w:space="0" w:color="808080"/>
            </w:tcBorders>
            <w:vAlign w:val="center"/>
          </w:tcPr>
          <w:p w:rsidR="00B873A7" w:rsidRDefault="00B873A7" w:rsidP="00841EA0">
            <w:pPr>
              <w:pStyle w:val="Tablecells"/>
              <w:jc w:val="right"/>
              <w:rPr>
                <w:b/>
                <w:bCs/>
              </w:rPr>
            </w:pPr>
            <w:r>
              <w:rPr>
                <w:b/>
                <w:bCs/>
              </w:rPr>
              <w:t xml:space="preserve">0 </w:t>
            </w:r>
          </w:p>
        </w:tc>
        <w:tc>
          <w:tcPr>
            <w:tcW w:w="1225" w:type="dxa"/>
            <w:tcBorders>
              <w:top w:val="nil"/>
              <w:bottom w:val="single" w:sz="4" w:space="0" w:color="808080"/>
            </w:tcBorders>
            <w:vAlign w:val="center"/>
          </w:tcPr>
          <w:p w:rsidR="00B873A7" w:rsidRDefault="00B873A7" w:rsidP="00841EA0">
            <w:pPr>
              <w:pStyle w:val="Tablecells"/>
              <w:jc w:val="right"/>
              <w:rPr>
                <w:b/>
                <w:bCs/>
              </w:rPr>
            </w:pPr>
            <w:r>
              <w:rPr>
                <w:b/>
                <w:bCs/>
              </w:rPr>
              <w:t xml:space="preserve">0 </w:t>
            </w:r>
          </w:p>
        </w:tc>
        <w:tc>
          <w:tcPr>
            <w:tcW w:w="1224" w:type="dxa"/>
            <w:tcBorders>
              <w:top w:val="nil"/>
              <w:bottom w:val="single" w:sz="4" w:space="0" w:color="808080"/>
            </w:tcBorders>
            <w:vAlign w:val="center"/>
          </w:tcPr>
          <w:p w:rsidR="00B873A7" w:rsidRDefault="00FB236B" w:rsidP="00841EA0">
            <w:pPr>
              <w:pStyle w:val="Tablecells"/>
              <w:jc w:val="right"/>
              <w:rPr>
                <w:b/>
                <w:bCs/>
              </w:rPr>
            </w:pPr>
            <w:r>
              <w:rPr>
                <w:b/>
                <w:bCs/>
              </w:rPr>
              <w:t>13,664</w:t>
            </w:r>
            <w:r w:rsidR="00B873A7">
              <w:rPr>
                <w:b/>
                <w:bCs/>
              </w:rPr>
              <w:t xml:space="preserve"> </w:t>
            </w:r>
          </w:p>
        </w:tc>
        <w:tc>
          <w:tcPr>
            <w:tcW w:w="1225" w:type="dxa"/>
            <w:tcBorders>
              <w:top w:val="nil"/>
              <w:bottom w:val="single" w:sz="4" w:space="0" w:color="808080"/>
            </w:tcBorders>
            <w:vAlign w:val="center"/>
          </w:tcPr>
          <w:p w:rsidR="00B873A7" w:rsidRDefault="00FB236B" w:rsidP="00841EA0">
            <w:pPr>
              <w:pStyle w:val="Tablecells"/>
              <w:jc w:val="right"/>
              <w:rPr>
                <w:b/>
                <w:bCs/>
              </w:rPr>
            </w:pPr>
            <w:r>
              <w:rPr>
                <w:b/>
                <w:bCs/>
              </w:rPr>
              <w:t>5,438</w:t>
            </w:r>
            <w:r w:rsidR="00B873A7">
              <w:rPr>
                <w:b/>
                <w:bCs/>
              </w:rPr>
              <w:t xml:space="preserve"> </w:t>
            </w:r>
          </w:p>
        </w:tc>
        <w:tc>
          <w:tcPr>
            <w:tcW w:w="1225" w:type="dxa"/>
            <w:tcBorders>
              <w:top w:val="nil"/>
              <w:bottom w:val="single" w:sz="4" w:space="0" w:color="808080"/>
            </w:tcBorders>
            <w:vAlign w:val="center"/>
          </w:tcPr>
          <w:p w:rsidR="00B873A7" w:rsidRDefault="00FB236B" w:rsidP="00FB236B">
            <w:pPr>
              <w:pStyle w:val="Tablecells"/>
              <w:jc w:val="right"/>
              <w:rPr>
                <w:b/>
                <w:bCs/>
              </w:rPr>
            </w:pPr>
            <w:r>
              <w:rPr>
                <w:b/>
                <w:bCs/>
              </w:rPr>
              <w:t xml:space="preserve">560 </w:t>
            </w:r>
          </w:p>
        </w:tc>
      </w:tr>
    </w:tbl>
    <w:p w:rsidR="00B873A7" w:rsidRDefault="00B873A7" w:rsidP="00B873A7">
      <w:pPr>
        <w:spacing w:after="200" w:line="0" w:lineRule="auto"/>
        <w:jc w:val="left"/>
      </w:pPr>
    </w:p>
    <w:p w:rsidR="00B873A7" w:rsidRDefault="00B873A7" w:rsidP="00B873A7">
      <w:bookmarkStart w:id="150" w:name="_Toc369185111"/>
      <w:r>
        <w:t xml:space="preserve">Looking further ahead to 2025, the total number of logical sites only increases by around </w:t>
      </w:r>
      <w:r w:rsidR="00FB236B">
        <w:t>1</w:t>
      </w:r>
      <w:r>
        <w:t xml:space="preserve">00 compared to 2020. The remaining 3G capacity sites are also decommissioned (though we assume that in practice the physical sites will be retained as 4G capacity sites). We assume that no more 4G coverage sites are built after 2020 but the proportion of macrocell sites that require a capacity upgrade increases to around </w:t>
      </w:r>
      <w:r w:rsidR="00FB236B">
        <w:t>43</w:t>
      </w:r>
      <w:r>
        <w:t xml:space="preserve">% in 2025 while another </w:t>
      </w:r>
      <w:r w:rsidR="00FB236B">
        <w:t>60</w:t>
      </w:r>
      <w:r>
        <w:t>0 4G capacity sites are required, mostly in the metropolitan areas.</w:t>
      </w:r>
    </w:p>
    <w:p w:rsidR="00B873A7" w:rsidRDefault="00B873A7" w:rsidP="00B873A7">
      <w:pPr>
        <w:pStyle w:val="Heading2"/>
      </w:pPr>
      <w:bookmarkStart w:id="151" w:name="_Ref399172992"/>
      <w:bookmarkStart w:id="152" w:name="_Toc399178491"/>
      <w:bookmarkStart w:id="153" w:name="_Toc402102958"/>
      <w:bookmarkStart w:id="154" w:name="_Toc409445588"/>
      <w:r>
        <w:t>Analysis of low-band versus high-band traffic split</w:t>
      </w:r>
      <w:bookmarkEnd w:id="151"/>
      <w:bookmarkEnd w:id="152"/>
      <w:bookmarkEnd w:id="153"/>
      <w:bookmarkEnd w:id="154"/>
    </w:p>
    <w:p w:rsidR="00B873A7" w:rsidRDefault="00B873A7" w:rsidP="00B873A7">
      <w:r>
        <w:t>For each operator, the model calculates, for each geotype, how much of the LTE capacity is provided by:</w:t>
      </w:r>
    </w:p>
    <w:p w:rsidR="00B873A7" w:rsidRDefault="00B873A7" w:rsidP="00B873A7">
      <w:pPr>
        <w:pStyle w:val="ListBulletCompact"/>
        <w:tabs>
          <w:tab w:val="num" w:pos="360"/>
        </w:tabs>
        <w:ind w:left="357" w:hanging="357"/>
      </w:pPr>
      <w:r>
        <w:t>Sub-1GHz spectrum</w:t>
      </w:r>
    </w:p>
    <w:p w:rsidR="00B873A7" w:rsidRDefault="00B873A7" w:rsidP="00B873A7">
      <w:pPr>
        <w:pStyle w:val="ListBulletCompact"/>
        <w:tabs>
          <w:tab w:val="num" w:pos="360"/>
        </w:tabs>
        <w:ind w:left="357" w:hanging="357"/>
      </w:pPr>
      <w:r>
        <w:t>1800MHz spectrum used for coverage</w:t>
      </w:r>
    </w:p>
    <w:p w:rsidR="00B873A7" w:rsidRDefault="00B873A7" w:rsidP="00B873A7">
      <w:pPr>
        <w:pStyle w:val="ListBullet"/>
        <w:tabs>
          <w:tab w:val="num" w:pos="360"/>
        </w:tabs>
        <w:ind w:left="357" w:hanging="357"/>
      </w:pPr>
      <w:r>
        <w:t>Above 1GHz spectrum excluding 1800MHz spectrum used for coverage</w:t>
      </w:r>
    </w:p>
    <w:p w:rsidR="00A87B65" w:rsidRDefault="00B873A7" w:rsidP="004B1770">
      <w:pPr>
        <w:rPr>
          <w:rFonts w:ascii="Arial" w:hAnsi="Arial" w:cs="Arial"/>
          <w:bCs/>
          <w:i/>
          <w:sz w:val="18"/>
          <w:szCs w:val="18"/>
        </w:rPr>
      </w:pPr>
      <w:r>
        <w:t xml:space="preserve">As indicated in </w:t>
      </w:r>
      <w:r w:rsidR="00E36E08">
        <w:t>Section</w:t>
      </w:r>
      <w:r>
        <w:t xml:space="preserve"> </w:t>
      </w:r>
      <w:r w:rsidR="00DB7A05">
        <w:fldChar w:fldCharType="begin"/>
      </w:r>
      <w:r w:rsidR="00DB7A05">
        <w:instrText xml:space="preserve"> REF _Ref410724594 \r \h </w:instrText>
      </w:r>
      <w:r w:rsidR="00DB7A05">
        <w:fldChar w:fldCharType="separate"/>
      </w:r>
      <w:r w:rsidR="00A87B65">
        <w:t>4.2</w:t>
      </w:r>
      <w:r w:rsidR="00DB7A05">
        <w:fldChar w:fldCharType="end"/>
      </w:r>
      <w:r>
        <w:t>, a</w:t>
      </w:r>
      <w:r w:rsidRPr="005A53E7">
        <w:t>s a rule of thumb, we want there to be sufficient spectrum</w:t>
      </w:r>
      <w:r>
        <w:t xml:space="preserve"> available in the coverage band (and lower bands if any</w:t>
      </w:r>
      <w:r>
        <w:rPr>
          <w:rStyle w:val="FootnoteReference"/>
        </w:rPr>
        <w:footnoteReference w:id="45"/>
      </w:r>
      <w:r>
        <w:t>)</w:t>
      </w:r>
      <w:r w:rsidRPr="005A53E7">
        <w:t xml:space="preserve"> to be able to carry at least </w:t>
      </w:r>
      <w:r w:rsidR="005B197D">
        <w:t>2</w:t>
      </w:r>
      <w:r w:rsidRPr="005A53E7">
        <w:t>0% of the traffic</w:t>
      </w:r>
      <w:r>
        <w:t>,</w:t>
      </w:r>
      <w:r w:rsidRPr="005A53E7">
        <w:t xml:space="preserve"> to ensure that cell edge users are properly </w:t>
      </w:r>
      <w:r>
        <w:t>supported</w:t>
      </w:r>
      <w:r w:rsidRPr="005A53E7">
        <w:t xml:space="preserve">. </w:t>
      </w:r>
      <w:r w:rsidR="00FB236B">
        <w:t xml:space="preserve">The actual proportions are shown in </w:t>
      </w:r>
      <w:r w:rsidR="00FB236B" w:rsidRPr="002D2F9B">
        <w:fldChar w:fldCharType="begin"/>
      </w:r>
      <w:r w:rsidR="00FB236B" w:rsidRPr="002571CA">
        <w:instrText xml:space="preserve"> REF _Ref383445361 \h </w:instrText>
      </w:r>
      <w:r w:rsidR="00FB236B" w:rsidRPr="002D2F9B">
        <w:fldChar w:fldCharType="separate"/>
      </w:r>
      <w:r w:rsidR="00A87B65">
        <w:t>Our condition is always met for all three operators in the base case, which indicates that the current balance between low and high frequency spectrum should not create a barrier to serving mobile data users in the foreseeable future.</w:t>
      </w:r>
    </w:p>
    <w:p w:rsidR="00FB236B" w:rsidRPr="00EE4CCC" w:rsidRDefault="00A87B65" w:rsidP="00162304">
      <w:r>
        <w:t xml:space="preserve">Figure </w:t>
      </w:r>
      <w:r>
        <w:rPr>
          <w:noProof/>
        </w:rPr>
        <w:t>4</w:t>
      </w:r>
      <w:r>
        <w:t>.</w:t>
      </w:r>
      <w:r>
        <w:rPr>
          <w:noProof/>
        </w:rPr>
        <w:t>42</w:t>
      </w:r>
      <w:r w:rsidR="00FB236B" w:rsidRPr="002D2F9B">
        <w:fldChar w:fldCharType="end"/>
      </w:r>
      <w:r w:rsidR="00FB236B">
        <w:t xml:space="preserve"> for 2020 and </w:t>
      </w:r>
      <w:r w:rsidR="00162304" w:rsidRPr="002D2F9B">
        <w:fldChar w:fldCharType="begin"/>
      </w:r>
      <w:r w:rsidR="00162304" w:rsidRPr="002571CA">
        <w:instrText xml:space="preserve"> REF _Ref399838999 \h </w:instrText>
      </w:r>
      <w:r w:rsidR="00162304" w:rsidRPr="002D2F9B">
        <w:fldChar w:fldCharType="separate"/>
      </w:r>
      <w:r>
        <w:t xml:space="preserve">Figure </w:t>
      </w:r>
      <w:r>
        <w:rPr>
          <w:noProof/>
        </w:rPr>
        <w:t>4</w:t>
      </w:r>
      <w:r>
        <w:t>.</w:t>
      </w:r>
      <w:r>
        <w:rPr>
          <w:noProof/>
        </w:rPr>
        <w:t>43</w:t>
      </w:r>
      <w:r w:rsidR="00162304" w:rsidRPr="002D2F9B">
        <w:fldChar w:fldCharType="end"/>
      </w:r>
      <w:r w:rsidR="00FB236B">
        <w:t xml:space="preserve"> for 2025.</w:t>
      </w:r>
    </w:p>
    <w:p w:rsidR="004B1770" w:rsidRDefault="004B1770" w:rsidP="004B1770">
      <w:pPr>
        <w:rPr>
          <w:rFonts w:ascii="Arial" w:hAnsi="Arial" w:cs="Arial"/>
          <w:bCs/>
          <w:i/>
          <w:sz w:val="18"/>
          <w:szCs w:val="18"/>
        </w:rPr>
      </w:pPr>
      <w:bookmarkStart w:id="155" w:name="_Ref380696745"/>
      <w:bookmarkStart w:id="156" w:name="_Ref383445361"/>
      <w:r>
        <w:t xml:space="preserve">Our condition is always met for </w:t>
      </w:r>
      <w:r w:rsidR="00DB7A05">
        <w:t>all three operators</w:t>
      </w:r>
      <w:r>
        <w:t xml:space="preserve"> in the base case, which indicates that the current balance between low and high frequency spectrum should not create a barrier to serving mobile data u</w:t>
      </w:r>
      <w:r w:rsidR="00F70981">
        <w:t>sers in the foreseeable future.</w:t>
      </w:r>
    </w:p>
    <w:p w:rsidR="00B873A7" w:rsidRDefault="00B873A7" w:rsidP="00B873A7">
      <w:pPr>
        <w:pStyle w:val="Caption"/>
      </w:pPr>
      <w:r>
        <w:t xml:space="preserve">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fldSimple w:instr=" SEQ Figure \* ARABIC \s 1 \* MERGEFORMAT ">
        <w:r w:rsidR="00A87B65">
          <w:rPr>
            <w:noProof/>
          </w:rPr>
          <w:t>42</w:t>
        </w:r>
      </w:fldSimple>
      <w:bookmarkEnd w:id="155"/>
      <w:bookmarkEnd w:id="156"/>
      <w:r>
        <w:t>: Split of capacity provided for LTE by type of spectrum in 2020 [Source: Analysys Mason, 2014]</w:t>
      </w:r>
    </w:p>
    <w:tbl>
      <w:tblPr>
        <w:tblStyle w:val="MediumShading2-Accent1"/>
        <w:tblW w:w="8947" w:type="dxa"/>
        <w:tblInd w:w="108" w:type="dxa"/>
        <w:tblLook w:val="0420" w:firstRow="1" w:lastRow="0" w:firstColumn="0" w:lastColumn="0" w:noHBand="0" w:noVBand="1"/>
      </w:tblPr>
      <w:tblGrid>
        <w:gridCol w:w="1789"/>
        <w:gridCol w:w="3314"/>
        <w:gridCol w:w="1281"/>
        <w:gridCol w:w="1281"/>
        <w:gridCol w:w="1282"/>
      </w:tblGrid>
      <w:tr w:rsidR="00B873A7" w:rsidRPr="00CB0193" w:rsidTr="00EE4CCC">
        <w:trPr>
          <w:cnfStyle w:val="100000000000" w:firstRow="1" w:lastRow="0" w:firstColumn="0" w:lastColumn="0" w:oddVBand="0" w:evenVBand="0" w:oddHBand="0" w:evenHBand="0" w:firstRowFirstColumn="0" w:firstRowLastColumn="0" w:lastRowFirstColumn="0" w:lastRowLastColumn="0"/>
          <w:tblHeader/>
        </w:trPr>
        <w:tc>
          <w:tcPr>
            <w:tcW w:w="1789" w:type="dxa"/>
            <w:tcBorders>
              <w:top w:val="single" w:sz="18" w:space="0" w:color="221F72"/>
              <w:bottom w:val="single" w:sz="4" w:space="0" w:color="auto"/>
            </w:tcBorders>
            <w:shd w:val="solid" w:color="221F72" w:fill="221F72"/>
          </w:tcPr>
          <w:p w:rsidR="00B873A7" w:rsidRPr="00CB0193" w:rsidRDefault="00B873A7" w:rsidP="00841EA0">
            <w:pPr>
              <w:pStyle w:val="Tableheading"/>
              <w:rPr>
                <w:b/>
              </w:rPr>
            </w:pPr>
            <w:r>
              <w:rPr>
                <w:b/>
              </w:rPr>
              <w:t>Geotype</w:t>
            </w:r>
          </w:p>
        </w:tc>
        <w:tc>
          <w:tcPr>
            <w:tcW w:w="3314" w:type="dxa"/>
            <w:tcBorders>
              <w:top w:val="single" w:sz="18" w:space="0" w:color="221F72"/>
              <w:bottom w:val="single" w:sz="4" w:space="0" w:color="auto"/>
            </w:tcBorders>
            <w:shd w:val="solid" w:color="221F72" w:fill="221F72"/>
          </w:tcPr>
          <w:p w:rsidR="00B873A7" w:rsidRPr="00CB0193" w:rsidRDefault="00B873A7" w:rsidP="00841EA0">
            <w:pPr>
              <w:pStyle w:val="Tableheading"/>
              <w:rPr>
                <w:b/>
              </w:rPr>
            </w:pPr>
            <w:r>
              <w:rPr>
                <w:b/>
              </w:rPr>
              <w:t>Spectrum type</w:t>
            </w:r>
          </w:p>
        </w:tc>
        <w:tc>
          <w:tcPr>
            <w:tcW w:w="1281" w:type="dxa"/>
            <w:tcBorders>
              <w:top w:val="single" w:sz="18" w:space="0" w:color="221F72"/>
              <w:bottom w:val="single" w:sz="4" w:space="0" w:color="auto"/>
            </w:tcBorders>
            <w:shd w:val="solid" w:color="221F72" w:fill="221F72"/>
          </w:tcPr>
          <w:p w:rsidR="00B873A7" w:rsidRPr="00CB0193" w:rsidRDefault="00B873A7" w:rsidP="00841EA0">
            <w:pPr>
              <w:pStyle w:val="Tableheading"/>
              <w:jc w:val="center"/>
              <w:rPr>
                <w:b/>
              </w:rPr>
            </w:pPr>
            <w:r>
              <w:rPr>
                <w:b/>
              </w:rPr>
              <w:t>Optus</w:t>
            </w:r>
          </w:p>
        </w:tc>
        <w:tc>
          <w:tcPr>
            <w:tcW w:w="1281" w:type="dxa"/>
            <w:tcBorders>
              <w:top w:val="single" w:sz="18" w:space="0" w:color="221F72"/>
              <w:bottom w:val="single" w:sz="4" w:space="0" w:color="auto"/>
            </w:tcBorders>
            <w:shd w:val="solid" w:color="221F72" w:fill="221F72"/>
          </w:tcPr>
          <w:p w:rsidR="00B873A7" w:rsidRPr="00CB0193" w:rsidRDefault="00B873A7" w:rsidP="00841EA0">
            <w:pPr>
              <w:pStyle w:val="Tableheading"/>
              <w:jc w:val="center"/>
              <w:rPr>
                <w:b/>
              </w:rPr>
            </w:pPr>
            <w:r>
              <w:rPr>
                <w:b/>
              </w:rPr>
              <w:t>Telstra</w:t>
            </w:r>
          </w:p>
        </w:tc>
        <w:tc>
          <w:tcPr>
            <w:tcW w:w="1282" w:type="dxa"/>
            <w:tcBorders>
              <w:top w:val="single" w:sz="18" w:space="0" w:color="221F72"/>
              <w:bottom w:val="single" w:sz="4" w:space="0" w:color="auto"/>
            </w:tcBorders>
            <w:shd w:val="solid" w:color="221F72" w:fill="221F72"/>
          </w:tcPr>
          <w:p w:rsidR="00B873A7" w:rsidRPr="00CB0193" w:rsidRDefault="00550C5F" w:rsidP="00841EA0">
            <w:pPr>
              <w:pStyle w:val="Tableheading"/>
              <w:jc w:val="center"/>
              <w:rPr>
                <w:b/>
              </w:rPr>
            </w:pPr>
            <w:r>
              <w:rPr>
                <w:b/>
              </w:rPr>
              <w:t>VHA</w:t>
            </w:r>
          </w:p>
        </w:tc>
      </w:tr>
      <w:tr w:rsidR="00B873A7" w:rsidTr="00EE4CCC">
        <w:trPr>
          <w:cnfStyle w:val="000000100000" w:firstRow="0" w:lastRow="0" w:firstColumn="0" w:lastColumn="0" w:oddVBand="0" w:evenVBand="0" w:oddHBand="1" w:evenHBand="0" w:firstRowFirstColumn="0" w:firstRowLastColumn="0" w:lastRowFirstColumn="0" w:lastRowLastColumn="0"/>
        </w:trPr>
        <w:tc>
          <w:tcPr>
            <w:tcW w:w="1789" w:type="dxa"/>
            <w:tcBorders>
              <w:top w:val="single" w:sz="4" w:space="0" w:color="auto"/>
            </w:tcBorders>
          </w:tcPr>
          <w:p w:rsidR="00B873A7" w:rsidRPr="00534438" w:rsidRDefault="00B873A7" w:rsidP="00841EA0">
            <w:pPr>
              <w:pStyle w:val="Tablecells"/>
            </w:pPr>
            <w:r w:rsidRPr="00534438">
              <w:t>Dense urban</w:t>
            </w:r>
          </w:p>
        </w:tc>
        <w:tc>
          <w:tcPr>
            <w:tcW w:w="3314" w:type="dxa"/>
            <w:tcBorders>
              <w:top w:val="single" w:sz="4" w:space="0" w:color="auto"/>
            </w:tcBorders>
          </w:tcPr>
          <w:p w:rsidR="00B873A7" w:rsidRPr="00CB0193" w:rsidRDefault="00B873A7" w:rsidP="00B873A7">
            <w:pPr>
              <w:pStyle w:val="Tablecells"/>
              <w:numPr>
                <w:ilvl w:val="0"/>
                <w:numId w:val="39"/>
              </w:numPr>
              <w:tabs>
                <w:tab w:val="clear" w:pos="720"/>
              </w:tabs>
              <w:ind w:left="423"/>
            </w:pPr>
            <w:r w:rsidRPr="00CB0193">
              <w:t>Sub-1GHz</w:t>
            </w:r>
          </w:p>
          <w:p w:rsidR="00B873A7" w:rsidRPr="00CB0193" w:rsidRDefault="00B873A7" w:rsidP="00B873A7">
            <w:pPr>
              <w:pStyle w:val="Tablecells"/>
              <w:numPr>
                <w:ilvl w:val="0"/>
                <w:numId w:val="39"/>
              </w:numPr>
              <w:tabs>
                <w:tab w:val="clear" w:pos="720"/>
              </w:tabs>
              <w:ind w:left="423"/>
            </w:pPr>
            <w:r w:rsidRPr="00CB0193">
              <w:t>1800MHz used for coverage</w:t>
            </w:r>
          </w:p>
          <w:p w:rsidR="00B873A7" w:rsidRDefault="00B873A7" w:rsidP="00B873A7">
            <w:pPr>
              <w:pStyle w:val="Tablecells"/>
              <w:numPr>
                <w:ilvl w:val="0"/>
                <w:numId w:val="39"/>
              </w:numPr>
              <w:tabs>
                <w:tab w:val="clear" w:pos="720"/>
              </w:tabs>
              <w:ind w:left="423"/>
            </w:pPr>
            <w:r w:rsidRPr="00CB0193">
              <w:t>Above 1GHz excluding 1800MHz used for coverage</w:t>
            </w:r>
          </w:p>
        </w:tc>
        <w:tc>
          <w:tcPr>
            <w:tcW w:w="1281" w:type="dxa"/>
            <w:tcBorders>
              <w:top w:val="single" w:sz="4" w:space="0" w:color="auto"/>
            </w:tcBorders>
          </w:tcPr>
          <w:p w:rsidR="00B873A7" w:rsidRDefault="00B873A7" w:rsidP="00841EA0">
            <w:pPr>
              <w:pStyle w:val="Tablecells"/>
              <w:jc w:val="right"/>
            </w:pPr>
            <w:r>
              <w:t>32. 7%</w:t>
            </w:r>
          </w:p>
          <w:p w:rsidR="00B873A7" w:rsidRDefault="00B873A7" w:rsidP="00841EA0">
            <w:pPr>
              <w:pStyle w:val="Tablecells"/>
              <w:jc w:val="right"/>
            </w:pPr>
            <w:r>
              <w:t>0.0%</w:t>
            </w:r>
          </w:p>
          <w:p w:rsidR="00B873A7" w:rsidRDefault="00B873A7" w:rsidP="00841EA0">
            <w:pPr>
              <w:pStyle w:val="Tablecells"/>
              <w:jc w:val="right"/>
            </w:pPr>
            <w:r>
              <w:t>67. 3%</w:t>
            </w:r>
          </w:p>
        </w:tc>
        <w:tc>
          <w:tcPr>
            <w:tcW w:w="1281" w:type="dxa"/>
            <w:tcBorders>
              <w:top w:val="single" w:sz="4" w:space="0" w:color="auto"/>
            </w:tcBorders>
          </w:tcPr>
          <w:p w:rsidR="00B873A7" w:rsidRDefault="00B873A7" w:rsidP="00841EA0">
            <w:pPr>
              <w:pStyle w:val="Tablecells"/>
              <w:jc w:val="right"/>
            </w:pPr>
            <w:r>
              <w:t>55.3%</w:t>
            </w:r>
          </w:p>
          <w:p w:rsidR="00B873A7" w:rsidRDefault="00B873A7" w:rsidP="00841EA0">
            <w:pPr>
              <w:pStyle w:val="Tablecells"/>
              <w:jc w:val="right"/>
            </w:pPr>
            <w:r>
              <w:t>0.0%</w:t>
            </w:r>
          </w:p>
          <w:p w:rsidR="00B873A7" w:rsidRDefault="00B873A7" w:rsidP="00841EA0">
            <w:pPr>
              <w:pStyle w:val="Tablecells"/>
              <w:jc w:val="right"/>
            </w:pPr>
            <w:r>
              <w:t>44.7%</w:t>
            </w:r>
          </w:p>
        </w:tc>
        <w:tc>
          <w:tcPr>
            <w:tcW w:w="1282" w:type="dxa"/>
            <w:tcBorders>
              <w:top w:val="single" w:sz="4" w:space="0" w:color="auto"/>
            </w:tcBorders>
          </w:tcPr>
          <w:p w:rsidR="00FB236B" w:rsidRDefault="00FB236B" w:rsidP="00FB236B">
            <w:pPr>
              <w:pStyle w:val="Tablecells"/>
              <w:jc w:val="right"/>
            </w:pPr>
            <w:r>
              <w:t>0.0%</w:t>
            </w:r>
          </w:p>
          <w:p w:rsidR="00FB236B" w:rsidRDefault="00FB236B" w:rsidP="00FB236B">
            <w:pPr>
              <w:pStyle w:val="Tablecells"/>
              <w:jc w:val="right"/>
            </w:pPr>
            <w:r>
              <w:t>100.0%</w:t>
            </w:r>
          </w:p>
          <w:p w:rsidR="00B873A7" w:rsidRDefault="00FB236B" w:rsidP="00FB236B">
            <w:pPr>
              <w:pStyle w:val="Tablecells"/>
              <w:jc w:val="right"/>
            </w:pPr>
            <w:r>
              <w:t>0.0%</w:t>
            </w:r>
          </w:p>
        </w:tc>
      </w:tr>
      <w:tr w:rsidR="00B873A7" w:rsidTr="00841EA0">
        <w:tc>
          <w:tcPr>
            <w:tcW w:w="1789" w:type="dxa"/>
            <w:tcBorders>
              <w:bottom w:val="nil"/>
            </w:tcBorders>
          </w:tcPr>
          <w:p w:rsidR="00B873A7" w:rsidRPr="00534438" w:rsidRDefault="00B873A7" w:rsidP="00841EA0">
            <w:pPr>
              <w:pStyle w:val="Tablecells"/>
            </w:pPr>
            <w:r w:rsidRPr="00534438">
              <w:t>Urban in metro areas</w:t>
            </w:r>
          </w:p>
        </w:tc>
        <w:tc>
          <w:tcPr>
            <w:tcW w:w="3314" w:type="dxa"/>
            <w:tcBorders>
              <w:bottom w:val="nil"/>
            </w:tcBorders>
          </w:tcPr>
          <w:p w:rsidR="00B873A7" w:rsidRPr="00CB0193" w:rsidRDefault="00B873A7" w:rsidP="00B873A7">
            <w:pPr>
              <w:pStyle w:val="Tablecells"/>
              <w:numPr>
                <w:ilvl w:val="0"/>
                <w:numId w:val="39"/>
              </w:numPr>
              <w:tabs>
                <w:tab w:val="clear" w:pos="720"/>
              </w:tabs>
              <w:ind w:left="423"/>
            </w:pPr>
            <w:r w:rsidRPr="00CB0193">
              <w:t>Sub-1GHz</w:t>
            </w:r>
          </w:p>
          <w:p w:rsidR="00B873A7" w:rsidRPr="00CB0193" w:rsidRDefault="00B873A7" w:rsidP="00B873A7">
            <w:pPr>
              <w:pStyle w:val="Tablecells"/>
              <w:numPr>
                <w:ilvl w:val="0"/>
                <w:numId w:val="39"/>
              </w:numPr>
              <w:tabs>
                <w:tab w:val="clear" w:pos="720"/>
              </w:tabs>
              <w:ind w:left="423"/>
            </w:pPr>
            <w:r w:rsidRPr="00CB0193">
              <w:t>1800MHz used for coverage</w:t>
            </w:r>
          </w:p>
          <w:p w:rsidR="00B873A7" w:rsidRDefault="00B873A7" w:rsidP="00B873A7">
            <w:pPr>
              <w:pStyle w:val="Tablecells"/>
              <w:numPr>
                <w:ilvl w:val="0"/>
                <w:numId w:val="39"/>
              </w:numPr>
              <w:tabs>
                <w:tab w:val="clear" w:pos="720"/>
              </w:tabs>
              <w:ind w:left="423"/>
            </w:pPr>
            <w:r w:rsidRPr="00CB0193">
              <w:t>Above 1GHz excluding 1800MHz used for coverage</w:t>
            </w:r>
          </w:p>
        </w:tc>
        <w:tc>
          <w:tcPr>
            <w:tcW w:w="1281" w:type="dxa"/>
            <w:tcBorders>
              <w:bottom w:val="nil"/>
            </w:tcBorders>
          </w:tcPr>
          <w:p w:rsidR="00B873A7" w:rsidRDefault="00B873A7" w:rsidP="00841EA0">
            <w:pPr>
              <w:pStyle w:val="Tablecells"/>
              <w:jc w:val="right"/>
            </w:pPr>
            <w:r>
              <w:t>28.1%</w:t>
            </w:r>
          </w:p>
          <w:p w:rsidR="00B873A7" w:rsidRDefault="00B873A7" w:rsidP="00841EA0">
            <w:pPr>
              <w:pStyle w:val="Tablecells"/>
              <w:jc w:val="right"/>
            </w:pPr>
            <w:r>
              <w:t>0.0%</w:t>
            </w:r>
          </w:p>
          <w:p w:rsidR="00B873A7" w:rsidRDefault="00B873A7" w:rsidP="00841EA0">
            <w:pPr>
              <w:pStyle w:val="Tablecells"/>
              <w:jc w:val="right"/>
            </w:pPr>
            <w:r>
              <w:t>71.9%</w:t>
            </w:r>
          </w:p>
        </w:tc>
        <w:tc>
          <w:tcPr>
            <w:tcW w:w="1281" w:type="dxa"/>
            <w:tcBorders>
              <w:bottom w:val="nil"/>
            </w:tcBorders>
          </w:tcPr>
          <w:p w:rsidR="00B873A7" w:rsidRDefault="00B873A7" w:rsidP="00841EA0">
            <w:pPr>
              <w:pStyle w:val="Tablecells"/>
              <w:jc w:val="right"/>
            </w:pPr>
            <w:r>
              <w:t>44.3%</w:t>
            </w:r>
          </w:p>
          <w:p w:rsidR="00B873A7" w:rsidRDefault="00B873A7" w:rsidP="00841EA0">
            <w:pPr>
              <w:pStyle w:val="Tablecells"/>
              <w:jc w:val="right"/>
            </w:pPr>
            <w:r>
              <w:t>0.0%</w:t>
            </w:r>
          </w:p>
          <w:p w:rsidR="00B873A7" w:rsidRDefault="00B873A7" w:rsidP="00841EA0">
            <w:pPr>
              <w:pStyle w:val="Tablecells"/>
              <w:jc w:val="right"/>
            </w:pPr>
            <w:r>
              <w:t>55.7%</w:t>
            </w:r>
          </w:p>
        </w:tc>
        <w:tc>
          <w:tcPr>
            <w:tcW w:w="1282" w:type="dxa"/>
            <w:tcBorders>
              <w:bottom w:val="nil"/>
            </w:tcBorders>
          </w:tcPr>
          <w:p w:rsidR="00FB236B" w:rsidRDefault="00FB236B" w:rsidP="00FB236B">
            <w:pPr>
              <w:pStyle w:val="Tablecells"/>
              <w:jc w:val="right"/>
            </w:pPr>
            <w:r>
              <w:t>0.0%</w:t>
            </w:r>
          </w:p>
          <w:p w:rsidR="00FB236B" w:rsidRDefault="00FB236B" w:rsidP="00FB236B">
            <w:pPr>
              <w:pStyle w:val="Tablecells"/>
              <w:jc w:val="right"/>
            </w:pPr>
            <w:r>
              <w:t>100.0%</w:t>
            </w:r>
          </w:p>
          <w:p w:rsidR="00B873A7" w:rsidRDefault="00FB236B" w:rsidP="00FB236B">
            <w:pPr>
              <w:pStyle w:val="Tablecells"/>
              <w:jc w:val="right"/>
            </w:pPr>
            <w:r>
              <w:t>0.0%</w:t>
            </w:r>
          </w:p>
        </w:tc>
      </w:tr>
      <w:tr w:rsidR="00B873A7" w:rsidTr="00841EA0">
        <w:trPr>
          <w:cnfStyle w:val="000000100000" w:firstRow="0" w:lastRow="0" w:firstColumn="0" w:lastColumn="0" w:oddVBand="0" w:evenVBand="0" w:oddHBand="1" w:evenHBand="0" w:firstRowFirstColumn="0" w:firstRowLastColumn="0" w:lastRowFirstColumn="0" w:lastRowLastColumn="0"/>
        </w:trPr>
        <w:tc>
          <w:tcPr>
            <w:tcW w:w="1789" w:type="dxa"/>
            <w:tcBorders>
              <w:bottom w:val="nil"/>
            </w:tcBorders>
          </w:tcPr>
          <w:p w:rsidR="00B873A7" w:rsidRPr="00534438" w:rsidRDefault="00B873A7" w:rsidP="00841EA0">
            <w:pPr>
              <w:pStyle w:val="Tablecells"/>
            </w:pPr>
            <w:r w:rsidRPr="00534438">
              <w:t>Urban in regional areas</w:t>
            </w:r>
          </w:p>
        </w:tc>
        <w:tc>
          <w:tcPr>
            <w:tcW w:w="3314" w:type="dxa"/>
            <w:tcBorders>
              <w:bottom w:val="nil"/>
            </w:tcBorders>
          </w:tcPr>
          <w:p w:rsidR="00B873A7" w:rsidRPr="00CB0193" w:rsidRDefault="00B873A7" w:rsidP="00B873A7">
            <w:pPr>
              <w:pStyle w:val="Tablecells"/>
              <w:numPr>
                <w:ilvl w:val="0"/>
                <w:numId w:val="39"/>
              </w:numPr>
              <w:tabs>
                <w:tab w:val="clear" w:pos="720"/>
              </w:tabs>
              <w:ind w:left="423"/>
            </w:pPr>
            <w:r w:rsidRPr="00CB0193">
              <w:t>Sub-1GHz</w:t>
            </w:r>
          </w:p>
          <w:p w:rsidR="00B873A7" w:rsidRPr="00CB0193" w:rsidRDefault="00B873A7" w:rsidP="00B873A7">
            <w:pPr>
              <w:pStyle w:val="Tablecells"/>
              <w:numPr>
                <w:ilvl w:val="0"/>
                <w:numId w:val="39"/>
              </w:numPr>
              <w:tabs>
                <w:tab w:val="clear" w:pos="720"/>
              </w:tabs>
              <w:ind w:left="423"/>
            </w:pPr>
            <w:r w:rsidRPr="00CB0193">
              <w:t>1800MHz used for coverage</w:t>
            </w:r>
          </w:p>
          <w:p w:rsidR="00B873A7" w:rsidRPr="00CB0193" w:rsidRDefault="00B873A7" w:rsidP="00B873A7">
            <w:pPr>
              <w:pStyle w:val="Tablecells"/>
              <w:numPr>
                <w:ilvl w:val="0"/>
                <w:numId w:val="39"/>
              </w:numPr>
              <w:tabs>
                <w:tab w:val="clear" w:pos="720"/>
              </w:tabs>
              <w:ind w:left="423"/>
            </w:pPr>
            <w:r w:rsidRPr="00CB0193">
              <w:t>Above 1GHz excluding 1800MHz used for coverage</w:t>
            </w:r>
          </w:p>
        </w:tc>
        <w:tc>
          <w:tcPr>
            <w:tcW w:w="1281" w:type="dxa"/>
            <w:tcBorders>
              <w:bottom w:val="nil"/>
            </w:tcBorders>
          </w:tcPr>
          <w:p w:rsidR="00B873A7" w:rsidRDefault="00B873A7" w:rsidP="00841EA0">
            <w:pPr>
              <w:pStyle w:val="Tablecells"/>
              <w:jc w:val="right"/>
            </w:pPr>
            <w:r>
              <w:t>35.0%</w:t>
            </w:r>
          </w:p>
          <w:p w:rsidR="00B873A7" w:rsidRDefault="00B873A7" w:rsidP="00841EA0">
            <w:pPr>
              <w:pStyle w:val="Tablecells"/>
              <w:jc w:val="right"/>
            </w:pPr>
            <w:r>
              <w:t>0.0%</w:t>
            </w:r>
          </w:p>
          <w:p w:rsidR="00B873A7" w:rsidRDefault="00B873A7" w:rsidP="00841EA0">
            <w:pPr>
              <w:pStyle w:val="Tablecells"/>
              <w:jc w:val="right"/>
            </w:pPr>
            <w:r>
              <w:t>65.0%</w:t>
            </w:r>
          </w:p>
        </w:tc>
        <w:tc>
          <w:tcPr>
            <w:tcW w:w="1281" w:type="dxa"/>
            <w:tcBorders>
              <w:bottom w:val="nil"/>
            </w:tcBorders>
          </w:tcPr>
          <w:p w:rsidR="00B873A7" w:rsidRDefault="00B873A7" w:rsidP="00841EA0">
            <w:pPr>
              <w:pStyle w:val="Tablecells"/>
              <w:jc w:val="right"/>
            </w:pPr>
            <w:r>
              <w:t>31.3%</w:t>
            </w:r>
          </w:p>
          <w:p w:rsidR="00B873A7" w:rsidRDefault="00B873A7" w:rsidP="00841EA0">
            <w:pPr>
              <w:pStyle w:val="Tablecells"/>
              <w:jc w:val="right"/>
            </w:pPr>
            <w:r>
              <w:t>0.0%</w:t>
            </w:r>
          </w:p>
          <w:p w:rsidR="00B873A7" w:rsidRDefault="00B873A7" w:rsidP="00841EA0">
            <w:pPr>
              <w:pStyle w:val="Tablecells"/>
              <w:jc w:val="right"/>
            </w:pPr>
            <w:r>
              <w:t>68.7%</w:t>
            </w:r>
          </w:p>
        </w:tc>
        <w:tc>
          <w:tcPr>
            <w:tcW w:w="1282" w:type="dxa"/>
            <w:tcBorders>
              <w:bottom w:val="nil"/>
            </w:tcBorders>
          </w:tcPr>
          <w:p w:rsidR="00B873A7" w:rsidRDefault="00B873A7" w:rsidP="00841EA0">
            <w:pPr>
              <w:pStyle w:val="Tablecells"/>
              <w:jc w:val="right"/>
            </w:pPr>
            <w:r>
              <w:t>0.0%</w:t>
            </w:r>
          </w:p>
          <w:p w:rsidR="00B873A7" w:rsidRDefault="00B873A7" w:rsidP="00841EA0">
            <w:pPr>
              <w:pStyle w:val="Tablecells"/>
              <w:jc w:val="right"/>
            </w:pPr>
            <w:r>
              <w:t>0.0%</w:t>
            </w:r>
          </w:p>
          <w:p w:rsidR="00B873A7" w:rsidRDefault="00B873A7" w:rsidP="00841EA0">
            <w:pPr>
              <w:pStyle w:val="Tablecells"/>
              <w:jc w:val="right"/>
            </w:pPr>
            <w:r>
              <w:t>0.0%</w:t>
            </w:r>
          </w:p>
        </w:tc>
      </w:tr>
      <w:tr w:rsidR="00B873A7" w:rsidTr="0058217A">
        <w:trPr>
          <w:cantSplit/>
        </w:trPr>
        <w:tc>
          <w:tcPr>
            <w:tcW w:w="1789" w:type="dxa"/>
            <w:tcBorders>
              <w:top w:val="nil"/>
              <w:bottom w:val="nil"/>
            </w:tcBorders>
          </w:tcPr>
          <w:p w:rsidR="00B873A7" w:rsidRPr="00534438" w:rsidRDefault="00B873A7" w:rsidP="00841EA0">
            <w:pPr>
              <w:pStyle w:val="Tablecells"/>
            </w:pPr>
            <w:r w:rsidRPr="00534438">
              <w:t>Suburban in metro areas</w:t>
            </w:r>
          </w:p>
        </w:tc>
        <w:tc>
          <w:tcPr>
            <w:tcW w:w="3314" w:type="dxa"/>
            <w:tcBorders>
              <w:top w:val="nil"/>
              <w:bottom w:val="nil"/>
            </w:tcBorders>
          </w:tcPr>
          <w:p w:rsidR="00B873A7" w:rsidRPr="00CB0193" w:rsidRDefault="00B873A7" w:rsidP="00B873A7">
            <w:pPr>
              <w:pStyle w:val="Tablecells"/>
              <w:numPr>
                <w:ilvl w:val="0"/>
                <w:numId w:val="39"/>
              </w:numPr>
              <w:tabs>
                <w:tab w:val="clear" w:pos="720"/>
              </w:tabs>
              <w:ind w:left="423"/>
            </w:pPr>
            <w:r w:rsidRPr="00CB0193">
              <w:t>Sub-1GHz</w:t>
            </w:r>
          </w:p>
          <w:p w:rsidR="00B873A7" w:rsidRPr="00CB0193" w:rsidRDefault="00B873A7" w:rsidP="00B873A7">
            <w:pPr>
              <w:pStyle w:val="Tablecells"/>
              <w:numPr>
                <w:ilvl w:val="0"/>
                <w:numId w:val="39"/>
              </w:numPr>
              <w:tabs>
                <w:tab w:val="clear" w:pos="720"/>
              </w:tabs>
              <w:ind w:left="423"/>
            </w:pPr>
            <w:r w:rsidRPr="00CB0193">
              <w:t>1800MHz used for coverage</w:t>
            </w:r>
          </w:p>
          <w:p w:rsidR="00B873A7" w:rsidRDefault="00B873A7" w:rsidP="00B873A7">
            <w:pPr>
              <w:pStyle w:val="Tablecells"/>
              <w:numPr>
                <w:ilvl w:val="0"/>
                <w:numId w:val="39"/>
              </w:numPr>
              <w:tabs>
                <w:tab w:val="clear" w:pos="720"/>
              </w:tabs>
              <w:ind w:left="423"/>
            </w:pPr>
            <w:r w:rsidRPr="00CB0193">
              <w:t>Above 1GHz excluding 1800MHz used for coverage</w:t>
            </w:r>
          </w:p>
        </w:tc>
        <w:tc>
          <w:tcPr>
            <w:tcW w:w="1281" w:type="dxa"/>
            <w:tcBorders>
              <w:top w:val="nil"/>
              <w:bottom w:val="nil"/>
            </w:tcBorders>
          </w:tcPr>
          <w:p w:rsidR="00B873A7" w:rsidRDefault="00B873A7" w:rsidP="00841EA0">
            <w:pPr>
              <w:pStyle w:val="Tablecells"/>
              <w:jc w:val="right"/>
            </w:pPr>
            <w:r>
              <w:t>28.3%</w:t>
            </w:r>
          </w:p>
          <w:p w:rsidR="00B873A7" w:rsidRDefault="00B873A7" w:rsidP="00841EA0">
            <w:pPr>
              <w:pStyle w:val="Tablecells"/>
              <w:jc w:val="right"/>
            </w:pPr>
            <w:r>
              <w:t>0.0%</w:t>
            </w:r>
          </w:p>
          <w:p w:rsidR="00B873A7" w:rsidRDefault="00B873A7" w:rsidP="00841EA0">
            <w:pPr>
              <w:pStyle w:val="Tablecells"/>
              <w:jc w:val="right"/>
            </w:pPr>
            <w:r>
              <w:t>71.7%</w:t>
            </w:r>
          </w:p>
        </w:tc>
        <w:tc>
          <w:tcPr>
            <w:tcW w:w="1281" w:type="dxa"/>
            <w:tcBorders>
              <w:top w:val="nil"/>
              <w:bottom w:val="nil"/>
            </w:tcBorders>
          </w:tcPr>
          <w:p w:rsidR="00B873A7" w:rsidRDefault="00B873A7" w:rsidP="00841EA0">
            <w:pPr>
              <w:pStyle w:val="Tablecells"/>
              <w:jc w:val="right"/>
            </w:pPr>
            <w:r>
              <w:t>31.3%</w:t>
            </w:r>
          </w:p>
          <w:p w:rsidR="00B873A7" w:rsidRDefault="00B873A7" w:rsidP="00841EA0">
            <w:pPr>
              <w:pStyle w:val="Tablecells"/>
              <w:jc w:val="right"/>
            </w:pPr>
            <w:r>
              <w:t>0.0%</w:t>
            </w:r>
          </w:p>
          <w:p w:rsidR="00B873A7" w:rsidRDefault="00B873A7" w:rsidP="00841EA0">
            <w:pPr>
              <w:pStyle w:val="Tablecells"/>
              <w:jc w:val="right"/>
            </w:pPr>
            <w:r>
              <w:t>68.7%</w:t>
            </w:r>
          </w:p>
        </w:tc>
        <w:tc>
          <w:tcPr>
            <w:tcW w:w="1282" w:type="dxa"/>
            <w:tcBorders>
              <w:top w:val="nil"/>
              <w:bottom w:val="nil"/>
            </w:tcBorders>
          </w:tcPr>
          <w:p w:rsidR="00FB236B" w:rsidRDefault="00FB236B" w:rsidP="00FB236B">
            <w:pPr>
              <w:pStyle w:val="Tablecells"/>
              <w:jc w:val="right"/>
            </w:pPr>
            <w:r>
              <w:t>0.0%</w:t>
            </w:r>
          </w:p>
          <w:p w:rsidR="00FB236B" w:rsidRDefault="00FB236B" w:rsidP="00FB236B">
            <w:pPr>
              <w:pStyle w:val="Tablecells"/>
              <w:jc w:val="right"/>
            </w:pPr>
            <w:r>
              <w:t>100.0%</w:t>
            </w:r>
          </w:p>
          <w:p w:rsidR="00B873A7" w:rsidRDefault="00FB236B" w:rsidP="00FB236B">
            <w:pPr>
              <w:pStyle w:val="Tablecells"/>
              <w:jc w:val="right"/>
            </w:pPr>
            <w:r>
              <w:t>0.0%</w:t>
            </w:r>
          </w:p>
        </w:tc>
      </w:tr>
      <w:tr w:rsidR="00B873A7" w:rsidTr="00841EA0">
        <w:trPr>
          <w:cnfStyle w:val="000000100000" w:firstRow="0" w:lastRow="0" w:firstColumn="0" w:lastColumn="0" w:oddVBand="0" w:evenVBand="0" w:oddHBand="1" w:evenHBand="0" w:firstRowFirstColumn="0" w:firstRowLastColumn="0" w:lastRowFirstColumn="0" w:lastRowLastColumn="0"/>
        </w:trPr>
        <w:tc>
          <w:tcPr>
            <w:tcW w:w="1789" w:type="dxa"/>
            <w:tcBorders>
              <w:top w:val="nil"/>
              <w:bottom w:val="nil"/>
            </w:tcBorders>
          </w:tcPr>
          <w:p w:rsidR="00B873A7" w:rsidRPr="00534438" w:rsidRDefault="00B873A7" w:rsidP="00841EA0">
            <w:pPr>
              <w:pStyle w:val="Tablecells"/>
            </w:pPr>
            <w:r w:rsidRPr="00534438">
              <w:t>Suburban in regional areas</w:t>
            </w:r>
          </w:p>
        </w:tc>
        <w:tc>
          <w:tcPr>
            <w:tcW w:w="3314" w:type="dxa"/>
            <w:tcBorders>
              <w:top w:val="nil"/>
              <w:bottom w:val="nil"/>
            </w:tcBorders>
          </w:tcPr>
          <w:p w:rsidR="00B873A7" w:rsidRPr="00CB0193" w:rsidRDefault="00B873A7" w:rsidP="00B873A7">
            <w:pPr>
              <w:pStyle w:val="Tablecells"/>
              <w:numPr>
                <w:ilvl w:val="0"/>
                <w:numId w:val="39"/>
              </w:numPr>
              <w:tabs>
                <w:tab w:val="clear" w:pos="720"/>
              </w:tabs>
              <w:ind w:left="423"/>
            </w:pPr>
            <w:r w:rsidRPr="00CB0193">
              <w:t>Sub-1GHz</w:t>
            </w:r>
          </w:p>
          <w:p w:rsidR="00B873A7" w:rsidRPr="00CB0193" w:rsidRDefault="00B873A7" w:rsidP="00B873A7">
            <w:pPr>
              <w:pStyle w:val="Tablecells"/>
              <w:numPr>
                <w:ilvl w:val="0"/>
                <w:numId w:val="39"/>
              </w:numPr>
              <w:tabs>
                <w:tab w:val="clear" w:pos="720"/>
              </w:tabs>
              <w:ind w:left="423"/>
            </w:pPr>
            <w:r w:rsidRPr="00CB0193">
              <w:t>1800MHz used for coverage</w:t>
            </w:r>
          </w:p>
          <w:p w:rsidR="00B873A7" w:rsidRPr="00CB0193" w:rsidRDefault="00B873A7" w:rsidP="00B873A7">
            <w:pPr>
              <w:pStyle w:val="Tablecells"/>
              <w:numPr>
                <w:ilvl w:val="0"/>
                <w:numId w:val="39"/>
              </w:numPr>
              <w:tabs>
                <w:tab w:val="clear" w:pos="720"/>
              </w:tabs>
              <w:ind w:left="423"/>
            </w:pPr>
            <w:r w:rsidRPr="00CB0193">
              <w:t>Above 1GHz excluding 1800MHz used for coverage</w:t>
            </w:r>
          </w:p>
        </w:tc>
        <w:tc>
          <w:tcPr>
            <w:tcW w:w="1281" w:type="dxa"/>
            <w:tcBorders>
              <w:top w:val="nil"/>
              <w:bottom w:val="nil"/>
            </w:tcBorders>
          </w:tcPr>
          <w:p w:rsidR="00B873A7" w:rsidRDefault="00B873A7" w:rsidP="00841EA0">
            <w:pPr>
              <w:pStyle w:val="Tablecells"/>
              <w:jc w:val="right"/>
            </w:pPr>
            <w:r>
              <w:t>39.3%</w:t>
            </w:r>
          </w:p>
          <w:p w:rsidR="00B873A7" w:rsidRDefault="00B873A7" w:rsidP="00841EA0">
            <w:pPr>
              <w:pStyle w:val="Tablecells"/>
              <w:jc w:val="right"/>
            </w:pPr>
            <w:r>
              <w:t>0.0%</w:t>
            </w:r>
          </w:p>
          <w:p w:rsidR="00B873A7" w:rsidRDefault="00B873A7" w:rsidP="00841EA0">
            <w:pPr>
              <w:pStyle w:val="Tablecells"/>
              <w:jc w:val="right"/>
            </w:pPr>
            <w:r>
              <w:t>60.7%</w:t>
            </w:r>
          </w:p>
        </w:tc>
        <w:tc>
          <w:tcPr>
            <w:tcW w:w="1281" w:type="dxa"/>
            <w:tcBorders>
              <w:top w:val="nil"/>
              <w:bottom w:val="nil"/>
            </w:tcBorders>
          </w:tcPr>
          <w:p w:rsidR="00B873A7" w:rsidRDefault="00B873A7" w:rsidP="00841EA0">
            <w:pPr>
              <w:pStyle w:val="Tablecells"/>
              <w:jc w:val="right"/>
            </w:pPr>
            <w:r>
              <w:t>37.4%</w:t>
            </w:r>
          </w:p>
          <w:p w:rsidR="00B873A7" w:rsidRDefault="00B873A7" w:rsidP="00841EA0">
            <w:pPr>
              <w:pStyle w:val="Tablecells"/>
              <w:jc w:val="right"/>
            </w:pPr>
            <w:r>
              <w:t>0.0%</w:t>
            </w:r>
          </w:p>
          <w:p w:rsidR="00B873A7" w:rsidRDefault="00B873A7" w:rsidP="00841EA0">
            <w:pPr>
              <w:pStyle w:val="Tablecells"/>
              <w:jc w:val="right"/>
            </w:pPr>
            <w:r>
              <w:t>62.6%</w:t>
            </w:r>
          </w:p>
        </w:tc>
        <w:tc>
          <w:tcPr>
            <w:tcW w:w="1282" w:type="dxa"/>
            <w:tcBorders>
              <w:top w:val="nil"/>
              <w:bottom w:val="nil"/>
            </w:tcBorders>
          </w:tcPr>
          <w:p w:rsidR="00B873A7" w:rsidRDefault="00B873A7" w:rsidP="00841EA0">
            <w:pPr>
              <w:pStyle w:val="Tablecells"/>
              <w:jc w:val="right"/>
            </w:pPr>
            <w:r>
              <w:t>0.0%</w:t>
            </w:r>
          </w:p>
          <w:p w:rsidR="00B873A7" w:rsidRDefault="00B873A7" w:rsidP="00841EA0">
            <w:pPr>
              <w:pStyle w:val="Tablecells"/>
              <w:jc w:val="right"/>
            </w:pPr>
            <w:r>
              <w:t>0.0%</w:t>
            </w:r>
          </w:p>
          <w:p w:rsidR="00B873A7" w:rsidRDefault="00B873A7" w:rsidP="00841EA0">
            <w:pPr>
              <w:pStyle w:val="Tablecells"/>
              <w:jc w:val="right"/>
            </w:pPr>
            <w:r>
              <w:t>0.0%</w:t>
            </w:r>
          </w:p>
        </w:tc>
      </w:tr>
      <w:tr w:rsidR="00B873A7" w:rsidTr="00841EA0">
        <w:tc>
          <w:tcPr>
            <w:tcW w:w="1789" w:type="dxa"/>
            <w:tcBorders>
              <w:top w:val="nil"/>
              <w:bottom w:val="nil"/>
            </w:tcBorders>
          </w:tcPr>
          <w:p w:rsidR="00B873A7" w:rsidRPr="00534438" w:rsidRDefault="00B873A7" w:rsidP="00841EA0">
            <w:pPr>
              <w:pStyle w:val="Tablecells"/>
            </w:pPr>
            <w:r w:rsidRPr="00534438">
              <w:t>Rural</w:t>
            </w:r>
          </w:p>
        </w:tc>
        <w:tc>
          <w:tcPr>
            <w:tcW w:w="3314" w:type="dxa"/>
            <w:tcBorders>
              <w:top w:val="nil"/>
              <w:bottom w:val="nil"/>
            </w:tcBorders>
          </w:tcPr>
          <w:p w:rsidR="00B873A7" w:rsidRPr="00CB0193" w:rsidRDefault="00B873A7" w:rsidP="00B873A7">
            <w:pPr>
              <w:pStyle w:val="Tablecells"/>
              <w:numPr>
                <w:ilvl w:val="0"/>
                <w:numId w:val="39"/>
              </w:numPr>
              <w:tabs>
                <w:tab w:val="clear" w:pos="720"/>
              </w:tabs>
              <w:ind w:left="423"/>
            </w:pPr>
            <w:r w:rsidRPr="00CB0193">
              <w:t>Sub-1GHz</w:t>
            </w:r>
          </w:p>
          <w:p w:rsidR="00B873A7" w:rsidRPr="00CB0193" w:rsidRDefault="00B873A7" w:rsidP="00B873A7">
            <w:pPr>
              <w:pStyle w:val="Tablecells"/>
              <w:numPr>
                <w:ilvl w:val="0"/>
                <w:numId w:val="39"/>
              </w:numPr>
              <w:tabs>
                <w:tab w:val="clear" w:pos="720"/>
              </w:tabs>
              <w:ind w:left="423"/>
            </w:pPr>
            <w:r w:rsidRPr="00CB0193">
              <w:t>1800MHz used for coverage</w:t>
            </w:r>
          </w:p>
          <w:p w:rsidR="00B873A7" w:rsidRDefault="00B873A7" w:rsidP="00B873A7">
            <w:pPr>
              <w:pStyle w:val="Tablecells"/>
              <w:numPr>
                <w:ilvl w:val="0"/>
                <w:numId w:val="39"/>
              </w:numPr>
              <w:tabs>
                <w:tab w:val="clear" w:pos="720"/>
              </w:tabs>
              <w:ind w:left="423"/>
            </w:pPr>
            <w:r w:rsidRPr="00CB0193">
              <w:t>Above 1GHz excluding 1800MHz used for coverage</w:t>
            </w:r>
          </w:p>
        </w:tc>
        <w:tc>
          <w:tcPr>
            <w:tcW w:w="1281" w:type="dxa"/>
            <w:tcBorders>
              <w:top w:val="nil"/>
              <w:bottom w:val="nil"/>
            </w:tcBorders>
          </w:tcPr>
          <w:p w:rsidR="00B873A7" w:rsidRDefault="00B873A7" w:rsidP="00841EA0">
            <w:pPr>
              <w:pStyle w:val="Tablecells"/>
              <w:jc w:val="right"/>
            </w:pPr>
            <w:r>
              <w:t>68.3%</w:t>
            </w:r>
          </w:p>
          <w:p w:rsidR="00B873A7" w:rsidRDefault="00B873A7" w:rsidP="00841EA0">
            <w:pPr>
              <w:pStyle w:val="Tablecells"/>
              <w:jc w:val="right"/>
            </w:pPr>
            <w:r>
              <w:t>0.0%</w:t>
            </w:r>
          </w:p>
          <w:p w:rsidR="00B873A7" w:rsidRDefault="00B873A7" w:rsidP="00841EA0">
            <w:pPr>
              <w:pStyle w:val="Tablecells"/>
              <w:jc w:val="right"/>
            </w:pPr>
            <w:r>
              <w:t>31.7%</w:t>
            </w:r>
          </w:p>
        </w:tc>
        <w:tc>
          <w:tcPr>
            <w:tcW w:w="1281" w:type="dxa"/>
            <w:tcBorders>
              <w:top w:val="nil"/>
              <w:bottom w:val="nil"/>
            </w:tcBorders>
          </w:tcPr>
          <w:p w:rsidR="00B873A7" w:rsidRDefault="00B873A7" w:rsidP="00841EA0">
            <w:pPr>
              <w:pStyle w:val="Tablecells"/>
              <w:jc w:val="right"/>
            </w:pPr>
            <w:r>
              <w:t>85.7%</w:t>
            </w:r>
          </w:p>
          <w:p w:rsidR="00B873A7" w:rsidRDefault="00B873A7" w:rsidP="00841EA0">
            <w:pPr>
              <w:pStyle w:val="Tablecells"/>
              <w:jc w:val="right"/>
            </w:pPr>
            <w:r>
              <w:t>0.0%</w:t>
            </w:r>
          </w:p>
          <w:p w:rsidR="00B873A7" w:rsidRDefault="00B873A7" w:rsidP="00841EA0">
            <w:pPr>
              <w:pStyle w:val="Tablecells"/>
              <w:jc w:val="right"/>
            </w:pPr>
            <w:r>
              <w:t>14.3%</w:t>
            </w:r>
          </w:p>
        </w:tc>
        <w:tc>
          <w:tcPr>
            <w:tcW w:w="1282" w:type="dxa"/>
            <w:tcBorders>
              <w:top w:val="nil"/>
              <w:bottom w:val="nil"/>
            </w:tcBorders>
          </w:tcPr>
          <w:p w:rsidR="00B873A7" w:rsidRDefault="00B873A7" w:rsidP="00841EA0">
            <w:pPr>
              <w:pStyle w:val="Tablecells"/>
              <w:jc w:val="right"/>
            </w:pPr>
            <w:r>
              <w:t>0.0%</w:t>
            </w:r>
          </w:p>
          <w:p w:rsidR="00B873A7" w:rsidRDefault="00B873A7" w:rsidP="00841EA0">
            <w:pPr>
              <w:pStyle w:val="Tablecells"/>
              <w:jc w:val="right"/>
            </w:pPr>
            <w:r>
              <w:t>0.0%</w:t>
            </w:r>
          </w:p>
          <w:p w:rsidR="00B873A7" w:rsidRDefault="00B873A7" w:rsidP="00841EA0">
            <w:pPr>
              <w:pStyle w:val="Tablecells"/>
              <w:jc w:val="right"/>
            </w:pPr>
            <w:r>
              <w:t>0.0%</w:t>
            </w:r>
          </w:p>
        </w:tc>
      </w:tr>
      <w:tr w:rsidR="00B873A7" w:rsidTr="00841EA0">
        <w:trPr>
          <w:cnfStyle w:val="000000100000" w:firstRow="0" w:lastRow="0" w:firstColumn="0" w:lastColumn="0" w:oddVBand="0" w:evenVBand="0" w:oddHBand="1" w:evenHBand="0" w:firstRowFirstColumn="0" w:firstRowLastColumn="0" w:lastRowFirstColumn="0" w:lastRowLastColumn="0"/>
        </w:trPr>
        <w:tc>
          <w:tcPr>
            <w:tcW w:w="1789" w:type="dxa"/>
            <w:tcBorders>
              <w:top w:val="nil"/>
              <w:bottom w:val="single" w:sz="4" w:space="0" w:color="808080"/>
            </w:tcBorders>
          </w:tcPr>
          <w:p w:rsidR="00B873A7" w:rsidRDefault="00B873A7" w:rsidP="00841EA0">
            <w:pPr>
              <w:pStyle w:val="Tablecells"/>
            </w:pPr>
            <w:r w:rsidRPr="00534438">
              <w:t>Remote</w:t>
            </w:r>
          </w:p>
        </w:tc>
        <w:tc>
          <w:tcPr>
            <w:tcW w:w="3314" w:type="dxa"/>
            <w:tcBorders>
              <w:top w:val="nil"/>
              <w:bottom w:val="single" w:sz="4" w:space="0" w:color="808080"/>
            </w:tcBorders>
          </w:tcPr>
          <w:p w:rsidR="00B873A7" w:rsidRPr="00CB0193" w:rsidRDefault="00B873A7" w:rsidP="00B873A7">
            <w:pPr>
              <w:pStyle w:val="Tablecells"/>
              <w:numPr>
                <w:ilvl w:val="0"/>
                <w:numId w:val="39"/>
              </w:numPr>
              <w:tabs>
                <w:tab w:val="clear" w:pos="720"/>
              </w:tabs>
              <w:ind w:left="423"/>
            </w:pPr>
            <w:r w:rsidRPr="00CB0193">
              <w:t>Sub-1GHz</w:t>
            </w:r>
          </w:p>
          <w:p w:rsidR="00B873A7" w:rsidRPr="00CB0193" w:rsidRDefault="00B873A7" w:rsidP="00B873A7">
            <w:pPr>
              <w:pStyle w:val="Tablecells"/>
              <w:numPr>
                <w:ilvl w:val="0"/>
                <w:numId w:val="39"/>
              </w:numPr>
              <w:tabs>
                <w:tab w:val="clear" w:pos="720"/>
              </w:tabs>
              <w:ind w:left="423"/>
            </w:pPr>
            <w:r w:rsidRPr="00CB0193">
              <w:t>1800MHz used for coverage</w:t>
            </w:r>
          </w:p>
          <w:p w:rsidR="00B873A7" w:rsidRDefault="00B873A7" w:rsidP="00B873A7">
            <w:pPr>
              <w:pStyle w:val="Tablecells"/>
              <w:numPr>
                <w:ilvl w:val="0"/>
                <w:numId w:val="39"/>
              </w:numPr>
              <w:tabs>
                <w:tab w:val="clear" w:pos="720"/>
              </w:tabs>
              <w:ind w:left="423"/>
            </w:pPr>
            <w:r w:rsidRPr="00CB0193">
              <w:t>Above 1GHz excluding 1800MHz used for coverage</w:t>
            </w:r>
          </w:p>
        </w:tc>
        <w:tc>
          <w:tcPr>
            <w:tcW w:w="1281" w:type="dxa"/>
            <w:tcBorders>
              <w:top w:val="nil"/>
              <w:bottom w:val="single" w:sz="4" w:space="0" w:color="808080"/>
            </w:tcBorders>
          </w:tcPr>
          <w:p w:rsidR="00B873A7" w:rsidRDefault="00B873A7" w:rsidP="00841EA0">
            <w:pPr>
              <w:pStyle w:val="Tablecells"/>
              <w:jc w:val="right"/>
            </w:pPr>
            <w:r>
              <w:t>100.0%</w:t>
            </w:r>
          </w:p>
          <w:p w:rsidR="00B873A7" w:rsidRDefault="00B873A7" w:rsidP="00841EA0">
            <w:pPr>
              <w:pStyle w:val="Tablecells"/>
              <w:jc w:val="right"/>
            </w:pPr>
            <w:r>
              <w:t>0.0%</w:t>
            </w:r>
          </w:p>
          <w:p w:rsidR="00B873A7" w:rsidRDefault="00B873A7" w:rsidP="00841EA0">
            <w:pPr>
              <w:pStyle w:val="Tablecells"/>
              <w:jc w:val="right"/>
            </w:pPr>
            <w:r>
              <w:t>0.0%</w:t>
            </w:r>
          </w:p>
        </w:tc>
        <w:tc>
          <w:tcPr>
            <w:tcW w:w="1281" w:type="dxa"/>
            <w:tcBorders>
              <w:top w:val="nil"/>
              <w:bottom w:val="single" w:sz="4" w:space="0" w:color="808080"/>
            </w:tcBorders>
          </w:tcPr>
          <w:p w:rsidR="00B873A7" w:rsidRDefault="00B873A7" w:rsidP="00841EA0">
            <w:pPr>
              <w:pStyle w:val="Tablecells"/>
              <w:jc w:val="right"/>
            </w:pPr>
            <w:r>
              <w:t>100.0%</w:t>
            </w:r>
          </w:p>
          <w:p w:rsidR="00B873A7" w:rsidRDefault="00B873A7" w:rsidP="00841EA0">
            <w:pPr>
              <w:pStyle w:val="Tablecells"/>
              <w:jc w:val="right"/>
            </w:pPr>
            <w:r>
              <w:t>0.0%</w:t>
            </w:r>
          </w:p>
          <w:p w:rsidR="00B873A7" w:rsidRDefault="00B873A7" w:rsidP="00841EA0">
            <w:pPr>
              <w:pStyle w:val="Tablecells"/>
              <w:jc w:val="right"/>
            </w:pPr>
            <w:r>
              <w:t>0.0%</w:t>
            </w:r>
          </w:p>
        </w:tc>
        <w:tc>
          <w:tcPr>
            <w:tcW w:w="1282" w:type="dxa"/>
            <w:tcBorders>
              <w:top w:val="nil"/>
              <w:bottom w:val="single" w:sz="4" w:space="0" w:color="808080"/>
            </w:tcBorders>
          </w:tcPr>
          <w:p w:rsidR="00B873A7" w:rsidRDefault="00B873A7" w:rsidP="00841EA0">
            <w:pPr>
              <w:pStyle w:val="Tablecells"/>
              <w:jc w:val="right"/>
            </w:pPr>
            <w:r>
              <w:t>0.0%</w:t>
            </w:r>
          </w:p>
          <w:p w:rsidR="00B873A7" w:rsidRDefault="00B873A7" w:rsidP="00841EA0">
            <w:pPr>
              <w:pStyle w:val="Tablecells"/>
              <w:jc w:val="right"/>
            </w:pPr>
            <w:r>
              <w:t>0.0%</w:t>
            </w:r>
          </w:p>
          <w:p w:rsidR="00B873A7" w:rsidRDefault="00B873A7" w:rsidP="00841EA0">
            <w:pPr>
              <w:pStyle w:val="Tablecells"/>
              <w:jc w:val="right"/>
            </w:pPr>
            <w:r>
              <w:t>0.0%</w:t>
            </w:r>
          </w:p>
        </w:tc>
      </w:tr>
    </w:tbl>
    <w:p w:rsidR="00150A1E" w:rsidRDefault="00150A1E" w:rsidP="0005766B">
      <w:pPr>
        <w:pStyle w:val="Caption"/>
        <w:keepNext w:val="0"/>
        <w:spacing w:before="360"/>
      </w:pPr>
      <w:bookmarkStart w:id="157" w:name="_Ref380696748"/>
      <w:bookmarkStart w:id="158" w:name="_Ref399838999"/>
      <w:bookmarkStart w:id="159" w:name="_Ref399838992"/>
      <w:r>
        <w:br w:type="page"/>
      </w:r>
    </w:p>
    <w:p w:rsidR="00B873A7" w:rsidRDefault="00B873A7" w:rsidP="0005766B">
      <w:pPr>
        <w:pStyle w:val="Caption"/>
        <w:keepNext w:val="0"/>
        <w:spacing w:before="360"/>
      </w:pPr>
      <w:r>
        <w:t xml:space="preserve">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fldSimple w:instr=" SEQ Figure \* ARABIC \s 1 \* MERGEFORMAT ">
        <w:r w:rsidR="00A87B65">
          <w:rPr>
            <w:noProof/>
          </w:rPr>
          <w:t>43</w:t>
        </w:r>
      </w:fldSimple>
      <w:bookmarkEnd w:id="157"/>
      <w:bookmarkEnd w:id="158"/>
      <w:r>
        <w:t>: Split of capacity provided for LTE by type of spectrum in 2025 [Source: Analysys Mason, 2014]</w:t>
      </w:r>
      <w:bookmarkEnd w:id="159"/>
    </w:p>
    <w:tbl>
      <w:tblPr>
        <w:tblStyle w:val="MediumShading2-Accent1"/>
        <w:tblW w:w="8947" w:type="dxa"/>
        <w:tblInd w:w="108" w:type="dxa"/>
        <w:tblLook w:val="0420" w:firstRow="1" w:lastRow="0" w:firstColumn="0" w:lastColumn="0" w:noHBand="0" w:noVBand="1"/>
      </w:tblPr>
      <w:tblGrid>
        <w:gridCol w:w="1789"/>
        <w:gridCol w:w="3314"/>
        <w:gridCol w:w="1281"/>
        <w:gridCol w:w="1281"/>
        <w:gridCol w:w="1282"/>
      </w:tblGrid>
      <w:tr w:rsidR="00B873A7" w:rsidRPr="00CB0193" w:rsidTr="00EE4CCC">
        <w:trPr>
          <w:cnfStyle w:val="100000000000" w:firstRow="1" w:lastRow="0" w:firstColumn="0" w:lastColumn="0" w:oddVBand="0" w:evenVBand="0" w:oddHBand="0" w:evenHBand="0" w:firstRowFirstColumn="0" w:firstRowLastColumn="0" w:lastRowFirstColumn="0" w:lastRowLastColumn="0"/>
          <w:tblHeader/>
        </w:trPr>
        <w:tc>
          <w:tcPr>
            <w:tcW w:w="1789" w:type="dxa"/>
            <w:tcBorders>
              <w:top w:val="single" w:sz="18" w:space="0" w:color="221F72"/>
              <w:bottom w:val="single" w:sz="4" w:space="0" w:color="auto"/>
            </w:tcBorders>
            <w:shd w:val="solid" w:color="221F72" w:fill="221F72"/>
          </w:tcPr>
          <w:p w:rsidR="00B873A7" w:rsidRPr="00CB0193" w:rsidRDefault="00B873A7" w:rsidP="0058217A">
            <w:pPr>
              <w:pStyle w:val="Tableheading"/>
              <w:keepNext w:val="0"/>
              <w:rPr>
                <w:b/>
              </w:rPr>
            </w:pPr>
            <w:r>
              <w:rPr>
                <w:b/>
              </w:rPr>
              <w:t>Geotype</w:t>
            </w:r>
          </w:p>
        </w:tc>
        <w:tc>
          <w:tcPr>
            <w:tcW w:w="3314" w:type="dxa"/>
            <w:tcBorders>
              <w:top w:val="single" w:sz="18" w:space="0" w:color="221F72"/>
              <w:bottom w:val="single" w:sz="4" w:space="0" w:color="auto"/>
            </w:tcBorders>
            <w:shd w:val="solid" w:color="221F72" w:fill="221F72"/>
          </w:tcPr>
          <w:p w:rsidR="00B873A7" w:rsidRPr="00CB0193" w:rsidRDefault="00B873A7" w:rsidP="0058217A">
            <w:pPr>
              <w:pStyle w:val="Tableheading"/>
              <w:keepNext w:val="0"/>
              <w:rPr>
                <w:b/>
              </w:rPr>
            </w:pPr>
            <w:r>
              <w:rPr>
                <w:b/>
              </w:rPr>
              <w:t>Spectrum type</w:t>
            </w:r>
          </w:p>
        </w:tc>
        <w:tc>
          <w:tcPr>
            <w:tcW w:w="1281" w:type="dxa"/>
            <w:tcBorders>
              <w:top w:val="single" w:sz="18" w:space="0" w:color="221F72"/>
              <w:bottom w:val="single" w:sz="4" w:space="0" w:color="auto"/>
            </w:tcBorders>
            <w:shd w:val="solid" w:color="221F72" w:fill="221F72"/>
          </w:tcPr>
          <w:p w:rsidR="00B873A7" w:rsidRPr="00CB0193" w:rsidRDefault="00B873A7" w:rsidP="0058217A">
            <w:pPr>
              <w:pStyle w:val="Tableheading"/>
              <w:keepNext w:val="0"/>
              <w:jc w:val="center"/>
              <w:rPr>
                <w:b/>
              </w:rPr>
            </w:pPr>
            <w:r>
              <w:rPr>
                <w:b/>
              </w:rPr>
              <w:t>Optus</w:t>
            </w:r>
          </w:p>
        </w:tc>
        <w:tc>
          <w:tcPr>
            <w:tcW w:w="1281" w:type="dxa"/>
            <w:tcBorders>
              <w:top w:val="single" w:sz="18" w:space="0" w:color="221F72"/>
              <w:bottom w:val="single" w:sz="4" w:space="0" w:color="auto"/>
            </w:tcBorders>
            <w:shd w:val="solid" w:color="221F72" w:fill="221F72"/>
          </w:tcPr>
          <w:p w:rsidR="00B873A7" w:rsidRPr="00CB0193" w:rsidRDefault="00B873A7" w:rsidP="0058217A">
            <w:pPr>
              <w:pStyle w:val="Tableheading"/>
              <w:keepNext w:val="0"/>
              <w:jc w:val="center"/>
              <w:rPr>
                <w:b/>
              </w:rPr>
            </w:pPr>
            <w:r>
              <w:rPr>
                <w:b/>
              </w:rPr>
              <w:t>Telstra</w:t>
            </w:r>
          </w:p>
        </w:tc>
        <w:tc>
          <w:tcPr>
            <w:tcW w:w="1282" w:type="dxa"/>
            <w:tcBorders>
              <w:top w:val="single" w:sz="18" w:space="0" w:color="221F72"/>
              <w:bottom w:val="single" w:sz="4" w:space="0" w:color="auto"/>
            </w:tcBorders>
            <w:shd w:val="solid" w:color="221F72" w:fill="221F72"/>
          </w:tcPr>
          <w:p w:rsidR="00B873A7" w:rsidRPr="00CB0193" w:rsidRDefault="00550C5F" w:rsidP="0058217A">
            <w:pPr>
              <w:pStyle w:val="Tableheading"/>
              <w:keepNext w:val="0"/>
              <w:jc w:val="center"/>
              <w:rPr>
                <w:b/>
              </w:rPr>
            </w:pPr>
            <w:r>
              <w:rPr>
                <w:b/>
              </w:rPr>
              <w:t>VHA</w:t>
            </w:r>
          </w:p>
        </w:tc>
      </w:tr>
      <w:tr w:rsidR="00FB236B" w:rsidTr="00EE4CCC">
        <w:trPr>
          <w:cnfStyle w:val="000000100000" w:firstRow="0" w:lastRow="0" w:firstColumn="0" w:lastColumn="0" w:oddVBand="0" w:evenVBand="0" w:oddHBand="1" w:evenHBand="0" w:firstRowFirstColumn="0" w:firstRowLastColumn="0" w:lastRowFirstColumn="0" w:lastRowLastColumn="0"/>
        </w:trPr>
        <w:tc>
          <w:tcPr>
            <w:tcW w:w="1789" w:type="dxa"/>
            <w:tcBorders>
              <w:top w:val="single" w:sz="4" w:space="0" w:color="auto"/>
            </w:tcBorders>
          </w:tcPr>
          <w:p w:rsidR="00FB236B" w:rsidRPr="00A44073" w:rsidRDefault="00FB236B" w:rsidP="0058217A">
            <w:pPr>
              <w:pStyle w:val="Tablecells"/>
            </w:pPr>
            <w:r w:rsidRPr="00A44073">
              <w:t>Dense urban</w:t>
            </w:r>
          </w:p>
        </w:tc>
        <w:tc>
          <w:tcPr>
            <w:tcW w:w="3314" w:type="dxa"/>
            <w:tcBorders>
              <w:top w:val="single" w:sz="4" w:space="0" w:color="auto"/>
            </w:tcBorders>
          </w:tcPr>
          <w:p w:rsidR="00FB236B" w:rsidRPr="00CB0193" w:rsidRDefault="00FB236B" w:rsidP="0058217A">
            <w:pPr>
              <w:pStyle w:val="Tablecells"/>
              <w:numPr>
                <w:ilvl w:val="0"/>
                <w:numId w:val="39"/>
              </w:numPr>
              <w:tabs>
                <w:tab w:val="clear" w:pos="720"/>
              </w:tabs>
              <w:ind w:left="423"/>
            </w:pPr>
            <w:r w:rsidRPr="00CB0193">
              <w:t>Sub-1GHz</w:t>
            </w:r>
          </w:p>
          <w:p w:rsidR="00FB236B" w:rsidRPr="00CB0193" w:rsidRDefault="00FB236B" w:rsidP="0058217A">
            <w:pPr>
              <w:pStyle w:val="Tablecells"/>
              <w:numPr>
                <w:ilvl w:val="0"/>
                <w:numId w:val="39"/>
              </w:numPr>
              <w:tabs>
                <w:tab w:val="clear" w:pos="720"/>
              </w:tabs>
              <w:ind w:left="423"/>
            </w:pPr>
            <w:r w:rsidRPr="00CB0193">
              <w:t>1800MHz used for coverage</w:t>
            </w:r>
          </w:p>
          <w:p w:rsidR="00FB236B" w:rsidRDefault="00FB236B" w:rsidP="0058217A">
            <w:pPr>
              <w:pStyle w:val="Tablecells"/>
              <w:numPr>
                <w:ilvl w:val="0"/>
                <w:numId w:val="39"/>
              </w:numPr>
              <w:tabs>
                <w:tab w:val="clear" w:pos="720"/>
              </w:tabs>
              <w:ind w:left="423"/>
            </w:pPr>
            <w:r w:rsidRPr="00CB0193">
              <w:t>Above 1GHz excluding 1800MHz used for coverage</w:t>
            </w:r>
          </w:p>
        </w:tc>
        <w:tc>
          <w:tcPr>
            <w:tcW w:w="1281" w:type="dxa"/>
            <w:tcBorders>
              <w:top w:val="single" w:sz="4" w:space="0" w:color="auto"/>
            </w:tcBorders>
          </w:tcPr>
          <w:p w:rsidR="00FB236B" w:rsidRDefault="00FB236B" w:rsidP="0058217A">
            <w:pPr>
              <w:pStyle w:val="Tablecells"/>
              <w:jc w:val="right"/>
            </w:pPr>
            <w:r>
              <w:t>26.2%</w:t>
            </w:r>
          </w:p>
          <w:p w:rsidR="00FB236B" w:rsidRDefault="00FB236B" w:rsidP="0058217A">
            <w:pPr>
              <w:pStyle w:val="Tablecells"/>
              <w:jc w:val="right"/>
            </w:pPr>
            <w:r>
              <w:t>0.0%</w:t>
            </w:r>
          </w:p>
          <w:p w:rsidR="00FB236B" w:rsidRDefault="00FB236B" w:rsidP="0058217A">
            <w:pPr>
              <w:pStyle w:val="Tablecells"/>
              <w:jc w:val="right"/>
            </w:pPr>
            <w:r>
              <w:t>73.8%</w:t>
            </w:r>
          </w:p>
        </w:tc>
        <w:tc>
          <w:tcPr>
            <w:tcW w:w="1281" w:type="dxa"/>
            <w:tcBorders>
              <w:top w:val="single" w:sz="4" w:space="0" w:color="auto"/>
            </w:tcBorders>
          </w:tcPr>
          <w:p w:rsidR="00FB236B" w:rsidRDefault="00FB236B" w:rsidP="0058217A">
            <w:pPr>
              <w:pStyle w:val="Tablecells"/>
              <w:jc w:val="right"/>
            </w:pPr>
            <w:r>
              <w:t>40.2%</w:t>
            </w:r>
          </w:p>
          <w:p w:rsidR="00FB236B" w:rsidRDefault="00FB236B" w:rsidP="0058217A">
            <w:pPr>
              <w:pStyle w:val="Tablecells"/>
              <w:jc w:val="right"/>
            </w:pPr>
            <w:r>
              <w:t>0.0%</w:t>
            </w:r>
          </w:p>
          <w:p w:rsidR="00FB236B" w:rsidRDefault="00FB236B" w:rsidP="0058217A">
            <w:pPr>
              <w:pStyle w:val="Tablecells"/>
              <w:jc w:val="right"/>
            </w:pPr>
            <w:r>
              <w:t>59.8%</w:t>
            </w:r>
          </w:p>
        </w:tc>
        <w:tc>
          <w:tcPr>
            <w:tcW w:w="1282" w:type="dxa"/>
            <w:tcBorders>
              <w:top w:val="single" w:sz="4" w:space="0" w:color="auto"/>
            </w:tcBorders>
          </w:tcPr>
          <w:p w:rsidR="00FB236B" w:rsidRDefault="00FB236B" w:rsidP="0058217A">
            <w:pPr>
              <w:pStyle w:val="Tablecells"/>
              <w:jc w:val="right"/>
            </w:pPr>
            <w:r>
              <w:t>0.0%</w:t>
            </w:r>
          </w:p>
          <w:p w:rsidR="00FB236B" w:rsidRDefault="00FB236B" w:rsidP="0058217A">
            <w:pPr>
              <w:pStyle w:val="Tablecells"/>
              <w:jc w:val="right"/>
            </w:pPr>
            <w:r>
              <w:t>100.0%</w:t>
            </w:r>
          </w:p>
          <w:p w:rsidR="00FB236B" w:rsidRDefault="00FB236B" w:rsidP="0058217A">
            <w:pPr>
              <w:pStyle w:val="Tablecells"/>
              <w:jc w:val="right"/>
            </w:pPr>
            <w:r>
              <w:t>0.0%</w:t>
            </w:r>
          </w:p>
        </w:tc>
      </w:tr>
      <w:tr w:rsidR="00FB236B" w:rsidTr="00841EA0">
        <w:tc>
          <w:tcPr>
            <w:tcW w:w="1789" w:type="dxa"/>
            <w:tcBorders>
              <w:bottom w:val="nil"/>
            </w:tcBorders>
          </w:tcPr>
          <w:p w:rsidR="00FB236B" w:rsidRPr="00A44073" w:rsidRDefault="00FB236B" w:rsidP="0058217A">
            <w:pPr>
              <w:pStyle w:val="Tablecells"/>
            </w:pPr>
            <w:r w:rsidRPr="00A44073">
              <w:t>Urban in metro areas</w:t>
            </w:r>
          </w:p>
        </w:tc>
        <w:tc>
          <w:tcPr>
            <w:tcW w:w="3314" w:type="dxa"/>
            <w:tcBorders>
              <w:bottom w:val="nil"/>
            </w:tcBorders>
          </w:tcPr>
          <w:p w:rsidR="00FB236B" w:rsidRPr="00CB0193" w:rsidRDefault="00FB236B" w:rsidP="0058217A">
            <w:pPr>
              <w:pStyle w:val="Tablecells"/>
              <w:numPr>
                <w:ilvl w:val="0"/>
                <w:numId w:val="39"/>
              </w:numPr>
              <w:tabs>
                <w:tab w:val="clear" w:pos="720"/>
              </w:tabs>
              <w:ind w:left="423"/>
            </w:pPr>
            <w:r w:rsidRPr="00CB0193">
              <w:t>Sub-1GHz</w:t>
            </w:r>
          </w:p>
          <w:p w:rsidR="00FB236B" w:rsidRPr="00CB0193" w:rsidRDefault="00FB236B" w:rsidP="0058217A">
            <w:pPr>
              <w:pStyle w:val="Tablecells"/>
              <w:numPr>
                <w:ilvl w:val="0"/>
                <w:numId w:val="39"/>
              </w:numPr>
              <w:tabs>
                <w:tab w:val="clear" w:pos="720"/>
              </w:tabs>
              <w:ind w:left="423"/>
            </w:pPr>
            <w:r w:rsidRPr="00CB0193">
              <w:t>1800MHz used for coverage</w:t>
            </w:r>
          </w:p>
          <w:p w:rsidR="00FB236B" w:rsidRDefault="00FB236B" w:rsidP="0058217A">
            <w:pPr>
              <w:pStyle w:val="Tablecells"/>
              <w:numPr>
                <w:ilvl w:val="0"/>
                <w:numId w:val="39"/>
              </w:numPr>
              <w:tabs>
                <w:tab w:val="clear" w:pos="720"/>
              </w:tabs>
              <w:ind w:left="423"/>
            </w:pPr>
            <w:r w:rsidRPr="00CB0193">
              <w:t>Above 1GHz excluding 1800MHz used for coverage</w:t>
            </w:r>
          </w:p>
        </w:tc>
        <w:tc>
          <w:tcPr>
            <w:tcW w:w="1281" w:type="dxa"/>
            <w:tcBorders>
              <w:bottom w:val="nil"/>
            </w:tcBorders>
          </w:tcPr>
          <w:p w:rsidR="00FB236B" w:rsidRDefault="00FB236B" w:rsidP="0058217A">
            <w:pPr>
              <w:pStyle w:val="Tablecells"/>
              <w:jc w:val="right"/>
            </w:pPr>
            <w:r>
              <w:t>23.7%</w:t>
            </w:r>
          </w:p>
          <w:p w:rsidR="00FB236B" w:rsidRDefault="00FB236B" w:rsidP="0058217A">
            <w:pPr>
              <w:pStyle w:val="Tablecells"/>
              <w:jc w:val="right"/>
            </w:pPr>
            <w:r>
              <w:t>0.0%</w:t>
            </w:r>
          </w:p>
          <w:p w:rsidR="00FB236B" w:rsidRDefault="00FB236B" w:rsidP="0058217A">
            <w:pPr>
              <w:pStyle w:val="Tablecells"/>
              <w:jc w:val="right"/>
            </w:pPr>
            <w:r>
              <w:t>76.3%</w:t>
            </w:r>
          </w:p>
        </w:tc>
        <w:tc>
          <w:tcPr>
            <w:tcW w:w="1281" w:type="dxa"/>
            <w:tcBorders>
              <w:bottom w:val="nil"/>
            </w:tcBorders>
          </w:tcPr>
          <w:p w:rsidR="00FB236B" w:rsidRDefault="00FB236B" w:rsidP="0058217A">
            <w:pPr>
              <w:pStyle w:val="Tablecells"/>
              <w:jc w:val="right"/>
            </w:pPr>
            <w:r>
              <w:t>33.6%</w:t>
            </w:r>
          </w:p>
          <w:p w:rsidR="00FB236B" w:rsidRDefault="00FB236B" w:rsidP="0058217A">
            <w:pPr>
              <w:pStyle w:val="Tablecells"/>
              <w:jc w:val="right"/>
            </w:pPr>
            <w:r>
              <w:t>0.0%</w:t>
            </w:r>
          </w:p>
          <w:p w:rsidR="00FB236B" w:rsidRDefault="00FB236B" w:rsidP="0058217A">
            <w:pPr>
              <w:pStyle w:val="Tablecells"/>
              <w:jc w:val="right"/>
            </w:pPr>
            <w:r>
              <w:t>66.4%</w:t>
            </w:r>
          </w:p>
        </w:tc>
        <w:tc>
          <w:tcPr>
            <w:tcW w:w="1282" w:type="dxa"/>
            <w:tcBorders>
              <w:bottom w:val="nil"/>
            </w:tcBorders>
          </w:tcPr>
          <w:p w:rsidR="00FB236B" w:rsidRDefault="00FB236B" w:rsidP="0058217A">
            <w:pPr>
              <w:pStyle w:val="Tablecells"/>
              <w:jc w:val="right"/>
            </w:pPr>
            <w:r>
              <w:t>0.0%</w:t>
            </w:r>
          </w:p>
          <w:p w:rsidR="00FB236B" w:rsidRDefault="00FB236B" w:rsidP="0058217A">
            <w:pPr>
              <w:pStyle w:val="Tablecells"/>
              <w:jc w:val="right"/>
            </w:pPr>
            <w:r>
              <w:t>100.0%</w:t>
            </w:r>
          </w:p>
          <w:p w:rsidR="00FB236B" w:rsidRDefault="00FB236B" w:rsidP="0058217A">
            <w:pPr>
              <w:pStyle w:val="Tablecells"/>
              <w:jc w:val="right"/>
            </w:pPr>
            <w:r>
              <w:t>0.0%</w:t>
            </w:r>
          </w:p>
        </w:tc>
      </w:tr>
      <w:tr w:rsidR="00FB236B" w:rsidTr="00841EA0">
        <w:trPr>
          <w:cnfStyle w:val="000000100000" w:firstRow="0" w:lastRow="0" w:firstColumn="0" w:lastColumn="0" w:oddVBand="0" w:evenVBand="0" w:oddHBand="1" w:evenHBand="0" w:firstRowFirstColumn="0" w:firstRowLastColumn="0" w:lastRowFirstColumn="0" w:lastRowLastColumn="0"/>
        </w:trPr>
        <w:tc>
          <w:tcPr>
            <w:tcW w:w="1789" w:type="dxa"/>
            <w:tcBorders>
              <w:bottom w:val="nil"/>
            </w:tcBorders>
          </w:tcPr>
          <w:p w:rsidR="00FB236B" w:rsidRPr="00A44073" w:rsidRDefault="00FB236B" w:rsidP="0058217A">
            <w:pPr>
              <w:pStyle w:val="Tablecells"/>
            </w:pPr>
            <w:r w:rsidRPr="00A44073">
              <w:t>Urban in regional areas</w:t>
            </w:r>
          </w:p>
        </w:tc>
        <w:tc>
          <w:tcPr>
            <w:tcW w:w="3314" w:type="dxa"/>
            <w:tcBorders>
              <w:bottom w:val="nil"/>
            </w:tcBorders>
          </w:tcPr>
          <w:p w:rsidR="00FB236B" w:rsidRPr="00CB0193" w:rsidRDefault="00FB236B" w:rsidP="0058217A">
            <w:pPr>
              <w:pStyle w:val="Tablecells"/>
              <w:numPr>
                <w:ilvl w:val="0"/>
                <w:numId w:val="39"/>
              </w:numPr>
              <w:tabs>
                <w:tab w:val="clear" w:pos="720"/>
              </w:tabs>
              <w:ind w:left="423"/>
            </w:pPr>
            <w:r w:rsidRPr="00CB0193">
              <w:t>Sub-1GHz</w:t>
            </w:r>
          </w:p>
          <w:p w:rsidR="00FB236B" w:rsidRPr="00CB0193" w:rsidRDefault="00FB236B" w:rsidP="0058217A">
            <w:pPr>
              <w:pStyle w:val="Tablecells"/>
              <w:numPr>
                <w:ilvl w:val="0"/>
                <w:numId w:val="39"/>
              </w:numPr>
              <w:tabs>
                <w:tab w:val="clear" w:pos="720"/>
              </w:tabs>
              <w:ind w:left="423"/>
            </w:pPr>
            <w:r w:rsidRPr="00CB0193">
              <w:t>1800MHz used for coverage</w:t>
            </w:r>
          </w:p>
          <w:p w:rsidR="00FB236B" w:rsidRDefault="00FB236B" w:rsidP="0058217A">
            <w:pPr>
              <w:pStyle w:val="Tablecells"/>
              <w:numPr>
                <w:ilvl w:val="0"/>
                <w:numId w:val="39"/>
              </w:numPr>
              <w:tabs>
                <w:tab w:val="clear" w:pos="720"/>
              </w:tabs>
              <w:ind w:left="423"/>
            </w:pPr>
            <w:r w:rsidRPr="00CB0193">
              <w:t>Above 1GHz excluding 1800MHz used for coverage</w:t>
            </w:r>
          </w:p>
        </w:tc>
        <w:tc>
          <w:tcPr>
            <w:tcW w:w="1281" w:type="dxa"/>
            <w:tcBorders>
              <w:bottom w:val="nil"/>
            </w:tcBorders>
          </w:tcPr>
          <w:p w:rsidR="00FB236B" w:rsidRDefault="00FB236B" w:rsidP="0058217A">
            <w:pPr>
              <w:pStyle w:val="Tablecells"/>
              <w:jc w:val="right"/>
            </w:pPr>
            <w:r>
              <w:t>31.3%</w:t>
            </w:r>
          </w:p>
          <w:p w:rsidR="00FB236B" w:rsidRDefault="00FB236B" w:rsidP="0058217A">
            <w:pPr>
              <w:pStyle w:val="Tablecells"/>
              <w:jc w:val="right"/>
            </w:pPr>
            <w:r>
              <w:t>0.0%</w:t>
            </w:r>
          </w:p>
          <w:p w:rsidR="00FB236B" w:rsidRDefault="00FB236B" w:rsidP="0058217A">
            <w:pPr>
              <w:pStyle w:val="Tablecells"/>
              <w:jc w:val="right"/>
            </w:pPr>
            <w:r>
              <w:t>68.7%</w:t>
            </w:r>
          </w:p>
        </w:tc>
        <w:tc>
          <w:tcPr>
            <w:tcW w:w="1281" w:type="dxa"/>
            <w:tcBorders>
              <w:bottom w:val="nil"/>
            </w:tcBorders>
          </w:tcPr>
          <w:p w:rsidR="00FB236B" w:rsidRDefault="00FB236B" w:rsidP="0058217A">
            <w:pPr>
              <w:pStyle w:val="Tablecells"/>
              <w:jc w:val="right"/>
            </w:pPr>
            <w:r>
              <w:t>31.0%</w:t>
            </w:r>
          </w:p>
          <w:p w:rsidR="00FB236B" w:rsidRDefault="00FB236B" w:rsidP="0058217A">
            <w:pPr>
              <w:pStyle w:val="Tablecells"/>
              <w:jc w:val="right"/>
            </w:pPr>
            <w:r>
              <w:t>0.0%</w:t>
            </w:r>
          </w:p>
          <w:p w:rsidR="00FB236B" w:rsidRDefault="00FB236B" w:rsidP="0058217A">
            <w:pPr>
              <w:pStyle w:val="Tablecells"/>
              <w:jc w:val="right"/>
            </w:pPr>
            <w:r>
              <w:t>69.0%</w:t>
            </w:r>
          </w:p>
        </w:tc>
        <w:tc>
          <w:tcPr>
            <w:tcW w:w="1282" w:type="dxa"/>
            <w:tcBorders>
              <w:bottom w:val="nil"/>
            </w:tcBorders>
          </w:tcPr>
          <w:p w:rsidR="00FB236B" w:rsidRDefault="00FB236B" w:rsidP="0058217A">
            <w:pPr>
              <w:pStyle w:val="Tablecells"/>
              <w:jc w:val="right"/>
            </w:pPr>
            <w:r>
              <w:t>0.0%</w:t>
            </w:r>
          </w:p>
          <w:p w:rsidR="00FB236B" w:rsidRDefault="00FB236B" w:rsidP="0058217A">
            <w:pPr>
              <w:pStyle w:val="Tablecells"/>
              <w:jc w:val="right"/>
            </w:pPr>
            <w:r>
              <w:t>0.0%</w:t>
            </w:r>
          </w:p>
          <w:p w:rsidR="00FB236B" w:rsidRDefault="00FB236B" w:rsidP="0058217A">
            <w:pPr>
              <w:pStyle w:val="Tablecells"/>
              <w:jc w:val="right"/>
            </w:pPr>
            <w:r>
              <w:t>0.0%</w:t>
            </w:r>
          </w:p>
        </w:tc>
      </w:tr>
      <w:tr w:rsidR="00FB236B" w:rsidTr="00841EA0">
        <w:tc>
          <w:tcPr>
            <w:tcW w:w="1789" w:type="dxa"/>
            <w:tcBorders>
              <w:top w:val="nil"/>
              <w:bottom w:val="nil"/>
            </w:tcBorders>
          </w:tcPr>
          <w:p w:rsidR="00FB236B" w:rsidRPr="00A44073" w:rsidRDefault="00FB236B" w:rsidP="0058217A">
            <w:pPr>
              <w:pStyle w:val="Tablecells"/>
            </w:pPr>
            <w:r w:rsidRPr="00A44073">
              <w:t>Suburban in metro areas</w:t>
            </w:r>
          </w:p>
        </w:tc>
        <w:tc>
          <w:tcPr>
            <w:tcW w:w="3314" w:type="dxa"/>
            <w:tcBorders>
              <w:top w:val="nil"/>
              <w:bottom w:val="nil"/>
            </w:tcBorders>
          </w:tcPr>
          <w:p w:rsidR="00FB236B" w:rsidRPr="00CB0193" w:rsidRDefault="00FB236B" w:rsidP="0058217A">
            <w:pPr>
              <w:pStyle w:val="Tablecells"/>
              <w:numPr>
                <w:ilvl w:val="0"/>
                <w:numId w:val="39"/>
              </w:numPr>
              <w:tabs>
                <w:tab w:val="clear" w:pos="720"/>
              </w:tabs>
              <w:ind w:left="423"/>
            </w:pPr>
            <w:r w:rsidRPr="00CB0193">
              <w:t>Sub-1GHz</w:t>
            </w:r>
          </w:p>
          <w:p w:rsidR="00FB236B" w:rsidRPr="00CB0193" w:rsidRDefault="00FB236B" w:rsidP="0058217A">
            <w:pPr>
              <w:pStyle w:val="Tablecells"/>
              <w:numPr>
                <w:ilvl w:val="0"/>
                <w:numId w:val="39"/>
              </w:numPr>
              <w:tabs>
                <w:tab w:val="clear" w:pos="720"/>
              </w:tabs>
              <w:ind w:left="423"/>
            </w:pPr>
            <w:r w:rsidRPr="00CB0193">
              <w:t>1800MHz used for coverage</w:t>
            </w:r>
          </w:p>
          <w:p w:rsidR="00FB236B" w:rsidRDefault="00FB236B" w:rsidP="0058217A">
            <w:pPr>
              <w:pStyle w:val="Tablecells"/>
              <w:numPr>
                <w:ilvl w:val="0"/>
                <w:numId w:val="39"/>
              </w:numPr>
              <w:tabs>
                <w:tab w:val="clear" w:pos="720"/>
              </w:tabs>
              <w:ind w:left="423"/>
            </w:pPr>
            <w:r w:rsidRPr="00CB0193">
              <w:t>Above 1GHz excluding 1800MHz used for coverage</w:t>
            </w:r>
          </w:p>
        </w:tc>
        <w:tc>
          <w:tcPr>
            <w:tcW w:w="1281" w:type="dxa"/>
            <w:tcBorders>
              <w:top w:val="nil"/>
              <w:bottom w:val="nil"/>
            </w:tcBorders>
          </w:tcPr>
          <w:p w:rsidR="00FB236B" w:rsidRDefault="00FB236B" w:rsidP="0058217A">
            <w:pPr>
              <w:pStyle w:val="Tablecells"/>
              <w:jc w:val="right"/>
            </w:pPr>
            <w:r>
              <w:t>23.9%</w:t>
            </w:r>
          </w:p>
          <w:p w:rsidR="00FB236B" w:rsidRDefault="00FB236B" w:rsidP="0058217A">
            <w:pPr>
              <w:pStyle w:val="Tablecells"/>
              <w:jc w:val="right"/>
            </w:pPr>
            <w:r>
              <w:t>0.0%</w:t>
            </w:r>
          </w:p>
          <w:p w:rsidR="00FB236B" w:rsidRDefault="00FB236B" w:rsidP="0058217A">
            <w:pPr>
              <w:pStyle w:val="Tablecells"/>
              <w:jc w:val="right"/>
            </w:pPr>
            <w:r>
              <w:t>76.1%</w:t>
            </w:r>
          </w:p>
        </w:tc>
        <w:tc>
          <w:tcPr>
            <w:tcW w:w="1281" w:type="dxa"/>
            <w:tcBorders>
              <w:top w:val="nil"/>
              <w:bottom w:val="nil"/>
            </w:tcBorders>
          </w:tcPr>
          <w:p w:rsidR="00FB236B" w:rsidRDefault="00FB236B" w:rsidP="0058217A">
            <w:pPr>
              <w:pStyle w:val="Tablecells"/>
              <w:jc w:val="right"/>
            </w:pPr>
            <w:r>
              <w:t>30.7%</w:t>
            </w:r>
          </w:p>
          <w:p w:rsidR="00FB236B" w:rsidRDefault="00FB236B" w:rsidP="0058217A">
            <w:pPr>
              <w:pStyle w:val="Tablecells"/>
              <w:jc w:val="right"/>
            </w:pPr>
            <w:r>
              <w:t>0.0%</w:t>
            </w:r>
          </w:p>
          <w:p w:rsidR="00FB236B" w:rsidRDefault="00FB236B" w:rsidP="0058217A">
            <w:pPr>
              <w:pStyle w:val="Tablecells"/>
              <w:jc w:val="right"/>
            </w:pPr>
            <w:r>
              <w:t>69.3%</w:t>
            </w:r>
          </w:p>
        </w:tc>
        <w:tc>
          <w:tcPr>
            <w:tcW w:w="1282" w:type="dxa"/>
            <w:tcBorders>
              <w:top w:val="nil"/>
              <w:bottom w:val="nil"/>
            </w:tcBorders>
          </w:tcPr>
          <w:p w:rsidR="00FB236B" w:rsidRDefault="00FB236B" w:rsidP="0058217A">
            <w:pPr>
              <w:pStyle w:val="Tablecells"/>
              <w:jc w:val="right"/>
            </w:pPr>
            <w:r>
              <w:t>0.0%</w:t>
            </w:r>
          </w:p>
          <w:p w:rsidR="00FB236B" w:rsidRDefault="00FB236B" w:rsidP="0058217A">
            <w:pPr>
              <w:pStyle w:val="Tablecells"/>
              <w:jc w:val="right"/>
            </w:pPr>
            <w:r>
              <w:t>100.0%</w:t>
            </w:r>
          </w:p>
          <w:p w:rsidR="00FB236B" w:rsidRDefault="00FB236B" w:rsidP="0058217A">
            <w:pPr>
              <w:pStyle w:val="Tablecells"/>
              <w:jc w:val="right"/>
            </w:pPr>
            <w:r>
              <w:t>0.0%</w:t>
            </w:r>
          </w:p>
        </w:tc>
      </w:tr>
      <w:tr w:rsidR="00FB236B" w:rsidTr="00841EA0">
        <w:trPr>
          <w:cnfStyle w:val="000000100000" w:firstRow="0" w:lastRow="0" w:firstColumn="0" w:lastColumn="0" w:oddVBand="0" w:evenVBand="0" w:oddHBand="1" w:evenHBand="0" w:firstRowFirstColumn="0" w:firstRowLastColumn="0" w:lastRowFirstColumn="0" w:lastRowLastColumn="0"/>
        </w:trPr>
        <w:tc>
          <w:tcPr>
            <w:tcW w:w="1789" w:type="dxa"/>
            <w:tcBorders>
              <w:top w:val="nil"/>
              <w:bottom w:val="nil"/>
            </w:tcBorders>
          </w:tcPr>
          <w:p w:rsidR="00FB236B" w:rsidRPr="00A44073" w:rsidRDefault="00FB236B" w:rsidP="0058217A">
            <w:pPr>
              <w:pStyle w:val="Tablecells"/>
            </w:pPr>
            <w:r w:rsidRPr="00A44073">
              <w:t>Suburban in regional areas</w:t>
            </w:r>
          </w:p>
        </w:tc>
        <w:tc>
          <w:tcPr>
            <w:tcW w:w="3314" w:type="dxa"/>
            <w:tcBorders>
              <w:top w:val="nil"/>
              <w:bottom w:val="nil"/>
            </w:tcBorders>
          </w:tcPr>
          <w:p w:rsidR="00FB236B" w:rsidRDefault="00FB236B" w:rsidP="0058217A">
            <w:pPr>
              <w:pStyle w:val="Tablecells"/>
              <w:numPr>
                <w:ilvl w:val="0"/>
                <w:numId w:val="39"/>
              </w:numPr>
              <w:tabs>
                <w:tab w:val="clear" w:pos="720"/>
              </w:tabs>
              <w:ind w:left="423"/>
            </w:pPr>
            <w:r>
              <w:t>Sub-1GHz</w:t>
            </w:r>
          </w:p>
          <w:p w:rsidR="00FB236B" w:rsidRDefault="00FB236B" w:rsidP="0058217A">
            <w:pPr>
              <w:pStyle w:val="Tablecells"/>
              <w:numPr>
                <w:ilvl w:val="0"/>
                <w:numId w:val="39"/>
              </w:numPr>
              <w:tabs>
                <w:tab w:val="clear" w:pos="720"/>
              </w:tabs>
              <w:ind w:left="423"/>
            </w:pPr>
            <w:r>
              <w:t>1800MHz used for coverage</w:t>
            </w:r>
          </w:p>
          <w:p w:rsidR="00FB236B" w:rsidRPr="00CB0193" w:rsidRDefault="00FB236B" w:rsidP="0058217A">
            <w:pPr>
              <w:pStyle w:val="Tablecells"/>
              <w:numPr>
                <w:ilvl w:val="0"/>
                <w:numId w:val="39"/>
              </w:numPr>
              <w:tabs>
                <w:tab w:val="clear" w:pos="720"/>
              </w:tabs>
              <w:ind w:left="423"/>
            </w:pPr>
            <w:r>
              <w:t>Above 1GHz excluding 1800MHz used for coverage</w:t>
            </w:r>
          </w:p>
        </w:tc>
        <w:tc>
          <w:tcPr>
            <w:tcW w:w="1281" w:type="dxa"/>
            <w:tcBorders>
              <w:top w:val="nil"/>
              <w:bottom w:val="nil"/>
            </w:tcBorders>
          </w:tcPr>
          <w:p w:rsidR="00FB236B" w:rsidRDefault="00FB236B" w:rsidP="0058217A">
            <w:pPr>
              <w:pStyle w:val="Tablecells"/>
              <w:jc w:val="right"/>
            </w:pPr>
            <w:r>
              <w:t>32.3%</w:t>
            </w:r>
          </w:p>
          <w:p w:rsidR="00FB236B" w:rsidRDefault="00FB236B" w:rsidP="0058217A">
            <w:pPr>
              <w:pStyle w:val="Tablecells"/>
              <w:jc w:val="right"/>
            </w:pPr>
            <w:r>
              <w:t>0.0%</w:t>
            </w:r>
          </w:p>
          <w:p w:rsidR="00FB236B" w:rsidRDefault="00FB236B" w:rsidP="0058217A">
            <w:pPr>
              <w:pStyle w:val="Tablecells"/>
              <w:jc w:val="right"/>
            </w:pPr>
            <w:r>
              <w:t>67.7%</w:t>
            </w:r>
          </w:p>
        </w:tc>
        <w:tc>
          <w:tcPr>
            <w:tcW w:w="1281" w:type="dxa"/>
            <w:tcBorders>
              <w:top w:val="nil"/>
              <w:bottom w:val="nil"/>
            </w:tcBorders>
          </w:tcPr>
          <w:p w:rsidR="00FB236B" w:rsidRDefault="00FB236B" w:rsidP="0058217A">
            <w:pPr>
              <w:pStyle w:val="Tablecells"/>
              <w:jc w:val="right"/>
            </w:pPr>
            <w:r>
              <w:t>31.3%</w:t>
            </w:r>
          </w:p>
          <w:p w:rsidR="00FB236B" w:rsidRDefault="00FB236B" w:rsidP="0058217A">
            <w:pPr>
              <w:pStyle w:val="Tablecells"/>
              <w:jc w:val="right"/>
            </w:pPr>
            <w:r>
              <w:t>0.0%</w:t>
            </w:r>
          </w:p>
          <w:p w:rsidR="00FB236B" w:rsidRDefault="00FB236B" w:rsidP="0058217A">
            <w:pPr>
              <w:pStyle w:val="Tablecells"/>
              <w:jc w:val="right"/>
            </w:pPr>
            <w:r>
              <w:t>68.7%</w:t>
            </w:r>
          </w:p>
        </w:tc>
        <w:tc>
          <w:tcPr>
            <w:tcW w:w="1282" w:type="dxa"/>
            <w:tcBorders>
              <w:top w:val="nil"/>
              <w:bottom w:val="nil"/>
            </w:tcBorders>
          </w:tcPr>
          <w:p w:rsidR="00FB236B" w:rsidRDefault="00FB236B" w:rsidP="0058217A">
            <w:pPr>
              <w:pStyle w:val="Tablecells"/>
              <w:jc w:val="right"/>
            </w:pPr>
            <w:r>
              <w:t>0.0%</w:t>
            </w:r>
          </w:p>
          <w:p w:rsidR="00FB236B" w:rsidRDefault="00FB236B" w:rsidP="0058217A">
            <w:pPr>
              <w:pStyle w:val="Tablecells"/>
              <w:jc w:val="right"/>
            </w:pPr>
            <w:r>
              <w:t>0.0%</w:t>
            </w:r>
          </w:p>
          <w:p w:rsidR="00FB236B" w:rsidRDefault="00FB236B" w:rsidP="0058217A">
            <w:pPr>
              <w:pStyle w:val="Tablecells"/>
              <w:jc w:val="right"/>
            </w:pPr>
            <w:r>
              <w:t>0.0%</w:t>
            </w:r>
          </w:p>
        </w:tc>
      </w:tr>
      <w:tr w:rsidR="00FB236B" w:rsidTr="00841EA0">
        <w:tc>
          <w:tcPr>
            <w:tcW w:w="1789" w:type="dxa"/>
            <w:tcBorders>
              <w:top w:val="nil"/>
              <w:bottom w:val="nil"/>
            </w:tcBorders>
          </w:tcPr>
          <w:p w:rsidR="00FB236B" w:rsidRPr="00A44073" w:rsidRDefault="00FB236B" w:rsidP="0058217A">
            <w:pPr>
              <w:pStyle w:val="Tablecells"/>
            </w:pPr>
            <w:r w:rsidRPr="00A44073">
              <w:t>Rural</w:t>
            </w:r>
          </w:p>
        </w:tc>
        <w:tc>
          <w:tcPr>
            <w:tcW w:w="3314" w:type="dxa"/>
            <w:tcBorders>
              <w:top w:val="nil"/>
              <w:bottom w:val="nil"/>
            </w:tcBorders>
          </w:tcPr>
          <w:p w:rsidR="00FB236B" w:rsidRPr="00CB0193" w:rsidRDefault="00FB236B" w:rsidP="0058217A">
            <w:pPr>
              <w:pStyle w:val="Tablecells"/>
              <w:numPr>
                <w:ilvl w:val="0"/>
                <w:numId w:val="39"/>
              </w:numPr>
              <w:tabs>
                <w:tab w:val="clear" w:pos="720"/>
              </w:tabs>
              <w:ind w:left="423"/>
            </w:pPr>
            <w:r w:rsidRPr="00CB0193">
              <w:t>Sub-1GHz</w:t>
            </w:r>
          </w:p>
          <w:p w:rsidR="00FB236B" w:rsidRPr="00CB0193" w:rsidRDefault="00FB236B" w:rsidP="0058217A">
            <w:pPr>
              <w:pStyle w:val="Tablecells"/>
              <w:numPr>
                <w:ilvl w:val="0"/>
                <w:numId w:val="39"/>
              </w:numPr>
              <w:tabs>
                <w:tab w:val="clear" w:pos="720"/>
              </w:tabs>
              <w:ind w:left="423"/>
            </w:pPr>
            <w:r w:rsidRPr="00CB0193">
              <w:t>1800MHz used for coverage</w:t>
            </w:r>
          </w:p>
          <w:p w:rsidR="00FB236B" w:rsidRDefault="00FB236B" w:rsidP="0058217A">
            <w:pPr>
              <w:pStyle w:val="Tablecells"/>
              <w:numPr>
                <w:ilvl w:val="0"/>
                <w:numId w:val="39"/>
              </w:numPr>
              <w:tabs>
                <w:tab w:val="clear" w:pos="720"/>
              </w:tabs>
              <w:ind w:left="423"/>
            </w:pPr>
            <w:r w:rsidRPr="00CB0193">
              <w:t>Above 1GHz excluding 1800MHz used for coverage</w:t>
            </w:r>
          </w:p>
        </w:tc>
        <w:tc>
          <w:tcPr>
            <w:tcW w:w="1281" w:type="dxa"/>
            <w:tcBorders>
              <w:top w:val="nil"/>
              <w:bottom w:val="nil"/>
            </w:tcBorders>
          </w:tcPr>
          <w:p w:rsidR="00FB236B" w:rsidRDefault="00FB236B" w:rsidP="0058217A">
            <w:pPr>
              <w:pStyle w:val="Tablecells"/>
              <w:jc w:val="right"/>
            </w:pPr>
            <w:r>
              <w:t>49.6%</w:t>
            </w:r>
          </w:p>
          <w:p w:rsidR="00FB236B" w:rsidRDefault="00FB236B" w:rsidP="0058217A">
            <w:pPr>
              <w:pStyle w:val="Tablecells"/>
              <w:jc w:val="right"/>
            </w:pPr>
            <w:r>
              <w:t>0.0%</w:t>
            </w:r>
          </w:p>
          <w:p w:rsidR="00FB236B" w:rsidRDefault="00FB236B" w:rsidP="0058217A">
            <w:pPr>
              <w:pStyle w:val="Tablecells"/>
              <w:jc w:val="right"/>
            </w:pPr>
            <w:r>
              <w:t>50.4%</w:t>
            </w:r>
          </w:p>
        </w:tc>
        <w:tc>
          <w:tcPr>
            <w:tcW w:w="1281" w:type="dxa"/>
            <w:tcBorders>
              <w:top w:val="nil"/>
              <w:bottom w:val="nil"/>
            </w:tcBorders>
          </w:tcPr>
          <w:p w:rsidR="00FB236B" w:rsidRDefault="00FB236B" w:rsidP="0058217A">
            <w:pPr>
              <w:pStyle w:val="Tablecells"/>
              <w:jc w:val="right"/>
            </w:pPr>
            <w:r>
              <w:t>65.1%</w:t>
            </w:r>
          </w:p>
          <w:p w:rsidR="00FB236B" w:rsidRDefault="00FB236B" w:rsidP="0058217A">
            <w:pPr>
              <w:pStyle w:val="Tablecells"/>
              <w:jc w:val="right"/>
            </w:pPr>
            <w:r>
              <w:t>0.0%</w:t>
            </w:r>
          </w:p>
          <w:p w:rsidR="00FB236B" w:rsidRDefault="00FB236B" w:rsidP="0058217A">
            <w:pPr>
              <w:pStyle w:val="Tablecells"/>
              <w:jc w:val="right"/>
            </w:pPr>
            <w:r>
              <w:t>34.9%</w:t>
            </w:r>
          </w:p>
        </w:tc>
        <w:tc>
          <w:tcPr>
            <w:tcW w:w="1282" w:type="dxa"/>
            <w:tcBorders>
              <w:top w:val="nil"/>
              <w:bottom w:val="nil"/>
            </w:tcBorders>
          </w:tcPr>
          <w:p w:rsidR="00FB236B" w:rsidRDefault="00FB236B" w:rsidP="0058217A">
            <w:pPr>
              <w:pStyle w:val="Tablecells"/>
              <w:jc w:val="right"/>
            </w:pPr>
            <w:r>
              <w:t>0.0%</w:t>
            </w:r>
          </w:p>
          <w:p w:rsidR="00FB236B" w:rsidRDefault="00FB236B" w:rsidP="0058217A">
            <w:pPr>
              <w:pStyle w:val="Tablecells"/>
              <w:jc w:val="right"/>
            </w:pPr>
            <w:r>
              <w:t>0.0%</w:t>
            </w:r>
          </w:p>
          <w:p w:rsidR="00FB236B" w:rsidRDefault="00FB236B" w:rsidP="0058217A">
            <w:pPr>
              <w:pStyle w:val="Tablecells"/>
              <w:jc w:val="right"/>
            </w:pPr>
            <w:r>
              <w:t>0.0%</w:t>
            </w:r>
          </w:p>
        </w:tc>
      </w:tr>
      <w:tr w:rsidR="00FB236B" w:rsidTr="0058217A">
        <w:trPr>
          <w:cnfStyle w:val="000000100000" w:firstRow="0" w:lastRow="0" w:firstColumn="0" w:lastColumn="0" w:oddVBand="0" w:evenVBand="0" w:oddHBand="1" w:evenHBand="0" w:firstRowFirstColumn="0" w:firstRowLastColumn="0" w:lastRowFirstColumn="0" w:lastRowLastColumn="0"/>
          <w:cantSplit/>
        </w:trPr>
        <w:tc>
          <w:tcPr>
            <w:tcW w:w="1789" w:type="dxa"/>
            <w:tcBorders>
              <w:top w:val="nil"/>
              <w:bottom w:val="single" w:sz="4" w:space="0" w:color="808080"/>
            </w:tcBorders>
          </w:tcPr>
          <w:p w:rsidR="00FB236B" w:rsidRDefault="00FB236B" w:rsidP="0058217A">
            <w:pPr>
              <w:pStyle w:val="Tablecells"/>
            </w:pPr>
            <w:r w:rsidRPr="00A44073">
              <w:t>Remote</w:t>
            </w:r>
          </w:p>
        </w:tc>
        <w:tc>
          <w:tcPr>
            <w:tcW w:w="3314" w:type="dxa"/>
            <w:tcBorders>
              <w:top w:val="nil"/>
              <w:bottom w:val="single" w:sz="4" w:space="0" w:color="808080"/>
            </w:tcBorders>
          </w:tcPr>
          <w:p w:rsidR="00FB236B" w:rsidRPr="00CB0193" w:rsidRDefault="00FB236B" w:rsidP="0058217A">
            <w:pPr>
              <w:pStyle w:val="Tablecells"/>
              <w:numPr>
                <w:ilvl w:val="0"/>
                <w:numId w:val="39"/>
              </w:numPr>
              <w:tabs>
                <w:tab w:val="clear" w:pos="720"/>
              </w:tabs>
              <w:ind w:left="423"/>
            </w:pPr>
            <w:r w:rsidRPr="00CB0193">
              <w:t>Sub-1GHz</w:t>
            </w:r>
          </w:p>
          <w:p w:rsidR="00FB236B" w:rsidRPr="00CB0193" w:rsidRDefault="00FB236B" w:rsidP="0058217A">
            <w:pPr>
              <w:pStyle w:val="Tablecells"/>
              <w:numPr>
                <w:ilvl w:val="0"/>
                <w:numId w:val="39"/>
              </w:numPr>
              <w:tabs>
                <w:tab w:val="clear" w:pos="720"/>
              </w:tabs>
              <w:ind w:left="423"/>
            </w:pPr>
            <w:r w:rsidRPr="00CB0193">
              <w:t>1800MHz used for coverage</w:t>
            </w:r>
          </w:p>
          <w:p w:rsidR="00FB236B" w:rsidRDefault="00FB236B" w:rsidP="0058217A">
            <w:pPr>
              <w:pStyle w:val="Tablecells"/>
              <w:numPr>
                <w:ilvl w:val="0"/>
                <w:numId w:val="39"/>
              </w:numPr>
              <w:tabs>
                <w:tab w:val="clear" w:pos="720"/>
              </w:tabs>
              <w:ind w:left="423"/>
            </w:pPr>
            <w:r w:rsidRPr="00CB0193">
              <w:t>Above 1GHz excluding 1800MHz used for coverage</w:t>
            </w:r>
          </w:p>
        </w:tc>
        <w:tc>
          <w:tcPr>
            <w:tcW w:w="1281" w:type="dxa"/>
            <w:tcBorders>
              <w:top w:val="nil"/>
              <w:bottom w:val="single" w:sz="4" w:space="0" w:color="808080"/>
            </w:tcBorders>
          </w:tcPr>
          <w:p w:rsidR="00FB236B" w:rsidRDefault="00FB236B" w:rsidP="0058217A">
            <w:pPr>
              <w:pStyle w:val="Tablecells"/>
              <w:jc w:val="right"/>
            </w:pPr>
            <w:r>
              <w:t>100.0%</w:t>
            </w:r>
          </w:p>
          <w:p w:rsidR="00FB236B" w:rsidRDefault="00FB236B" w:rsidP="0058217A">
            <w:pPr>
              <w:pStyle w:val="Tablecells"/>
              <w:jc w:val="right"/>
            </w:pPr>
            <w:r>
              <w:t>0.0%</w:t>
            </w:r>
          </w:p>
          <w:p w:rsidR="00FB236B" w:rsidRDefault="00FB236B" w:rsidP="0058217A">
            <w:pPr>
              <w:pStyle w:val="Tablecells"/>
              <w:jc w:val="right"/>
            </w:pPr>
            <w:r>
              <w:t>0.0%</w:t>
            </w:r>
          </w:p>
        </w:tc>
        <w:tc>
          <w:tcPr>
            <w:tcW w:w="1281" w:type="dxa"/>
            <w:tcBorders>
              <w:top w:val="nil"/>
              <w:bottom w:val="single" w:sz="4" w:space="0" w:color="808080"/>
            </w:tcBorders>
          </w:tcPr>
          <w:p w:rsidR="00FB236B" w:rsidRDefault="00FB236B" w:rsidP="0058217A">
            <w:pPr>
              <w:pStyle w:val="Tablecells"/>
              <w:jc w:val="right"/>
            </w:pPr>
            <w:r>
              <w:t>100.0%</w:t>
            </w:r>
          </w:p>
          <w:p w:rsidR="00FB236B" w:rsidRDefault="00FB236B" w:rsidP="0058217A">
            <w:pPr>
              <w:pStyle w:val="Tablecells"/>
              <w:jc w:val="right"/>
            </w:pPr>
            <w:r>
              <w:t>0.0%</w:t>
            </w:r>
          </w:p>
          <w:p w:rsidR="00FB236B" w:rsidRDefault="00FB236B" w:rsidP="0058217A">
            <w:pPr>
              <w:pStyle w:val="Tablecells"/>
              <w:jc w:val="right"/>
            </w:pPr>
            <w:r>
              <w:t>0.0%</w:t>
            </w:r>
          </w:p>
        </w:tc>
        <w:tc>
          <w:tcPr>
            <w:tcW w:w="1282" w:type="dxa"/>
            <w:tcBorders>
              <w:top w:val="nil"/>
              <w:bottom w:val="single" w:sz="4" w:space="0" w:color="808080"/>
            </w:tcBorders>
          </w:tcPr>
          <w:p w:rsidR="00FB236B" w:rsidRDefault="00FB236B" w:rsidP="0058217A">
            <w:pPr>
              <w:pStyle w:val="Tablecells"/>
              <w:jc w:val="right"/>
            </w:pPr>
            <w:r>
              <w:t>0.0%</w:t>
            </w:r>
          </w:p>
          <w:p w:rsidR="00FB236B" w:rsidRDefault="00FB236B" w:rsidP="0058217A">
            <w:pPr>
              <w:pStyle w:val="Tablecells"/>
              <w:jc w:val="right"/>
            </w:pPr>
            <w:r>
              <w:t>0.0%</w:t>
            </w:r>
          </w:p>
          <w:p w:rsidR="00FB236B" w:rsidRDefault="00FB236B" w:rsidP="0058217A">
            <w:pPr>
              <w:pStyle w:val="Tablecells"/>
              <w:jc w:val="right"/>
            </w:pPr>
            <w:r>
              <w:t>0.0%</w:t>
            </w:r>
          </w:p>
        </w:tc>
      </w:tr>
    </w:tbl>
    <w:p w:rsidR="00B873A7" w:rsidRDefault="00B873A7" w:rsidP="00B873A7">
      <w:pPr>
        <w:pStyle w:val="Heading2"/>
      </w:pPr>
      <w:bookmarkStart w:id="160" w:name="_Toc373161407"/>
      <w:bookmarkStart w:id="161" w:name="_Toc399178492"/>
      <w:bookmarkStart w:id="162" w:name="_Ref399838545"/>
      <w:bookmarkStart w:id="163" w:name="_Ref399838557"/>
      <w:bookmarkStart w:id="164" w:name="_Ref402104149"/>
      <w:bookmarkStart w:id="165" w:name="_Toc402102959"/>
      <w:bookmarkStart w:id="166" w:name="_Toc409445589"/>
      <w:r>
        <w:t>Sensitivities</w:t>
      </w:r>
      <w:bookmarkEnd w:id="160"/>
      <w:bookmarkEnd w:id="161"/>
      <w:bookmarkEnd w:id="162"/>
      <w:bookmarkEnd w:id="163"/>
      <w:bookmarkEnd w:id="164"/>
      <w:bookmarkEnd w:id="165"/>
      <w:bookmarkEnd w:id="166"/>
    </w:p>
    <w:p w:rsidR="00162304" w:rsidRDefault="00162304" w:rsidP="00162304">
      <w:r>
        <w:t>We have modelled a number of sensitivities on the base case as follows:</w:t>
      </w:r>
    </w:p>
    <w:p w:rsidR="00162304" w:rsidRDefault="004D7C83" w:rsidP="00162304">
      <w:pPr>
        <w:pStyle w:val="ListBulletCompact"/>
        <w:tabs>
          <w:tab w:val="num" w:pos="360"/>
        </w:tabs>
        <w:ind w:left="357" w:hanging="357"/>
      </w:pPr>
      <w:r>
        <w:t>t</w:t>
      </w:r>
      <w:r w:rsidR="00162304">
        <w:t>raffic per device increases more rapidly than in the base case so that overall there is 50% more traffic in 2020</w:t>
      </w:r>
    </w:p>
    <w:p w:rsidR="00162304" w:rsidRDefault="004D7C83" w:rsidP="00162304">
      <w:pPr>
        <w:pStyle w:val="ListBulletCompact"/>
        <w:tabs>
          <w:tab w:val="num" w:pos="360"/>
        </w:tabs>
        <w:ind w:left="357" w:hanging="357"/>
      </w:pPr>
      <w:r>
        <w:t>t</w:t>
      </w:r>
      <w:r w:rsidR="00162304">
        <w:t>raffic per device increases more rapidly than in the base case so that overall there is 100% more traffic in 2020</w:t>
      </w:r>
    </w:p>
    <w:p w:rsidR="00162304" w:rsidRDefault="004D7C83" w:rsidP="00162304">
      <w:pPr>
        <w:pStyle w:val="ListBulletCompact"/>
        <w:tabs>
          <w:tab w:val="num" w:pos="360"/>
        </w:tabs>
        <w:ind w:left="357" w:hanging="357"/>
      </w:pPr>
      <w:r>
        <w:t>t</w:t>
      </w:r>
      <w:r w:rsidR="00162304">
        <w:t>he average spectral efficiency of LTE networks increases more rapidly than in the base case (to 4.80bits/Hz/sector in 2027 rather than 3.0bits/Hz/sector)</w:t>
      </w:r>
    </w:p>
    <w:p w:rsidR="00162304" w:rsidRDefault="00162304" w:rsidP="00162304">
      <w:pPr>
        <w:pStyle w:val="ListBulletCompact"/>
        <w:tabs>
          <w:tab w:val="num" w:pos="360"/>
        </w:tabs>
        <w:ind w:left="357" w:hanging="357"/>
      </w:pPr>
      <w:r>
        <w:t xml:space="preserve">11% of data traffic is </w:t>
      </w:r>
      <w:r w:rsidR="004D7C83">
        <w:t>in the busy hour, instead of 8%</w:t>
      </w:r>
    </w:p>
    <w:p w:rsidR="00162304" w:rsidRDefault="004D7C83" w:rsidP="00162304">
      <w:pPr>
        <w:pStyle w:val="ListBulletCompact"/>
        <w:tabs>
          <w:tab w:val="num" w:pos="360"/>
        </w:tabs>
        <w:ind w:left="357" w:hanging="357"/>
      </w:pPr>
      <w:r>
        <w:t>a</w:t>
      </w:r>
      <w:r w:rsidR="00162304">
        <w:t>n additional 150MHz of spectrum is made available in 2015 (2×25MHz of sub-1GHz spectrum and 2×50MHz of 1–6GHz spectrum)</w:t>
      </w:r>
    </w:p>
    <w:p w:rsidR="00162304" w:rsidRDefault="004D7C83" w:rsidP="00162304">
      <w:pPr>
        <w:pStyle w:val="ListBulletCompact"/>
        <w:tabs>
          <w:tab w:val="num" w:pos="360"/>
        </w:tabs>
        <w:ind w:left="357" w:hanging="357"/>
      </w:pPr>
      <w:r>
        <w:t>a</w:t>
      </w:r>
      <w:r w:rsidR="00162304">
        <w:t>n additional 240MHz of spectrum is made available in 2015 (2×25MHz of sub-1GHz spectrum and 2×95MHz of 1–6GHz spectrum)</w:t>
      </w:r>
    </w:p>
    <w:p w:rsidR="00162304" w:rsidRDefault="004D7C83" w:rsidP="00162304">
      <w:pPr>
        <w:pStyle w:val="ListBulletCompact"/>
        <w:tabs>
          <w:tab w:val="num" w:pos="360"/>
        </w:tabs>
        <w:ind w:left="357" w:hanging="357"/>
      </w:pPr>
      <w:r>
        <w:t>a</w:t>
      </w:r>
      <w:r w:rsidR="00162304">
        <w:t>n additional 540MHz of spectrum is made available in 2015 (2×25MHz of sub-1GHz spectrum and 2×245MHz of 1–6GHz spectrum)</w:t>
      </w:r>
    </w:p>
    <w:p w:rsidR="00162304" w:rsidRDefault="00162304" w:rsidP="00162304">
      <w:pPr>
        <w:pStyle w:val="ListBulletCompact"/>
        <w:tabs>
          <w:tab w:val="num" w:pos="360"/>
        </w:tabs>
        <w:ind w:left="357" w:hanging="357"/>
      </w:pPr>
      <w:r>
        <w:t>700MHz and 2.5GHz spectrum is not available to the mobile operators (i.e. a counterfactual case in which the recent 4G auction did not take place). We assume that all three operators continue to roll out 4G coverage in the 1800MHz band</w:t>
      </w:r>
    </w:p>
    <w:p w:rsidR="00162304" w:rsidRDefault="00162304" w:rsidP="00162304">
      <w:pPr>
        <w:pStyle w:val="ListBullet"/>
      </w:pPr>
      <w:r>
        <w:t xml:space="preserve">VHA uses 800MHz for its 4G coverage layer. This would avoid the need for VHA to build a lot of new coverage sites for 4G, although we believe that quality of service may be reduced. </w:t>
      </w:r>
    </w:p>
    <w:p w:rsidR="00162304" w:rsidRPr="00162304" w:rsidRDefault="00162304" w:rsidP="00162304">
      <w:r>
        <w:t>The results from each sensitivity are discussed in the following sections.</w:t>
      </w:r>
    </w:p>
    <w:p w:rsidR="00B873A7" w:rsidRDefault="00B873A7" w:rsidP="00B873A7">
      <w:pPr>
        <w:pStyle w:val="Heading3"/>
        <w:tabs>
          <w:tab w:val="left" w:pos="142"/>
        </w:tabs>
        <w:ind w:hanging="567"/>
      </w:pPr>
      <w:r>
        <w:t>Increase of data traffic by 50%</w:t>
      </w:r>
      <w:bookmarkEnd w:id="150"/>
      <w:r>
        <w:t xml:space="preserve"> in 2020</w:t>
      </w:r>
    </w:p>
    <w:p w:rsidR="00B873A7" w:rsidRDefault="00B873A7" w:rsidP="00B873A7">
      <w:r>
        <w:t xml:space="preserve">In this sensitivity, the rate of data traffic growth is faster than in the base case from 2014 onwards so that in 2020 it is 50% higher than in the base case and in 2025 it is 60% higher than in the base case. In this sensitivity the compound annual growth rate (CAGR) between 2013 and 2017 is 48% compared to 36% in the base case. In this sensitivity the growth rate in the model sits between the 41% forecast by Cisco and the 50% forecast by Ericsson (see </w:t>
      </w:r>
      <w:r w:rsidRPr="002D2F9B">
        <w:fldChar w:fldCharType="begin"/>
      </w:r>
      <w:r w:rsidRPr="002571CA">
        <w:instrText xml:space="preserve"> REF _Ref372130438 \h </w:instrText>
      </w:r>
      <w:r w:rsidRPr="002D2F9B">
        <w:fldChar w:fldCharType="separate"/>
      </w:r>
      <w:r w:rsidR="00A87B65">
        <w:t>Figure </w:t>
      </w:r>
      <w:r w:rsidR="00A87B65">
        <w:rPr>
          <w:noProof/>
        </w:rPr>
        <w:t>4</w:t>
      </w:r>
      <w:r w:rsidR="00A87B65">
        <w:t>.</w:t>
      </w:r>
      <w:r w:rsidR="00A87B65">
        <w:rPr>
          <w:noProof/>
        </w:rPr>
        <w:t>44</w:t>
      </w:r>
      <w:r w:rsidRPr="002D2F9B">
        <w:fldChar w:fldCharType="end"/>
      </w:r>
      <w:r>
        <w:t>).</w:t>
      </w:r>
    </w:p>
    <w:tbl>
      <w:tblPr>
        <w:tblW w:w="8730" w:type="dxa"/>
        <w:tblLayout w:type="fixed"/>
        <w:tblCellMar>
          <w:left w:w="0" w:type="dxa"/>
          <w:right w:w="0" w:type="dxa"/>
        </w:tblCellMar>
        <w:tblLook w:val="0000" w:firstRow="0" w:lastRow="0" w:firstColumn="0" w:lastColumn="0" w:noHBand="0" w:noVBand="0"/>
      </w:tblPr>
      <w:tblGrid>
        <w:gridCol w:w="6576"/>
        <w:gridCol w:w="2154"/>
      </w:tblGrid>
      <w:tr w:rsidR="00B873A7" w:rsidTr="00841EA0">
        <w:tc>
          <w:tcPr>
            <w:tcW w:w="6576" w:type="dxa"/>
            <w:tcBorders>
              <w:right w:val="single" w:sz="4" w:space="0" w:color="auto"/>
            </w:tcBorders>
            <w:shd w:val="clear" w:color="auto" w:fill="auto"/>
          </w:tcPr>
          <w:p w:rsidR="00B873A7" w:rsidRDefault="002D2BAA" w:rsidP="002D2BAA">
            <w:pPr>
              <w:pStyle w:val="Bordersmall"/>
            </w:pPr>
            <w:r>
              <w:rPr>
                <w:noProof/>
                <w:lang w:val="en-AU" w:eastAsia="en-AU"/>
              </w:rPr>
              <w:drawing>
                <wp:inline distT="0" distB="0" distL="0" distR="0" wp14:anchorId="51186074" wp14:editId="2F392798">
                  <wp:extent cx="3762375" cy="3114675"/>
                  <wp:effectExtent l="0" t="0" r="0" b="0"/>
                  <wp:docPr id="72" name="Pictur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3762375" cy="3114675"/>
                          </a:xfrm>
                          <a:prstGeom prst="rect">
                            <a:avLst/>
                          </a:prstGeom>
                          <a:noFill/>
                          <a:ln>
                            <a:noFill/>
                          </a:ln>
                        </pic:spPr>
                      </pic:pic>
                    </a:graphicData>
                  </a:graphic>
                </wp:inline>
              </w:drawing>
            </w:r>
          </w:p>
        </w:tc>
        <w:tc>
          <w:tcPr>
            <w:tcW w:w="2154" w:type="dxa"/>
            <w:tcBorders>
              <w:left w:val="single" w:sz="4" w:space="0" w:color="auto"/>
            </w:tcBorders>
            <w:shd w:val="clear" w:color="auto" w:fill="auto"/>
          </w:tcPr>
          <w:p w:rsidR="00B873A7" w:rsidRDefault="00B873A7" w:rsidP="00841EA0">
            <w:pPr>
              <w:pStyle w:val="Captionsmall"/>
            </w:pPr>
            <w:bookmarkStart w:id="167" w:name="_Ref372130438"/>
            <w:r>
              <w:t>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r w:rsidR="008B1006">
              <w:fldChar w:fldCharType="begin"/>
            </w:r>
            <w:r w:rsidR="008B1006">
              <w:instrText xml:space="preserve"> SEQ Figure \* ARABIC \s 1 \* MERGEFORMAT </w:instrText>
            </w:r>
            <w:r w:rsidR="008B1006">
              <w:fldChar w:fldCharType="separate"/>
            </w:r>
            <w:r w:rsidR="00A87B65">
              <w:rPr>
                <w:noProof/>
              </w:rPr>
              <w:t>44</w:t>
            </w:r>
            <w:r w:rsidR="008B1006">
              <w:rPr>
                <w:noProof/>
              </w:rPr>
              <w:fldChar w:fldCharType="end"/>
            </w:r>
            <w:bookmarkEnd w:id="167"/>
            <w:r>
              <w:t>: Comparison of sensitivity with 50% more traffic in 2020 against Analysys Mason base case and third-party forecasts [Source: Analysys Mason, 2014]</w:t>
            </w:r>
          </w:p>
        </w:tc>
      </w:tr>
    </w:tbl>
    <w:p w:rsidR="00B873A7" w:rsidRDefault="00B873A7" w:rsidP="00B873A7">
      <w:r>
        <w:br/>
        <w:t xml:space="preserve">The results of assuming this higher rate of traffic growth are shown in </w:t>
      </w:r>
      <w:r w:rsidRPr="002D2F9B">
        <w:fldChar w:fldCharType="begin"/>
      </w:r>
      <w:r w:rsidRPr="002571CA">
        <w:instrText xml:space="preserve"> REF _Ref369184644 \h </w:instrText>
      </w:r>
      <w:r w:rsidRPr="002D2F9B">
        <w:fldChar w:fldCharType="separate"/>
      </w:r>
      <w:r w:rsidR="00A87B65">
        <w:t>Figure </w:t>
      </w:r>
      <w:r w:rsidR="00A87B65">
        <w:rPr>
          <w:noProof/>
        </w:rPr>
        <w:t>4</w:t>
      </w:r>
      <w:r w:rsidR="00A87B65">
        <w:t>.</w:t>
      </w:r>
      <w:r w:rsidR="00A87B65">
        <w:rPr>
          <w:noProof/>
        </w:rPr>
        <w:t>45</w:t>
      </w:r>
      <w:r w:rsidRPr="002D2F9B">
        <w:fldChar w:fldCharType="end"/>
      </w:r>
      <w:r>
        <w:t>.</w:t>
      </w:r>
    </w:p>
    <w:p w:rsidR="00B873A7" w:rsidRDefault="00B873A7" w:rsidP="00B873A7">
      <w:r>
        <w:t>The higher traffic assumption results in a peak requirement for around 700 more 3G</w:t>
      </w:r>
      <w:r w:rsidR="004B05B1">
        <w:t xml:space="preserve"> sites than in the base case (an increase of </w:t>
      </w:r>
      <w:r>
        <w:t xml:space="preserve">4%) and </w:t>
      </w:r>
      <w:r w:rsidR="004B05B1">
        <w:t>3</w:t>
      </w:r>
      <w:r>
        <w:t xml:space="preserve">00 more 4G sites in 2020 (an increase of </w:t>
      </w:r>
      <w:r w:rsidR="004B05B1">
        <w:t>4</w:t>
      </w:r>
      <w:r>
        <w:t xml:space="preserve">%). There are virtually no 3G capacity sites left by 2025, but the continued growth in traffic results in a requirement for </w:t>
      </w:r>
      <w:r w:rsidR="004B05B1">
        <w:t>5</w:t>
      </w:r>
      <w:r>
        <w:t xml:space="preserve">00 more 4G sites than in the base case (a </w:t>
      </w:r>
      <w:r w:rsidR="004B05B1">
        <w:t>7</w:t>
      </w:r>
      <w:r>
        <w:t>% increase).</w:t>
      </w:r>
    </w:p>
    <w:p w:rsidR="00B873A7" w:rsidRDefault="00B873A7" w:rsidP="00B873A7">
      <w:pPr>
        <w:pStyle w:val="Caption"/>
        <w:spacing w:before="360" w:after="120" w:line="240" w:lineRule="atLeast"/>
      </w:pPr>
      <w:bookmarkStart w:id="168" w:name="_Ref369184644"/>
      <w:r>
        <w:t>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fldSimple w:instr=" SEQ Figure \* ARABIC \s 1 \* MERGEFORMAT ">
        <w:r w:rsidR="00A87B65">
          <w:rPr>
            <w:noProof/>
          </w:rPr>
          <w:t>45</w:t>
        </w:r>
      </w:fldSimple>
      <w:bookmarkEnd w:id="168"/>
      <w:r>
        <w:t xml:space="preserve">: </w:t>
      </w:r>
      <w:r w:rsidRPr="00AD321B">
        <w:t xml:space="preserve">Logical sites for </w:t>
      </w:r>
      <w:r>
        <w:t xml:space="preserve">all operators; </w:t>
      </w:r>
      <w:r w:rsidRPr="00A03F1F">
        <w:t>traffic+50% in 2020 [Source</w:t>
      </w:r>
      <w:r>
        <w:t>: Analysys Mason, 2014]</w:t>
      </w:r>
    </w:p>
    <w:p w:rsidR="00B873A7" w:rsidRDefault="00E15C32" w:rsidP="00E15C32">
      <w:pPr>
        <w:pStyle w:val="Border"/>
      </w:pPr>
      <w:r w:rsidRPr="00E15C32">
        <w:rPr>
          <w:noProof/>
          <w:lang w:val="en-AU" w:eastAsia="en-AU"/>
        </w:rPr>
        <w:drawing>
          <wp:inline distT="0" distB="0" distL="0" distR="0" wp14:anchorId="3EB0C9CF" wp14:editId="1F3AF101">
            <wp:extent cx="5362575" cy="3114675"/>
            <wp:effectExtent l="0" t="0" r="0" b="0"/>
            <wp:docPr id="103" name="Picture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61" cstate="print">
                      <a:extLst>
                        <a:ext uri="{28A0092B-C50C-407E-A947-70E740481C1C}">
                          <a14:useLocalDpi xmlns:a14="http://schemas.microsoft.com/office/drawing/2010/main" val="0"/>
                        </a:ext>
                      </a:extLst>
                    </a:blip>
                    <a:srcRect/>
                    <a:stretch>
                      <a:fillRect/>
                    </a:stretch>
                  </pic:blipFill>
                  <pic:spPr bwMode="auto">
                    <a:xfrm>
                      <a:off x="0" y="0"/>
                      <a:ext cx="5362575" cy="3114675"/>
                    </a:xfrm>
                    <a:prstGeom prst="rect">
                      <a:avLst/>
                    </a:prstGeom>
                    <a:noFill/>
                    <a:ln>
                      <a:noFill/>
                    </a:ln>
                  </pic:spPr>
                </pic:pic>
              </a:graphicData>
            </a:graphic>
          </wp:inline>
        </w:drawing>
      </w:r>
    </w:p>
    <w:p w:rsidR="00B873A7" w:rsidRDefault="00B873A7" w:rsidP="00B873A7">
      <w:pPr>
        <w:pStyle w:val="Heading3"/>
        <w:tabs>
          <w:tab w:val="left" w:pos="142"/>
        </w:tabs>
        <w:ind w:hanging="567"/>
      </w:pPr>
      <w:bookmarkStart w:id="169" w:name="_Toc369185113"/>
      <w:bookmarkEnd w:id="169"/>
      <w:r>
        <w:t>Increase of data traffic by 100% in 2020</w:t>
      </w:r>
    </w:p>
    <w:p w:rsidR="00B873A7" w:rsidRDefault="00B873A7" w:rsidP="00B873A7">
      <w:r>
        <w:t xml:space="preserve">We have also modelled a sensitivity with more intensive traffic growth. Here the level of traffic in 2020 is 100% higher than in the base case and in 2025 it is 120% higher than in the base case. In this sensitivity the compound annual growth rate (CAGR) between 2013 and 2017 is 57% (see </w:t>
      </w:r>
      <w:r w:rsidRPr="002D2F9B">
        <w:fldChar w:fldCharType="begin"/>
      </w:r>
      <w:r w:rsidRPr="002571CA">
        <w:instrText xml:space="preserve"> REF _Ref372310291 \h </w:instrText>
      </w:r>
      <w:r w:rsidRPr="002D2F9B">
        <w:fldChar w:fldCharType="separate"/>
      </w:r>
      <w:r w:rsidR="00A87B65">
        <w:t>Figure </w:t>
      </w:r>
      <w:r w:rsidR="00A87B65">
        <w:rPr>
          <w:noProof/>
        </w:rPr>
        <w:t>4</w:t>
      </w:r>
      <w:r w:rsidR="00A87B65">
        <w:t>.</w:t>
      </w:r>
      <w:r w:rsidR="00A87B65">
        <w:rPr>
          <w:noProof/>
        </w:rPr>
        <w:t>46</w:t>
      </w:r>
      <w:r w:rsidRPr="002D2F9B">
        <w:fldChar w:fldCharType="end"/>
      </w:r>
      <w:r>
        <w:t>).</w:t>
      </w:r>
    </w:p>
    <w:tbl>
      <w:tblPr>
        <w:tblW w:w="8730" w:type="dxa"/>
        <w:tblLayout w:type="fixed"/>
        <w:tblCellMar>
          <w:left w:w="0" w:type="dxa"/>
          <w:right w:w="0" w:type="dxa"/>
        </w:tblCellMar>
        <w:tblLook w:val="0000" w:firstRow="0" w:lastRow="0" w:firstColumn="0" w:lastColumn="0" w:noHBand="0" w:noVBand="0"/>
      </w:tblPr>
      <w:tblGrid>
        <w:gridCol w:w="6576"/>
        <w:gridCol w:w="2154"/>
      </w:tblGrid>
      <w:tr w:rsidR="00B873A7" w:rsidTr="00841EA0">
        <w:tc>
          <w:tcPr>
            <w:tcW w:w="6576" w:type="dxa"/>
            <w:tcBorders>
              <w:right w:val="single" w:sz="4" w:space="0" w:color="auto"/>
            </w:tcBorders>
            <w:shd w:val="clear" w:color="auto" w:fill="auto"/>
          </w:tcPr>
          <w:p w:rsidR="00B873A7" w:rsidRDefault="002D2BAA" w:rsidP="002D2BAA">
            <w:pPr>
              <w:pStyle w:val="Bordersmall"/>
            </w:pPr>
            <w:r>
              <w:rPr>
                <w:noProof/>
                <w:lang w:val="en-AU" w:eastAsia="en-AU"/>
              </w:rPr>
              <w:drawing>
                <wp:inline distT="0" distB="0" distL="0" distR="0" wp14:anchorId="333C6EEF" wp14:editId="307889D0">
                  <wp:extent cx="3762375" cy="3114675"/>
                  <wp:effectExtent l="0" t="0" r="0" b="0"/>
                  <wp:docPr id="67" name="Pictur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2" cstate="print">
                            <a:extLst>
                              <a:ext uri="{28A0092B-C50C-407E-A947-70E740481C1C}">
                                <a14:useLocalDpi xmlns:a14="http://schemas.microsoft.com/office/drawing/2010/main" val="0"/>
                              </a:ext>
                            </a:extLst>
                          </a:blip>
                          <a:srcRect/>
                          <a:stretch>
                            <a:fillRect/>
                          </a:stretch>
                        </pic:blipFill>
                        <pic:spPr bwMode="auto">
                          <a:xfrm>
                            <a:off x="0" y="0"/>
                            <a:ext cx="3762375" cy="3114675"/>
                          </a:xfrm>
                          <a:prstGeom prst="rect">
                            <a:avLst/>
                          </a:prstGeom>
                          <a:noFill/>
                          <a:ln>
                            <a:noFill/>
                          </a:ln>
                        </pic:spPr>
                      </pic:pic>
                    </a:graphicData>
                  </a:graphic>
                </wp:inline>
              </w:drawing>
            </w:r>
          </w:p>
        </w:tc>
        <w:tc>
          <w:tcPr>
            <w:tcW w:w="2154" w:type="dxa"/>
            <w:tcBorders>
              <w:left w:val="single" w:sz="4" w:space="0" w:color="auto"/>
            </w:tcBorders>
            <w:shd w:val="clear" w:color="auto" w:fill="auto"/>
          </w:tcPr>
          <w:p w:rsidR="00B873A7" w:rsidRDefault="00B873A7" w:rsidP="00841EA0">
            <w:pPr>
              <w:pStyle w:val="Captionsmall"/>
            </w:pPr>
            <w:bookmarkStart w:id="170" w:name="_Ref372310291"/>
            <w:r>
              <w:t>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r w:rsidR="008B1006">
              <w:fldChar w:fldCharType="begin"/>
            </w:r>
            <w:r w:rsidR="008B1006">
              <w:instrText xml:space="preserve"> SEQ Figure \* ARABIC \s 1 \* MERGEFORMAT </w:instrText>
            </w:r>
            <w:r w:rsidR="008B1006">
              <w:fldChar w:fldCharType="separate"/>
            </w:r>
            <w:r w:rsidR="00A87B65">
              <w:rPr>
                <w:noProof/>
              </w:rPr>
              <w:t>46</w:t>
            </w:r>
            <w:r w:rsidR="008B1006">
              <w:rPr>
                <w:noProof/>
              </w:rPr>
              <w:fldChar w:fldCharType="end"/>
            </w:r>
            <w:bookmarkEnd w:id="170"/>
            <w:r>
              <w:t>: Comparison of sensitivity with 100% more traffic in 2020 against Analysys Mason base case and third-party forecasts [Source: Analysys Mason, 2014]</w:t>
            </w:r>
          </w:p>
        </w:tc>
      </w:tr>
    </w:tbl>
    <w:p w:rsidR="00B873A7" w:rsidRDefault="00B873A7" w:rsidP="00B873A7">
      <w:r>
        <w:br/>
        <w:t xml:space="preserve">The results of assuming this higher rate of traffic growth are shown in </w:t>
      </w:r>
      <w:r w:rsidRPr="002D2F9B">
        <w:fldChar w:fldCharType="begin"/>
      </w:r>
      <w:r w:rsidRPr="002571CA">
        <w:instrText xml:space="preserve"> REF _Ref372310313 \h </w:instrText>
      </w:r>
      <w:r w:rsidRPr="002D2F9B">
        <w:fldChar w:fldCharType="separate"/>
      </w:r>
      <w:r w:rsidR="00A87B65">
        <w:t>Figure </w:t>
      </w:r>
      <w:r w:rsidR="00A87B65">
        <w:rPr>
          <w:noProof/>
        </w:rPr>
        <w:t>4</w:t>
      </w:r>
      <w:r w:rsidR="00A87B65">
        <w:t>.</w:t>
      </w:r>
      <w:r w:rsidR="00A87B65">
        <w:rPr>
          <w:noProof/>
        </w:rPr>
        <w:t>47</w:t>
      </w:r>
      <w:r w:rsidRPr="002D2F9B">
        <w:fldChar w:fldCharType="end"/>
      </w:r>
      <w:r>
        <w:t>.</w:t>
      </w:r>
    </w:p>
    <w:p w:rsidR="00B873A7" w:rsidRDefault="00B873A7" w:rsidP="00B873A7">
      <w:r>
        <w:t xml:space="preserve">Doubling the amount of traffic in 2020 results in a peak requirement for around 1200 more 3G sites than in the base case (a 6% increase) and around </w:t>
      </w:r>
      <w:r w:rsidR="004B05B1">
        <w:t>600</w:t>
      </w:r>
      <w:r>
        <w:t xml:space="preserve"> more 4G</w:t>
      </w:r>
      <w:r w:rsidR="004B05B1">
        <w:t xml:space="preserve"> sites in 2020 (an increase of 9</w:t>
      </w:r>
      <w:r>
        <w:t xml:space="preserve">%). There are still virtually no 3G capacity sites left by 2025 but the growth in traffic results in a requirement for around </w:t>
      </w:r>
      <w:r w:rsidR="004B05B1">
        <w:t>1</w:t>
      </w:r>
      <w:r>
        <w:t xml:space="preserve">000 more 4G sites than in the base case (a </w:t>
      </w:r>
      <w:r w:rsidR="004B05B1">
        <w:t>15</w:t>
      </w:r>
      <w:r>
        <w:t>% increase).</w:t>
      </w:r>
    </w:p>
    <w:p w:rsidR="00B873A7" w:rsidRDefault="00B873A7" w:rsidP="00B873A7">
      <w:pPr>
        <w:pStyle w:val="Caption"/>
      </w:pPr>
      <w:bookmarkStart w:id="171" w:name="_Ref372310313"/>
      <w:r>
        <w:t>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fldSimple w:instr=" SEQ Figure \* ARABIC \s 1 \* MERGEFORMAT ">
        <w:r w:rsidR="00A87B65">
          <w:rPr>
            <w:noProof/>
          </w:rPr>
          <w:t>47</w:t>
        </w:r>
      </w:fldSimple>
      <w:bookmarkEnd w:id="171"/>
      <w:r>
        <w:t xml:space="preserve">: </w:t>
      </w:r>
      <w:r w:rsidRPr="00AD321B">
        <w:t xml:space="preserve">Logical sites for </w:t>
      </w:r>
      <w:r>
        <w:t xml:space="preserve">all operators; </w:t>
      </w:r>
      <w:r w:rsidRPr="00A03F1F">
        <w:t>traffic+</w:t>
      </w:r>
      <w:r>
        <w:t>10</w:t>
      </w:r>
      <w:r w:rsidRPr="00A03F1F">
        <w:t>0% in 2020 [Source</w:t>
      </w:r>
      <w:r>
        <w:t>: Analysys Mason, 2014]</w:t>
      </w:r>
    </w:p>
    <w:p w:rsidR="00B873A7" w:rsidRDefault="00E15C32" w:rsidP="00E15C32">
      <w:pPr>
        <w:pStyle w:val="Border"/>
      </w:pPr>
      <w:r w:rsidRPr="00E15C32">
        <w:rPr>
          <w:noProof/>
          <w:lang w:val="en-AU" w:eastAsia="en-AU"/>
        </w:rPr>
        <w:drawing>
          <wp:inline distT="0" distB="0" distL="0" distR="0" wp14:anchorId="1B4BB2E0" wp14:editId="421A0BB3">
            <wp:extent cx="5362575" cy="3114675"/>
            <wp:effectExtent l="0" t="0" r="0" b="0"/>
            <wp:docPr id="104" name="Picture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5362575" cy="3114675"/>
                    </a:xfrm>
                    <a:prstGeom prst="rect">
                      <a:avLst/>
                    </a:prstGeom>
                    <a:noFill/>
                    <a:ln>
                      <a:noFill/>
                    </a:ln>
                  </pic:spPr>
                </pic:pic>
              </a:graphicData>
            </a:graphic>
          </wp:inline>
        </w:drawing>
      </w:r>
    </w:p>
    <w:p w:rsidR="00B873A7" w:rsidRDefault="00B873A7" w:rsidP="00B873A7">
      <w:pPr>
        <w:pStyle w:val="Heading3"/>
        <w:tabs>
          <w:tab w:val="left" w:pos="142"/>
        </w:tabs>
        <w:spacing w:before="240" w:after="120"/>
        <w:ind w:hanging="567"/>
      </w:pPr>
      <w:r>
        <w:t>Increased spectral efficiency</w:t>
      </w:r>
    </w:p>
    <w:p w:rsidR="00B873A7" w:rsidRDefault="00B873A7" w:rsidP="004D7C83">
      <w:pPr>
        <w:rPr>
          <w:spacing w:val="-4"/>
        </w:rPr>
      </w:pPr>
      <w:r w:rsidRPr="004D7C83">
        <w:rPr>
          <w:spacing w:val="-4"/>
        </w:rPr>
        <w:t>In this sensitivity, the target value in 2028 of average spectral efficiency of 3G and 4G networks is assumed to be 60% higher than in the base case. This would bring the average spectral efficiency more into line (though still lower than) the most optimistic assumptions provided by Australian mobile operators. The higher spectral efficiencies would also be in line with other recent third-party estimates, such as those prepared by Real Wireless for Ofcom, the UK regulator (see</w:t>
      </w:r>
      <w:r w:rsidR="004D7C83" w:rsidRPr="004D7C83">
        <w:rPr>
          <w:spacing w:val="-4"/>
        </w:rPr>
        <w:t xml:space="preserve"> </w:t>
      </w:r>
      <w:r w:rsidR="00E15C32" w:rsidRPr="002571CA">
        <w:fldChar w:fldCharType="begin"/>
      </w:r>
      <w:r w:rsidR="00E15C32" w:rsidRPr="002571CA">
        <w:instrText xml:space="preserve"> REF _Ref383445840 \h </w:instrText>
      </w:r>
      <w:r w:rsidR="00E15C32" w:rsidRPr="002571CA">
        <w:fldChar w:fldCharType="separate"/>
      </w:r>
      <w:r w:rsidR="00A87B65">
        <w:t>Figure </w:t>
      </w:r>
      <w:r w:rsidR="00A87B65">
        <w:rPr>
          <w:noProof/>
        </w:rPr>
        <w:t>4</w:t>
      </w:r>
      <w:r w:rsidR="00A87B65">
        <w:t>.</w:t>
      </w:r>
      <w:r w:rsidR="00A87B65">
        <w:rPr>
          <w:noProof/>
        </w:rPr>
        <w:t>48</w:t>
      </w:r>
      <w:r w:rsidR="00E15C32" w:rsidRPr="002571CA">
        <w:fldChar w:fldCharType="end"/>
      </w:r>
      <w:r w:rsidRPr="004D7C83">
        <w:rPr>
          <w:spacing w:val="-4"/>
        </w:rPr>
        <w:t>).</w:t>
      </w:r>
      <w:r w:rsidRPr="004D7C83">
        <w:rPr>
          <w:rStyle w:val="FootnoteReference"/>
          <w:spacing w:val="-4"/>
        </w:rPr>
        <w:footnoteReference w:id="46"/>
      </w:r>
      <w:bookmarkStart w:id="172" w:name="_Ref372132161"/>
    </w:p>
    <w:p w:rsidR="00B873A7" w:rsidRDefault="00B873A7" w:rsidP="009961FA">
      <w:pPr>
        <w:pStyle w:val="Caption"/>
      </w:pPr>
      <w:bookmarkStart w:id="173" w:name="_Ref383445840"/>
      <w:r>
        <w:t>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fldSimple w:instr=" SEQ Figure \* ARABIC \s 1 \* MERGEFORMAT ">
        <w:r w:rsidR="00A87B65">
          <w:rPr>
            <w:noProof/>
          </w:rPr>
          <w:t>48</w:t>
        </w:r>
      </w:fldSimple>
      <w:bookmarkEnd w:id="172"/>
      <w:bookmarkEnd w:id="173"/>
      <w:r>
        <w:t>: Comparison of spectral efficiencies in base case and sensitivity against Real Wireless estimates (values in bit/s/Hz) [Source: Analysys Mason, 2014 and Real Wireless, 2013]</w:t>
      </w:r>
    </w:p>
    <w:tbl>
      <w:tblPr>
        <w:tblStyle w:val="MediumShading2-Accent1"/>
        <w:tblW w:w="8789" w:type="dxa"/>
        <w:tblInd w:w="108" w:type="dxa"/>
        <w:tblLayout w:type="fixed"/>
        <w:tblLook w:val="0420" w:firstRow="1" w:lastRow="0" w:firstColumn="0" w:lastColumn="0" w:noHBand="0" w:noVBand="1"/>
      </w:tblPr>
      <w:tblGrid>
        <w:gridCol w:w="2127"/>
        <w:gridCol w:w="951"/>
        <w:gridCol w:w="952"/>
        <w:gridCol w:w="952"/>
        <w:gridCol w:w="951"/>
        <w:gridCol w:w="952"/>
        <w:gridCol w:w="952"/>
        <w:gridCol w:w="952"/>
      </w:tblGrid>
      <w:tr w:rsidR="00B873A7" w:rsidRPr="00F409F0" w:rsidTr="00EE4CCC">
        <w:trPr>
          <w:cnfStyle w:val="100000000000" w:firstRow="1" w:lastRow="0" w:firstColumn="0" w:lastColumn="0" w:oddVBand="0" w:evenVBand="0" w:oddHBand="0" w:evenHBand="0" w:firstRowFirstColumn="0" w:firstRowLastColumn="0" w:lastRowFirstColumn="0" w:lastRowLastColumn="0"/>
        </w:trPr>
        <w:tc>
          <w:tcPr>
            <w:tcW w:w="2127" w:type="dxa"/>
            <w:tcBorders>
              <w:top w:val="single" w:sz="18" w:space="0" w:color="221F72"/>
              <w:bottom w:val="single" w:sz="4" w:space="0" w:color="auto"/>
            </w:tcBorders>
            <w:shd w:val="solid" w:color="221F72" w:fill="221F72"/>
          </w:tcPr>
          <w:p w:rsidR="00B873A7" w:rsidRPr="00F409F0" w:rsidRDefault="00B873A7" w:rsidP="00841EA0">
            <w:pPr>
              <w:pStyle w:val="Tableheading"/>
              <w:rPr>
                <w:b/>
              </w:rPr>
            </w:pPr>
          </w:p>
        </w:tc>
        <w:tc>
          <w:tcPr>
            <w:tcW w:w="951" w:type="dxa"/>
            <w:tcBorders>
              <w:top w:val="single" w:sz="18" w:space="0" w:color="221F72"/>
              <w:bottom w:val="single" w:sz="4" w:space="0" w:color="auto"/>
            </w:tcBorders>
            <w:shd w:val="solid" w:color="221F72" w:fill="221F72"/>
          </w:tcPr>
          <w:p w:rsidR="00B873A7" w:rsidRPr="00F409F0" w:rsidRDefault="00B873A7" w:rsidP="00841EA0">
            <w:pPr>
              <w:pStyle w:val="Tableheading"/>
              <w:jc w:val="right"/>
              <w:rPr>
                <w:b/>
                <w:i/>
              </w:rPr>
            </w:pPr>
            <w:r w:rsidRPr="00F409F0">
              <w:rPr>
                <w:b/>
              </w:rPr>
              <w:t>2013</w:t>
            </w:r>
          </w:p>
        </w:tc>
        <w:tc>
          <w:tcPr>
            <w:tcW w:w="952" w:type="dxa"/>
            <w:tcBorders>
              <w:top w:val="single" w:sz="18" w:space="0" w:color="221F72"/>
              <w:bottom w:val="single" w:sz="4" w:space="0" w:color="auto"/>
            </w:tcBorders>
            <w:shd w:val="solid" w:color="221F72" w:fill="221F72"/>
          </w:tcPr>
          <w:p w:rsidR="00B873A7" w:rsidRPr="00F409F0" w:rsidRDefault="00B873A7" w:rsidP="00841EA0">
            <w:pPr>
              <w:pStyle w:val="Tableheading"/>
              <w:jc w:val="right"/>
              <w:rPr>
                <w:b/>
                <w:i/>
              </w:rPr>
            </w:pPr>
            <w:r w:rsidRPr="00F409F0">
              <w:rPr>
                <w:b/>
              </w:rPr>
              <w:t>2015</w:t>
            </w:r>
          </w:p>
        </w:tc>
        <w:tc>
          <w:tcPr>
            <w:tcW w:w="952" w:type="dxa"/>
            <w:tcBorders>
              <w:top w:val="single" w:sz="18" w:space="0" w:color="221F72"/>
              <w:bottom w:val="single" w:sz="4" w:space="0" w:color="auto"/>
            </w:tcBorders>
            <w:shd w:val="solid" w:color="221F72" w:fill="221F72"/>
          </w:tcPr>
          <w:p w:rsidR="00B873A7" w:rsidRPr="00F409F0" w:rsidRDefault="00B873A7" w:rsidP="00841EA0">
            <w:pPr>
              <w:pStyle w:val="Tableheading"/>
              <w:jc w:val="right"/>
              <w:rPr>
                <w:b/>
                <w:i/>
              </w:rPr>
            </w:pPr>
            <w:r w:rsidRPr="00F409F0">
              <w:rPr>
                <w:b/>
              </w:rPr>
              <w:t>2017</w:t>
            </w:r>
          </w:p>
        </w:tc>
        <w:tc>
          <w:tcPr>
            <w:tcW w:w="951" w:type="dxa"/>
            <w:tcBorders>
              <w:top w:val="single" w:sz="18" w:space="0" w:color="221F72"/>
              <w:bottom w:val="single" w:sz="4" w:space="0" w:color="auto"/>
            </w:tcBorders>
            <w:shd w:val="solid" w:color="221F72" w:fill="221F72"/>
          </w:tcPr>
          <w:p w:rsidR="00B873A7" w:rsidRPr="00F409F0" w:rsidRDefault="00B873A7" w:rsidP="00841EA0">
            <w:pPr>
              <w:pStyle w:val="Tableheading"/>
              <w:jc w:val="right"/>
              <w:rPr>
                <w:b/>
                <w:i/>
              </w:rPr>
            </w:pPr>
            <w:r w:rsidRPr="00F409F0">
              <w:rPr>
                <w:b/>
              </w:rPr>
              <w:t>2019</w:t>
            </w:r>
          </w:p>
        </w:tc>
        <w:tc>
          <w:tcPr>
            <w:tcW w:w="952" w:type="dxa"/>
            <w:tcBorders>
              <w:top w:val="single" w:sz="18" w:space="0" w:color="221F72"/>
              <w:bottom w:val="single" w:sz="4" w:space="0" w:color="auto"/>
            </w:tcBorders>
            <w:shd w:val="solid" w:color="221F72" w:fill="221F72"/>
          </w:tcPr>
          <w:p w:rsidR="00B873A7" w:rsidRPr="00F409F0" w:rsidRDefault="00B873A7" w:rsidP="00841EA0">
            <w:pPr>
              <w:pStyle w:val="Tableheading"/>
              <w:jc w:val="right"/>
              <w:rPr>
                <w:b/>
                <w:i/>
              </w:rPr>
            </w:pPr>
            <w:r w:rsidRPr="00F409F0">
              <w:rPr>
                <w:b/>
              </w:rPr>
              <w:t>2021</w:t>
            </w:r>
          </w:p>
        </w:tc>
        <w:tc>
          <w:tcPr>
            <w:tcW w:w="952" w:type="dxa"/>
            <w:tcBorders>
              <w:top w:val="single" w:sz="18" w:space="0" w:color="221F72"/>
              <w:bottom w:val="single" w:sz="4" w:space="0" w:color="auto"/>
            </w:tcBorders>
            <w:shd w:val="solid" w:color="221F72" w:fill="221F72"/>
          </w:tcPr>
          <w:p w:rsidR="00B873A7" w:rsidRPr="00F409F0" w:rsidRDefault="00B873A7" w:rsidP="00841EA0">
            <w:pPr>
              <w:pStyle w:val="Tableheading"/>
              <w:jc w:val="right"/>
              <w:rPr>
                <w:b/>
                <w:i/>
              </w:rPr>
            </w:pPr>
            <w:r w:rsidRPr="00F409F0">
              <w:rPr>
                <w:b/>
              </w:rPr>
              <w:t>2023</w:t>
            </w:r>
          </w:p>
        </w:tc>
        <w:tc>
          <w:tcPr>
            <w:tcW w:w="952" w:type="dxa"/>
            <w:tcBorders>
              <w:top w:val="single" w:sz="18" w:space="0" w:color="221F72"/>
              <w:bottom w:val="single" w:sz="4" w:space="0" w:color="auto"/>
            </w:tcBorders>
            <w:shd w:val="solid" w:color="221F72" w:fill="221F72"/>
          </w:tcPr>
          <w:p w:rsidR="00B873A7" w:rsidRPr="00F409F0" w:rsidRDefault="00B873A7" w:rsidP="00841EA0">
            <w:pPr>
              <w:pStyle w:val="Tableheading"/>
              <w:jc w:val="right"/>
              <w:rPr>
                <w:b/>
                <w:i/>
              </w:rPr>
            </w:pPr>
            <w:r w:rsidRPr="00F409F0">
              <w:rPr>
                <w:b/>
              </w:rPr>
              <w:t>2025</w:t>
            </w:r>
          </w:p>
        </w:tc>
      </w:tr>
      <w:tr w:rsidR="00B873A7" w:rsidTr="00EE4CCC">
        <w:trPr>
          <w:cnfStyle w:val="000000100000" w:firstRow="0" w:lastRow="0" w:firstColumn="0" w:lastColumn="0" w:oddVBand="0" w:evenVBand="0" w:oddHBand="1" w:evenHBand="0" w:firstRowFirstColumn="0" w:firstRowLastColumn="0" w:lastRowFirstColumn="0" w:lastRowLastColumn="0"/>
        </w:trPr>
        <w:tc>
          <w:tcPr>
            <w:tcW w:w="2127" w:type="dxa"/>
            <w:tcBorders>
              <w:top w:val="single" w:sz="4" w:space="0" w:color="auto"/>
            </w:tcBorders>
          </w:tcPr>
          <w:p w:rsidR="00B873A7" w:rsidRDefault="00B873A7" w:rsidP="00841EA0">
            <w:pPr>
              <w:pStyle w:val="Tablecells"/>
            </w:pPr>
            <w:r>
              <w:t>AM base case 3G</w:t>
            </w:r>
          </w:p>
        </w:tc>
        <w:tc>
          <w:tcPr>
            <w:tcW w:w="951" w:type="dxa"/>
            <w:tcBorders>
              <w:top w:val="single" w:sz="4" w:space="0" w:color="auto"/>
            </w:tcBorders>
          </w:tcPr>
          <w:p w:rsidR="00B873A7" w:rsidRDefault="00B873A7" w:rsidP="00841EA0">
            <w:pPr>
              <w:pStyle w:val="Tablecells"/>
              <w:jc w:val="right"/>
            </w:pPr>
            <w:r>
              <w:t>0.60</w:t>
            </w:r>
          </w:p>
        </w:tc>
        <w:tc>
          <w:tcPr>
            <w:tcW w:w="952" w:type="dxa"/>
            <w:tcBorders>
              <w:top w:val="single" w:sz="4" w:space="0" w:color="auto"/>
            </w:tcBorders>
          </w:tcPr>
          <w:p w:rsidR="00B873A7" w:rsidRDefault="00B873A7" w:rsidP="00841EA0">
            <w:pPr>
              <w:pStyle w:val="Tablecells"/>
              <w:jc w:val="right"/>
            </w:pPr>
            <w:r w:rsidRPr="00FA59EB">
              <w:t>0.60</w:t>
            </w:r>
          </w:p>
        </w:tc>
        <w:tc>
          <w:tcPr>
            <w:tcW w:w="952" w:type="dxa"/>
            <w:tcBorders>
              <w:top w:val="single" w:sz="4" w:space="0" w:color="auto"/>
            </w:tcBorders>
          </w:tcPr>
          <w:p w:rsidR="00B873A7" w:rsidRDefault="00B873A7" w:rsidP="00841EA0">
            <w:pPr>
              <w:pStyle w:val="Tablecells"/>
              <w:jc w:val="right"/>
            </w:pPr>
            <w:r w:rsidRPr="00FA59EB">
              <w:t>0.60</w:t>
            </w:r>
          </w:p>
        </w:tc>
        <w:tc>
          <w:tcPr>
            <w:tcW w:w="951" w:type="dxa"/>
            <w:tcBorders>
              <w:top w:val="single" w:sz="4" w:space="0" w:color="auto"/>
            </w:tcBorders>
          </w:tcPr>
          <w:p w:rsidR="00B873A7" w:rsidRDefault="00B873A7" w:rsidP="00841EA0">
            <w:pPr>
              <w:pStyle w:val="Tablecells"/>
              <w:jc w:val="right"/>
            </w:pPr>
            <w:r w:rsidRPr="00FA59EB">
              <w:t>0.60</w:t>
            </w:r>
          </w:p>
        </w:tc>
        <w:tc>
          <w:tcPr>
            <w:tcW w:w="952" w:type="dxa"/>
            <w:tcBorders>
              <w:top w:val="single" w:sz="4" w:space="0" w:color="auto"/>
            </w:tcBorders>
          </w:tcPr>
          <w:p w:rsidR="00B873A7" w:rsidRDefault="00B873A7" w:rsidP="00841EA0">
            <w:pPr>
              <w:pStyle w:val="Tablecells"/>
              <w:jc w:val="right"/>
            </w:pPr>
            <w:r w:rsidRPr="00FA59EB">
              <w:t>0.60</w:t>
            </w:r>
          </w:p>
        </w:tc>
        <w:tc>
          <w:tcPr>
            <w:tcW w:w="952" w:type="dxa"/>
            <w:tcBorders>
              <w:top w:val="single" w:sz="4" w:space="0" w:color="auto"/>
            </w:tcBorders>
          </w:tcPr>
          <w:p w:rsidR="00B873A7" w:rsidRDefault="00B873A7" w:rsidP="00841EA0">
            <w:pPr>
              <w:pStyle w:val="Tablecells"/>
              <w:jc w:val="right"/>
            </w:pPr>
            <w:r w:rsidRPr="00FA59EB">
              <w:t>0.60</w:t>
            </w:r>
          </w:p>
        </w:tc>
        <w:tc>
          <w:tcPr>
            <w:tcW w:w="952" w:type="dxa"/>
            <w:tcBorders>
              <w:top w:val="single" w:sz="4" w:space="0" w:color="auto"/>
            </w:tcBorders>
          </w:tcPr>
          <w:p w:rsidR="00B873A7" w:rsidRDefault="00B873A7" w:rsidP="00841EA0">
            <w:pPr>
              <w:pStyle w:val="Tablecells"/>
              <w:jc w:val="right"/>
            </w:pPr>
            <w:r w:rsidRPr="00FA59EB">
              <w:t>0.60</w:t>
            </w:r>
          </w:p>
        </w:tc>
      </w:tr>
      <w:tr w:rsidR="00B873A7" w:rsidTr="00841EA0">
        <w:tc>
          <w:tcPr>
            <w:tcW w:w="2127" w:type="dxa"/>
            <w:tcBorders>
              <w:bottom w:val="nil"/>
            </w:tcBorders>
          </w:tcPr>
          <w:p w:rsidR="00B873A7" w:rsidRDefault="00B873A7" w:rsidP="00841EA0">
            <w:pPr>
              <w:pStyle w:val="Tablecells"/>
            </w:pPr>
            <w:r>
              <w:t>AM base case 4G</w:t>
            </w:r>
          </w:p>
        </w:tc>
        <w:tc>
          <w:tcPr>
            <w:tcW w:w="951" w:type="dxa"/>
            <w:tcBorders>
              <w:bottom w:val="nil"/>
            </w:tcBorders>
          </w:tcPr>
          <w:p w:rsidR="00B873A7" w:rsidRDefault="00B873A7" w:rsidP="00841EA0">
            <w:pPr>
              <w:pStyle w:val="Tablecells"/>
              <w:jc w:val="right"/>
            </w:pPr>
            <w:r>
              <w:t>1.05</w:t>
            </w:r>
          </w:p>
        </w:tc>
        <w:tc>
          <w:tcPr>
            <w:tcW w:w="952" w:type="dxa"/>
            <w:tcBorders>
              <w:bottom w:val="nil"/>
            </w:tcBorders>
          </w:tcPr>
          <w:p w:rsidR="00B873A7" w:rsidRDefault="00B873A7" w:rsidP="00841EA0">
            <w:pPr>
              <w:pStyle w:val="Tablecells"/>
              <w:jc w:val="right"/>
            </w:pPr>
            <w:r>
              <w:t>1.31</w:t>
            </w:r>
          </w:p>
        </w:tc>
        <w:tc>
          <w:tcPr>
            <w:tcW w:w="952" w:type="dxa"/>
            <w:tcBorders>
              <w:bottom w:val="nil"/>
            </w:tcBorders>
          </w:tcPr>
          <w:p w:rsidR="00B873A7" w:rsidRDefault="00B873A7" w:rsidP="00841EA0">
            <w:pPr>
              <w:pStyle w:val="Tablecells"/>
              <w:jc w:val="right"/>
            </w:pPr>
            <w:r>
              <w:t>1.57</w:t>
            </w:r>
          </w:p>
        </w:tc>
        <w:tc>
          <w:tcPr>
            <w:tcW w:w="951" w:type="dxa"/>
            <w:tcBorders>
              <w:bottom w:val="nil"/>
            </w:tcBorders>
          </w:tcPr>
          <w:p w:rsidR="00B873A7" w:rsidRDefault="00B873A7" w:rsidP="00841EA0">
            <w:pPr>
              <w:pStyle w:val="Tablecells"/>
              <w:jc w:val="right"/>
            </w:pPr>
            <w:r>
              <w:t>1.83</w:t>
            </w:r>
          </w:p>
        </w:tc>
        <w:tc>
          <w:tcPr>
            <w:tcW w:w="952" w:type="dxa"/>
            <w:tcBorders>
              <w:bottom w:val="nil"/>
            </w:tcBorders>
          </w:tcPr>
          <w:p w:rsidR="00B873A7" w:rsidRDefault="00B873A7" w:rsidP="00841EA0">
            <w:pPr>
              <w:pStyle w:val="Tablecells"/>
              <w:jc w:val="right"/>
            </w:pPr>
            <w:r>
              <w:t>2.09</w:t>
            </w:r>
          </w:p>
        </w:tc>
        <w:tc>
          <w:tcPr>
            <w:tcW w:w="952" w:type="dxa"/>
            <w:tcBorders>
              <w:bottom w:val="nil"/>
            </w:tcBorders>
          </w:tcPr>
          <w:p w:rsidR="00B873A7" w:rsidRDefault="00B873A7" w:rsidP="00841EA0">
            <w:pPr>
              <w:pStyle w:val="Tablecells"/>
              <w:jc w:val="right"/>
            </w:pPr>
            <w:r>
              <w:t>2.35</w:t>
            </w:r>
          </w:p>
        </w:tc>
        <w:tc>
          <w:tcPr>
            <w:tcW w:w="952" w:type="dxa"/>
            <w:tcBorders>
              <w:bottom w:val="nil"/>
            </w:tcBorders>
          </w:tcPr>
          <w:p w:rsidR="00B873A7" w:rsidRDefault="00B873A7" w:rsidP="00841EA0">
            <w:pPr>
              <w:pStyle w:val="Tablecells"/>
              <w:jc w:val="right"/>
            </w:pPr>
            <w:r>
              <w:t>2.61</w:t>
            </w:r>
          </w:p>
        </w:tc>
      </w:tr>
      <w:tr w:rsidR="00B873A7" w:rsidTr="00841EA0">
        <w:trPr>
          <w:cnfStyle w:val="000000100000" w:firstRow="0" w:lastRow="0" w:firstColumn="0" w:lastColumn="0" w:oddVBand="0" w:evenVBand="0" w:oddHBand="1" w:evenHBand="0" w:firstRowFirstColumn="0" w:firstRowLastColumn="0" w:lastRowFirstColumn="0" w:lastRowLastColumn="0"/>
        </w:trPr>
        <w:tc>
          <w:tcPr>
            <w:tcW w:w="2127" w:type="dxa"/>
            <w:tcBorders>
              <w:bottom w:val="nil"/>
            </w:tcBorders>
          </w:tcPr>
          <w:p w:rsidR="00B873A7" w:rsidRDefault="00B873A7" w:rsidP="00841EA0">
            <w:pPr>
              <w:pStyle w:val="Tablecells"/>
            </w:pPr>
            <w:r>
              <w:t>AM sensitivity 3G</w:t>
            </w:r>
          </w:p>
        </w:tc>
        <w:tc>
          <w:tcPr>
            <w:tcW w:w="951" w:type="dxa"/>
            <w:tcBorders>
              <w:bottom w:val="nil"/>
            </w:tcBorders>
          </w:tcPr>
          <w:p w:rsidR="00B873A7" w:rsidRDefault="00B873A7" w:rsidP="00841EA0">
            <w:pPr>
              <w:pStyle w:val="Tablecells"/>
              <w:jc w:val="right"/>
            </w:pPr>
            <w:r>
              <w:t>0.60</w:t>
            </w:r>
          </w:p>
        </w:tc>
        <w:tc>
          <w:tcPr>
            <w:tcW w:w="952" w:type="dxa"/>
            <w:tcBorders>
              <w:bottom w:val="nil"/>
            </w:tcBorders>
          </w:tcPr>
          <w:p w:rsidR="00B873A7" w:rsidRDefault="00B873A7" w:rsidP="00841EA0">
            <w:pPr>
              <w:pStyle w:val="Tablecells"/>
              <w:jc w:val="right"/>
            </w:pPr>
            <w:r>
              <w:t>0.65</w:t>
            </w:r>
          </w:p>
        </w:tc>
        <w:tc>
          <w:tcPr>
            <w:tcW w:w="952" w:type="dxa"/>
            <w:tcBorders>
              <w:bottom w:val="nil"/>
            </w:tcBorders>
          </w:tcPr>
          <w:p w:rsidR="00B873A7" w:rsidRDefault="00B873A7" w:rsidP="00841EA0">
            <w:pPr>
              <w:pStyle w:val="Tablecells"/>
              <w:jc w:val="right"/>
            </w:pPr>
            <w:r>
              <w:t>0.70</w:t>
            </w:r>
          </w:p>
        </w:tc>
        <w:tc>
          <w:tcPr>
            <w:tcW w:w="951" w:type="dxa"/>
            <w:tcBorders>
              <w:bottom w:val="nil"/>
            </w:tcBorders>
          </w:tcPr>
          <w:p w:rsidR="00B873A7" w:rsidRDefault="00B873A7" w:rsidP="00841EA0">
            <w:pPr>
              <w:pStyle w:val="Tablecells"/>
              <w:jc w:val="right"/>
            </w:pPr>
            <w:r>
              <w:t>0.74</w:t>
            </w:r>
          </w:p>
        </w:tc>
        <w:tc>
          <w:tcPr>
            <w:tcW w:w="952" w:type="dxa"/>
            <w:tcBorders>
              <w:bottom w:val="nil"/>
            </w:tcBorders>
          </w:tcPr>
          <w:p w:rsidR="00B873A7" w:rsidRDefault="00B873A7" w:rsidP="00841EA0">
            <w:pPr>
              <w:pStyle w:val="Tablecells"/>
              <w:jc w:val="right"/>
            </w:pPr>
            <w:r>
              <w:t>0.79</w:t>
            </w:r>
          </w:p>
        </w:tc>
        <w:tc>
          <w:tcPr>
            <w:tcW w:w="952" w:type="dxa"/>
            <w:tcBorders>
              <w:bottom w:val="nil"/>
            </w:tcBorders>
          </w:tcPr>
          <w:p w:rsidR="00B873A7" w:rsidRDefault="00B873A7" w:rsidP="00841EA0">
            <w:pPr>
              <w:pStyle w:val="Tablecells"/>
              <w:jc w:val="right"/>
            </w:pPr>
            <w:r>
              <w:t>0.84</w:t>
            </w:r>
          </w:p>
        </w:tc>
        <w:tc>
          <w:tcPr>
            <w:tcW w:w="952" w:type="dxa"/>
            <w:tcBorders>
              <w:bottom w:val="nil"/>
            </w:tcBorders>
          </w:tcPr>
          <w:p w:rsidR="00B873A7" w:rsidRDefault="00B873A7" w:rsidP="00841EA0">
            <w:pPr>
              <w:pStyle w:val="Tablecells"/>
              <w:jc w:val="right"/>
            </w:pPr>
            <w:r>
              <w:t>0.89</w:t>
            </w:r>
          </w:p>
        </w:tc>
      </w:tr>
      <w:tr w:rsidR="00B873A7" w:rsidTr="00841EA0">
        <w:tc>
          <w:tcPr>
            <w:tcW w:w="2127" w:type="dxa"/>
            <w:tcBorders>
              <w:bottom w:val="nil"/>
            </w:tcBorders>
          </w:tcPr>
          <w:p w:rsidR="00B873A7" w:rsidRDefault="00B873A7" w:rsidP="00841EA0">
            <w:pPr>
              <w:pStyle w:val="Tablecells"/>
            </w:pPr>
            <w:r>
              <w:t>AM sensitivity 4G</w:t>
            </w:r>
          </w:p>
        </w:tc>
        <w:tc>
          <w:tcPr>
            <w:tcW w:w="951" w:type="dxa"/>
            <w:tcBorders>
              <w:bottom w:val="nil"/>
            </w:tcBorders>
          </w:tcPr>
          <w:p w:rsidR="00B873A7" w:rsidRDefault="00B873A7" w:rsidP="00841EA0">
            <w:pPr>
              <w:pStyle w:val="Tablecells"/>
              <w:jc w:val="right"/>
            </w:pPr>
            <w:r>
              <w:t>1.05</w:t>
            </w:r>
          </w:p>
        </w:tc>
        <w:tc>
          <w:tcPr>
            <w:tcW w:w="952" w:type="dxa"/>
            <w:tcBorders>
              <w:bottom w:val="nil"/>
            </w:tcBorders>
          </w:tcPr>
          <w:p w:rsidR="00B873A7" w:rsidRDefault="00B873A7" w:rsidP="00841EA0">
            <w:pPr>
              <w:pStyle w:val="Tablecells"/>
              <w:jc w:val="right"/>
            </w:pPr>
            <w:r>
              <w:t>1.55</w:t>
            </w:r>
          </w:p>
        </w:tc>
        <w:tc>
          <w:tcPr>
            <w:tcW w:w="952" w:type="dxa"/>
            <w:tcBorders>
              <w:bottom w:val="nil"/>
            </w:tcBorders>
          </w:tcPr>
          <w:p w:rsidR="00B873A7" w:rsidRDefault="00B873A7" w:rsidP="00841EA0">
            <w:pPr>
              <w:pStyle w:val="Tablecells"/>
              <w:jc w:val="right"/>
            </w:pPr>
            <w:r>
              <w:t>2.05</w:t>
            </w:r>
          </w:p>
        </w:tc>
        <w:tc>
          <w:tcPr>
            <w:tcW w:w="951" w:type="dxa"/>
            <w:tcBorders>
              <w:bottom w:val="nil"/>
            </w:tcBorders>
          </w:tcPr>
          <w:p w:rsidR="00B873A7" w:rsidRDefault="00B873A7" w:rsidP="00841EA0">
            <w:pPr>
              <w:pStyle w:val="Tablecells"/>
              <w:jc w:val="right"/>
            </w:pPr>
            <w:r>
              <w:t>2.55</w:t>
            </w:r>
          </w:p>
        </w:tc>
        <w:tc>
          <w:tcPr>
            <w:tcW w:w="952" w:type="dxa"/>
            <w:tcBorders>
              <w:bottom w:val="nil"/>
            </w:tcBorders>
          </w:tcPr>
          <w:p w:rsidR="00B873A7" w:rsidRDefault="00B873A7" w:rsidP="00841EA0">
            <w:pPr>
              <w:pStyle w:val="Tablecells"/>
              <w:jc w:val="right"/>
            </w:pPr>
            <w:r>
              <w:t>3.05</w:t>
            </w:r>
          </w:p>
        </w:tc>
        <w:tc>
          <w:tcPr>
            <w:tcW w:w="952" w:type="dxa"/>
            <w:tcBorders>
              <w:bottom w:val="nil"/>
            </w:tcBorders>
          </w:tcPr>
          <w:p w:rsidR="00B873A7" w:rsidRDefault="00B873A7" w:rsidP="00841EA0">
            <w:pPr>
              <w:pStyle w:val="Tablecells"/>
              <w:jc w:val="right"/>
            </w:pPr>
            <w:r>
              <w:t>3.55</w:t>
            </w:r>
          </w:p>
        </w:tc>
        <w:tc>
          <w:tcPr>
            <w:tcW w:w="952" w:type="dxa"/>
            <w:tcBorders>
              <w:bottom w:val="nil"/>
            </w:tcBorders>
          </w:tcPr>
          <w:p w:rsidR="00B873A7" w:rsidRDefault="00B873A7" w:rsidP="00841EA0">
            <w:pPr>
              <w:pStyle w:val="Tablecells"/>
              <w:jc w:val="right"/>
            </w:pPr>
            <w:r>
              <w:t>4.05</w:t>
            </w:r>
          </w:p>
        </w:tc>
      </w:tr>
      <w:tr w:rsidR="00B873A7" w:rsidTr="00841EA0">
        <w:trPr>
          <w:cnfStyle w:val="000000100000" w:firstRow="0" w:lastRow="0" w:firstColumn="0" w:lastColumn="0" w:oddVBand="0" w:evenVBand="0" w:oddHBand="1" w:evenHBand="0" w:firstRowFirstColumn="0" w:firstRowLastColumn="0" w:lastRowFirstColumn="0" w:lastRowLastColumn="0"/>
        </w:trPr>
        <w:tc>
          <w:tcPr>
            <w:tcW w:w="2127" w:type="dxa"/>
            <w:tcBorders>
              <w:bottom w:val="nil"/>
            </w:tcBorders>
          </w:tcPr>
          <w:p w:rsidR="00B873A7" w:rsidRDefault="00B873A7" w:rsidP="00841EA0">
            <w:pPr>
              <w:pStyle w:val="Tablecells"/>
            </w:pPr>
            <w:r>
              <w:t>Real Wireless RATG1</w:t>
            </w:r>
          </w:p>
        </w:tc>
        <w:tc>
          <w:tcPr>
            <w:tcW w:w="951" w:type="dxa"/>
            <w:tcBorders>
              <w:bottom w:val="nil"/>
            </w:tcBorders>
          </w:tcPr>
          <w:p w:rsidR="00B873A7" w:rsidRDefault="00B873A7" w:rsidP="00841EA0">
            <w:pPr>
              <w:pStyle w:val="Tablecells"/>
              <w:jc w:val="right"/>
            </w:pPr>
            <w:r>
              <w:t>1.05</w:t>
            </w:r>
          </w:p>
        </w:tc>
        <w:tc>
          <w:tcPr>
            <w:tcW w:w="952" w:type="dxa"/>
            <w:tcBorders>
              <w:bottom w:val="nil"/>
            </w:tcBorders>
          </w:tcPr>
          <w:p w:rsidR="00B873A7" w:rsidRDefault="00B873A7" w:rsidP="00841EA0">
            <w:pPr>
              <w:pStyle w:val="Tablecells"/>
              <w:jc w:val="right"/>
            </w:pPr>
            <w:r>
              <w:t>1.48</w:t>
            </w:r>
          </w:p>
        </w:tc>
        <w:tc>
          <w:tcPr>
            <w:tcW w:w="952" w:type="dxa"/>
            <w:tcBorders>
              <w:bottom w:val="nil"/>
            </w:tcBorders>
          </w:tcPr>
          <w:p w:rsidR="00B873A7" w:rsidRDefault="00B873A7" w:rsidP="00841EA0">
            <w:pPr>
              <w:pStyle w:val="Tablecells"/>
              <w:jc w:val="right"/>
            </w:pPr>
            <w:r>
              <w:t>1.48</w:t>
            </w:r>
          </w:p>
        </w:tc>
        <w:tc>
          <w:tcPr>
            <w:tcW w:w="951" w:type="dxa"/>
            <w:tcBorders>
              <w:bottom w:val="nil"/>
            </w:tcBorders>
          </w:tcPr>
          <w:p w:rsidR="00B873A7" w:rsidRDefault="00B873A7" w:rsidP="00841EA0">
            <w:pPr>
              <w:pStyle w:val="Tablecells"/>
              <w:jc w:val="right"/>
            </w:pPr>
            <w:r w:rsidRPr="001962D5">
              <w:t>1.48</w:t>
            </w:r>
          </w:p>
        </w:tc>
        <w:tc>
          <w:tcPr>
            <w:tcW w:w="952" w:type="dxa"/>
            <w:tcBorders>
              <w:bottom w:val="nil"/>
            </w:tcBorders>
          </w:tcPr>
          <w:p w:rsidR="00B873A7" w:rsidRDefault="00B873A7" w:rsidP="00841EA0">
            <w:pPr>
              <w:pStyle w:val="Tablecells"/>
              <w:jc w:val="right"/>
            </w:pPr>
            <w:r w:rsidRPr="001962D5">
              <w:t>1.48</w:t>
            </w:r>
          </w:p>
        </w:tc>
        <w:tc>
          <w:tcPr>
            <w:tcW w:w="952" w:type="dxa"/>
            <w:tcBorders>
              <w:bottom w:val="nil"/>
            </w:tcBorders>
          </w:tcPr>
          <w:p w:rsidR="00B873A7" w:rsidRDefault="00B873A7" w:rsidP="00841EA0">
            <w:pPr>
              <w:pStyle w:val="Tablecells"/>
              <w:jc w:val="right"/>
            </w:pPr>
            <w:r w:rsidRPr="001962D5">
              <w:t>1.48</w:t>
            </w:r>
          </w:p>
        </w:tc>
        <w:tc>
          <w:tcPr>
            <w:tcW w:w="952" w:type="dxa"/>
            <w:tcBorders>
              <w:bottom w:val="nil"/>
            </w:tcBorders>
          </w:tcPr>
          <w:p w:rsidR="00B873A7" w:rsidRDefault="00B873A7" w:rsidP="00841EA0">
            <w:pPr>
              <w:pStyle w:val="Tablecells"/>
              <w:jc w:val="right"/>
            </w:pPr>
            <w:r w:rsidRPr="001962D5">
              <w:t>1.48</w:t>
            </w:r>
          </w:p>
        </w:tc>
      </w:tr>
      <w:tr w:rsidR="00B873A7" w:rsidTr="00841EA0">
        <w:tc>
          <w:tcPr>
            <w:tcW w:w="2127" w:type="dxa"/>
            <w:tcBorders>
              <w:top w:val="nil"/>
              <w:bottom w:val="single" w:sz="4" w:space="0" w:color="808080"/>
            </w:tcBorders>
          </w:tcPr>
          <w:p w:rsidR="00B873A7" w:rsidRDefault="00B873A7" w:rsidP="00841EA0">
            <w:pPr>
              <w:pStyle w:val="Tablecells"/>
            </w:pPr>
            <w:r>
              <w:t>Real Wireless RATG2</w:t>
            </w:r>
          </w:p>
        </w:tc>
        <w:tc>
          <w:tcPr>
            <w:tcW w:w="951" w:type="dxa"/>
            <w:tcBorders>
              <w:top w:val="nil"/>
              <w:bottom w:val="single" w:sz="4" w:space="0" w:color="808080"/>
            </w:tcBorders>
          </w:tcPr>
          <w:p w:rsidR="00B873A7" w:rsidRDefault="00B873A7" w:rsidP="00841EA0">
            <w:pPr>
              <w:pStyle w:val="Tablecells"/>
              <w:jc w:val="right"/>
            </w:pPr>
          </w:p>
        </w:tc>
        <w:tc>
          <w:tcPr>
            <w:tcW w:w="952" w:type="dxa"/>
            <w:tcBorders>
              <w:top w:val="nil"/>
              <w:bottom w:val="single" w:sz="4" w:space="0" w:color="808080"/>
            </w:tcBorders>
          </w:tcPr>
          <w:p w:rsidR="00B873A7" w:rsidRDefault="00B873A7" w:rsidP="00841EA0">
            <w:pPr>
              <w:pStyle w:val="Tablecells"/>
              <w:jc w:val="right"/>
            </w:pPr>
          </w:p>
        </w:tc>
        <w:tc>
          <w:tcPr>
            <w:tcW w:w="952" w:type="dxa"/>
            <w:tcBorders>
              <w:top w:val="nil"/>
              <w:bottom w:val="single" w:sz="4" w:space="0" w:color="808080"/>
            </w:tcBorders>
          </w:tcPr>
          <w:p w:rsidR="00B873A7" w:rsidRDefault="00B873A7" w:rsidP="00841EA0">
            <w:pPr>
              <w:pStyle w:val="Tablecells"/>
              <w:jc w:val="right"/>
            </w:pPr>
          </w:p>
        </w:tc>
        <w:tc>
          <w:tcPr>
            <w:tcW w:w="951" w:type="dxa"/>
            <w:tcBorders>
              <w:top w:val="nil"/>
              <w:bottom w:val="single" w:sz="4" w:space="0" w:color="808080"/>
            </w:tcBorders>
          </w:tcPr>
          <w:p w:rsidR="00B873A7" w:rsidRDefault="00B873A7" w:rsidP="00841EA0">
            <w:pPr>
              <w:pStyle w:val="Tablecells"/>
              <w:jc w:val="right"/>
            </w:pPr>
          </w:p>
        </w:tc>
        <w:tc>
          <w:tcPr>
            <w:tcW w:w="952" w:type="dxa"/>
            <w:tcBorders>
              <w:top w:val="nil"/>
              <w:bottom w:val="single" w:sz="4" w:space="0" w:color="808080"/>
            </w:tcBorders>
          </w:tcPr>
          <w:p w:rsidR="00B873A7" w:rsidRDefault="00B873A7" w:rsidP="00841EA0">
            <w:pPr>
              <w:pStyle w:val="Tablecells"/>
              <w:jc w:val="right"/>
            </w:pPr>
            <w:r>
              <w:t>3.52</w:t>
            </w:r>
          </w:p>
        </w:tc>
        <w:tc>
          <w:tcPr>
            <w:tcW w:w="952" w:type="dxa"/>
            <w:tcBorders>
              <w:top w:val="nil"/>
              <w:bottom w:val="single" w:sz="4" w:space="0" w:color="808080"/>
            </w:tcBorders>
          </w:tcPr>
          <w:p w:rsidR="00B873A7" w:rsidRDefault="00B873A7" w:rsidP="00841EA0">
            <w:pPr>
              <w:pStyle w:val="Tablecells"/>
              <w:jc w:val="right"/>
            </w:pPr>
            <w:r>
              <w:t>4.27</w:t>
            </w:r>
          </w:p>
        </w:tc>
        <w:tc>
          <w:tcPr>
            <w:tcW w:w="952" w:type="dxa"/>
            <w:tcBorders>
              <w:top w:val="nil"/>
              <w:bottom w:val="single" w:sz="4" w:space="0" w:color="808080"/>
            </w:tcBorders>
          </w:tcPr>
          <w:p w:rsidR="00B873A7" w:rsidRDefault="00B873A7" w:rsidP="00841EA0">
            <w:pPr>
              <w:pStyle w:val="Tablecells"/>
              <w:jc w:val="right"/>
            </w:pPr>
            <w:r>
              <w:t>5.01</w:t>
            </w:r>
          </w:p>
        </w:tc>
      </w:tr>
    </w:tbl>
    <w:p w:rsidR="00B873A7" w:rsidRPr="00A42B4A" w:rsidRDefault="00B873A7" w:rsidP="00B873A7">
      <w:pPr>
        <w:pStyle w:val="Tablenote"/>
        <w:pBdr>
          <w:bottom w:val="single" w:sz="4" w:space="1" w:color="BFBFBF" w:themeColor="background1" w:themeShade="BF"/>
        </w:pBdr>
        <w:spacing w:before="40" w:line="200" w:lineRule="exact"/>
        <w:ind w:left="0" w:firstLine="0"/>
        <w:rPr>
          <w:sz w:val="14"/>
          <w:szCs w:val="14"/>
        </w:rPr>
      </w:pPr>
      <w:r>
        <w:rPr>
          <w:sz w:val="14"/>
          <w:szCs w:val="14"/>
        </w:rPr>
        <w:t xml:space="preserve">Note: </w:t>
      </w:r>
      <w:r w:rsidRPr="00A42B4A">
        <w:rPr>
          <w:sz w:val="14"/>
          <w:szCs w:val="14"/>
        </w:rPr>
        <w:t>The Real Wireless report uses the ITU designations RATG1, which corresponds to LTE and earlier generations of mobile technology, and RATG2, which corresponds to LTE-A and subsequent generations of mobile technology. In the report, RATG2 spectral efficiency is only forecast from 2020 onwards</w:t>
      </w:r>
      <w:r>
        <w:rPr>
          <w:sz w:val="14"/>
          <w:szCs w:val="14"/>
        </w:rPr>
        <w:t>.</w:t>
      </w:r>
    </w:p>
    <w:p w:rsidR="00B873A7" w:rsidRDefault="00B873A7" w:rsidP="009961FA">
      <w:pPr>
        <w:spacing w:before="120"/>
      </w:pPr>
      <w:r>
        <w:t xml:space="preserve">The results are shown in </w:t>
      </w:r>
      <w:r w:rsidRPr="002D2F9B">
        <w:fldChar w:fldCharType="begin"/>
      </w:r>
      <w:r w:rsidRPr="002571CA">
        <w:instrText xml:space="preserve"> REF _Ref369186409 \h </w:instrText>
      </w:r>
      <w:r w:rsidRPr="002D2F9B">
        <w:fldChar w:fldCharType="separate"/>
      </w:r>
      <w:r w:rsidR="00A87B65">
        <w:t>Figure </w:t>
      </w:r>
      <w:r w:rsidR="00A87B65">
        <w:rPr>
          <w:noProof/>
        </w:rPr>
        <w:t>4</w:t>
      </w:r>
      <w:r w:rsidR="00A87B65">
        <w:t>.</w:t>
      </w:r>
      <w:r w:rsidR="00A87B65">
        <w:rPr>
          <w:noProof/>
        </w:rPr>
        <w:t>49</w:t>
      </w:r>
      <w:r w:rsidRPr="002D2F9B">
        <w:fldChar w:fldCharType="end"/>
      </w:r>
      <w:r>
        <w:t>. If this higher level of spectral efficiency is achieved</w:t>
      </w:r>
      <w:r w:rsidR="00162304">
        <w:t>,</w:t>
      </w:r>
      <w:r>
        <w:t xml:space="preserve"> our model indicates that around </w:t>
      </w:r>
      <w:r w:rsidR="00162304">
        <w:t>4</w:t>
      </w:r>
      <w:r>
        <w:t xml:space="preserve">00 </w:t>
      </w:r>
      <w:r w:rsidR="00162304">
        <w:t xml:space="preserve">fewer </w:t>
      </w:r>
      <w:r>
        <w:t xml:space="preserve">4G sites will need to be built by 2020 (a decrease of </w:t>
      </w:r>
      <w:r w:rsidR="00162304">
        <w:t>2</w:t>
      </w:r>
      <w:r>
        <w:t xml:space="preserve">% of total 4G sites compared to the base case) and around </w:t>
      </w:r>
      <w:r w:rsidR="00162304">
        <w:t>80</w:t>
      </w:r>
      <w:r>
        <w:t xml:space="preserve">0 </w:t>
      </w:r>
      <w:r w:rsidR="00162304">
        <w:t xml:space="preserve">fewer 4G sites </w:t>
      </w:r>
      <w:r>
        <w:t xml:space="preserve">will be needed by 2025 (a decrease of </w:t>
      </w:r>
      <w:r w:rsidR="00162304">
        <w:t>4</w:t>
      </w:r>
      <w:r>
        <w:t xml:space="preserve">%). The </w:t>
      </w:r>
      <w:r w:rsidR="00162304">
        <w:t>peak requirement for 3G</w:t>
      </w:r>
      <w:r>
        <w:t xml:space="preserve"> sites will be reduced by around 100 (a reduction of less than 1% in the total number of </w:t>
      </w:r>
      <w:r w:rsidR="00162304">
        <w:t xml:space="preserve">3G </w:t>
      </w:r>
      <w:r>
        <w:t>sites).</w:t>
      </w:r>
    </w:p>
    <w:p w:rsidR="00B873A7" w:rsidRDefault="00B873A7" w:rsidP="00B873A7">
      <w:pPr>
        <w:pStyle w:val="Caption"/>
      </w:pPr>
      <w:bookmarkStart w:id="174" w:name="_Ref369186409"/>
      <w:r>
        <w:t>Figure </w:t>
      </w:r>
      <w:r w:rsidR="008B1006">
        <w:fldChar w:fldCharType="begin"/>
      </w:r>
      <w:r w:rsidR="008B1006">
        <w:instrText xml:space="preserve"> STYLEREF 1 \s \* ME</w:instrText>
      </w:r>
      <w:r w:rsidR="008B1006">
        <w:instrText xml:space="preserve">RGEFORMAT </w:instrText>
      </w:r>
      <w:r w:rsidR="008B1006">
        <w:fldChar w:fldCharType="separate"/>
      </w:r>
      <w:r w:rsidR="00A87B65">
        <w:rPr>
          <w:noProof/>
        </w:rPr>
        <w:t>4</w:t>
      </w:r>
      <w:r w:rsidR="008B1006">
        <w:rPr>
          <w:noProof/>
        </w:rPr>
        <w:fldChar w:fldCharType="end"/>
      </w:r>
      <w:r>
        <w:t>.</w:t>
      </w:r>
      <w:fldSimple w:instr=" SEQ Figure \* ARABIC \s 1 \* MERGEFORMAT ">
        <w:r w:rsidR="00A87B65">
          <w:rPr>
            <w:noProof/>
          </w:rPr>
          <w:t>49</w:t>
        </w:r>
      </w:fldSimple>
      <w:bookmarkEnd w:id="174"/>
      <w:r>
        <w:t xml:space="preserve">: </w:t>
      </w:r>
      <w:r w:rsidRPr="00AD321B">
        <w:t xml:space="preserve">Logical sites for </w:t>
      </w:r>
      <w:r>
        <w:t>all operators; increased spectral efficiency</w:t>
      </w:r>
      <w:r w:rsidRPr="00A03F1F">
        <w:t xml:space="preserve"> [Source</w:t>
      </w:r>
      <w:r>
        <w:t>: Analysys Mason, 2014]</w:t>
      </w:r>
    </w:p>
    <w:p w:rsidR="00B873A7" w:rsidRDefault="00E15C32" w:rsidP="00E15C32">
      <w:pPr>
        <w:jc w:val="center"/>
      </w:pPr>
      <w:r w:rsidRPr="00E15C32">
        <w:rPr>
          <w:noProof/>
          <w:lang w:val="en-AU" w:eastAsia="en-AU"/>
        </w:rPr>
        <w:drawing>
          <wp:inline distT="0" distB="0" distL="0" distR="0" wp14:anchorId="7C3FA113" wp14:editId="301347F2">
            <wp:extent cx="5362575" cy="3114675"/>
            <wp:effectExtent l="0" t="0" r="0" b="0"/>
            <wp:docPr id="105" name="Picture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5362575" cy="3114675"/>
                    </a:xfrm>
                    <a:prstGeom prst="rect">
                      <a:avLst/>
                    </a:prstGeom>
                    <a:noFill/>
                    <a:ln>
                      <a:noFill/>
                    </a:ln>
                  </pic:spPr>
                </pic:pic>
              </a:graphicData>
            </a:graphic>
          </wp:inline>
        </w:drawing>
      </w:r>
    </w:p>
    <w:p w:rsidR="00B873A7" w:rsidRDefault="00B873A7" w:rsidP="00B873A7">
      <w:pPr>
        <w:rPr>
          <w:rFonts w:ascii="Arial" w:hAnsi="Arial" w:cs="Arial"/>
          <w:bCs/>
          <w:i/>
          <w:sz w:val="18"/>
          <w:szCs w:val="18"/>
        </w:rPr>
      </w:pPr>
      <w:r>
        <w:t xml:space="preserve">Combining the previous sensitivities involving higher levels of data traffic with the higher spectral efficiency gives the numbers of 4G sites shown in </w:t>
      </w:r>
      <w:r w:rsidRPr="002D2F9B">
        <w:fldChar w:fldCharType="begin"/>
      </w:r>
      <w:r w:rsidRPr="002571CA">
        <w:instrText xml:space="preserve"> REF _Ref383446003 \h </w:instrText>
      </w:r>
      <w:r w:rsidRPr="002D2F9B">
        <w:fldChar w:fldCharType="separate"/>
      </w:r>
      <w:r w:rsidR="00A87B65">
        <w:t>Figure </w:t>
      </w:r>
      <w:r w:rsidR="00A87B65">
        <w:rPr>
          <w:noProof/>
        </w:rPr>
        <w:t>4</w:t>
      </w:r>
      <w:r w:rsidR="00A87B65">
        <w:t>.</w:t>
      </w:r>
      <w:r w:rsidR="00A87B65">
        <w:rPr>
          <w:noProof/>
        </w:rPr>
        <w:t>50</w:t>
      </w:r>
      <w:r w:rsidRPr="002D2F9B">
        <w:fldChar w:fldCharType="end"/>
      </w:r>
      <w:r>
        <w:t xml:space="preserve">. It can be seen that </w:t>
      </w:r>
      <w:r w:rsidR="00162304">
        <w:t xml:space="preserve">with more traffic </w:t>
      </w:r>
      <w:r>
        <w:t xml:space="preserve">the higher spectral efficiency assumptions reduce the </w:t>
      </w:r>
      <w:r w:rsidR="004B05B1">
        <w:t xml:space="preserve">number of 4G sites required by </w:t>
      </w:r>
      <w:r w:rsidR="00162304">
        <w:t>4</w:t>
      </w:r>
      <w:r w:rsidR="004B05B1">
        <w:t xml:space="preserve">–7% in 2020 and </w:t>
      </w:r>
      <w:r w:rsidR="00162304">
        <w:t>8</w:t>
      </w:r>
      <w:r w:rsidR="004B05B1">
        <w:noBreakHyphen/>
        <w:t>11</w:t>
      </w:r>
      <w:r>
        <w:t>% in 2025.</w:t>
      </w:r>
      <w:bookmarkStart w:id="175" w:name="_Ref372317596"/>
    </w:p>
    <w:p w:rsidR="00B873A7" w:rsidRPr="00535269" w:rsidRDefault="00B873A7" w:rsidP="00B873A7">
      <w:pPr>
        <w:pStyle w:val="Caption"/>
      </w:pPr>
      <w:bookmarkStart w:id="176" w:name="_Ref383446003"/>
      <w:r>
        <w:t>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fldSimple w:instr=" SEQ Figure \* ARABIC \s 1 \* MERGEFORMAT ">
        <w:r w:rsidR="00A87B65">
          <w:rPr>
            <w:noProof/>
          </w:rPr>
          <w:t>50</w:t>
        </w:r>
      </w:fldSimple>
      <w:bookmarkEnd w:id="175"/>
      <w:bookmarkEnd w:id="176"/>
      <w:r>
        <w:t>: Effect of assuming higher spectral efficiency on number of 4G sites required with varying assumptions about traffic levels [Source: Analysys Mason, 2014]</w:t>
      </w:r>
    </w:p>
    <w:tbl>
      <w:tblPr>
        <w:tblStyle w:val="MediumShading2-Accent1"/>
        <w:tblW w:w="8762" w:type="dxa"/>
        <w:tblInd w:w="108" w:type="dxa"/>
        <w:tblLayout w:type="fixed"/>
        <w:tblLook w:val="0420" w:firstRow="1" w:lastRow="0" w:firstColumn="0" w:lastColumn="0" w:noHBand="0" w:noVBand="1"/>
      </w:tblPr>
      <w:tblGrid>
        <w:gridCol w:w="735"/>
        <w:gridCol w:w="884"/>
        <w:gridCol w:w="884"/>
        <w:gridCol w:w="885"/>
        <w:gridCol w:w="884"/>
        <w:gridCol w:w="884"/>
        <w:gridCol w:w="885"/>
        <w:gridCol w:w="907"/>
        <w:gridCol w:w="907"/>
        <w:gridCol w:w="907"/>
      </w:tblGrid>
      <w:tr w:rsidR="00B873A7" w:rsidRPr="00F409F0" w:rsidTr="00EE4CCC">
        <w:trPr>
          <w:cnfStyle w:val="100000000000" w:firstRow="1" w:lastRow="0" w:firstColumn="0" w:lastColumn="0" w:oddVBand="0" w:evenVBand="0" w:oddHBand="0" w:evenHBand="0" w:firstRowFirstColumn="0" w:firstRowLastColumn="0" w:lastRowFirstColumn="0" w:lastRowLastColumn="0"/>
        </w:trPr>
        <w:tc>
          <w:tcPr>
            <w:tcW w:w="735" w:type="dxa"/>
            <w:tcBorders>
              <w:top w:val="single" w:sz="18" w:space="0" w:color="221F72"/>
              <w:bottom w:val="single" w:sz="4" w:space="0" w:color="FFFFFF" w:themeColor="background1"/>
            </w:tcBorders>
            <w:shd w:val="solid" w:color="221F72" w:fill="221F72"/>
          </w:tcPr>
          <w:p w:rsidR="00B873A7" w:rsidRPr="00F409F0" w:rsidRDefault="00B873A7" w:rsidP="00841EA0">
            <w:pPr>
              <w:pStyle w:val="Tableheading"/>
              <w:rPr>
                <w:b/>
                <w:i/>
              </w:rPr>
            </w:pPr>
          </w:p>
        </w:tc>
        <w:tc>
          <w:tcPr>
            <w:tcW w:w="2653" w:type="dxa"/>
            <w:gridSpan w:val="3"/>
            <w:tcBorders>
              <w:top w:val="single" w:sz="18" w:space="0" w:color="221F72"/>
              <w:bottom w:val="single" w:sz="4" w:space="0" w:color="FFFFFF" w:themeColor="background1"/>
            </w:tcBorders>
            <w:shd w:val="solid" w:color="221F72" w:fill="221F72"/>
          </w:tcPr>
          <w:p w:rsidR="00B873A7" w:rsidRPr="00F409F0" w:rsidRDefault="00B873A7" w:rsidP="00841EA0">
            <w:pPr>
              <w:pStyle w:val="Tableheading"/>
              <w:jc w:val="center"/>
              <w:rPr>
                <w:b/>
                <w:i/>
              </w:rPr>
            </w:pPr>
            <w:r w:rsidRPr="00F409F0">
              <w:rPr>
                <w:b/>
              </w:rPr>
              <w:t>Baseline spectral efficiency</w:t>
            </w:r>
          </w:p>
        </w:tc>
        <w:tc>
          <w:tcPr>
            <w:tcW w:w="2653" w:type="dxa"/>
            <w:gridSpan w:val="3"/>
            <w:tcBorders>
              <w:top w:val="single" w:sz="18" w:space="0" w:color="221F72"/>
              <w:bottom w:val="single" w:sz="4" w:space="0" w:color="FFFFFF" w:themeColor="background1"/>
            </w:tcBorders>
            <w:shd w:val="solid" w:color="221F72" w:fill="221F72"/>
          </w:tcPr>
          <w:p w:rsidR="00B873A7" w:rsidRPr="00F409F0" w:rsidRDefault="00B873A7" w:rsidP="00841EA0">
            <w:pPr>
              <w:pStyle w:val="Tableheading"/>
              <w:jc w:val="center"/>
              <w:rPr>
                <w:b/>
                <w:i/>
              </w:rPr>
            </w:pPr>
            <w:r w:rsidRPr="00F409F0">
              <w:rPr>
                <w:b/>
              </w:rPr>
              <w:t>Higher spectral</w:t>
            </w:r>
            <w:r w:rsidRPr="00F409F0">
              <w:rPr>
                <w:b/>
              </w:rPr>
              <w:br/>
              <w:t>efficiency</w:t>
            </w:r>
          </w:p>
        </w:tc>
        <w:tc>
          <w:tcPr>
            <w:tcW w:w="2721" w:type="dxa"/>
            <w:gridSpan w:val="3"/>
            <w:tcBorders>
              <w:top w:val="single" w:sz="18" w:space="0" w:color="221F72"/>
              <w:bottom w:val="single" w:sz="4" w:space="0" w:color="FFFFFF" w:themeColor="background1"/>
            </w:tcBorders>
            <w:shd w:val="solid" w:color="221F72" w:fill="221F72"/>
          </w:tcPr>
          <w:p w:rsidR="00B873A7" w:rsidRPr="00F409F0" w:rsidRDefault="00E15C32" w:rsidP="00841EA0">
            <w:pPr>
              <w:pStyle w:val="Tableheading"/>
              <w:jc w:val="center"/>
              <w:rPr>
                <w:b/>
                <w:i/>
              </w:rPr>
            </w:pPr>
            <w:r>
              <w:rPr>
                <w:b/>
              </w:rPr>
              <w:t>Difference</w:t>
            </w:r>
          </w:p>
        </w:tc>
      </w:tr>
      <w:tr w:rsidR="00B873A7" w:rsidRPr="00535269" w:rsidTr="00EE4CCC">
        <w:trPr>
          <w:cnfStyle w:val="000000100000" w:firstRow="0" w:lastRow="0" w:firstColumn="0" w:lastColumn="0" w:oddVBand="0" w:evenVBand="0" w:oddHBand="1" w:evenHBand="0" w:firstRowFirstColumn="0" w:firstRowLastColumn="0" w:lastRowFirstColumn="0" w:lastRowLastColumn="0"/>
        </w:trPr>
        <w:tc>
          <w:tcPr>
            <w:tcW w:w="735" w:type="dxa"/>
            <w:tcBorders>
              <w:top w:val="single" w:sz="4" w:space="0" w:color="FFFFFF" w:themeColor="background1"/>
              <w:bottom w:val="single" w:sz="4" w:space="0" w:color="auto"/>
            </w:tcBorders>
            <w:shd w:val="solid" w:color="221F72" w:fill="221F72"/>
          </w:tcPr>
          <w:p w:rsidR="00B873A7" w:rsidRPr="00A42B4A" w:rsidRDefault="00B873A7" w:rsidP="00841EA0">
            <w:pPr>
              <w:pStyle w:val="Tableheading"/>
              <w:keepNext w:val="0"/>
              <w:rPr>
                <w:i/>
              </w:rPr>
            </w:pPr>
          </w:p>
        </w:tc>
        <w:tc>
          <w:tcPr>
            <w:tcW w:w="884" w:type="dxa"/>
            <w:tcBorders>
              <w:top w:val="single" w:sz="4" w:space="0" w:color="FFFFFF" w:themeColor="background1"/>
              <w:bottom w:val="single" w:sz="4" w:space="0" w:color="auto"/>
            </w:tcBorders>
            <w:shd w:val="solid" w:color="221F72" w:fill="221F72"/>
          </w:tcPr>
          <w:p w:rsidR="00B873A7" w:rsidRPr="00A42B4A" w:rsidRDefault="00B873A7" w:rsidP="0091513F">
            <w:pPr>
              <w:pStyle w:val="Tableheading"/>
              <w:keepNext w:val="0"/>
              <w:jc w:val="center"/>
              <w:rPr>
                <w:i/>
                <w:sz w:val="16"/>
              </w:rPr>
            </w:pPr>
            <w:r w:rsidRPr="00A42B4A">
              <w:rPr>
                <w:sz w:val="16"/>
              </w:rPr>
              <w:t>Base traffic</w:t>
            </w:r>
          </w:p>
        </w:tc>
        <w:tc>
          <w:tcPr>
            <w:tcW w:w="884" w:type="dxa"/>
            <w:tcBorders>
              <w:top w:val="single" w:sz="4" w:space="0" w:color="FFFFFF" w:themeColor="background1"/>
              <w:bottom w:val="single" w:sz="4" w:space="0" w:color="auto"/>
            </w:tcBorders>
            <w:shd w:val="solid" w:color="221F72" w:fill="221F72"/>
          </w:tcPr>
          <w:p w:rsidR="00B873A7" w:rsidRPr="00A42B4A" w:rsidRDefault="00B873A7" w:rsidP="0091513F">
            <w:pPr>
              <w:pStyle w:val="Tableheading"/>
              <w:keepNext w:val="0"/>
              <w:jc w:val="center"/>
              <w:rPr>
                <w:i/>
              </w:rPr>
            </w:pPr>
            <w:r w:rsidRPr="00A42B4A">
              <w:rPr>
                <w:sz w:val="16"/>
              </w:rPr>
              <w:t>+50%</w:t>
            </w:r>
            <w:r w:rsidRPr="00A42B4A">
              <w:rPr>
                <w:sz w:val="16"/>
              </w:rPr>
              <w:br/>
              <w:t>in 2020</w:t>
            </w:r>
          </w:p>
        </w:tc>
        <w:tc>
          <w:tcPr>
            <w:tcW w:w="885" w:type="dxa"/>
            <w:tcBorders>
              <w:top w:val="single" w:sz="4" w:space="0" w:color="FFFFFF" w:themeColor="background1"/>
              <w:bottom w:val="single" w:sz="4" w:space="0" w:color="auto"/>
            </w:tcBorders>
            <w:shd w:val="solid" w:color="221F72" w:fill="221F72"/>
          </w:tcPr>
          <w:p w:rsidR="00B873A7" w:rsidRPr="00A42B4A" w:rsidRDefault="00B873A7" w:rsidP="0091513F">
            <w:pPr>
              <w:pStyle w:val="Tableheading"/>
              <w:keepNext w:val="0"/>
              <w:jc w:val="center"/>
              <w:rPr>
                <w:i/>
                <w:sz w:val="16"/>
              </w:rPr>
            </w:pPr>
            <w:r w:rsidRPr="00A42B4A">
              <w:rPr>
                <w:sz w:val="16"/>
              </w:rPr>
              <w:t>+100%</w:t>
            </w:r>
            <w:r w:rsidRPr="00A42B4A">
              <w:rPr>
                <w:sz w:val="16"/>
              </w:rPr>
              <w:br/>
              <w:t>in 2020</w:t>
            </w:r>
          </w:p>
        </w:tc>
        <w:tc>
          <w:tcPr>
            <w:tcW w:w="884" w:type="dxa"/>
            <w:tcBorders>
              <w:top w:val="single" w:sz="4" w:space="0" w:color="FFFFFF" w:themeColor="background1"/>
              <w:bottom w:val="single" w:sz="4" w:space="0" w:color="auto"/>
            </w:tcBorders>
            <w:shd w:val="solid" w:color="221F72" w:fill="221F72"/>
          </w:tcPr>
          <w:p w:rsidR="00B873A7" w:rsidRPr="00A42B4A" w:rsidRDefault="00B873A7" w:rsidP="0091513F">
            <w:pPr>
              <w:pStyle w:val="Tableheading"/>
              <w:keepNext w:val="0"/>
              <w:jc w:val="center"/>
              <w:rPr>
                <w:i/>
                <w:sz w:val="16"/>
              </w:rPr>
            </w:pPr>
            <w:r w:rsidRPr="00A42B4A">
              <w:rPr>
                <w:sz w:val="16"/>
              </w:rPr>
              <w:t>Base traffic</w:t>
            </w:r>
          </w:p>
        </w:tc>
        <w:tc>
          <w:tcPr>
            <w:tcW w:w="884" w:type="dxa"/>
            <w:tcBorders>
              <w:top w:val="single" w:sz="4" w:space="0" w:color="FFFFFF" w:themeColor="background1"/>
              <w:bottom w:val="single" w:sz="4" w:space="0" w:color="auto"/>
            </w:tcBorders>
            <w:shd w:val="solid" w:color="221F72" w:fill="221F72"/>
          </w:tcPr>
          <w:p w:rsidR="00B873A7" w:rsidRPr="00A42B4A" w:rsidRDefault="00B873A7" w:rsidP="0091513F">
            <w:pPr>
              <w:pStyle w:val="Tableheading"/>
              <w:keepNext w:val="0"/>
              <w:jc w:val="center"/>
              <w:rPr>
                <w:i/>
                <w:sz w:val="16"/>
              </w:rPr>
            </w:pPr>
            <w:r w:rsidRPr="00A42B4A">
              <w:rPr>
                <w:sz w:val="16"/>
              </w:rPr>
              <w:t>+50%</w:t>
            </w:r>
            <w:r w:rsidRPr="00A42B4A">
              <w:rPr>
                <w:sz w:val="16"/>
              </w:rPr>
              <w:br/>
              <w:t>in 2020</w:t>
            </w:r>
          </w:p>
        </w:tc>
        <w:tc>
          <w:tcPr>
            <w:tcW w:w="885" w:type="dxa"/>
            <w:tcBorders>
              <w:top w:val="single" w:sz="4" w:space="0" w:color="FFFFFF" w:themeColor="background1"/>
              <w:bottom w:val="single" w:sz="4" w:space="0" w:color="auto"/>
            </w:tcBorders>
            <w:shd w:val="solid" w:color="221F72" w:fill="221F72"/>
          </w:tcPr>
          <w:p w:rsidR="00B873A7" w:rsidRPr="00A42B4A" w:rsidRDefault="00B873A7" w:rsidP="0091513F">
            <w:pPr>
              <w:pStyle w:val="Tableheading"/>
              <w:keepNext w:val="0"/>
              <w:jc w:val="center"/>
              <w:rPr>
                <w:i/>
                <w:sz w:val="16"/>
              </w:rPr>
            </w:pPr>
            <w:r w:rsidRPr="00A42B4A">
              <w:rPr>
                <w:sz w:val="16"/>
              </w:rPr>
              <w:t>+100%</w:t>
            </w:r>
            <w:r w:rsidRPr="00A42B4A">
              <w:rPr>
                <w:sz w:val="16"/>
              </w:rPr>
              <w:br/>
              <w:t>in 2020</w:t>
            </w:r>
          </w:p>
        </w:tc>
        <w:tc>
          <w:tcPr>
            <w:tcW w:w="907" w:type="dxa"/>
            <w:tcBorders>
              <w:top w:val="single" w:sz="4" w:space="0" w:color="FFFFFF" w:themeColor="background1"/>
              <w:bottom w:val="single" w:sz="4" w:space="0" w:color="auto"/>
            </w:tcBorders>
            <w:shd w:val="solid" w:color="221F72" w:fill="221F72"/>
          </w:tcPr>
          <w:p w:rsidR="00B873A7" w:rsidRPr="00A42B4A" w:rsidRDefault="00B873A7" w:rsidP="0091513F">
            <w:pPr>
              <w:pStyle w:val="Tableheading"/>
              <w:keepNext w:val="0"/>
              <w:jc w:val="center"/>
              <w:rPr>
                <w:i/>
                <w:sz w:val="16"/>
              </w:rPr>
            </w:pPr>
            <w:r w:rsidRPr="00A42B4A">
              <w:rPr>
                <w:sz w:val="16"/>
              </w:rPr>
              <w:t>Base traffic</w:t>
            </w:r>
          </w:p>
        </w:tc>
        <w:tc>
          <w:tcPr>
            <w:tcW w:w="907" w:type="dxa"/>
            <w:tcBorders>
              <w:top w:val="single" w:sz="4" w:space="0" w:color="FFFFFF" w:themeColor="background1"/>
              <w:bottom w:val="single" w:sz="4" w:space="0" w:color="auto"/>
            </w:tcBorders>
            <w:shd w:val="solid" w:color="221F72" w:fill="221F72"/>
          </w:tcPr>
          <w:p w:rsidR="00B873A7" w:rsidRPr="00A42B4A" w:rsidRDefault="00B873A7" w:rsidP="0091513F">
            <w:pPr>
              <w:pStyle w:val="Tableheading"/>
              <w:keepNext w:val="0"/>
              <w:jc w:val="center"/>
              <w:rPr>
                <w:i/>
                <w:sz w:val="16"/>
              </w:rPr>
            </w:pPr>
            <w:r w:rsidRPr="00A42B4A">
              <w:rPr>
                <w:sz w:val="16"/>
              </w:rPr>
              <w:t>+50%</w:t>
            </w:r>
            <w:r w:rsidRPr="00A42B4A">
              <w:rPr>
                <w:sz w:val="16"/>
              </w:rPr>
              <w:br/>
              <w:t>in 2020</w:t>
            </w:r>
          </w:p>
        </w:tc>
        <w:tc>
          <w:tcPr>
            <w:tcW w:w="907" w:type="dxa"/>
            <w:tcBorders>
              <w:top w:val="single" w:sz="4" w:space="0" w:color="FFFFFF" w:themeColor="background1"/>
              <w:bottom w:val="single" w:sz="4" w:space="0" w:color="auto"/>
            </w:tcBorders>
            <w:shd w:val="solid" w:color="221F72" w:fill="221F72"/>
          </w:tcPr>
          <w:p w:rsidR="00B873A7" w:rsidRPr="00A42B4A" w:rsidRDefault="00B873A7" w:rsidP="0091513F">
            <w:pPr>
              <w:pStyle w:val="Tableheading"/>
              <w:keepNext w:val="0"/>
              <w:jc w:val="center"/>
              <w:rPr>
                <w:i/>
                <w:sz w:val="16"/>
              </w:rPr>
            </w:pPr>
            <w:r w:rsidRPr="00A42B4A">
              <w:rPr>
                <w:sz w:val="16"/>
              </w:rPr>
              <w:t>+100%</w:t>
            </w:r>
            <w:r w:rsidRPr="00A42B4A">
              <w:rPr>
                <w:sz w:val="16"/>
              </w:rPr>
              <w:br/>
              <w:t>in 2020</w:t>
            </w:r>
          </w:p>
        </w:tc>
      </w:tr>
      <w:tr w:rsidR="004B05B1" w:rsidTr="00EE4CCC">
        <w:tc>
          <w:tcPr>
            <w:tcW w:w="735" w:type="dxa"/>
            <w:tcBorders>
              <w:top w:val="single" w:sz="4" w:space="0" w:color="auto"/>
            </w:tcBorders>
          </w:tcPr>
          <w:p w:rsidR="004B05B1" w:rsidRPr="00332452" w:rsidRDefault="004B05B1" w:rsidP="00841EA0">
            <w:pPr>
              <w:pStyle w:val="Tableheading"/>
              <w:rPr>
                <w:b w:val="0"/>
                <w:color w:val="auto"/>
              </w:rPr>
            </w:pPr>
            <w:r w:rsidRPr="00332452">
              <w:rPr>
                <w:b w:val="0"/>
                <w:color w:val="auto"/>
              </w:rPr>
              <w:t>2020</w:t>
            </w:r>
          </w:p>
        </w:tc>
        <w:tc>
          <w:tcPr>
            <w:tcW w:w="884" w:type="dxa"/>
            <w:tcBorders>
              <w:top w:val="single" w:sz="4" w:space="0" w:color="auto"/>
            </w:tcBorders>
          </w:tcPr>
          <w:p w:rsidR="004B05B1" w:rsidRPr="004B05B1" w:rsidRDefault="004B05B1" w:rsidP="004B05B1">
            <w:pPr>
              <w:pStyle w:val="Tablecells"/>
            </w:pPr>
            <w:r>
              <w:t>1</w:t>
            </w:r>
            <w:r w:rsidRPr="004B05B1">
              <w:t xml:space="preserve">9,662 </w:t>
            </w:r>
          </w:p>
        </w:tc>
        <w:tc>
          <w:tcPr>
            <w:tcW w:w="884" w:type="dxa"/>
            <w:tcBorders>
              <w:top w:val="single" w:sz="4" w:space="0" w:color="auto"/>
            </w:tcBorders>
          </w:tcPr>
          <w:p w:rsidR="004B05B1" w:rsidRPr="004B05B1" w:rsidRDefault="004B05B1" w:rsidP="004B05B1">
            <w:pPr>
              <w:pStyle w:val="Tablecells"/>
            </w:pPr>
            <w:r w:rsidRPr="004B05B1">
              <w:t xml:space="preserve">20,661 </w:t>
            </w:r>
          </w:p>
        </w:tc>
        <w:tc>
          <w:tcPr>
            <w:tcW w:w="885" w:type="dxa"/>
            <w:tcBorders>
              <w:top w:val="single" w:sz="4" w:space="0" w:color="auto"/>
            </w:tcBorders>
          </w:tcPr>
          <w:p w:rsidR="004B05B1" w:rsidRPr="004B05B1" w:rsidRDefault="004B05B1" w:rsidP="004B05B1">
            <w:pPr>
              <w:pStyle w:val="Tablecells"/>
            </w:pPr>
            <w:r w:rsidRPr="004B05B1">
              <w:t xml:space="preserve">21,891 </w:t>
            </w:r>
          </w:p>
        </w:tc>
        <w:tc>
          <w:tcPr>
            <w:tcW w:w="884" w:type="dxa"/>
            <w:tcBorders>
              <w:top w:val="single" w:sz="4" w:space="0" w:color="auto"/>
            </w:tcBorders>
          </w:tcPr>
          <w:p w:rsidR="004B05B1" w:rsidRPr="004B05B1" w:rsidRDefault="004B05B1" w:rsidP="004B05B1">
            <w:pPr>
              <w:pStyle w:val="Tablecells"/>
            </w:pPr>
            <w:r w:rsidRPr="004B05B1">
              <w:t xml:space="preserve">19,289 </w:t>
            </w:r>
          </w:p>
        </w:tc>
        <w:tc>
          <w:tcPr>
            <w:tcW w:w="884" w:type="dxa"/>
            <w:tcBorders>
              <w:top w:val="single" w:sz="4" w:space="0" w:color="auto"/>
            </w:tcBorders>
          </w:tcPr>
          <w:p w:rsidR="004B05B1" w:rsidRPr="004B05B1" w:rsidRDefault="004B05B1" w:rsidP="004B05B1">
            <w:pPr>
              <w:pStyle w:val="Tablecells"/>
            </w:pPr>
            <w:r w:rsidRPr="004B05B1">
              <w:t xml:space="preserve">19,746 </w:t>
            </w:r>
          </w:p>
        </w:tc>
        <w:tc>
          <w:tcPr>
            <w:tcW w:w="885" w:type="dxa"/>
            <w:tcBorders>
              <w:top w:val="single" w:sz="4" w:space="0" w:color="auto"/>
            </w:tcBorders>
          </w:tcPr>
          <w:p w:rsidR="004B05B1" w:rsidRPr="004B05B1" w:rsidRDefault="004B05B1" w:rsidP="004B05B1">
            <w:pPr>
              <w:pStyle w:val="Tablecells"/>
            </w:pPr>
            <w:r w:rsidRPr="004B05B1">
              <w:t xml:space="preserve">20,441 </w:t>
            </w:r>
          </w:p>
        </w:tc>
        <w:tc>
          <w:tcPr>
            <w:tcW w:w="907" w:type="dxa"/>
            <w:tcBorders>
              <w:top w:val="single" w:sz="4" w:space="0" w:color="auto"/>
            </w:tcBorders>
          </w:tcPr>
          <w:p w:rsidR="004B05B1" w:rsidRPr="004B05B1" w:rsidRDefault="004B05B1" w:rsidP="004B05B1">
            <w:pPr>
              <w:pStyle w:val="Tableheading"/>
              <w:jc w:val="right"/>
              <w:rPr>
                <w:b w:val="0"/>
                <w:color w:val="FF0000"/>
              </w:rPr>
            </w:pPr>
            <w:r w:rsidRPr="004B05B1">
              <w:rPr>
                <w:b w:val="0"/>
                <w:color w:val="FF0000"/>
              </w:rPr>
              <w:t>-373</w:t>
            </w:r>
            <w:r w:rsidRPr="004B05B1">
              <w:rPr>
                <w:b w:val="0"/>
                <w:color w:val="FF0000"/>
              </w:rPr>
              <w:br/>
              <w:t>-2%</w:t>
            </w:r>
          </w:p>
        </w:tc>
        <w:tc>
          <w:tcPr>
            <w:tcW w:w="907" w:type="dxa"/>
            <w:tcBorders>
              <w:top w:val="single" w:sz="4" w:space="0" w:color="auto"/>
            </w:tcBorders>
          </w:tcPr>
          <w:p w:rsidR="004B05B1" w:rsidRPr="004B05B1" w:rsidRDefault="004B05B1" w:rsidP="004B05B1">
            <w:pPr>
              <w:pStyle w:val="Tableheading"/>
              <w:jc w:val="right"/>
              <w:rPr>
                <w:b w:val="0"/>
                <w:color w:val="FF0000"/>
              </w:rPr>
            </w:pPr>
            <w:r w:rsidRPr="004B05B1">
              <w:rPr>
                <w:b w:val="0"/>
                <w:color w:val="FF0000"/>
              </w:rPr>
              <w:t>-915</w:t>
            </w:r>
            <w:r w:rsidRPr="004B05B1">
              <w:rPr>
                <w:b w:val="0"/>
                <w:color w:val="FF0000"/>
              </w:rPr>
              <w:br/>
              <w:t>-4%</w:t>
            </w:r>
          </w:p>
        </w:tc>
        <w:tc>
          <w:tcPr>
            <w:tcW w:w="907" w:type="dxa"/>
            <w:tcBorders>
              <w:top w:val="single" w:sz="4" w:space="0" w:color="auto"/>
            </w:tcBorders>
          </w:tcPr>
          <w:p w:rsidR="004B05B1" w:rsidRPr="004B05B1" w:rsidRDefault="004B05B1" w:rsidP="004B05B1">
            <w:pPr>
              <w:pStyle w:val="Tableheading"/>
              <w:jc w:val="right"/>
              <w:rPr>
                <w:b w:val="0"/>
                <w:color w:val="FF0000"/>
              </w:rPr>
            </w:pPr>
            <w:r w:rsidRPr="004B05B1">
              <w:rPr>
                <w:b w:val="0"/>
                <w:color w:val="FF0000"/>
              </w:rPr>
              <w:t>-1,450</w:t>
            </w:r>
            <w:r w:rsidRPr="004B05B1">
              <w:rPr>
                <w:b w:val="0"/>
                <w:color w:val="FF0000"/>
              </w:rPr>
              <w:br/>
              <w:t>-7%</w:t>
            </w:r>
          </w:p>
        </w:tc>
      </w:tr>
      <w:tr w:rsidR="004B05B1" w:rsidTr="004B05B1">
        <w:trPr>
          <w:cnfStyle w:val="000000100000" w:firstRow="0" w:lastRow="0" w:firstColumn="0" w:lastColumn="0" w:oddVBand="0" w:evenVBand="0" w:oddHBand="1" w:evenHBand="0" w:firstRowFirstColumn="0" w:firstRowLastColumn="0" w:lastRowFirstColumn="0" w:lastRowLastColumn="0"/>
        </w:trPr>
        <w:tc>
          <w:tcPr>
            <w:tcW w:w="735" w:type="dxa"/>
            <w:tcBorders>
              <w:top w:val="nil"/>
              <w:bottom w:val="single" w:sz="4" w:space="0" w:color="808080"/>
            </w:tcBorders>
          </w:tcPr>
          <w:p w:rsidR="004B05B1" w:rsidRPr="00332452" w:rsidRDefault="004B05B1" w:rsidP="00841EA0">
            <w:pPr>
              <w:pStyle w:val="Tableheading"/>
              <w:rPr>
                <w:b w:val="0"/>
                <w:color w:val="auto"/>
              </w:rPr>
            </w:pPr>
            <w:r w:rsidRPr="00332452">
              <w:rPr>
                <w:b w:val="0"/>
                <w:color w:val="auto"/>
              </w:rPr>
              <w:t>2025</w:t>
            </w:r>
          </w:p>
        </w:tc>
        <w:tc>
          <w:tcPr>
            <w:tcW w:w="884" w:type="dxa"/>
            <w:tcBorders>
              <w:top w:val="nil"/>
              <w:bottom w:val="single" w:sz="4" w:space="0" w:color="808080"/>
            </w:tcBorders>
          </w:tcPr>
          <w:p w:rsidR="004B05B1" w:rsidRPr="004B05B1" w:rsidRDefault="004B05B1" w:rsidP="004B05B1">
            <w:pPr>
              <w:pStyle w:val="Tablecells"/>
            </w:pPr>
            <w:r w:rsidRPr="004B05B1">
              <w:t xml:space="preserve">20,312 </w:t>
            </w:r>
          </w:p>
        </w:tc>
        <w:tc>
          <w:tcPr>
            <w:tcW w:w="884" w:type="dxa"/>
            <w:tcBorders>
              <w:top w:val="nil"/>
              <w:bottom w:val="single" w:sz="4" w:space="0" w:color="808080"/>
            </w:tcBorders>
          </w:tcPr>
          <w:p w:rsidR="004B05B1" w:rsidRPr="004B05B1" w:rsidRDefault="004B05B1" w:rsidP="004B05B1">
            <w:pPr>
              <w:pStyle w:val="Tablecells"/>
            </w:pPr>
            <w:r w:rsidRPr="004B05B1">
              <w:t xml:space="preserve">22,204 </w:t>
            </w:r>
          </w:p>
        </w:tc>
        <w:tc>
          <w:tcPr>
            <w:tcW w:w="885" w:type="dxa"/>
            <w:tcBorders>
              <w:top w:val="nil"/>
              <w:bottom w:val="single" w:sz="4" w:space="0" w:color="808080"/>
            </w:tcBorders>
          </w:tcPr>
          <w:p w:rsidR="004B05B1" w:rsidRPr="004B05B1" w:rsidRDefault="004B05B1" w:rsidP="004B05B1">
            <w:pPr>
              <w:pStyle w:val="Tablecells"/>
            </w:pPr>
            <w:r w:rsidRPr="004B05B1">
              <w:t xml:space="preserve">24,257 </w:t>
            </w:r>
          </w:p>
        </w:tc>
        <w:tc>
          <w:tcPr>
            <w:tcW w:w="884" w:type="dxa"/>
            <w:tcBorders>
              <w:top w:val="nil"/>
              <w:bottom w:val="single" w:sz="4" w:space="0" w:color="808080"/>
            </w:tcBorders>
          </w:tcPr>
          <w:p w:rsidR="004B05B1" w:rsidRPr="004B05B1" w:rsidRDefault="004B05B1" w:rsidP="004B05B1">
            <w:pPr>
              <w:pStyle w:val="Tablecells"/>
            </w:pPr>
            <w:r w:rsidRPr="004B05B1">
              <w:t xml:space="preserve">19,490 </w:t>
            </w:r>
          </w:p>
        </w:tc>
        <w:tc>
          <w:tcPr>
            <w:tcW w:w="884" w:type="dxa"/>
            <w:tcBorders>
              <w:top w:val="nil"/>
              <w:bottom w:val="single" w:sz="4" w:space="0" w:color="808080"/>
            </w:tcBorders>
          </w:tcPr>
          <w:p w:rsidR="004B05B1" w:rsidRPr="004B05B1" w:rsidRDefault="004B05B1" w:rsidP="004B05B1">
            <w:pPr>
              <w:pStyle w:val="Tablecells"/>
            </w:pPr>
            <w:r w:rsidRPr="004B05B1">
              <w:t xml:space="preserve">20,420 </w:t>
            </w:r>
          </w:p>
        </w:tc>
        <w:tc>
          <w:tcPr>
            <w:tcW w:w="885" w:type="dxa"/>
            <w:tcBorders>
              <w:top w:val="nil"/>
              <w:bottom w:val="single" w:sz="4" w:space="0" w:color="808080"/>
            </w:tcBorders>
          </w:tcPr>
          <w:p w:rsidR="004B05B1" w:rsidRPr="004B05B1" w:rsidRDefault="004B05B1" w:rsidP="004B05B1">
            <w:pPr>
              <w:pStyle w:val="Tablecells"/>
            </w:pPr>
            <w:r w:rsidRPr="004B05B1">
              <w:t xml:space="preserve">21,655 </w:t>
            </w:r>
          </w:p>
        </w:tc>
        <w:tc>
          <w:tcPr>
            <w:tcW w:w="907" w:type="dxa"/>
            <w:tcBorders>
              <w:top w:val="nil"/>
              <w:bottom w:val="single" w:sz="4" w:space="0" w:color="808080"/>
            </w:tcBorders>
          </w:tcPr>
          <w:p w:rsidR="004B05B1" w:rsidRPr="004B05B1" w:rsidRDefault="004B05B1" w:rsidP="004B05B1">
            <w:pPr>
              <w:pStyle w:val="Tableheading"/>
              <w:jc w:val="right"/>
              <w:rPr>
                <w:b w:val="0"/>
                <w:color w:val="FF0000"/>
              </w:rPr>
            </w:pPr>
            <w:r w:rsidRPr="004B05B1">
              <w:rPr>
                <w:b w:val="0"/>
                <w:color w:val="FF0000"/>
              </w:rPr>
              <w:t>-822</w:t>
            </w:r>
            <w:r w:rsidRPr="004B05B1">
              <w:rPr>
                <w:b w:val="0"/>
                <w:color w:val="FF0000"/>
              </w:rPr>
              <w:br/>
              <w:t>-4%</w:t>
            </w:r>
          </w:p>
        </w:tc>
        <w:tc>
          <w:tcPr>
            <w:tcW w:w="907" w:type="dxa"/>
            <w:tcBorders>
              <w:top w:val="nil"/>
              <w:bottom w:val="single" w:sz="4" w:space="0" w:color="808080"/>
            </w:tcBorders>
          </w:tcPr>
          <w:p w:rsidR="004B05B1" w:rsidRPr="004B05B1" w:rsidRDefault="004B05B1" w:rsidP="004B05B1">
            <w:pPr>
              <w:pStyle w:val="Tableheading"/>
              <w:jc w:val="right"/>
              <w:rPr>
                <w:b w:val="0"/>
                <w:color w:val="FF0000"/>
              </w:rPr>
            </w:pPr>
            <w:r w:rsidRPr="004B05B1">
              <w:rPr>
                <w:b w:val="0"/>
                <w:color w:val="FF0000"/>
              </w:rPr>
              <w:t>-1784</w:t>
            </w:r>
            <w:r w:rsidRPr="004B05B1">
              <w:rPr>
                <w:b w:val="0"/>
                <w:color w:val="FF0000"/>
              </w:rPr>
              <w:br/>
              <w:t>-8%</w:t>
            </w:r>
          </w:p>
        </w:tc>
        <w:tc>
          <w:tcPr>
            <w:tcW w:w="907" w:type="dxa"/>
            <w:tcBorders>
              <w:top w:val="nil"/>
              <w:bottom w:val="single" w:sz="4" w:space="0" w:color="808080"/>
            </w:tcBorders>
          </w:tcPr>
          <w:p w:rsidR="004B05B1" w:rsidRPr="004B05B1" w:rsidRDefault="004B05B1" w:rsidP="004B05B1">
            <w:pPr>
              <w:pStyle w:val="Tableheading"/>
              <w:jc w:val="right"/>
              <w:rPr>
                <w:b w:val="0"/>
                <w:color w:val="FF0000"/>
              </w:rPr>
            </w:pPr>
            <w:r w:rsidRPr="004B05B1">
              <w:rPr>
                <w:b w:val="0"/>
                <w:color w:val="FF0000"/>
              </w:rPr>
              <w:t>-2</w:t>
            </w:r>
            <w:r>
              <w:rPr>
                <w:b w:val="0"/>
                <w:color w:val="FF0000"/>
              </w:rPr>
              <w:t>,</w:t>
            </w:r>
            <w:r w:rsidRPr="004B05B1">
              <w:rPr>
                <w:b w:val="0"/>
                <w:color w:val="FF0000"/>
              </w:rPr>
              <w:t>602</w:t>
            </w:r>
            <w:r w:rsidRPr="004B05B1">
              <w:rPr>
                <w:b w:val="0"/>
                <w:color w:val="FF0000"/>
              </w:rPr>
              <w:br/>
              <w:t>-11%</w:t>
            </w:r>
          </w:p>
        </w:tc>
      </w:tr>
    </w:tbl>
    <w:p w:rsidR="00B873A7" w:rsidRDefault="00B873A7" w:rsidP="00B873A7">
      <w:bookmarkStart w:id="177" w:name="_Toc369185114"/>
      <w:bookmarkEnd w:id="177"/>
    </w:p>
    <w:p w:rsidR="00B873A7" w:rsidRDefault="00B873A7" w:rsidP="00B873A7">
      <w:pPr>
        <w:pStyle w:val="Heading3"/>
        <w:tabs>
          <w:tab w:val="left" w:pos="142"/>
        </w:tabs>
        <w:ind w:hanging="567"/>
      </w:pPr>
      <w:r>
        <w:t>Increased proportion of data traffic in the busy hour</w:t>
      </w:r>
    </w:p>
    <w:p w:rsidR="00B873A7" w:rsidRDefault="00B873A7" w:rsidP="00B873A7">
      <w:pPr>
        <w:spacing w:after="120"/>
      </w:pPr>
      <w:r>
        <w:t xml:space="preserve">In this sensitivity, we assume that 11% of the daily data traffic is carried in the busy hour, compared to 8% in the base case. The results are shown in </w:t>
      </w:r>
      <w:r w:rsidRPr="002D2F9B">
        <w:fldChar w:fldCharType="begin"/>
      </w:r>
      <w:r w:rsidRPr="002571CA">
        <w:instrText xml:space="preserve"> REF _Ref378548001 \h </w:instrText>
      </w:r>
      <w:r w:rsidRPr="002D2F9B">
        <w:fldChar w:fldCharType="separate"/>
      </w:r>
      <w:r w:rsidR="00A87B65" w:rsidRPr="00DD020E">
        <w:rPr>
          <w:spacing w:val="-4"/>
        </w:rPr>
        <w:t>Figure</w:t>
      </w:r>
      <w:r w:rsidR="00A87B65">
        <w:rPr>
          <w:spacing w:val="-4"/>
        </w:rPr>
        <w:t> </w:t>
      </w:r>
      <w:r w:rsidR="00A87B65">
        <w:rPr>
          <w:noProof/>
          <w:spacing w:val="-4"/>
        </w:rPr>
        <w:t>4</w:t>
      </w:r>
      <w:r w:rsidR="00A87B65" w:rsidRPr="00DD020E">
        <w:rPr>
          <w:spacing w:val="-4"/>
        </w:rPr>
        <w:t>.</w:t>
      </w:r>
      <w:r w:rsidR="00A87B65">
        <w:rPr>
          <w:noProof/>
          <w:spacing w:val="-4"/>
        </w:rPr>
        <w:t>51</w:t>
      </w:r>
      <w:r w:rsidRPr="002D2F9B">
        <w:fldChar w:fldCharType="end"/>
      </w:r>
      <w:r>
        <w:t xml:space="preserve">. </w:t>
      </w:r>
    </w:p>
    <w:p w:rsidR="00B873A7" w:rsidRPr="00DD020E" w:rsidRDefault="00B873A7" w:rsidP="00B873A7">
      <w:pPr>
        <w:pStyle w:val="Caption"/>
        <w:rPr>
          <w:spacing w:val="-4"/>
        </w:rPr>
      </w:pPr>
      <w:bookmarkStart w:id="178" w:name="_Ref378548001"/>
      <w:r w:rsidRPr="00DD020E">
        <w:rPr>
          <w:spacing w:val="-4"/>
        </w:rPr>
        <w:t>Figure</w:t>
      </w:r>
      <w:r>
        <w:rPr>
          <w:spacing w:val="-4"/>
        </w:rPr>
        <w:t> </w:t>
      </w:r>
      <w:r w:rsidRPr="00DD020E">
        <w:rPr>
          <w:spacing w:val="-4"/>
        </w:rPr>
        <w:fldChar w:fldCharType="begin"/>
      </w:r>
      <w:r w:rsidRPr="00DD020E">
        <w:rPr>
          <w:spacing w:val="-4"/>
        </w:rPr>
        <w:instrText xml:space="preserve"> STYLEREF 1 \s \* MERGEFORMAT </w:instrText>
      </w:r>
      <w:r w:rsidRPr="00DD020E">
        <w:rPr>
          <w:spacing w:val="-4"/>
        </w:rPr>
        <w:fldChar w:fldCharType="separate"/>
      </w:r>
      <w:r w:rsidR="00A87B65">
        <w:rPr>
          <w:noProof/>
          <w:spacing w:val="-4"/>
        </w:rPr>
        <w:t>4</w:t>
      </w:r>
      <w:r w:rsidRPr="00DD020E">
        <w:rPr>
          <w:noProof/>
          <w:spacing w:val="-4"/>
        </w:rPr>
        <w:fldChar w:fldCharType="end"/>
      </w:r>
      <w:r w:rsidRPr="00DD020E">
        <w:rPr>
          <w:spacing w:val="-4"/>
        </w:rPr>
        <w:t>.</w:t>
      </w:r>
      <w:r w:rsidRPr="00DD020E">
        <w:rPr>
          <w:spacing w:val="-4"/>
        </w:rPr>
        <w:fldChar w:fldCharType="begin"/>
      </w:r>
      <w:r w:rsidRPr="00DD020E">
        <w:rPr>
          <w:spacing w:val="-4"/>
        </w:rPr>
        <w:instrText xml:space="preserve"> SEQ Figure \* ARABIC \s 1 \* MERGEFORMAT </w:instrText>
      </w:r>
      <w:r w:rsidRPr="00DD020E">
        <w:rPr>
          <w:spacing w:val="-4"/>
        </w:rPr>
        <w:fldChar w:fldCharType="separate"/>
      </w:r>
      <w:r w:rsidR="00A87B65">
        <w:rPr>
          <w:noProof/>
          <w:spacing w:val="-4"/>
        </w:rPr>
        <w:t>51</w:t>
      </w:r>
      <w:r w:rsidRPr="00DD020E">
        <w:rPr>
          <w:noProof/>
          <w:spacing w:val="-4"/>
        </w:rPr>
        <w:fldChar w:fldCharType="end"/>
      </w:r>
      <w:bookmarkEnd w:id="178"/>
      <w:r w:rsidRPr="00DD020E">
        <w:rPr>
          <w:spacing w:val="-4"/>
        </w:rPr>
        <w:t xml:space="preserve">: Logical sites for all operators; </w:t>
      </w:r>
      <w:r>
        <w:rPr>
          <w:spacing w:val="-4"/>
        </w:rPr>
        <w:t>11% of data traffic in the busy hour</w:t>
      </w:r>
      <w:r w:rsidRPr="00DD020E">
        <w:rPr>
          <w:spacing w:val="-4"/>
        </w:rPr>
        <w:t xml:space="preserve"> [Source: Analysys Mason, </w:t>
      </w:r>
      <w:r>
        <w:rPr>
          <w:spacing w:val="-4"/>
        </w:rPr>
        <w:t>2014</w:t>
      </w:r>
      <w:r w:rsidRPr="00DD020E">
        <w:rPr>
          <w:spacing w:val="-4"/>
        </w:rPr>
        <w:t>]</w:t>
      </w:r>
    </w:p>
    <w:p w:rsidR="00B873A7" w:rsidRDefault="00E15C32" w:rsidP="00E15C32">
      <w:pPr>
        <w:jc w:val="center"/>
      </w:pPr>
      <w:r w:rsidRPr="00E15C32">
        <w:rPr>
          <w:noProof/>
          <w:lang w:val="en-AU" w:eastAsia="en-AU"/>
        </w:rPr>
        <w:drawing>
          <wp:inline distT="0" distB="0" distL="0" distR="0" wp14:anchorId="6EBBD3EC" wp14:editId="36BDE9BD">
            <wp:extent cx="5362575" cy="3114675"/>
            <wp:effectExtent l="0" t="0" r="0" b="0"/>
            <wp:docPr id="106" name="Picture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5362575" cy="3114675"/>
                    </a:xfrm>
                    <a:prstGeom prst="rect">
                      <a:avLst/>
                    </a:prstGeom>
                    <a:noFill/>
                    <a:ln>
                      <a:noFill/>
                    </a:ln>
                  </pic:spPr>
                </pic:pic>
              </a:graphicData>
            </a:graphic>
          </wp:inline>
        </w:drawing>
      </w:r>
      <w:r w:rsidR="004D7C83">
        <w:br/>
      </w:r>
    </w:p>
    <w:p w:rsidR="00B873A7" w:rsidRDefault="00B873A7" w:rsidP="004D7C83">
      <w:r w:rsidRPr="002D2F9B">
        <w:fldChar w:fldCharType="begin"/>
      </w:r>
      <w:r w:rsidRPr="002571CA">
        <w:instrText xml:space="preserve"> REF _Ref378547991 \h </w:instrText>
      </w:r>
      <w:r w:rsidRPr="002D2F9B">
        <w:fldChar w:fldCharType="separate"/>
      </w:r>
      <w:r w:rsidR="00A87B65">
        <w:t>Figure </w:t>
      </w:r>
      <w:r w:rsidR="00A87B65">
        <w:rPr>
          <w:noProof/>
        </w:rPr>
        <w:t>4</w:t>
      </w:r>
      <w:r w:rsidR="00A87B65">
        <w:t>.</w:t>
      </w:r>
      <w:r w:rsidR="00A87B65">
        <w:rPr>
          <w:noProof/>
        </w:rPr>
        <w:t>52</w:t>
      </w:r>
      <w:r w:rsidRPr="002D2F9B">
        <w:fldChar w:fldCharType="end"/>
      </w:r>
      <w:r>
        <w:t xml:space="preserve"> shows that increasing the proportion of data traffic in the busy hour has a moderate impact on the number of 4G sites required: </w:t>
      </w:r>
      <w:r w:rsidR="00162304">
        <w:t xml:space="preserve">in the base case </w:t>
      </w:r>
      <w:r>
        <w:t xml:space="preserve">the number of sites needed in 2020 is increased by </w:t>
      </w:r>
      <w:r w:rsidR="004B05B1">
        <w:t>4</w:t>
      </w:r>
      <w:r>
        <w:t xml:space="preserve">% and in 2025 by </w:t>
      </w:r>
      <w:r w:rsidR="004B05B1">
        <w:t>6</w:t>
      </w:r>
      <w:r>
        <w:t>%.</w:t>
      </w:r>
      <w:r w:rsidR="00162304">
        <w:t xml:space="preserve"> If we assume higher levels of traffic than in the base case, the number of sites needed in 2020 is increased by 7–9% and in 2025 by 10–11%.</w:t>
      </w:r>
    </w:p>
    <w:p w:rsidR="00B873A7" w:rsidRPr="00535269" w:rsidRDefault="00B873A7" w:rsidP="00B873A7">
      <w:pPr>
        <w:pStyle w:val="Caption"/>
      </w:pPr>
      <w:bookmarkStart w:id="179" w:name="_Ref378547991"/>
      <w:r>
        <w:t>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fldSimple w:instr=" SEQ Figure \* ARABIC \s 1 \* MERGEFORMAT ">
        <w:r w:rsidR="00A87B65">
          <w:rPr>
            <w:noProof/>
          </w:rPr>
          <w:t>52</w:t>
        </w:r>
      </w:fldSimple>
      <w:bookmarkEnd w:id="179"/>
      <w:r>
        <w:t xml:space="preserve">: Effect of assuming </w:t>
      </w:r>
      <w:r w:rsidR="004B05B1">
        <w:t>11% of data traffic in the busy hour</w:t>
      </w:r>
      <w:r>
        <w:t xml:space="preserve"> on number of 4G sites required with varying assumptions about traffic levels [Source: Analysys Mason, 2014]</w:t>
      </w:r>
    </w:p>
    <w:tbl>
      <w:tblPr>
        <w:tblStyle w:val="MediumShading2-Accent1"/>
        <w:tblW w:w="8732" w:type="dxa"/>
        <w:tblInd w:w="108" w:type="dxa"/>
        <w:tblLayout w:type="fixed"/>
        <w:tblLook w:val="0420" w:firstRow="1" w:lastRow="0" w:firstColumn="0" w:lastColumn="0" w:noHBand="0" w:noVBand="1"/>
      </w:tblPr>
      <w:tblGrid>
        <w:gridCol w:w="728"/>
        <w:gridCol w:w="890"/>
        <w:gridCol w:w="890"/>
        <w:gridCol w:w="889"/>
        <w:gridCol w:w="889"/>
        <w:gridCol w:w="889"/>
        <w:gridCol w:w="889"/>
        <w:gridCol w:w="889"/>
        <w:gridCol w:w="889"/>
        <w:gridCol w:w="890"/>
      </w:tblGrid>
      <w:tr w:rsidR="00B873A7" w:rsidRPr="00A42B4A" w:rsidTr="00EE4CCC">
        <w:trPr>
          <w:cnfStyle w:val="100000000000" w:firstRow="1" w:lastRow="0" w:firstColumn="0" w:lastColumn="0" w:oddVBand="0" w:evenVBand="0" w:oddHBand="0" w:evenHBand="0" w:firstRowFirstColumn="0" w:firstRowLastColumn="0" w:lastRowFirstColumn="0" w:lastRowLastColumn="0"/>
        </w:trPr>
        <w:tc>
          <w:tcPr>
            <w:tcW w:w="728" w:type="dxa"/>
            <w:tcBorders>
              <w:top w:val="single" w:sz="18" w:space="0" w:color="221F72"/>
              <w:bottom w:val="single" w:sz="6" w:space="0" w:color="FFFFFF" w:themeColor="background1"/>
            </w:tcBorders>
            <w:shd w:val="solid" w:color="221F72" w:fill="221F72"/>
          </w:tcPr>
          <w:p w:rsidR="00B873A7" w:rsidRPr="00A42B4A" w:rsidRDefault="00B873A7" w:rsidP="00841EA0">
            <w:pPr>
              <w:pStyle w:val="Tableheading"/>
              <w:spacing w:before="20" w:after="20"/>
              <w:rPr>
                <w:b/>
                <w:i/>
              </w:rPr>
            </w:pPr>
          </w:p>
        </w:tc>
        <w:tc>
          <w:tcPr>
            <w:tcW w:w="2669" w:type="dxa"/>
            <w:gridSpan w:val="3"/>
            <w:tcBorders>
              <w:top w:val="single" w:sz="18" w:space="0" w:color="221F72"/>
              <w:bottom w:val="single" w:sz="6" w:space="0" w:color="FFFFFF" w:themeColor="background1"/>
            </w:tcBorders>
            <w:shd w:val="solid" w:color="221F72" w:fill="221F72"/>
          </w:tcPr>
          <w:p w:rsidR="00B873A7" w:rsidRPr="004A1D72" w:rsidRDefault="00B873A7" w:rsidP="00841EA0">
            <w:pPr>
              <w:pStyle w:val="Tableheading"/>
              <w:spacing w:before="20" w:after="20"/>
              <w:jc w:val="center"/>
              <w:rPr>
                <w:b/>
                <w:i/>
              </w:rPr>
            </w:pPr>
            <w:r w:rsidRPr="004A1D72">
              <w:rPr>
                <w:b/>
              </w:rPr>
              <w:t>Baseline traffic in the BH</w:t>
            </w:r>
          </w:p>
        </w:tc>
        <w:tc>
          <w:tcPr>
            <w:tcW w:w="2667" w:type="dxa"/>
            <w:gridSpan w:val="3"/>
            <w:tcBorders>
              <w:top w:val="single" w:sz="18" w:space="0" w:color="221F72"/>
              <w:bottom w:val="single" w:sz="6" w:space="0" w:color="FFFFFF" w:themeColor="background1"/>
            </w:tcBorders>
            <w:shd w:val="solid" w:color="221F72" w:fill="221F72"/>
          </w:tcPr>
          <w:p w:rsidR="00B873A7" w:rsidRPr="004A1D72" w:rsidRDefault="00B873A7" w:rsidP="00841EA0">
            <w:pPr>
              <w:pStyle w:val="Tableheading"/>
              <w:spacing w:before="20" w:after="20"/>
              <w:jc w:val="center"/>
              <w:rPr>
                <w:b/>
                <w:i/>
              </w:rPr>
            </w:pPr>
            <w:r w:rsidRPr="004A1D72">
              <w:rPr>
                <w:b/>
              </w:rPr>
              <w:t>Additional traffic in the BH</w:t>
            </w:r>
          </w:p>
        </w:tc>
        <w:tc>
          <w:tcPr>
            <w:tcW w:w="2668" w:type="dxa"/>
            <w:gridSpan w:val="3"/>
            <w:tcBorders>
              <w:top w:val="single" w:sz="18" w:space="0" w:color="221F72"/>
              <w:bottom w:val="single" w:sz="6" w:space="0" w:color="FFFFFF" w:themeColor="background1"/>
            </w:tcBorders>
            <w:shd w:val="solid" w:color="221F72" w:fill="221F72"/>
          </w:tcPr>
          <w:p w:rsidR="00B873A7" w:rsidRPr="004A1D72" w:rsidRDefault="00FB3D90" w:rsidP="00841EA0">
            <w:pPr>
              <w:pStyle w:val="Tableheading"/>
              <w:spacing w:before="20" w:after="20"/>
              <w:jc w:val="center"/>
              <w:rPr>
                <w:b/>
                <w:i/>
              </w:rPr>
            </w:pPr>
            <w:r>
              <w:rPr>
                <w:b/>
              </w:rPr>
              <w:t>Difference</w:t>
            </w:r>
          </w:p>
        </w:tc>
      </w:tr>
      <w:tr w:rsidR="00B873A7" w:rsidRPr="00A42B4A" w:rsidTr="00EE4CCC">
        <w:trPr>
          <w:cnfStyle w:val="000000100000" w:firstRow="0" w:lastRow="0" w:firstColumn="0" w:lastColumn="0" w:oddVBand="0" w:evenVBand="0" w:oddHBand="1" w:evenHBand="0" w:firstRowFirstColumn="0" w:firstRowLastColumn="0" w:lastRowFirstColumn="0" w:lastRowLastColumn="0"/>
        </w:trPr>
        <w:tc>
          <w:tcPr>
            <w:tcW w:w="728" w:type="dxa"/>
            <w:tcBorders>
              <w:top w:val="single" w:sz="6" w:space="0" w:color="FFFFFF" w:themeColor="background1"/>
              <w:bottom w:val="single" w:sz="4" w:space="0" w:color="FFFFFF" w:themeColor="background1"/>
            </w:tcBorders>
            <w:shd w:val="solid" w:color="221F72" w:fill="221F72"/>
          </w:tcPr>
          <w:p w:rsidR="00B873A7" w:rsidRPr="00A42B4A" w:rsidRDefault="00B873A7" w:rsidP="00841EA0">
            <w:pPr>
              <w:pStyle w:val="Tableheading"/>
              <w:spacing w:before="20" w:after="20"/>
              <w:rPr>
                <w:i/>
              </w:rPr>
            </w:pPr>
          </w:p>
        </w:tc>
        <w:tc>
          <w:tcPr>
            <w:tcW w:w="890" w:type="dxa"/>
            <w:tcBorders>
              <w:top w:val="single" w:sz="6" w:space="0" w:color="FFFFFF" w:themeColor="background1"/>
              <w:bottom w:val="single" w:sz="4" w:space="0" w:color="FFFFFF" w:themeColor="background1"/>
            </w:tcBorders>
            <w:shd w:val="solid" w:color="221F72" w:fill="221F72"/>
          </w:tcPr>
          <w:p w:rsidR="00B873A7" w:rsidRPr="00A42B4A" w:rsidRDefault="00B873A7" w:rsidP="0091513F">
            <w:pPr>
              <w:pStyle w:val="Tableheading"/>
              <w:spacing w:before="20" w:after="20"/>
              <w:jc w:val="center"/>
              <w:rPr>
                <w:i/>
                <w:sz w:val="16"/>
              </w:rPr>
            </w:pPr>
            <w:r w:rsidRPr="00A42B4A">
              <w:rPr>
                <w:sz w:val="16"/>
              </w:rPr>
              <w:t>Base traffic</w:t>
            </w:r>
          </w:p>
        </w:tc>
        <w:tc>
          <w:tcPr>
            <w:tcW w:w="890" w:type="dxa"/>
            <w:tcBorders>
              <w:top w:val="single" w:sz="6" w:space="0" w:color="FFFFFF" w:themeColor="background1"/>
              <w:bottom w:val="single" w:sz="4" w:space="0" w:color="FFFFFF" w:themeColor="background1"/>
            </w:tcBorders>
            <w:shd w:val="solid" w:color="221F72" w:fill="221F72"/>
          </w:tcPr>
          <w:p w:rsidR="00B873A7" w:rsidRPr="00A42B4A" w:rsidRDefault="00B873A7" w:rsidP="0091513F">
            <w:pPr>
              <w:pStyle w:val="Tableheading"/>
              <w:spacing w:before="20" w:after="20"/>
              <w:jc w:val="center"/>
              <w:rPr>
                <w:i/>
              </w:rPr>
            </w:pPr>
            <w:r w:rsidRPr="00A42B4A">
              <w:rPr>
                <w:sz w:val="16"/>
              </w:rPr>
              <w:t>+50%</w:t>
            </w:r>
            <w:r w:rsidRPr="00A42B4A">
              <w:rPr>
                <w:sz w:val="16"/>
              </w:rPr>
              <w:br/>
              <w:t>in 2020</w:t>
            </w:r>
          </w:p>
        </w:tc>
        <w:tc>
          <w:tcPr>
            <w:tcW w:w="889" w:type="dxa"/>
            <w:tcBorders>
              <w:top w:val="single" w:sz="6" w:space="0" w:color="FFFFFF" w:themeColor="background1"/>
              <w:bottom w:val="single" w:sz="4" w:space="0" w:color="FFFFFF" w:themeColor="background1"/>
            </w:tcBorders>
            <w:shd w:val="solid" w:color="221F72" w:fill="221F72"/>
          </w:tcPr>
          <w:p w:rsidR="00B873A7" w:rsidRPr="00A42B4A" w:rsidRDefault="00B873A7" w:rsidP="0091513F">
            <w:pPr>
              <w:pStyle w:val="Tableheading"/>
              <w:spacing w:before="20" w:after="20"/>
              <w:jc w:val="center"/>
              <w:rPr>
                <w:i/>
                <w:sz w:val="16"/>
              </w:rPr>
            </w:pPr>
            <w:r w:rsidRPr="00A42B4A">
              <w:rPr>
                <w:sz w:val="16"/>
              </w:rPr>
              <w:t>+100%</w:t>
            </w:r>
            <w:r w:rsidRPr="00A42B4A">
              <w:rPr>
                <w:sz w:val="16"/>
              </w:rPr>
              <w:br/>
              <w:t>in 2020</w:t>
            </w:r>
          </w:p>
        </w:tc>
        <w:tc>
          <w:tcPr>
            <w:tcW w:w="889" w:type="dxa"/>
            <w:tcBorders>
              <w:top w:val="single" w:sz="6" w:space="0" w:color="FFFFFF" w:themeColor="background1"/>
              <w:bottom w:val="single" w:sz="4" w:space="0" w:color="FFFFFF" w:themeColor="background1"/>
            </w:tcBorders>
            <w:shd w:val="solid" w:color="221F72" w:fill="221F72"/>
          </w:tcPr>
          <w:p w:rsidR="00B873A7" w:rsidRPr="00A42B4A" w:rsidRDefault="00B873A7" w:rsidP="0091513F">
            <w:pPr>
              <w:pStyle w:val="Tableheading"/>
              <w:spacing w:before="20" w:after="20"/>
              <w:jc w:val="center"/>
              <w:rPr>
                <w:i/>
                <w:sz w:val="16"/>
              </w:rPr>
            </w:pPr>
            <w:r w:rsidRPr="00A42B4A">
              <w:rPr>
                <w:sz w:val="16"/>
              </w:rPr>
              <w:t>Base traffic</w:t>
            </w:r>
          </w:p>
        </w:tc>
        <w:tc>
          <w:tcPr>
            <w:tcW w:w="889" w:type="dxa"/>
            <w:tcBorders>
              <w:top w:val="single" w:sz="6" w:space="0" w:color="FFFFFF" w:themeColor="background1"/>
              <w:bottom w:val="single" w:sz="4" w:space="0" w:color="FFFFFF" w:themeColor="background1"/>
            </w:tcBorders>
            <w:shd w:val="solid" w:color="221F72" w:fill="221F72"/>
          </w:tcPr>
          <w:p w:rsidR="00B873A7" w:rsidRPr="00A42B4A" w:rsidRDefault="00B873A7" w:rsidP="0091513F">
            <w:pPr>
              <w:pStyle w:val="Tableheading"/>
              <w:spacing w:before="20" w:after="20"/>
              <w:jc w:val="center"/>
              <w:rPr>
                <w:i/>
                <w:sz w:val="16"/>
              </w:rPr>
            </w:pPr>
            <w:r w:rsidRPr="00A42B4A">
              <w:rPr>
                <w:sz w:val="16"/>
              </w:rPr>
              <w:t>+50%</w:t>
            </w:r>
            <w:r w:rsidRPr="00A42B4A">
              <w:rPr>
                <w:sz w:val="16"/>
              </w:rPr>
              <w:br/>
              <w:t>in 2020</w:t>
            </w:r>
          </w:p>
        </w:tc>
        <w:tc>
          <w:tcPr>
            <w:tcW w:w="889" w:type="dxa"/>
            <w:tcBorders>
              <w:top w:val="single" w:sz="6" w:space="0" w:color="FFFFFF" w:themeColor="background1"/>
              <w:bottom w:val="single" w:sz="4" w:space="0" w:color="FFFFFF" w:themeColor="background1"/>
            </w:tcBorders>
            <w:shd w:val="solid" w:color="221F72" w:fill="221F72"/>
          </w:tcPr>
          <w:p w:rsidR="00B873A7" w:rsidRPr="00A42B4A" w:rsidRDefault="00B873A7" w:rsidP="0091513F">
            <w:pPr>
              <w:pStyle w:val="Tableheading"/>
              <w:spacing w:before="20" w:after="20"/>
              <w:jc w:val="center"/>
              <w:rPr>
                <w:i/>
                <w:sz w:val="16"/>
              </w:rPr>
            </w:pPr>
            <w:r w:rsidRPr="00A42B4A">
              <w:rPr>
                <w:sz w:val="16"/>
              </w:rPr>
              <w:t>+100%</w:t>
            </w:r>
            <w:r w:rsidRPr="00A42B4A">
              <w:rPr>
                <w:sz w:val="16"/>
              </w:rPr>
              <w:br/>
              <w:t>in 2020</w:t>
            </w:r>
          </w:p>
        </w:tc>
        <w:tc>
          <w:tcPr>
            <w:tcW w:w="889" w:type="dxa"/>
            <w:tcBorders>
              <w:top w:val="single" w:sz="6" w:space="0" w:color="FFFFFF" w:themeColor="background1"/>
              <w:bottom w:val="single" w:sz="4" w:space="0" w:color="FFFFFF" w:themeColor="background1"/>
            </w:tcBorders>
            <w:shd w:val="solid" w:color="221F72" w:fill="221F72"/>
          </w:tcPr>
          <w:p w:rsidR="00B873A7" w:rsidRPr="00A42B4A" w:rsidRDefault="00B873A7" w:rsidP="0091513F">
            <w:pPr>
              <w:pStyle w:val="Tableheading"/>
              <w:spacing w:before="20" w:after="20"/>
              <w:jc w:val="center"/>
              <w:rPr>
                <w:i/>
                <w:sz w:val="16"/>
              </w:rPr>
            </w:pPr>
            <w:r w:rsidRPr="00A42B4A">
              <w:rPr>
                <w:sz w:val="16"/>
              </w:rPr>
              <w:t>Base traffic</w:t>
            </w:r>
          </w:p>
        </w:tc>
        <w:tc>
          <w:tcPr>
            <w:tcW w:w="889" w:type="dxa"/>
            <w:tcBorders>
              <w:top w:val="single" w:sz="6" w:space="0" w:color="FFFFFF" w:themeColor="background1"/>
              <w:bottom w:val="single" w:sz="4" w:space="0" w:color="FFFFFF" w:themeColor="background1"/>
            </w:tcBorders>
            <w:shd w:val="solid" w:color="221F72" w:fill="221F72"/>
          </w:tcPr>
          <w:p w:rsidR="00B873A7" w:rsidRPr="00A42B4A" w:rsidRDefault="00B873A7" w:rsidP="0091513F">
            <w:pPr>
              <w:pStyle w:val="Tableheading"/>
              <w:spacing w:before="20" w:after="20"/>
              <w:jc w:val="center"/>
              <w:rPr>
                <w:i/>
                <w:sz w:val="16"/>
              </w:rPr>
            </w:pPr>
            <w:r w:rsidRPr="00A42B4A">
              <w:rPr>
                <w:sz w:val="16"/>
              </w:rPr>
              <w:t>+50%</w:t>
            </w:r>
            <w:r w:rsidRPr="00A42B4A">
              <w:rPr>
                <w:sz w:val="16"/>
              </w:rPr>
              <w:br/>
              <w:t>in 2020</w:t>
            </w:r>
          </w:p>
        </w:tc>
        <w:tc>
          <w:tcPr>
            <w:tcW w:w="890" w:type="dxa"/>
            <w:tcBorders>
              <w:top w:val="single" w:sz="6" w:space="0" w:color="FFFFFF" w:themeColor="background1"/>
              <w:bottom w:val="single" w:sz="4" w:space="0" w:color="FFFFFF" w:themeColor="background1"/>
            </w:tcBorders>
            <w:shd w:val="solid" w:color="221F72" w:fill="221F72"/>
          </w:tcPr>
          <w:p w:rsidR="00B873A7" w:rsidRPr="00A42B4A" w:rsidRDefault="00B873A7" w:rsidP="0091513F">
            <w:pPr>
              <w:pStyle w:val="Tableheading"/>
              <w:spacing w:before="20" w:after="20"/>
              <w:jc w:val="center"/>
              <w:rPr>
                <w:i/>
                <w:sz w:val="16"/>
              </w:rPr>
            </w:pPr>
            <w:r w:rsidRPr="00A42B4A">
              <w:rPr>
                <w:sz w:val="16"/>
              </w:rPr>
              <w:t>+100%</w:t>
            </w:r>
            <w:r w:rsidRPr="00A42B4A">
              <w:rPr>
                <w:sz w:val="16"/>
              </w:rPr>
              <w:br/>
              <w:t>in 2020</w:t>
            </w:r>
          </w:p>
        </w:tc>
      </w:tr>
      <w:tr w:rsidR="004B05B1" w:rsidTr="00EE4CCC">
        <w:tc>
          <w:tcPr>
            <w:tcW w:w="728" w:type="dxa"/>
            <w:tcBorders>
              <w:top w:val="single" w:sz="4" w:space="0" w:color="FFFFFF" w:themeColor="background1"/>
            </w:tcBorders>
          </w:tcPr>
          <w:p w:rsidR="004B05B1" w:rsidRDefault="004B05B1" w:rsidP="00841EA0">
            <w:pPr>
              <w:pStyle w:val="Tablecells"/>
              <w:ind w:right="0"/>
            </w:pPr>
            <w:r>
              <w:t>2020</w:t>
            </w:r>
          </w:p>
        </w:tc>
        <w:tc>
          <w:tcPr>
            <w:tcW w:w="890" w:type="dxa"/>
            <w:tcBorders>
              <w:top w:val="single" w:sz="4" w:space="0" w:color="FFFFFF" w:themeColor="background1"/>
            </w:tcBorders>
          </w:tcPr>
          <w:p w:rsidR="004B05B1" w:rsidRPr="00C25006" w:rsidRDefault="004B05B1" w:rsidP="004B05B1">
            <w:pPr>
              <w:pStyle w:val="Tablecells"/>
              <w:ind w:right="0"/>
            </w:pPr>
            <w:r w:rsidRPr="00C25006">
              <w:t xml:space="preserve">19,662 </w:t>
            </w:r>
          </w:p>
        </w:tc>
        <w:tc>
          <w:tcPr>
            <w:tcW w:w="890" w:type="dxa"/>
            <w:tcBorders>
              <w:top w:val="single" w:sz="4" w:space="0" w:color="FFFFFF" w:themeColor="background1"/>
            </w:tcBorders>
          </w:tcPr>
          <w:p w:rsidR="004B05B1" w:rsidRPr="00C25006" w:rsidRDefault="004B05B1" w:rsidP="004B05B1">
            <w:pPr>
              <w:pStyle w:val="Tablecells"/>
              <w:ind w:right="0"/>
            </w:pPr>
            <w:r w:rsidRPr="00C25006">
              <w:t xml:space="preserve">20,661 </w:t>
            </w:r>
          </w:p>
        </w:tc>
        <w:tc>
          <w:tcPr>
            <w:tcW w:w="889" w:type="dxa"/>
            <w:tcBorders>
              <w:top w:val="single" w:sz="4" w:space="0" w:color="FFFFFF" w:themeColor="background1"/>
            </w:tcBorders>
          </w:tcPr>
          <w:p w:rsidR="004B05B1" w:rsidRPr="00C25006" w:rsidRDefault="004B05B1" w:rsidP="004B05B1">
            <w:pPr>
              <w:pStyle w:val="Tablecells"/>
              <w:ind w:right="0"/>
            </w:pPr>
            <w:r w:rsidRPr="00C25006">
              <w:t xml:space="preserve">21,891 </w:t>
            </w:r>
          </w:p>
        </w:tc>
        <w:tc>
          <w:tcPr>
            <w:tcW w:w="889" w:type="dxa"/>
            <w:tcBorders>
              <w:top w:val="single" w:sz="4" w:space="0" w:color="FFFFFF" w:themeColor="background1"/>
            </w:tcBorders>
          </w:tcPr>
          <w:p w:rsidR="004B05B1" w:rsidRPr="00F03524" w:rsidRDefault="004B05B1" w:rsidP="004B05B1">
            <w:pPr>
              <w:pStyle w:val="Tablecells"/>
              <w:ind w:right="0"/>
            </w:pPr>
            <w:r w:rsidRPr="00F03524">
              <w:t xml:space="preserve">20,402 </w:t>
            </w:r>
          </w:p>
        </w:tc>
        <w:tc>
          <w:tcPr>
            <w:tcW w:w="889" w:type="dxa"/>
            <w:tcBorders>
              <w:top w:val="single" w:sz="4" w:space="0" w:color="FFFFFF" w:themeColor="background1"/>
            </w:tcBorders>
          </w:tcPr>
          <w:p w:rsidR="004B05B1" w:rsidRPr="00F03524" w:rsidRDefault="004B05B1" w:rsidP="004B05B1">
            <w:pPr>
              <w:pStyle w:val="Tablecells"/>
              <w:ind w:right="0"/>
            </w:pPr>
            <w:r w:rsidRPr="00F03524">
              <w:t xml:space="preserve">22,075 </w:t>
            </w:r>
          </w:p>
        </w:tc>
        <w:tc>
          <w:tcPr>
            <w:tcW w:w="889" w:type="dxa"/>
            <w:tcBorders>
              <w:top w:val="single" w:sz="4" w:space="0" w:color="FFFFFF" w:themeColor="background1"/>
            </w:tcBorders>
          </w:tcPr>
          <w:p w:rsidR="004B05B1" w:rsidRDefault="004B05B1" w:rsidP="004B05B1">
            <w:pPr>
              <w:pStyle w:val="Tablecells"/>
              <w:ind w:right="0"/>
            </w:pPr>
            <w:r w:rsidRPr="00F03524">
              <w:t xml:space="preserve">23,844 </w:t>
            </w:r>
          </w:p>
        </w:tc>
        <w:tc>
          <w:tcPr>
            <w:tcW w:w="889" w:type="dxa"/>
            <w:tcBorders>
              <w:top w:val="single" w:sz="4" w:space="0" w:color="FFFFFF" w:themeColor="background1"/>
            </w:tcBorders>
          </w:tcPr>
          <w:p w:rsidR="004B05B1" w:rsidRDefault="004B05B1" w:rsidP="004B05B1">
            <w:pPr>
              <w:pStyle w:val="Tablecells"/>
              <w:jc w:val="right"/>
            </w:pPr>
            <w:r>
              <w:t>740</w:t>
            </w:r>
            <w:r>
              <w:br/>
              <w:t>4%</w:t>
            </w:r>
          </w:p>
        </w:tc>
        <w:tc>
          <w:tcPr>
            <w:tcW w:w="889" w:type="dxa"/>
            <w:tcBorders>
              <w:top w:val="single" w:sz="4" w:space="0" w:color="FFFFFF" w:themeColor="background1"/>
            </w:tcBorders>
          </w:tcPr>
          <w:p w:rsidR="004B05B1" w:rsidRDefault="004B05B1" w:rsidP="004B05B1">
            <w:pPr>
              <w:pStyle w:val="Tablecells"/>
              <w:jc w:val="right"/>
            </w:pPr>
            <w:r>
              <w:t>1,414</w:t>
            </w:r>
            <w:r>
              <w:br/>
              <w:t>7%</w:t>
            </w:r>
          </w:p>
        </w:tc>
        <w:tc>
          <w:tcPr>
            <w:tcW w:w="890" w:type="dxa"/>
            <w:tcBorders>
              <w:top w:val="single" w:sz="4" w:space="0" w:color="FFFFFF" w:themeColor="background1"/>
            </w:tcBorders>
          </w:tcPr>
          <w:p w:rsidR="004B05B1" w:rsidRDefault="004B05B1" w:rsidP="00841EA0">
            <w:pPr>
              <w:pStyle w:val="Tablecells"/>
              <w:jc w:val="right"/>
            </w:pPr>
            <w:r>
              <w:t>1,953</w:t>
            </w:r>
            <w:r>
              <w:br/>
              <w:t>9%</w:t>
            </w:r>
          </w:p>
        </w:tc>
      </w:tr>
      <w:tr w:rsidR="004B05B1" w:rsidTr="00841EA0">
        <w:trPr>
          <w:cnfStyle w:val="000000100000" w:firstRow="0" w:lastRow="0" w:firstColumn="0" w:lastColumn="0" w:oddVBand="0" w:evenVBand="0" w:oddHBand="1" w:evenHBand="0" w:firstRowFirstColumn="0" w:firstRowLastColumn="0" w:lastRowFirstColumn="0" w:lastRowLastColumn="0"/>
        </w:trPr>
        <w:tc>
          <w:tcPr>
            <w:tcW w:w="728" w:type="dxa"/>
            <w:tcBorders>
              <w:top w:val="nil"/>
              <w:bottom w:val="single" w:sz="4" w:space="0" w:color="808080"/>
            </w:tcBorders>
          </w:tcPr>
          <w:p w:rsidR="004B05B1" w:rsidRDefault="004B05B1" w:rsidP="00841EA0">
            <w:pPr>
              <w:pStyle w:val="Tablecells"/>
              <w:ind w:right="0"/>
            </w:pPr>
            <w:r>
              <w:t>2025</w:t>
            </w:r>
          </w:p>
        </w:tc>
        <w:tc>
          <w:tcPr>
            <w:tcW w:w="890" w:type="dxa"/>
            <w:tcBorders>
              <w:top w:val="nil"/>
              <w:bottom w:val="single" w:sz="4" w:space="0" w:color="808080"/>
            </w:tcBorders>
          </w:tcPr>
          <w:p w:rsidR="004B05B1" w:rsidRPr="00C25006" w:rsidRDefault="004B05B1" w:rsidP="004B05B1">
            <w:pPr>
              <w:pStyle w:val="Tablecells"/>
              <w:ind w:right="0"/>
            </w:pPr>
            <w:r w:rsidRPr="00C25006">
              <w:t xml:space="preserve">20,312 </w:t>
            </w:r>
          </w:p>
        </w:tc>
        <w:tc>
          <w:tcPr>
            <w:tcW w:w="890" w:type="dxa"/>
            <w:tcBorders>
              <w:top w:val="nil"/>
              <w:bottom w:val="single" w:sz="4" w:space="0" w:color="808080"/>
            </w:tcBorders>
          </w:tcPr>
          <w:p w:rsidR="004B05B1" w:rsidRPr="00C25006" w:rsidRDefault="004B05B1" w:rsidP="004B05B1">
            <w:pPr>
              <w:pStyle w:val="Tablecells"/>
              <w:ind w:right="0"/>
            </w:pPr>
            <w:r w:rsidRPr="00C25006">
              <w:t xml:space="preserve">22,204 </w:t>
            </w:r>
          </w:p>
        </w:tc>
        <w:tc>
          <w:tcPr>
            <w:tcW w:w="889" w:type="dxa"/>
            <w:tcBorders>
              <w:top w:val="nil"/>
              <w:bottom w:val="single" w:sz="4" w:space="0" w:color="808080"/>
            </w:tcBorders>
          </w:tcPr>
          <w:p w:rsidR="004B05B1" w:rsidRDefault="004B05B1" w:rsidP="004B05B1">
            <w:pPr>
              <w:pStyle w:val="Tablecells"/>
              <w:ind w:right="0"/>
            </w:pPr>
            <w:r w:rsidRPr="00C25006">
              <w:t xml:space="preserve">24,257 </w:t>
            </w:r>
          </w:p>
        </w:tc>
        <w:tc>
          <w:tcPr>
            <w:tcW w:w="889" w:type="dxa"/>
            <w:tcBorders>
              <w:top w:val="nil"/>
              <w:bottom w:val="single" w:sz="4" w:space="0" w:color="808080"/>
            </w:tcBorders>
          </w:tcPr>
          <w:p w:rsidR="004B05B1" w:rsidRPr="00E143EF" w:rsidRDefault="004B05B1" w:rsidP="004B05B1">
            <w:pPr>
              <w:pStyle w:val="Tablecells"/>
              <w:ind w:right="0"/>
            </w:pPr>
            <w:r w:rsidRPr="00E143EF">
              <w:t xml:space="preserve">21,527 </w:t>
            </w:r>
          </w:p>
        </w:tc>
        <w:tc>
          <w:tcPr>
            <w:tcW w:w="889" w:type="dxa"/>
            <w:tcBorders>
              <w:top w:val="nil"/>
              <w:bottom w:val="single" w:sz="4" w:space="0" w:color="808080"/>
            </w:tcBorders>
          </w:tcPr>
          <w:p w:rsidR="004B05B1" w:rsidRPr="00E143EF" w:rsidRDefault="004B05B1" w:rsidP="004B05B1">
            <w:pPr>
              <w:pStyle w:val="Tablecells"/>
              <w:ind w:right="0"/>
            </w:pPr>
            <w:r w:rsidRPr="00E143EF">
              <w:t xml:space="preserve">24,334 </w:t>
            </w:r>
          </w:p>
        </w:tc>
        <w:tc>
          <w:tcPr>
            <w:tcW w:w="889" w:type="dxa"/>
            <w:tcBorders>
              <w:top w:val="nil"/>
              <w:bottom w:val="single" w:sz="4" w:space="0" w:color="808080"/>
            </w:tcBorders>
          </w:tcPr>
          <w:p w:rsidR="004B05B1" w:rsidRDefault="004B05B1" w:rsidP="004B05B1">
            <w:pPr>
              <w:pStyle w:val="Tablecells"/>
              <w:ind w:right="0"/>
            </w:pPr>
            <w:r w:rsidRPr="00E143EF">
              <w:t xml:space="preserve">26,981 </w:t>
            </w:r>
          </w:p>
        </w:tc>
        <w:tc>
          <w:tcPr>
            <w:tcW w:w="889" w:type="dxa"/>
            <w:tcBorders>
              <w:top w:val="nil"/>
              <w:bottom w:val="single" w:sz="4" w:space="0" w:color="808080"/>
            </w:tcBorders>
          </w:tcPr>
          <w:p w:rsidR="004B05B1" w:rsidRDefault="004B05B1" w:rsidP="004B05B1">
            <w:pPr>
              <w:pStyle w:val="Tablecells"/>
              <w:jc w:val="right"/>
            </w:pPr>
            <w:r>
              <w:t>1,215</w:t>
            </w:r>
            <w:r>
              <w:br/>
              <w:t>6%</w:t>
            </w:r>
          </w:p>
        </w:tc>
        <w:tc>
          <w:tcPr>
            <w:tcW w:w="889" w:type="dxa"/>
            <w:tcBorders>
              <w:top w:val="nil"/>
              <w:bottom w:val="single" w:sz="4" w:space="0" w:color="808080"/>
            </w:tcBorders>
          </w:tcPr>
          <w:p w:rsidR="004B05B1" w:rsidRDefault="004B05B1" w:rsidP="004B05B1">
            <w:pPr>
              <w:pStyle w:val="Tablecells"/>
              <w:jc w:val="right"/>
            </w:pPr>
            <w:r>
              <w:t>2,130</w:t>
            </w:r>
            <w:r>
              <w:br/>
              <w:t>10%</w:t>
            </w:r>
          </w:p>
        </w:tc>
        <w:tc>
          <w:tcPr>
            <w:tcW w:w="890" w:type="dxa"/>
            <w:tcBorders>
              <w:top w:val="nil"/>
              <w:bottom w:val="single" w:sz="4" w:space="0" w:color="808080"/>
            </w:tcBorders>
          </w:tcPr>
          <w:p w:rsidR="004B05B1" w:rsidRDefault="004B05B1" w:rsidP="004B05B1">
            <w:pPr>
              <w:pStyle w:val="Tablecells"/>
              <w:jc w:val="right"/>
            </w:pPr>
            <w:r>
              <w:t>2,724</w:t>
            </w:r>
            <w:r>
              <w:br/>
              <w:t>11%</w:t>
            </w:r>
          </w:p>
        </w:tc>
      </w:tr>
    </w:tbl>
    <w:p w:rsidR="00B873A7" w:rsidRDefault="00B873A7" w:rsidP="00B873A7">
      <w:pPr>
        <w:pStyle w:val="Heading3"/>
        <w:tabs>
          <w:tab w:val="left" w:pos="142"/>
        </w:tabs>
        <w:ind w:hanging="567"/>
      </w:pPr>
      <w:r>
        <w:t>Reduced spectrum allocation</w:t>
      </w:r>
    </w:p>
    <w:p w:rsidR="00B873A7" w:rsidRDefault="00B873A7" w:rsidP="004B05B1">
      <w:r>
        <w:t>In this sensitivity, designed to illustrate the impact of the Digital Dividend Auction, we assume that the mobile operators have not been awarded any spectrum in the 700MHz or 2.5GHz spectrum band</w:t>
      </w:r>
      <w:r w:rsidR="004B05B1">
        <w:t xml:space="preserve"> and continue to use the 1800MHz band to provide 4G coverage instead.</w:t>
      </w:r>
      <w:r>
        <w:rPr>
          <w:rStyle w:val="FootnoteReference"/>
        </w:rPr>
        <w:footnoteReference w:id="47"/>
      </w:r>
    </w:p>
    <w:p w:rsidR="00B873A7" w:rsidRDefault="00B873A7" w:rsidP="00B873A7">
      <w:pPr>
        <w:spacing w:after="120"/>
      </w:pPr>
      <w:r>
        <w:t xml:space="preserve">The results are shown in </w:t>
      </w:r>
      <w:r w:rsidRPr="002D2F9B">
        <w:fldChar w:fldCharType="begin"/>
      </w:r>
      <w:r w:rsidRPr="002571CA">
        <w:instrText xml:space="preserve"> REF _Ref382903778 \h </w:instrText>
      </w:r>
      <w:r w:rsidRPr="002D2F9B">
        <w:fldChar w:fldCharType="separate"/>
      </w:r>
      <w:r w:rsidR="00A87B65" w:rsidRPr="00DD020E">
        <w:rPr>
          <w:spacing w:val="-4"/>
        </w:rPr>
        <w:t>Figure</w:t>
      </w:r>
      <w:r w:rsidR="00A87B65">
        <w:rPr>
          <w:spacing w:val="-4"/>
        </w:rPr>
        <w:t> </w:t>
      </w:r>
      <w:r w:rsidR="00A87B65">
        <w:rPr>
          <w:noProof/>
          <w:spacing w:val="-4"/>
        </w:rPr>
        <w:t>4</w:t>
      </w:r>
      <w:r w:rsidR="00A87B65" w:rsidRPr="00DD020E">
        <w:rPr>
          <w:spacing w:val="-4"/>
        </w:rPr>
        <w:t>.</w:t>
      </w:r>
      <w:r w:rsidR="00A87B65">
        <w:rPr>
          <w:noProof/>
          <w:spacing w:val="-4"/>
        </w:rPr>
        <w:t>53</w:t>
      </w:r>
      <w:r w:rsidRPr="002D2F9B">
        <w:fldChar w:fldCharType="end"/>
      </w:r>
      <w:r>
        <w:t>. The number of 4G sites increases very significantly (+</w:t>
      </w:r>
      <w:r w:rsidR="004B05B1">
        <w:t>67</w:t>
      </w:r>
      <w:r>
        <w:t>% in 2020 and +</w:t>
      </w:r>
      <w:r w:rsidR="004B05B1">
        <w:t>68</w:t>
      </w:r>
      <w:r>
        <w:t>% in 2025).</w:t>
      </w:r>
    </w:p>
    <w:p w:rsidR="00B873A7" w:rsidRPr="00DD020E" w:rsidRDefault="00B873A7" w:rsidP="00B873A7">
      <w:pPr>
        <w:pStyle w:val="Caption"/>
        <w:rPr>
          <w:spacing w:val="-4"/>
        </w:rPr>
      </w:pPr>
      <w:bookmarkStart w:id="180" w:name="_Ref382903778"/>
      <w:r w:rsidRPr="00DD020E">
        <w:rPr>
          <w:spacing w:val="-4"/>
        </w:rPr>
        <w:t>Figure</w:t>
      </w:r>
      <w:r>
        <w:rPr>
          <w:spacing w:val="-4"/>
        </w:rPr>
        <w:t> </w:t>
      </w:r>
      <w:r w:rsidRPr="00DD020E">
        <w:rPr>
          <w:spacing w:val="-4"/>
        </w:rPr>
        <w:fldChar w:fldCharType="begin"/>
      </w:r>
      <w:r w:rsidRPr="00DD020E">
        <w:rPr>
          <w:spacing w:val="-4"/>
        </w:rPr>
        <w:instrText xml:space="preserve"> STYLEREF 1 \s \* MERGEFORMAT </w:instrText>
      </w:r>
      <w:r w:rsidRPr="00DD020E">
        <w:rPr>
          <w:spacing w:val="-4"/>
        </w:rPr>
        <w:fldChar w:fldCharType="separate"/>
      </w:r>
      <w:r w:rsidR="00A87B65">
        <w:rPr>
          <w:noProof/>
          <w:spacing w:val="-4"/>
        </w:rPr>
        <w:t>4</w:t>
      </w:r>
      <w:r w:rsidRPr="00DD020E">
        <w:rPr>
          <w:noProof/>
          <w:spacing w:val="-4"/>
        </w:rPr>
        <w:fldChar w:fldCharType="end"/>
      </w:r>
      <w:r w:rsidRPr="00DD020E">
        <w:rPr>
          <w:spacing w:val="-4"/>
        </w:rPr>
        <w:t>.</w:t>
      </w:r>
      <w:r w:rsidRPr="00DD020E">
        <w:rPr>
          <w:spacing w:val="-4"/>
        </w:rPr>
        <w:fldChar w:fldCharType="begin"/>
      </w:r>
      <w:r w:rsidRPr="00DD020E">
        <w:rPr>
          <w:spacing w:val="-4"/>
        </w:rPr>
        <w:instrText xml:space="preserve"> SEQ Figure \* ARABIC \s 1 \* MERGEFORMAT </w:instrText>
      </w:r>
      <w:r w:rsidRPr="00DD020E">
        <w:rPr>
          <w:spacing w:val="-4"/>
        </w:rPr>
        <w:fldChar w:fldCharType="separate"/>
      </w:r>
      <w:r w:rsidR="00A87B65">
        <w:rPr>
          <w:noProof/>
          <w:spacing w:val="-4"/>
        </w:rPr>
        <w:t>53</w:t>
      </w:r>
      <w:r w:rsidRPr="00DD020E">
        <w:rPr>
          <w:noProof/>
          <w:spacing w:val="-4"/>
        </w:rPr>
        <w:fldChar w:fldCharType="end"/>
      </w:r>
      <w:bookmarkEnd w:id="180"/>
      <w:r w:rsidRPr="00DD020E">
        <w:rPr>
          <w:spacing w:val="-4"/>
        </w:rPr>
        <w:t xml:space="preserve">: Logical sites for all operators; </w:t>
      </w:r>
      <w:r>
        <w:rPr>
          <w:spacing w:val="-4"/>
        </w:rPr>
        <w:t xml:space="preserve">reduced spectrum allocation </w:t>
      </w:r>
      <w:r w:rsidRPr="00DD020E">
        <w:rPr>
          <w:spacing w:val="-4"/>
        </w:rPr>
        <w:t xml:space="preserve">[Source: Analysys Mason, </w:t>
      </w:r>
      <w:r>
        <w:rPr>
          <w:spacing w:val="-4"/>
        </w:rPr>
        <w:t>2014</w:t>
      </w:r>
      <w:r w:rsidRPr="00DD020E">
        <w:rPr>
          <w:spacing w:val="-4"/>
        </w:rPr>
        <w:t>]</w:t>
      </w:r>
      <w:r w:rsidR="00FB3D90">
        <w:rPr>
          <w:spacing w:val="-4"/>
        </w:rPr>
        <w:t>; note the different is different from the other results charts</w:t>
      </w:r>
    </w:p>
    <w:p w:rsidR="00B873A7" w:rsidRDefault="00FB3D90" w:rsidP="00FB3D90">
      <w:pPr>
        <w:jc w:val="center"/>
      </w:pPr>
      <w:r w:rsidRPr="00FB3D90">
        <w:rPr>
          <w:noProof/>
          <w:lang w:val="en-AU" w:eastAsia="en-AU"/>
        </w:rPr>
        <w:drawing>
          <wp:inline distT="0" distB="0" distL="0" distR="0" wp14:anchorId="2EBCCBCE" wp14:editId="1BE37701">
            <wp:extent cx="5362575" cy="3114675"/>
            <wp:effectExtent l="0" t="0" r="0" b="0"/>
            <wp:docPr id="107" name="Picture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5362575" cy="3114675"/>
                    </a:xfrm>
                    <a:prstGeom prst="rect">
                      <a:avLst/>
                    </a:prstGeom>
                    <a:noFill/>
                    <a:ln>
                      <a:noFill/>
                    </a:ln>
                  </pic:spPr>
                </pic:pic>
              </a:graphicData>
            </a:graphic>
          </wp:inline>
        </w:drawing>
      </w:r>
    </w:p>
    <w:p w:rsidR="00B873A7" w:rsidRDefault="00B873A7" w:rsidP="00B873A7">
      <w:pPr>
        <w:pStyle w:val="Heading3"/>
        <w:tabs>
          <w:tab w:val="left" w:pos="142"/>
        </w:tabs>
        <w:ind w:hanging="567"/>
      </w:pPr>
      <w:r>
        <w:t>Additional spectrum allocation</w:t>
      </w:r>
    </w:p>
    <w:p w:rsidR="00B873A7" w:rsidRPr="008630EB" w:rsidRDefault="00B873A7" w:rsidP="00B873A7">
      <w:pPr>
        <w:pStyle w:val="Heading4"/>
      </w:pPr>
      <w:r>
        <w:t>150MHz released in 2015</w:t>
      </w:r>
    </w:p>
    <w:p w:rsidR="00B873A7" w:rsidRDefault="00B873A7" w:rsidP="00B873A7">
      <w:pPr>
        <w:spacing w:after="120"/>
      </w:pPr>
      <w:r>
        <w:t>In this sensitivity, we assume that another 150MHz (2×25MHz of sub-</w:t>
      </w:r>
      <w:r w:rsidRPr="008630EB">
        <w:t>1GHz spectrum</w:t>
      </w:r>
      <w:r>
        <w:t xml:space="preserve"> and 2×50MHz of 1–6GHz spectrum) is released in 2015</w:t>
      </w:r>
      <w:r w:rsidR="00704CE5" w:rsidRPr="00704CE5">
        <w:t xml:space="preserve"> </w:t>
      </w:r>
      <w:r w:rsidR="00704CE5">
        <w:t>and used by the operators for 4G services</w:t>
      </w:r>
      <w:r>
        <w:t xml:space="preserve">. We assume that the extra spectrum is allocated to each of the three operators in proportion to their rounded national market share, i.e. 30% for Optus, 50% for Telstra and 20% for </w:t>
      </w:r>
      <w:r w:rsidR="00550C5F">
        <w:t>VHA</w:t>
      </w:r>
      <w:r>
        <w:t>.</w:t>
      </w:r>
      <w:r w:rsidR="00704CE5">
        <w:t xml:space="preserve"> </w:t>
      </w:r>
      <w:r>
        <w:t xml:space="preserve">The results are shown in </w:t>
      </w:r>
      <w:r w:rsidRPr="002D2F9B">
        <w:fldChar w:fldCharType="begin"/>
      </w:r>
      <w:r w:rsidRPr="002571CA">
        <w:instrText xml:space="preserve"> REF _Ref369187293 \h </w:instrText>
      </w:r>
      <w:r w:rsidRPr="002D2F9B">
        <w:fldChar w:fldCharType="separate"/>
      </w:r>
      <w:r w:rsidR="00A87B65" w:rsidRPr="00DD020E">
        <w:rPr>
          <w:spacing w:val="-4"/>
        </w:rPr>
        <w:t>Figure</w:t>
      </w:r>
      <w:r w:rsidR="00A87B65">
        <w:rPr>
          <w:spacing w:val="-4"/>
        </w:rPr>
        <w:t> </w:t>
      </w:r>
      <w:r w:rsidR="00A87B65">
        <w:rPr>
          <w:noProof/>
          <w:spacing w:val="-4"/>
        </w:rPr>
        <w:t>4</w:t>
      </w:r>
      <w:r w:rsidR="00A87B65" w:rsidRPr="00DD020E">
        <w:rPr>
          <w:spacing w:val="-4"/>
        </w:rPr>
        <w:t>.</w:t>
      </w:r>
      <w:r w:rsidR="00A87B65">
        <w:rPr>
          <w:noProof/>
          <w:spacing w:val="-4"/>
        </w:rPr>
        <w:t>54</w:t>
      </w:r>
      <w:r w:rsidRPr="002D2F9B">
        <w:fldChar w:fldCharType="end"/>
      </w:r>
      <w:r>
        <w:t xml:space="preserve">. </w:t>
      </w:r>
    </w:p>
    <w:p w:rsidR="00B873A7" w:rsidRPr="00DD020E" w:rsidRDefault="00B873A7" w:rsidP="004D7C83">
      <w:pPr>
        <w:pStyle w:val="Caption"/>
        <w:spacing w:after="120"/>
        <w:rPr>
          <w:spacing w:val="-4"/>
        </w:rPr>
      </w:pPr>
      <w:bookmarkStart w:id="181" w:name="_Ref369187293"/>
      <w:r w:rsidRPr="00DD020E">
        <w:rPr>
          <w:spacing w:val="-4"/>
        </w:rPr>
        <w:t>Figure</w:t>
      </w:r>
      <w:r>
        <w:rPr>
          <w:spacing w:val="-4"/>
        </w:rPr>
        <w:t> </w:t>
      </w:r>
      <w:r w:rsidRPr="00DD020E">
        <w:rPr>
          <w:spacing w:val="-4"/>
        </w:rPr>
        <w:fldChar w:fldCharType="begin"/>
      </w:r>
      <w:r w:rsidRPr="00DD020E">
        <w:rPr>
          <w:spacing w:val="-4"/>
        </w:rPr>
        <w:instrText xml:space="preserve"> STYLEREF 1 \s \* MERGEFORMAT </w:instrText>
      </w:r>
      <w:r w:rsidRPr="00DD020E">
        <w:rPr>
          <w:spacing w:val="-4"/>
        </w:rPr>
        <w:fldChar w:fldCharType="separate"/>
      </w:r>
      <w:r w:rsidR="00A87B65">
        <w:rPr>
          <w:noProof/>
          <w:spacing w:val="-4"/>
        </w:rPr>
        <w:t>4</w:t>
      </w:r>
      <w:r w:rsidRPr="00DD020E">
        <w:rPr>
          <w:noProof/>
          <w:spacing w:val="-4"/>
        </w:rPr>
        <w:fldChar w:fldCharType="end"/>
      </w:r>
      <w:r w:rsidRPr="00DD020E">
        <w:rPr>
          <w:spacing w:val="-4"/>
        </w:rPr>
        <w:t>.</w:t>
      </w:r>
      <w:r w:rsidRPr="00DD020E">
        <w:rPr>
          <w:spacing w:val="-4"/>
        </w:rPr>
        <w:fldChar w:fldCharType="begin"/>
      </w:r>
      <w:r w:rsidRPr="00DD020E">
        <w:rPr>
          <w:spacing w:val="-4"/>
        </w:rPr>
        <w:instrText xml:space="preserve"> SEQ Figure \* ARABIC \s 1 \* MERGEFORMAT </w:instrText>
      </w:r>
      <w:r w:rsidRPr="00DD020E">
        <w:rPr>
          <w:spacing w:val="-4"/>
        </w:rPr>
        <w:fldChar w:fldCharType="separate"/>
      </w:r>
      <w:r w:rsidR="00A87B65">
        <w:rPr>
          <w:noProof/>
          <w:spacing w:val="-4"/>
        </w:rPr>
        <w:t>54</w:t>
      </w:r>
      <w:r w:rsidRPr="00DD020E">
        <w:rPr>
          <w:noProof/>
          <w:spacing w:val="-4"/>
        </w:rPr>
        <w:fldChar w:fldCharType="end"/>
      </w:r>
      <w:bookmarkEnd w:id="181"/>
      <w:r w:rsidRPr="00DD020E">
        <w:rPr>
          <w:spacing w:val="-4"/>
        </w:rPr>
        <w:t>: Logical sites for all operators; additi</w:t>
      </w:r>
      <w:r>
        <w:rPr>
          <w:spacing w:val="-4"/>
        </w:rPr>
        <w:t>onal spectrum allocation, 150MHz released in 2015</w:t>
      </w:r>
      <w:r w:rsidRPr="00DD020E">
        <w:rPr>
          <w:spacing w:val="-4"/>
        </w:rPr>
        <w:t xml:space="preserve"> [Source: Analysys Mason, </w:t>
      </w:r>
      <w:r>
        <w:rPr>
          <w:spacing w:val="-4"/>
        </w:rPr>
        <w:t>2014</w:t>
      </w:r>
      <w:r w:rsidRPr="00DD020E">
        <w:rPr>
          <w:spacing w:val="-4"/>
        </w:rPr>
        <w:t>]</w:t>
      </w:r>
    </w:p>
    <w:p w:rsidR="00B873A7" w:rsidRDefault="00577827" w:rsidP="00577827">
      <w:pPr>
        <w:jc w:val="center"/>
      </w:pPr>
      <w:r w:rsidRPr="00577827">
        <w:rPr>
          <w:noProof/>
          <w:lang w:val="en-AU" w:eastAsia="en-AU"/>
        </w:rPr>
        <w:drawing>
          <wp:inline distT="0" distB="0" distL="0" distR="0" wp14:anchorId="00591AB0" wp14:editId="756183B0">
            <wp:extent cx="5362575" cy="3114675"/>
            <wp:effectExtent l="0" t="0" r="0" b="0"/>
            <wp:docPr id="108" name="Picture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5362575" cy="3114675"/>
                    </a:xfrm>
                    <a:prstGeom prst="rect">
                      <a:avLst/>
                    </a:prstGeom>
                    <a:noFill/>
                    <a:ln>
                      <a:noFill/>
                    </a:ln>
                  </pic:spPr>
                </pic:pic>
              </a:graphicData>
            </a:graphic>
          </wp:inline>
        </w:drawing>
      </w:r>
    </w:p>
    <w:bookmarkStart w:id="182" w:name="_Toc369185115"/>
    <w:bookmarkStart w:id="183" w:name="_Toc369185116"/>
    <w:bookmarkEnd w:id="182"/>
    <w:p w:rsidR="00B873A7" w:rsidRPr="004D7C83" w:rsidRDefault="004D7C83" w:rsidP="00B873A7">
      <w:pPr>
        <w:rPr>
          <w:spacing w:val="-4"/>
        </w:rPr>
      </w:pPr>
      <w:r w:rsidRPr="002571CA">
        <w:fldChar w:fldCharType="begin"/>
      </w:r>
      <w:r w:rsidRPr="002571CA">
        <w:instrText xml:space="preserve"> REF _Ref402432776 \h </w:instrText>
      </w:r>
      <w:r w:rsidRPr="002571CA">
        <w:fldChar w:fldCharType="separate"/>
      </w:r>
      <w:r w:rsidR="00A87B65">
        <w:t>Figure </w:t>
      </w:r>
      <w:r w:rsidR="00A87B65">
        <w:rPr>
          <w:noProof/>
        </w:rPr>
        <w:t>4</w:t>
      </w:r>
      <w:r w:rsidR="00A87B65">
        <w:t>.</w:t>
      </w:r>
      <w:r w:rsidR="00A87B65">
        <w:rPr>
          <w:noProof/>
        </w:rPr>
        <w:t>55</w:t>
      </w:r>
      <w:r w:rsidRPr="002571CA">
        <w:fldChar w:fldCharType="end"/>
      </w:r>
      <w:r w:rsidRPr="004D7C83">
        <w:rPr>
          <w:spacing w:val="-4"/>
        </w:rPr>
        <w:t xml:space="preserve"> </w:t>
      </w:r>
      <w:r w:rsidR="00B873A7" w:rsidRPr="004D7C83">
        <w:rPr>
          <w:spacing w:val="-4"/>
        </w:rPr>
        <w:t xml:space="preserve">shows that making another 150MHz of spectrum available has a significant impact on </w:t>
      </w:r>
      <w:r w:rsidR="00704CE5" w:rsidRPr="004D7C83">
        <w:rPr>
          <w:spacing w:val="-4"/>
        </w:rPr>
        <w:t>the number of 4G sites required, reducing</w:t>
      </w:r>
      <w:r w:rsidR="00B873A7" w:rsidRPr="004D7C83">
        <w:rPr>
          <w:spacing w:val="-4"/>
        </w:rPr>
        <w:t xml:space="preserve"> the number of sites needed in </w:t>
      </w:r>
      <w:r w:rsidR="00162304" w:rsidRPr="004D7C83">
        <w:rPr>
          <w:spacing w:val="-4"/>
        </w:rPr>
        <w:t xml:space="preserve">the base case by 4900 (25%) in 2020 </w:t>
      </w:r>
      <w:r w:rsidR="00704CE5" w:rsidRPr="004D7C83">
        <w:rPr>
          <w:spacing w:val="-4"/>
        </w:rPr>
        <w:t xml:space="preserve">and by </w:t>
      </w:r>
      <w:r w:rsidR="00162304" w:rsidRPr="004D7C83">
        <w:rPr>
          <w:spacing w:val="-4"/>
        </w:rPr>
        <w:t>5100 (</w:t>
      </w:r>
      <w:r w:rsidR="00704CE5" w:rsidRPr="004D7C83">
        <w:rPr>
          <w:spacing w:val="-4"/>
        </w:rPr>
        <w:t>25%</w:t>
      </w:r>
      <w:r w:rsidR="00162304" w:rsidRPr="004D7C83">
        <w:rPr>
          <w:spacing w:val="-4"/>
        </w:rPr>
        <w:t>) in 2025</w:t>
      </w:r>
      <w:r w:rsidR="00B873A7" w:rsidRPr="004D7C83">
        <w:rPr>
          <w:spacing w:val="-4"/>
        </w:rPr>
        <w:t>.</w:t>
      </w:r>
      <w:bookmarkStart w:id="184" w:name="_Ref372359074"/>
      <w:r w:rsidR="00162304" w:rsidRPr="004D7C83">
        <w:rPr>
          <w:spacing w:val="-4"/>
        </w:rPr>
        <w:t xml:space="preserve"> If we assume higher levels of traffic than in the base case, the number of sites needed continues to be reduced by around 25%.</w:t>
      </w:r>
      <w:r w:rsidR="00704CE5" w:rsidRPr="004D7C83">
        <w:rPr>
          <w:spacing w:val="-4"/>
        </w:rPr>
        <w:t xml:space="preserve"> However, most of the decrease in 4G sites is due to the fact that in this sensitivity VHA is assumed to have low-frequency spectrum that it can use to deploy its LTE coverage, whereas in the base case it does not.</w:t>
      </w:r>
    </w:p>
    <w:p w:rsidR="00B873A7" w:rsidRPr="00535269" w:rsidRDefault="00B873A7" w:rsidP="004D7C83">
      <w:pPr>
        <w:pStyle w:val="Caption"/>
        <w:spacing w:after="120" w:line="240" w:lineRule="atLeast"/>
      </w:pPr>
      <w:bookmarkStart w:id="185" w:name="_Ref402432776"/>
      <w:r>
        <w:t>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fldSimple w:instr=" SEQ Figure \* ARABIC \s 1 \* MERGEFORMAT ">
        <w:r w:rsidR="00A87B65">
          <w:rPr>
            <w:noProof/>
          </w:rPr>
          <w:t>55</w:t>
        </w:r>
      </w:fldSimple>
      <w:bookmarkEnd w:id="184"/>
      <w:bookmarkEnd w:id="185"/>
      <w:r>
        <w:t>: Effect of assuming release of additional 150MHz of spectrum on number of 4G capacity sites required with varying assumptions about traffic levels [Source: Analysys Mason, 2014]</w:t>
      </w:r>
    </w:p>
    <w:tbl>
      <w:tblPr>
        <w:tblStyle w:val="MediumShading2-Accent1"/>
        <w:tblW w:w="8736" w:type="dxa"/>
        <w:tblInd w:w="108" w:type="dxa"/>
        <w:tblLayout w:type="fixed"/>
        <w:tblLook w:val="0420" w:firstRow="1" w:lastRow="0" w:firstColumn="0" w:lastColumn="0" w:noHBand="0" w:noVBand="1"/>
      </w:tblPr>
      <w:tblGrid>
        <w:gridCol w:w="726"/>
        <w:gridCol w:w="884"/>
        <w:gridCol w:w="884"/>
        <w:gridCol w:w="885"/>
        <w:gridCol w:w="884"/>
        <w:gridCol w:w="884"/>
        <w:gridCol w:w="885"/>
        <w:gridCol w:w="901"/>
        <w:gridCol w:w="901"/>
        <w:gridCol w:w="902"/>
      </w:tblGrid>
      <w:tr w:rsidR="00B873A7" w:rsidRPr="008C0A2E" w:rsidTr="00EE4CCC">
        <w:trPr>
          <w:cnfStyle w:val="100000000000" w:firstRow="1" w:lastRow="0" w:firstColumn="0" w:lastColumn="0" w:oddVBand="0" w:evenVBand="0" w:oddHBand="0" w:evenHBand="0" w:firstRowFirstColumn="0" w:firstRowLastColumn="0" w:lastRowFirstColumn="0" w:lastRowLastColumn="0"/>
        </w:trPr>
        <w:tc>
          <w:tcPr>
            <w:tcW w:w="726" w:type="dxa"/>
            <w:tcBorders>
              <w:top w:val="single" w:sz="18" w:space="0" w:color="221F72"/>
              <w:bottom w:val="single" w:sz="4" w:space="0" w:color="FFFFFF" w:themeColor="background1"/>
            </w:tcBorders>
            <w:shd w:val="solid" w:color="221F72" w:fill="221F72"/>
          </w:tcPr>
          <w:p w:rsidR="00B873A7" w:rsidRPr="008C0A2E" w:rsidRDefault="00B873A7" w:rsidP="00841EA0">
            <w:pPr>
              <w:pStyle w:val="Tableheading"/>
              <w:spacing w:before="20" w:after="20"/>
              <w:rPr>
                <w:b/>
                <w:i/>
              </w:rPr>
            </w:pPr>
          </w:p>
        </w:tc>
        <w:tc>
          <w:tcPr>
            <w:tcW w:w="2653" w:type="dxa"/>
            <w:gridSpan w:val="3"/>
            <w:tcBorders>
              <w:top w:val="single" w:sz="18" w:space="0" w:color="221F72"/>
              <w:bottom w:val="single" w:sz="4" w:space="0" w:color="FFFFFF" w:themeColor="background1"/>
            </w:tcBorders>
            <w:shd w:val="solid" w:color="221F72" w:fill="221F72"/>
          </w:tcPr>
          <w:p w:rsidR="00B873A7" w:rsidRPr="008C0A2E" w:rsidRDefault="00B873A7" w:rsidP="00841EA0">
            <w:pPr>
              <w:pStyle w:val="Tableheading"/>
              <w:spacing w:before="20" w:after="20"/>
              <w:ind w:right="0"/>
              <w:jc w:val="center"/>
              <w:rPr>
                <w:b/>
                <w:i/>
              </w:rPr>
            </w:pPr>
            <w:r w:rsidRPr="008C0A2E">
              <w:rPr>
                <w:b/>
              </w:rPr>
              <w:t>Baseline amount of spectrum</w:t>
            </w:r>
          </w:p>
        </w:tc>
        <w:tc>
          <w:tcPr>
            <w:tcW w:w="2653" w:type="dxa"/>
            <w:gridSpan w:val="3"/>
            <w:tcBorders>
              <w:top w:val="single" w:sz="18" w:space="0" w:color="221F72"/>
              <w:bottom w:val="single" w:sz="4" w:space="0" w:color="FFFFFF" w:themeColor="background1"/>
            </w:tcBorders>
            <w:shd w:val="solid" w:color="221F72" w:fill="221F72"/>
          </w:tcPr>
          <w:p w:rsidR="00B873A7" w:rsidRPr="008C0A2E" w:rsidRDefault="00B873A7" w:rsidP="00841EA0">
            <w:pPr>
              <w:pStyle w:val="Tableheading"/>
              <w:spacing w:before="20" w:after="20"/>
              <w:ind w:right="0"/>
              <w:jc w:val="center"/>
              <w:rPr>
                <w:b/>
                <w:i/>
              </w:rPr>
            </w:pPr>
            <w:r w:rsidRPr="008C0A2E">
              <w:rPr>
                <w:b/>
              </w:rPr>
              <w:t>Additional 150MHz</w:t>
            </w:r>
          </w:p>
        </w:tc>
        <w:tc>
          <w:tcPr>
            <w:tcW w:w="2704" w:type="dxa"/>
            <w:gridSpan w:val="3"/>
            <w:tcBorders>
              <w:top w:val="single" w:sz="18" w:space="0" w:color="221F72"/>
              <w:bottom w:val="single" w:sz="4" w:space="0" w:color="FFFFFF" w:themeColor="background1"/>
            </w:tcBorders>
            <w:shd w:val="solid" w:color="221F72" w:fill="221F72"/>
          </w:tcPr>
          <w:p w:rsidR="00B873A7" w:rsidRPr="008C0A2E" w:rsidRDefault="00577827" w:rsidP="00841EA0">
            <w:pPr>
              <w:pStyle w:val="Tableheading"/>
              <w:spacing w:before="20" w:after="20"/>
              <w:ind w:right="0"/>
              <w:jc w:val="center"/>
              <w:rPr>
                <w:b/>
                <w:i/>
              </w:rPr>
            </w:pPr>
            <w:r>
              <w:rPr>
                <w:b/>
              </w:rPr>
              <w:t>Difference</w:t>
            </w:r>
          </w:p>
        </w:tc>
      </w:tr>
      <w:tr w:rsidR="00B873A7" w:rsidRPr="00A42B4A" w:rsidTr="00EE4CCC">
        <w:trPr>
          <w:cnfStyle w:val="000000100000" w:firstRow="0" w:lastRow="0" w:firstColumn="0" w:lastColumn="0" w:oddVBand="0" w:evenVBand="0" w:oddHBand="1" w:evenHBand="0" w:firstRowFirstColumn="0" w:firstRowLastColumn="0" w:lastRowFirstColumn="0" w:lastRowLastColumn="0"/>
        </w:trPr>
        <w:tc>
          <w:tcPr>
            <w:tcW w:w="726" w:type="dxa"/>
            <w:tcBorders>
              <w:top w:val="single" w:sz="4" w:space="0" w:color="FFFFFF" w:themeColor="background1"/>
              <w:bottom w:val="single" w:sz="4" w:space="0" w:color="FFFFFF" w:themeColor="background1"/>
            </w:tcBorders>
            <w:shd w:val="solid" w:color="221F72" w:fill="221F72"/>
          </w:tcPr>
          <w:p w:rsidR="00B873A7" w:rsidRPr="00A42B4A" w:rsidRDefault="00B873A7" w:rsidP="00841EA0">
            <w:pPr>
              <w:pStyle w:val="Tableheading"/>
              <w:spacing w:before="20" w:after="20"/>
              <w:rPr>
                <w:i/>
              </w:rPr>
            </w:pPr>
          </w:p>
        </w:tc>
        <w:tc>
          <w:tcPr>
            <w:tcW w:w="884" w:type="dxa"/>
            <w:tcBorders>
              <w:top w:val="single" w:sz="4" w:space="0" w:color="FFFFFF" w:themeColor="background1"/>
              <w:bottom w:val="single" w:sz="4" w:space="0" w:color="FFFFFF" w:themeColor="background1"/>
            </w:tcBorders>
            <w:shd w:val="solid" w:color="221F72" w:fill="221F72"/>
          </w:tcPr>
          <w:p w:rsidR="00B873A7" w:rsidRPr="00A42B4A" w:rsidRDefault="00B873A7" w:rsidP="0091513F">
            <w:pPr>
              <w:pStyle w:val="Tableheading"/>
              <w:spacing w:before="20" w:after="20"/>
              <w:jc w:val="center"/>
              <w:rPr>
                <w:i/>
                <w:sz w:val="16"/>
              </w:rPr>
            </w:pPr>
            <w:r w:rsidRPr="00A42B4A">
              <w:rPr>
                <w:sz w:val="16"/>
              </w:rPr>
              <w:t>Base traffic</w:t>
            </w:r>
          </w:p>
        </w:tc>
        <w:tc>
          <w:tcPr>
            <w:tcW w:w="884" w:type="dxa"/>
            <w:tcBorders>
              <w:top w:val="single" w:sz="4" w:space="0" w:color="FFFFFF" w:themeColor="background1"/>
              <w:bottom w:val="single" w:sz="4" w:space="0" w:color="FFFFFF" w:themeColor="background1"/>
            </w:tcBorders>
            <w:shd w:val="solid" w:color="221F72" w:fill="221F72"/>
          </w:tcPr>
          <w:p w:rsidR="00B873A7" w:rsidRPr="00A42B4A" w:rsidRDefault="00B873A7" w:rsidP="0091513F">
            <w:pPr>
              <w:pStyle w:val="Tableheading"/>
              <w:spacing w:before="20" w:after="20"/>
              <w:jc w:val="center"/>
              <w:rPr>
                <w:i/>
              </w:rPr>
            </w:pPr>
            <w:r w:rsidRPr="00A42B4A">
              <w:rPr>
                <w:sz w:val="16"/>
              </w:rPr>
              <w:t>+50%</w:t>
            </w:r>
            <w:r w:rsidRPr="00A42B4A">
              <w:rPr>
                <w:sz w:val="16"/>
              </w:rPr>
              <w:br/>
              <w:t>in 2020</w:t>
            </w:r>
          </w:p>
        </w:tc>
        <w:tc>
          <w:tcPr>
            <w:tcW w:w="885" w:type="dxa"/>
            <w:tcBorders>
              <w:top w:val="single" w:sz="4" w:space="0" w:color="FFFFFF" w:themeColor="background1"/>
              <w:bottom w:val="single" w:sz="4" w:space="0" w:color="FFFFFF" w:themeColor="background1"/>
            </w:tcBorders>
            <w:shd w:val="solid" w:color="221F72" w:fill="221F72"/>
          </w:tcPr>
          <w:p w:rsidR="00B873A7" w:rsidRPr="00A42B4A" w:rsidRDefault="00B873A7" w:rsidP="0091513F">
            <w:pPr>
              <w:pStyle w:val="Tableheading"/>
              <w:spacing w:before="20" w:after="20"/>
              <w:jc w:val="center"/>
              <w:rPr>
                <w:i/>
                <w:sz w:val="16"/>
              </w:rPr>
            </w:pPr>
            <w:r w:rsidRPr="00A42B4A">
              <w:rPr>
                <w:sz w:val="16"/>
              </w:rPr>
              <w:t>+100%</w:t>
            </w:r>
            <w:r w:rsidRPr="00A42B4A">
              <w:rPr>
                <w:sz w:val="16"/>
              </w:rPr>
              <w:br/>
              <w:t>in 2020</w:t>
            </w:r>
          </w:p>
        </w:tc>
        <w:tc>
          <w:tcPr>
            <w:tcW w:w="884" w:type="dxa"/>
            <w:tcBorders>
              <w:top w:val="single" w:sz="4" w:space="0" w:color="FFFFFF" w:themeColor="background1"/>
              <w:bottom w:val="single" w:sz="4" w:space="0" w:color="FFFFFF" w:themeColor="background1"/>
            </w:tcBorders>
            <w:shd w:val="solid" w:color="221F72" w:fill="221F72"/>
          </w:tcPr>
          <w:p w:rsidR="00B873A7" w:rsidRPr="00A42B4A" w:rsidRDefault="00B873A7" w:rsidP="0091513F">
            <w:pPr>
              <w:pStyle w:val="Tableheading"/>
              <w:spacing w:before="20" w:after="20"/>
              <w:jc w:val="center"/>
              <w:rPr>
                <w:i/>
                <w:sz w:val="16"/>
              </w:rPr>
            </w:pPr>
            <w:r w:rsidRPr="00A42B4A">
              <w:rPr>
                <w:sz w:val="16"/>
              </w:rPr>
              <w:t>Base traffic</w:t>
            </w:r>
          </w:p>
        </w:tc>
        <w:tc>
          <w:tcPr>
            <w:tcW w:w="884" w:type="dxa"/>
            <w:tcBorders>
              <w:top w:val="single" w:sz="4" w:space="0" w:color="FFFFFF" w:themeColor="background1"/>
              <w:bottom w:val="single" w:sz="4" w:space="0" w:color="FFFFFF" w:themeColor="background1"/>
            </w:tcBorders>
            <w:shd w:val="solid" w:color="221F72" w:fill="221F72"/>
          </w:tcPr>
          <w:p w:rsidR="00B873A7" w:rsidRPr="00A42B4A" w:rsidRDefault="00B873A7" w:rsidP="0091513F">
            <w:pPr>
              <w:pStyle w:val="Tableheading"/>
              <w:spacing w:before="20" w:after="20"/>
              <w:jc w:val="center"/>
              <w:rPr>
                <w:i/>
                <w:sz w:val="16"/>
              </w:rPr>
            </w:pPr>
            <w:r w:rsidRPr="00A42B4A">
              <w:rPr>
                <w:sz w:val="16"/>
              </w:rPr>
              <w:t>+50%</w:t>
            </w:r>
            <w:r w:rsidRPr="00A42B4A">
              <w:rPr>
                <w:sz w:val="16"/>
              </w:rPr>
              <w:br/>
              <w:t>in 2020</w:t>
            </w:r>
          </w:p>
        </w:tc>
        <w:tc>
          <w:tcPr>
            <w:tcW w:w="885" w:type="dxa"/>
            <w:tcBorders>
              <w:top w:val="single" w:sz="4" w:space="0" w:color="FFFFFF" w:themeColor="background1"/>
              <w:bottom w:val="single" w:sz="4" w:space="0" w:color="FFFFFF" w:themeColor="background1"/>
            </w:tcBorders>
            <w:shd w:val="solid" w:color="221F72" w:fill="221F72"/>
          </w:tcPr>
          <w:p w:rsidR="00B873A7" w:rsidRPr="00A42B4A" w:rsidRDefault="00B873A7" w:rsidP="0091513F">
            <w:pPr>
              <w:pStyle w:val="Tableheading"/>
              <w:spacing w:before="20" w:after="20"/>
              <w:jc w:val="center"/>
              <w:rPr>
                <w:i/>
                <w:sz w:val="16"/>
              </w:rPr>
            </w:pPr>
            <w:r w:rsidRPr="00A42B4A">
              <w:rPr>
                <w:sz w:val="16"/>
              </w:rPr>
              <w:t>+100%</w:t>
            </w:r>
            <w:r w:rsidRPr="00A42B4A">
              <w:rPr>
                <w:sz w:val="16"/>
              </w:rPr>
              <w:br/>
              <w:t>in 2020</w:t>
            </w:r>
          </w:p>
        </w:tc>
        <w:tc>
          <w:tcPr>
            <w:tcW w:w="901" w:type="dxa"/>
            <w:tcBorders>
              <w:top w:val="single" w:sz="4" w:space="0" w:color="FFFFFF" w:themeColor="background1"/>
              <w:bottom w:val="single" w:sz="4" w:space="0" w:color="FFFFFF" w:themeColor="background1"/>
            </w:tcBorders>
            <w:shd w:val="solid" w:color="221F72" w:fill="221F72"/>
          </w:tcPr>
          <w:p w:rsidR="00B873A7" w:rsidRPr="00A42B4A" w:rsidRDefault="00B873A7" w:rsidP="0091513F">
            <w:pPr>
              <w:pStyle w:val="Tableheading"/>
              <w:spacing w:before="20" w:after="20"/>
              <w:jc w:val="center"/>
              <w:rPr>
                <w:i/>
                <w:sz w:val="16"/>
              </w:rPr>
            </w:pPr>
            <w:r w:rsidRPr="00A42B4A">
              <w:rPr>
                <w:sz w:val="16"/>
              </w:rPr>
              <w:t>Base traffic</w:t>
            </w:r>
          </w:p>
        </w:tc>
        <w:tc>
          <w:tcPr>
            <w:tcW w:w="901" w:type="dxa"/>
            <w:tcBorders>
              <w:top w:val="single" w:sz="4" w:space="0" w:color="FFFFFF" w:themeColor="background1"/>
              <w:bottom w:val="single" w:sz="4" w:space="0" w:color="FFFFFF" w:themeColor="background1"/>
            </w:tcBorders>
            <w:shd w:val="solid" w:color="221F72" w:fill="221F72"/>
          </w:tcPr>
          <w:p w:rsidR="00B873A7" w:rsidRPr="00A42B4A" w:rsidRDefault="00B873A7" w:rsidP="0091513F">
            <w:pPr>
              <w:pStyle w:val="Tableheading"/>
              <w:spacing w:before="20" w:after="20"/>
              <w:jc w:val="center"/>
              <w:rPr>
                <w:i/>
                <w:sz w:val="16"/>
              </w:rPr>
            </w:pPr>
            <w:r w:rsidRPr="00A42B4A">
              <w:rPr>
                <w:sz w:val="16"/>
              </w:rPr>
              <w:t>+50%</w:t>
            </w:r>
            <w:r w:rsidRPr="00A42B4A">
              <w:rPr>
                <w:sz w:val="16"/>
              </w:rPr>
              <w:br/>
              <w:t>in 2020</w:t>
            </w:r>
          </w:p>
        </w:tc>
        <w:tc>
          <w:tcPr>
            <w:tcW w:w="902" w:type="dxa"/>
            <w:tcBorders>
              <w:top w:val="single" w:sz="4" w:space="0" w:color="FFFFFF" w:themeColor="background1"/>
              <w:bottom w:val="single" w:sz="4" w:space="0" w:color="FFFFFF" w:themeColor="background1"/>
            </w:tcBorders>
            <w:shd w:val="solid" w:color="221F72" w:fill="221F72"/>
          </w:tcPr>
          <w:p w:rsidR="00B873A7" w:rsidRPr="00A42B4A" w:rsidRDefault="00B873A7" w:rsidP="0091513F">
            <w:pPr>
              <w:pStyle w:val="Tableheading"/>
              <w:spacing w:before="20" w:after="20"/>
              <w:jc w:val="center"/>
              <w:rPr>
                <w:i/>
                <w:sz w:val="16"/>
              </w:rPr>
            </w:pPr>
            <w:r w:rsidRPr="00A42B4A">
              <w:rPr>
                <w:sz w:val="16"/>
              </w:rPr>
              <w:t>+100%</w:t>
            </w:r>
            <w:r w:rsidRPr="00A42B4A">
              <w:rPr>
                <w:sz w:val="16"/>
              </w:rPr>
              <w:br/>
              <w:t>in 2020</w:t>
            </w:r>
          </w:p>
        </w:tc>
      </w:tr>
      <w:tr w:rsidR="00704CE5" w:rsidTr="00EE4CCC">
        <w:tc>
          <w:tcPr>
            <w:tcW w:w="726" w:type="dxa"/>
            <w:tcBorders>
              <w:top w:val="single" w:sz="4" w:space="0" w:color="FFFFFF" w:themeColor="background1"/>
            </w:tcBorders>
          </w:tcPr>
          <w:p w:rsidR="00704CE5" w:rsidRDefault="00704CE5" w:rsidP="00841EA0">
            <w:pPr>
              <w:pStyle w:val="Tablecells"/>
              <w:ind w:right="0"/>
            </w:pPr>
            <w:r>
              <w:t>2020</w:t>
            </w:r>
          </w:p>
        </w:tc>
        <w:tc>
          <w:tcPr>
            <w:tcW w:w="884" w:type="dxa"/>
            <w:tcBorders>
              <w:top w:val="single" w:sz="4" w:space="0" w:color="FFFFFF" w:themeColor="background1"/>
            </w:tcBorders>
          </w:tcPr>
          <w:p w:rsidR="00704CE5" w:rsidRPr="00C25006" w:rsidRDefault="00704CE5" w:rsidP="00841EA0">
            <w:pPr>
              <w:pStyle w:val="Tablecells"/>
              <w:ind w:right="0"/>
            </w:pPr>
            <w:r w:rsidRPr="00C25006">
              <w:t xml:space="preserve">19,662 </w:t>
            </w:r>
          </w:p>
        </w:tc>
        <w:tc>
          <w:tcPr>
            <w:tcW w:w="884" w:type="dxa"/>
            <w:tcBorders>
              <w:top w:val="single" w:sz="4" w:space="0" w:color="FFFFFF" w:themeColor="background1"/>
            </w:tcBorders>
          </w:tcPr>
          <w:p w:rsidR="00704CE5" w:rsidRPr="00C25006" w:rsidRDefault="00704CE5" w:rsidP="00841EA0">
            <w:pPr>
              <w:pStyle w:val="Tablecells"/>
              <w:ind w:right="0"/>
            </w:pPr>
            <w:r w:rsidRPr="00C25006">
              <w:t xml:space="preserve">20,661 </w:t>
            </w:r>
          </w:p>
        </w:tc>
        <w:tc>
          <w:tcPr>
            <w:tcW w:w="885" w:type="dxa"/>
            <w:tcBorders>
              <w:top w:val="single" w:sz="4" w:space="0" w:color="FFFFFF" w:themeColor="background1"/>
            </w:tcBorders>
          </w:tcPr>
          <w:p w:rsidR="00704CE5" w:rsidRPr="00C25006" w:rsidRDefault="00704CE5" w:rsidP="00841EA0">
            <w:pPr>
              <w:pStyle w:val="Tablecells"/>
              <w:ind w:right="0"/>
            </w:pPr>
            <w:r w:rsidRPr="00C25006">
              <w:t xml:space="preserve">21,891 </w:t>
            </w:r>
          </w:p>
        </w:tc>
        <w:tc>
          <w:tcPr>
            <w:tcW w:w="884" w:type="dxa"/>
            <w:tcBorders>
              <w:top w:val="single" w:sz="4" w:space="0" w:color="FFFFFF" w:themeColor="background1"/>
            </w:tcBorders>
          </w:tcPr>
          <w:p w:rsidR="00704CE5" w:rsidRPr="001F6E45" w:rsidRDefault="00704CE5" w:rsidP="00704CE5">
            <w:pPr>
              <w:pStyle w:val="Tablecells"/>
              <w:ind w:right="0"/>
            </w:pPr>
            <w:r w:rsidRPr="001F6E45">
              <w:t xml:space="preserve">14,737 </w:t>
            </w:r>
          </w:p>
        </w:tc>
        <w:tc>
          <w:tcPr>
            <w:tcW w:w="884" w:type="dxa"/>
            <w:tcBorders>
              <w:top w:val="single" w:sz="4" w:space="0" w:color="FFFFFF" w:themeColor="background1"/>
            </w:tcBorders>
          </w:tcPr>
          <w:p w:rsidR="00704CE5" w:rsidRPr="001F6E45" w:rsidRDefault="00704CE5" w:rsidP="00704CE5">
            <w:pPr>
              <w:pStyle w:val="Tablecells"/>
              <w:ind w:right="0"/>
            </w:pPr>
            <w:r w:rsidRPr="001F6E45">
              <w:t xml:space="preserve">15,402 </w:t>
            </w:r>
          </w:p>
        </w:tc>
        <w:tc>
          <w:tcPr>
            <w:tcW w:w="885" w:type="dxa"/>
            <w:tcBorders>
              <w:top w:val="single" w:sz="4" w:space="0" w:color="FFFFFF" w:themeColor="background1"/>
            </w:tcBorders>
          </w:tcPr>
          <w:p w:rsidR="00704CE5" w:rsidRDefault="00704CE5" w:rsidP="00704CE5">
            <w:pPr>
              <w:pStyle w:val="Tablecells"/>
              <w:ind w:right="0"/>
            </w:pPr>
            <w:r w:rsidRPr="001F6E45">
              <w:t xml:space="preserve">16,251 </w:t>
            </w:r>
          </w:p>
        </w:tc>
        <w:tc>
          <w:tcPr>
            <w:tcW w:w="901" w:type="dxa"/>
            <w:tcBorders>
              <w:top w:val="single" w:sz="4" w:space="0" w:color="FFFFFF" w:themeColor="background1"/>
            </w:tcBorders>
          </w:tcPr>
          <w:p w:rsidR="00704CE5" w:rsidRPr="00704CE5" w:rsidRDefault="00704CE5" w:rsidP="00704CE5">
            <w:pPr>
              <w:pStyle w:val="Tablecells"/>
              <w:jc w:val="center"/>
              <w:rPr>
                <w:color w:val="FF0000"/>
              </w:rPr>
            </w:pPr>
            <w:r w:rsidRPr="00704CE5">
              <w:rPr>
                <w:color w:val="FF0000"/>
              </w:rPr>
              <w:t>-4,925</w:t>
            </w:r>
            <w:r w:rsidRPr="00704CE5">
              <w:rPr>
                <w:color w:val="FF0000"/>
              </w:rPr>
              <w:br/>
              <w:t>-25%</w:t>
            </w:r>
          </w:p>
        </w:tc>
        <w:tc>
          <w:tcPr>
            <w:tcW w:w="901" w:type="dxa"/>
            <w:tcBorders>
              <w:top w:val="single" w:sz="4" w:space="0" w:color="FFFFFF" w:themeColor="background1"/>
            </w:tcBorders>
          </w:tcPr>
          <w:p w:rsidR="00704CE5" w:rsidRPr="00704CE5" w:rsidRDefault="00704CE5" w:rsidP="00704CE5">
            <w:pPr>
              <w:pStyle w:val="Tablecells"/>
              <w:jc w:val="center"/>
              <w:rPr>
                <w:color w:val="FF0000"/>
              </w:rPr>
            </w:pPr>
            <w:r w:rsidRPr="00704CE5">
              <w:rPr>
                <w:color w:val="FF0000"/>
              </w:rPr>
              <w:t>-5,259</w:t>
            </w:r>
            <w:r w:rsidRPr="00704CE5">
              <w:rPr>
                <w:color w:val="FF0000"/>
              </w:rPr>
              <w:br/>
              <w:t>-25%</w:t>
            </w:r>
          </w:p>
        </w:tc>
        <w:tc>
          <w:tcPr>
            <w:tcW w:w="902" w:type="dxa"/>
            <w:tcBorders>
              <w:top w:val="single" w:sz="4" w:space="0" w:color="FFFFFF" w:themeColor="background1"/>
            </w:tcBorders>
          </w:tcPr>
          <w:p w:rsidR="00704CE5" w:rsidRPr="00704CE5" w:rsidRDefault="00704CE5" w:rsidP="00704CE5">
            <w:pPr>
              <w:pStyle w:val="Tablecells"/>
              <w:jc w:val="center"/>
              <w:rPr>
                <w:color w:val="FF0000"/>
              </w:rPr>
            </w:pPr>
            <w:r w:rsidRPr="00704CE5">
              <w:rPr>
                <w:color w:val="FF0000"/>
              </w:rPr>
              <w:t>-5,640</w:t>
            </w:r>
            <w:r w:rsidRPr="00704CE5">
              <w:rPr>
                <w:color w:val="FF0000"/>
              </w:rPr>
              <w:br/>
              <w:t>-26%</w:t>
            </w:r>
          </w:p>
        </w:tc>
      </w:tr>
      <w:tr w:rsidR="00704CE5" w:rsidTr="00704CE5">
        <w:trPr>
          <w:cnfStyle w:val="000000100000" w:firstRow="0" w:lastRow="0" w:firstColumn="0" w:lastColumn="0" w:oddVBand="0" w:evenVBand="0" w:oddHBand="1" w:evenHBand="0" w:firstRowFirstColumn="0" w:firstRowLastColumn="0" w:lastRowFirstColumn="0" w:lastRowLastColumn="0"/>
        </w:trPr>
        <w:tc>
          <w:tcPr>
            <w:tcW w:w="726" w:type="dxa"/>
            <w:tcBorders>
              <w:top w:val="nil"/>
              <w:bottom w:val="single" w:sz="4" w:space="0" w:color="808080"/>
            </w:tcBorders>
          </w:tcPr>
          <w:p w:rsidR="00704CE5" w:rsidRDefault="00704CE5" w:rsidP="00841EA0">
            <w:pPr>
              <w:pStyle w:val="Tablecells"/>
              <w:ind w:right="0"/>
            </w:pPr>
            <w:r>
              <w:t>2025</w:t>
            </w:r>
          </w:p>
        </w:tc>
        <w:tc>
          <w:tcPr>
            <w:tcW w:w="884" w:type="dxa"/>
            <w:tcBorders>
              <w:top w:val="nil"/>
              <w:bottom w:val="single" w:sz="4" w:space="0" w:color="808080"/>
            </w:tcBorders>
          </w:tcPr>
          <w:p w:rsidR="00704CE5" w:rsidRPr="00C25006" w:rsidRDefault="00704CE5" w:rsidP="00841EA0">
            <w:pPr>
              <w:pStyle w:val="Tablecells"/>
              <w:ind w:right="0"/>
            </w:pPr>
            <w:r w:rsidRPr="00C25006">
              <w:t xml:space="preserve">20,312 </w:t>
            </w:r>
          </w:p>
        </w:tc>
        <w:tc>
          <w:tcPr>
            <w:tcW w:w="884" w:type="dxa"/>
            <w:tcBorders>
              <w:top w:val="nil"/>
              <w:bottom w:val="single" w:sz="4" w:space="0" w:color="808080"/>
            </w:tcBorders>
          </w:tcPr>
          <w:p w:rsidR="00704CE5" w:rsidRPr="00C25006" w:rsidRDefault="00704CE5" w:rsidP="00841EA0">
            <w:pPr>
              <w:pStyle w:val="Tablecells"/>
              <w:ind w:right="0"/>
            </w:pPr>
            <w:r w:rsidRPr="00C25006">
              <w:t xml:space="preserve">22,204 </w:t>
            </w:r>
          </w:p>
        </w:tc>
        <w:tc>
          <w:tcPr>
            <w:tcW w:w="885" w:type="dxa"/>
            <w:tcBorders>
              <w:top w:val="nil"/>
              <w:bottom w:val="single" w:sz="4" w:space="0" w:color="808080"/>
            </w:tcBorders>
          </w:tcPr>
          <w:p w:rsidR="00704CE5" w:rsidRDefault="00704CE5" w:rsidP="00841EA0">
            <w:pPr>
              <w:pStyle w:val="Tablecells"/>
              <w:ind w:right="0"/>
            </w:pPr>
            <w:r w:rsidRPr="00C25006">
              <w:t xml:space="preserve">24,257 </w:t>
            </w:r>
          </w:p>
        </w:tc>
        <w:tc>
          <w:tcPr>
            <w:tcW w:w="884" w:type="dxa"/>
            <w:tcBorders>
              <w:top w:val="nil"/>
              <w:bottom w:val="single" w:sz="4" w:space="0" w:color="808080"/>
            </w:tcBorders>
          </w:tcPr>
          <w:p w:rsidR="00704CE5" w:rsidRPr="007F6AFD" w:rsidRDefault="00704CE5" w:rsidP="00704CE5">
            <w:pPr>
              <w:pStyle w:val="Tablecells"/>
              <w:ind w:right="0"/>
            </w:pPr>
            <w:r w:rsidRPr="007F6AFD">
              <w:t xml:space="preserve">15,189 </w:t>
            </w:r>
          </w:p>
        </w:tc>
        <w:tc>
          <w:tcPr>
            <w:tcW w:w="884" w:type="dxa"/>
            <w:tcBorders>
              <w:top w:val="nil"/>
              <w:bottom w:val="single" w:sz="4" w:space="0" w:color="808080"/>
            </w:tcBorders>
          </w:tcPr>
          <w:p w:rsidR="00704CE5" w:rsidRPr="007F6AFD" w:rsidRDefault="00704CE5" w:rsidP="00704CE5">
            <w:pPr>
              <w:pStyle w:val="Tablecells"/>
              <w:ind w:right="0"/>
            </w:pPr>
            <w:r w:rsidRPr="007F6AFD">
              <w:t xml:space="preserve">16,477 </w:t>
            </w:r>
          </w:p>
        </w:tc>
        <w:tc>
          <w:tcPr>
            <w:tcW w:w="885" w:type="dxa"/>
            <w:tcBorders>
              <w:top w:val="nil"/>
              <w:bottom w:val="single" w:sz="4" w:space="0" w:color="808080"/>
            </w:tcBorders>
          </w:tcPr>
          <w:p w:rsidR="00704CE5" w:rsidRDefault="00704CE5" w:rsidP="00704CE5">
            <w:pPr>
              <w:pStyle w:val="Tablecells"/>
              <w:ind w:right="0"/>
            </w:pPr>
            <w:r w:rsidRPr="007F6AFD">
              <w:t xml:space="preserve">17,843 </w:t>
            </w:r>
          </w:p>
        </w:tc>
        <w:tc>
          <w:tcPr>
            <w:tcW w:w="901" w:type="dxa"/>
            <w:tcBorders>
              <w:top w:val="nil"/>
              <w:bottom w:val="single" w:sz="4" w:space="0" w:color="808080"/>
            </w:tcBorders>
          </w:tcPr>
          <w:p w:rsidR="00704CE5" w:rsidRPr="00704CE5" w:rsidRDefault="00704CE5" w:rsidP="00704CE5">
            <w:pPr>
              <w:pStyle w:val="Tablecells"/>
              <w:jc w:val="center"/>
              <w:rPr>
                <w:color w:val="FF0000"/>
              </w:rPr>
            </w:pPr>
            <w:r w:rsidRPr="00704CE5">
              <w:rPr>
                <w:color w:val="FF0000"/>
              </w:rPr>
              <w:t>-5,123</w:t>
            </w:r>
            <w:r w:rsidRPr="00704CE5">
              <w:rPr>
                <w:color w:val="FF0000"/>
              </w:rPr>
              <w:br/>
              <w:t>-25%</w:t>
            </w:r>
          </w:p>
        </w:tc>
        <w:tc>
          <w:tcPr>
            <w:tcW w:w="901" w:type="dxa"/>
            <w:tcBorders>
              <w:top w:val="nil"/>
              <w:bottom w:val="single" w:sz="4" w:space="0" w:color="808080"/>
            </w:tcBorders>
          </w:tcPr>
          <w:p w:rsidR="00704CE5" w:rsidRPr="00704CE5" w:rsidRDefault="00704CE5" w:rsidP="00704CE5">
            <w:pPr>
              <w:pStyle w:val="Tablecells"/>
              <w:jc w:val="center"/>
              <w:rPr>
                <w:color w:val="FF0000"/>
              </w:rPr>
            </w:pPr>
            <w:r w:rsidRPr="00704CE5">
              <w:rPr>
                <w:color w:val="FF0000"/>
              </w:rPr>
              <w:t>-5,727</w:t>
            </w:r>
            <w:r w:rsidRPr="00704CE5">
              <w:rPr>
                <w:color w:val="FF0000"/>
              </w:rPr>
              <w:br/>
              <w:t>-26%</w:t>
            </w:r>
          </w:p>
        </w:tc>
        <w:tc>
          <w:tcPr>
            <w:tcW w:w="902" w:type="dxa"/>
            <w:tcBorders>
              <w:top w:val="nil"/>
              <w:bottom w:val="single" w:sz="4" w:space="0" w:color="808080"/>
            </w:tcBorders>
          </w:tcPr>
          <w:p w:rsidR="00704CE5" w:rsidRPr="00704CE5" w:rsidRDefault="00704CE5" w:rsidP="00704CE5">
            <w:pPr>
              <w:pStyle w:val="Tablecells"/>
              <w:jc w:val="center"/>
              <w:rPr>
                <w:color w:val="FF0000"/>
              </w:rPr>
            </w:pPr>
            <w:r w:rsidRPr="00704CE5">
              <w:rPr>
                <w:color w:val="FF0000"/>
              </w:rPr>
              <w:t>-6,414</w:t>
            </w:r>
            <w:r w:rsidRPr="00704CE5">
              <w:rPr>
                <w:color w:val="FF0000"/>
              </w:rPr>
              <w:br/>
              <w:t>-26%</w:t>
            </w:r>
          </w:p>
        </w:tc>
      </w:tr>
    </w:tbl>
    <w:p w:rsidR="00B873A7" w:rsidRDefault="00B873A7" w:rsidP="00B873A7">
      <w:pPr>
        <w:pStyle w:val="Heading4"/>
      </w:pPr>
      <w:r>
        <w:t>240MHz released in 2015</w:t>
      </w:r>
    </w:p>
    <w:p w:rsidR="00B873A7" w:rsidRDefault="00B873A7" w:rsidP="00B873A7">
      <w:pPr>
        <w:spacing w:after="120"/>
      </w:pPr>
      <w:r>
        <w:t>In this sensitivity, we assume that another 240MHz (2×25MHz of sub-</w:t>
      </w:r>
      <w:r w:rsidRPr="008630EB">
        <w:t>1GHz spectrum</w:t>
      </w:r>
      <w:r>
        <w:t xml:space="preserve"> and 2×95MHz of 1–6GHz spectrum) is released in 2015. Again we assume that the extra spectrum is allocated to each of the three operators in proportion to their rounded national market share.</w:t>
      </w:r>
      <w:r w:rsidR="00011646">
        <w:t xml:space="preserve"> </w:t>
      </w:r>
      <w:r>
        <w:t xml:space="preserve">The results are shown in </w:t>
      </w:r>
      <w:r w:rsidRPr="002D2F9B">
        <w:fldChar w:fldCharType="begin"/>
      </w:r>
      <w:r w:rsidRPr="002571CA">
        <w:instrText xml:space="preserve"> REF _Ref378544021 \h </w:instrText>
      </w:r>
      <w:r w:rsidRPr="002D2F9B">
        <w:fldChar w:fldCharType="separate"/>
      </w:r>
      <w:r w:rsidR="00A87B65" w:rsidRPr="00DD020E">
        <w:rPr>
          <w:spacing w:val="-4"/>
        </w:rPr>
        <w:t>Figure</w:t>
      </w:r>
      <w:r w:rsidR="00A87B65">
        <w:rPr>
          <w:spacing w:val="-4"/>
        </w:rPr>
        <w:t> </w:t>
      </w:r>
      <w:r w:rsidR="00A87B65">
        <w:rPr>
          <w:noProof/>
          <w:spacing w:val="-4"/>
        </w:rPr>
        <w:t>4</w:t>
      </w:r>
      <w:r w:rsidR="00A87B65" w:rsidRPr="00DD020E">
        <w:rPr>
          <w:spacing w:val="-4"/>
        </w:rPr>
        <w:t>.</w:t>
      </w:r>
      <w:r w:rsidR="00A87B65">
        <w:rPr>
          <w:noProof/>
          <w:spacing w:val="-4"/>
        </w:rPr>
        <w:t>56</w:t>
      </w:r>
      <w:r w:rsidRPr="002D2F9B">
        <w:fldChar w:fldCharType="end"/>
      </w:r>
      <w:r w:rsidR="00011646">
        <w:t>.</w:t>
      </w:r>
    </w:p>
    <w:p w:rsidR="00B873A7" w:rsidRPr="00DD020E" w:rsidRDefault="00B873A7" w:rsidP="00B873A7">
      <w:pPr>
        <w:pStyle w:val="Caption"/>
        <w:rPr>
          <w:spacing w:val="-4"/>
        </w:rPr>
      </w:pPr>
      <w:bookmarkStart w:id="186" w:name="_Ref378544021"/>
      <w:r w:rsidRPr="00DD020E">
        <w:rPr>
          <w:spacing w:val="-4"/>
        </w:rPr>
        <w:t>Figure</w:t>
      </w:r>
      <w:r>
        <w:rPr>
          <w:spacing w:val="-4"/>
        </w:rPr>
        <w:t> </w:t>
      </w:r>
      <w:r w:rsidRPr="00DD020E">
        <w:rPr>
          <w:spacing w:val="-4"/>
        </w:rPr>
        <w:fldChar w:fldCharType="begin"/>
      </w:r>
      <w:r w:rsidRPr="00DD020E">
        <w:rPr>
          <w:spacing w:val="-4"/>
        </w:rPr>
        <w:instrText xml:space="preserve"> STYLEREF 1 \s \* MERGEFORMAT </w:instrText>
      </w:r>
      <w:r w:rsidRPr="00DD020E">
        <w:rPr>
          <w:spacing w:val="-4"/>
        </w:rPr>
        <w:fldChar w:fldCharType="separate"/>
      </w:r>
      <w:r w:rsidR="00A87B65">
        <w:rPr>
          <w:noProof/>
          <w:spacing w:val="-4"/>
        </w:rPr>
        <w:t>4</w:t>
      </w:r>
      <w:r w:rsidRPr="00DD020E">
        <w:rPr>
          <w:noProof/>
          <w:spacing w:val="-4"/>
        </w:rPr>
        <w:fldChar w:fldCharType="end"/>
      </w:r>
      <w:r w:rsidRPr="00DD020E">
        <w:rPr>
          <w:spacing w:val="-4"/>
        </w:rPr>
        <w:t>.</w:t>
      </w:r>
      <w:r w:rsidRPr="00DD020E">
        <w:rPr>
          <w:spacing w:val="-4"/>
        </w:rPr>
        <w:fldChar w:fldCharType="begin"/>
      </w:r>
      <w:r w:rsidRPr="00DD020E">
        <w:rPr>
          <w:spacing w:val="-4"/>
        </w:rPr>
        <w:instrText xml:space="preserve"> SEQ Figure \* ARABIC \s 1 \* MERGEFORMAT </w:instrText>
      </w:r>
      <w:r w:rsidRPr="00DD020E">
        <w:rPr>
          <w:spacing w:val="-4"/>
        </w:rPr>
        <w:fldChar w:fldCharType="separate"/>
      </w:r>
      <w:r w:rsidR="00A87B65">
        <w:rPr>
          <w:noProof/>
          <w:spacing w:val="-4"/>
        </w:rPr>
        <w:t>56</w:t>
      </w:r>
      <w:r w:rsidRPr="00DD020E">
        <w:rPr>
          <w:noProof/>
          <w:spacing w:val="-4"/>
        </w:rPr>
        <w:fldChar w:fldCharType="end"/>
      </w:r>
      <w:bookmarkEnd w:id="186"/>
      <w:r w:rsidRPr="00DD020E">
        <w:rPr>
          <w:spacing w:val="-4"/>
        </w:rPr>
        <w:t>: Logical sites for all operators; additi</w:t>
      </w:r>
      <w:r>
        <w:rPr>
          <w:spacing w:val="-4"/>
        </w:rPr>
        <w:t>onal spectrum allocation, 240MHz released in 2015</w:t>
      </w:r>
      <w:r w:rsidRPr="00DD020E">
        <w:rPr>
          <w:spacing w:val="-4"/>
        </w:rPr>
        <w:t xml:space="preserve"> [Source: Analysys Mason, </w:t>
      </w:r>
      <w:r>
        <w:rPr>
          <w:spacing w:val="-4"/>
        </w:rPr>
        <w:t>2014</w:t>
      </w:r>
      <w:r w:rsidRPr="00DD020E">
        <w:rPr>
          <w:spacing w:val="-4"/>
        </w:rPr>
        <w:t>]</w:t>
      </w:r>
    </w:p>
    <w:p w:rsidR="00B873A7" w:rsidRDefault="00577827" w:rsidP="00577827">
      <w:pPr>
        <w:jc w:val="center"/>
      </w:pPr>
      <w:r w:rsidRPr="00577827">
        <w:rPr>
          <w:noProof/>
          <w:lang w:val="en-AU" w:eastAsia="en-AU"/>
        </w:rPr>
        <w:drawing>
          <wp:inline distT="0" distB="0" distL="0" distR="0" wp14:anchorId="3905E828" wp14:editId="32A819ED">
            <wp:extent cx="5362575" cy="3114675"/>
            <wp:effectExtent l="0" t="0" r="0" b="0"/>
            <wp:docPr id="109" name="Picture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5362575" cy="3114675"/>
                    </a:xfrm>
                    <a:prstGeom prst="rect">
                      <a:avLst/>
                    </a:prstGeom>
                    <a:noFill/>
                    <a:ln>
                      <a:noFill/>
                    </a:ln>
                  </pic:spPr>
                </pic:pic>
              </a:graphicData>
            </a:graphic>
          </wp:inline>
        </w:drawing>
      </w:r>
    </w:p>
    <w:p w:rsidR="00B873A7" w:rsidRDefault="00B873A7" w:rsidP="00B873A7">
      <w:r w:rsidRPr="002D2F9B">
        <w:fldChar w:fldCharType="begin"/>
      </w:r>
      <w:r w:rsidRPr="002571CA">
        <w:instrText xml:space="preserve"> REF _Ref383446295 \h </w:instrText>
      </w:r>
      <w:r w:rsidRPr="002D2F9B">
        <w:fldChar w:fldCharType="separate"/>
      </w:r>
      <w:r w:rsidR="00A87B65">
        <w:t>Figure </w:t>
      </w:r>
      <w:r w:rsidR="00A87B65">
        <w:rPr>
          <w:noProof/>
        </w:rPr>
        <w:t>4</w:t>
      </w:r>
      <w:r w:rsidR="00A87B65">
        <w:t>.</w:t>
      </w:r>
      <w:r w:rsidR="00A87B65">
        <w:rPr>
          <w:noProof/>
        </w:rPr>
        <w:t>57</w:t>
      </w:r>
      <w:r w:rsidRPr="002D2F9B">
        <w:fldChar w:fldCharType="end"/>
      </w:r>
      <w:r>
        <w:t xml:space="preserve"> shows that making another 240MHz of spectrum available has a slightly larger impact on the number of 4G sites required than making 150MHz of spectrum available: the number of sites needed in 2020 is reduced by </w:t>
      </w:r>
      <w:r w:rsidR="00011646">
        <w:t>26</w:t>
      </w:r>
      <w:r>
        <w:t>–</w:t>
      </w:r>
      <w:r w:rsidR="00011646">
        <w:t>28</w:t>
      </w:r>
      <w:r>
        <w:t xml:space="preserve">% and in 2025 by </w:t>
      </w:r>
      <w:r w:rsidR="00011646">
        <w:t>27</w:t>
      </w:r>
      <w:r>
        <w:t>–</w:t>
      </w:r>
      <w:r w:rsidR="00011646">
        <w:t>30</w:t>
      </w:r>
      <w:r>
        <w:t>%.</w:t>
      </w:r>
    </w:p>
    <w:p w:rsidR="00B873A7" w:rsidRPr="00535269" w:rsidRDefault="00B873A7" w:rsidP="00B873A7">
      <w:pPr>
        <w:pStyle w:val="Caption"/>
      </w:pPr>
      <w:bookmarkStart w:id="187" w:name="_Ref378544191"/>
      <w:bookmarkStart w:id="188" w:name="_Ref383446295"/>
      <w:r>
        <w:t>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fldSimple w:instr=" SEQ Figure \* ARABIC \s 1 \* MERGEFORMAT ">
        <w:r w:rsidR="00A87B65">
          <w:rPr>
            <w:noProof/>
          </w:rPr>
          <w:t>57</w:t>
        </w:r>
      </w:fldSimple>
      <w:bookmarkEnd w:id="187"/>
      <w:bookmarkEnd w:id="188"/>
      <w:r>
        <w:t>: Effect of assuming release of additional 240MHz of spectrum on number of 4G capacity sites required with varying assumptions about traffic levels [Source: Analysys Mason, 2014]</w:t>
      </w:r>
    </w:p>
    <w:tbl>
      <w:tblPr>
        <w:tblStyle w:val="MediumShading2-Accent1"/>
        <w:tblW w:w="8738" w:type="dxa"/>
        <w:tblInd w:w="108" w:type="dxa"/>
        <w:tblLayout w:type="fixed"/>
        <w:tblLook w:val="0420" w:firstRow="1" w:lastRow="0" w:firstColumn="0" w:lastColumn="0" w:noHBand="0" w:noVBand="1"/>
      </w:tblPr>
      <w:tblGrid>
        <w:gridCol w:w="727"/>
        <w:gridCol w:w="884"/>
        <w:gridCol w:w="884"/>
        <w:gridCol w:w="885"/>
        <w:gridCol w:w="884"/>
        <w:gridCol w:w="884"/>
        <w:gridCol w:w="885"/>
        <w:gridCol w:w="901"/>
        <w:gridCol w:w="901"/>
        <w:gridCol w:w="903"/>
      </w:tblGrid>
      <w:tr w:rsidR="00B873A7" w:rsidRPr="004A1D72" w:rsidTr="00EE4CCC">
        <w:trPr>
          <w:cnfStyle w:val="100000000000" w:firstRow="1" w:lastRow="0" w:firstColumn="0" w:lastColumn="0" w:oddVBand="0" w:evenVBand="0" w:oddHBand="0" w:evenHBand="0" w:firstRowFirstColumn="0" w:firstRowLastColumn="0" w:lastRowFirstColumn="0" w:lastRowLastColumn="0"/>
        </w:trPr>
        <w:tc>
          <w:tcPr>
            <w:tcW w:w="727" w:type="dxa"/>
            <w:tcBorders>
              <w:top w:val="single" w:sz="18" w:space="0" w:color="221F72"/>
              <w:bottom w:val="single" w:sz="4" w:space="0" w:color="FFFFFF" w:themeColor="background1"/>
            </w:tcBorders>
            <w:shd w:val="solid" w:color="221F72" w:fill="221F72"/>
          </w:tcPr>
          <w:p w:rsidR="00B873A7" w:rsidRPr="004A1D72" w:rsidRDefault="00B873A7" w:rsidP="00841EA0">
            <w:pPr>
              <w:pStyle w:val="Tableheading"/>
              <w:spacing w:before="20" w:after="20"/>
              <w:rPr>
                <w:b/>
                <w:i/>
              </w:rPr>
            </w:pPr>
          </w:p>
        </w:tc>
        <w:tc>
          <w:tcPr>
            <w:tcW w:w="2653" w:type="dxa"/>
            <w:gridSpan w:val="3"/>
            <w:tcBorders>
              <w:top w:val="single" w:sz="18" w:space="0" w:color="221F72"/>
              <w:bottom w:val="single" w:sz="4" w:space="0" w:color="FFFFFF" w:themeColor="background1"/>
            </w:tcBorders>
            <w:shd w:val="solid" w:color="221F72" w:fill="221F72"/>
          </w:tcPr>
          <w:p w:rsidR="00B873A7" w:rsidRPr="004A1D72" w:rsidRDefault="00B873A7" w:rsidP="00841EA0">
            <w:pPr>
              <w:pStyle w:val="Tableheading"/>
              <w:spacing w:before="20" w:after="20"/>
              <w:ind w:right="0"/>
              <w:jc w:val="center"/>
              <w:rPr>
                <w:b/>
                <w:i/>
              </w:rPr>
            </w:pPr>
            <w:r w:rsidRPr="004A1D72">
              <w:rPr>
                <w:b/>
              </w:rPr>
              <w:t>Baseline amount of spectrum</w:t>
            </w:r>
          </w:p>
        </w:tc>
        <w:tc>
          <w:tcPr>
            <w:tcW w:w="2653" w:type="dxa"/>
            <w:gridSpan w:val="3"/>
            <w:tcBorders>
              <w:top w:val="single" w:sz="18" w:space="0" w:color="221F72"/>
              <w:bottom w:val="single" w:sz="4" w:space="0" w:color="FFFFFF" w:themeColor="background1"/>
            </w:tcBorders>
            <w:shd w:val="solid" w:color="221F72" w:fill="221F72"/>
          </w:tcPr>
          <w:p w:rsidR="00B873A7" w:rsidRPr="004A1D72" w:rsidRDefault="00B873A7" w:rsidP="00841EA0">
            <w:pPr>
              <w:pStyle w:val="Tableheading"/>
              <w:spacing w:before="20" w:after="20"/>
              <w:ind w:right="0"/>
              <w:jc w:val="center"/>
              <w:rPr>
                <w:b/>
                <w:i/>
              </w:rPr>
            </w:pPr>
            <w:r w:rsidRPr="004A1D72">
              <w:rPr>
                <w:b/>
              </w:rPr>
              <w:t xml:space="preserve">Additional </w:t>
            </w:r>
            <w:r>
              <w:rPr>
                <w:b/>
              </w:rPr>
              <w:t>24</w:t>
            </w:r>
            <w:r w:rsidRPr="004A1D72">
              <w:rPr>
                <w:b/>
              </w:rPr>
              <w:t>0MHz</w:t>
            </w:r>
          </w:p>
        </w:tc>
        <w:tc>
          <w:tcPr>
            <w:tcW w:w="2705" w:type="dxa"/>
            <w:gridSpan w:val="3"/>
            <w:tcBorders>
              <w:top w:val="single" w:sz="18" w:space="0" w:color="221F72"/>
              <w:bottom w:val="single" w:sz="4" w:space="0" w:color="FFFFFF" w:themeColor="background1"/>
            </w:tcBorders>
            <w:shd w:val="solid" w:color="221F72" w:fill="221F72"/>
          </w:tcPr>
          <w:p w:rsidR="00B873A7" w:rsidRPr="004A1D72" w:rsidRDefault="00577827" w:rsidP="00841EA0">
            <w:pPr>
              <w:pStyle w:val="Tableheading"/>
              <w:spacing w:before="20" w:after="20"/>
              <w:ind w:right="0"/>
              <w:jc w:val="center"/>
              <w:rPr>
                <w:b/>
                <w:i/>
              </w:rPr>
            </w:pPr>
            <w:r>
              <w:rPr>
                <w:b/>
              </w:rPr>
              <w:t>Difference</w:t>
            </w:r>
          </w:p>
        </w:tc>
      </w:tr>
      <w:tr w:rsidR="00B873A7" w:rsidRPr="00A42B4A" w:rsidTr="00EE4CCC">
        <w:trPr>
          <w:cnfStyle w:val="000000100000" w:firstRow="0" w:lastRow="0" w:firstColumn="0" w:lastColumn="0" w:oddVBand="0" w:evenVBand="0" w:oddHBand="1" w:evenHBand="0" w:firstRowFirstColumn="0" w:firstRowLastColumn="0" w:lastRowFirstColumn="0" w:lastRowLastColumn="0"/>
        </w:trPr>
        <w:tc>
          <w:tcPr>
            <w:tcW w:w="727" w:type="dxa"/>
            <w:tcBorders>
              <w:top w:val="single" w:sz="4" w:space="0" w:color="FFFFFF" w:themeColor="background1"/>
              <w:bottom w:val="single" w:sz="4" w:space="0" w:color="FFFFFF" w:themeColor="background1"/>
            </w:tcBorders>
            <w:shd w:val="solid" w:color="221F72" w:fill="221F72"/>
          </w:tcPr>
          <w:p w:rsidR="00B873A7" w:rsidRPr="00A42B4A" w:rsidRDefault="00B873A7" w:rsidP="00841EA0">
            <w:pPr>
              <w:pStyle w:val="Tableheading"/>
              <w:spacing w:before="20" w:after="20"/>
              <w:rPr>
                <w:i/>
              </w:rPr>
            </w:pPr>
          </w:p>
        </w:tc>
        <w:tc>
          <w:tcPr>
            <w:tcW w:w="884" w:type="dxa"/>
            <w:tcBorders>
              <w:top w:val="single" w:sz="4" w:space="0" w:color="FFFFFF" w:themeColor="background1"/>
              <w:bottom w:val="single" w:sz="4" w:space="0" w:color="FFFFFF" w:themeColor="background1"/>
            </w:tcBorders>
            <w:shd w:val="solid" w:color="221F72" w:fill="221F72"/>
          </w:tcPr>
          <w:p w:rsidR="00B873A7" w:rsidRPr="00A42B4A" w:rsidRDefault="00B873A7" w:rsidP="0091513F">
            <w:pPr>
              <w:pStyle w:val="Tableheading"/>
              <w:spacing w:before="20" w:after="20"/>
              <w:jc w:val="center"/>
              <w:rPr>
                <w:i/>
                <w:sz w:val="16"/>
              </w:rPr>
            </w:pPr>
            <w:r w:rsidRPr="00A42B4A">
              <w:rPr>
                <w:sz w:val="16"/>
              </w:rPr>
              <w:t>Base traffic</w:t>
            </w:r>
          </w:p>
        </w:tc>
        <w:tc>
          <w:tcPr>
            <w:tcW w:w="884" w:type="dxa"/>
            <w:tcBorders>
              <w:top w:val="single" w:sz="4" w:space="0" w:color="FFFFFF" w:themeColor="background1"/>
              <w:bottom w:val="single" w:sz="4" w:space="0" w:color="FFFFFF" w:themeColor="background1"/>
            </w:tcBorders>
            <w:shd w:val="solid" w:color="221F72" w:fill="221F72"/>
          </w:tcPr>
          <w:p w:rsidR="00B873A7" w:rsidRPr="00A42B4A" w:rsidRDefault="00B873A7" w:rsidP="0091513F">
            <w:pPr>
              <w:pStyle w:val="Tableheading"/>
              <w:spacing w:before="20" w:after="20"/>
              <w:jc w:val="center"/>
              <w:rPr>
                <w:i/>
              </w:rPr>
            </w:pPr>
            <w:r w:rsidRPr="00A42B4A">
              <w:rPr>
                <w:sz w:val="16"/>
              </w:rPr>
              <w:t>+50%</w:t>
            </w:r>
            <w:r w:rsidRPr="00A42B4A">
              <w:rPr>
                <w:sz w:val="16"/>
              </w:rPr>
              <w:br/>
              <w:t>in 2020</w:t>
            </w:r>
          </w:p>
        </w:tc>
        <w:tc>
          <w:tcPr>
            <w:tcW w:w="885" w:type="dxa"/>
            <w:tcBorders>
              <w:top w:val="single" w:sz="4" w:space="0" w:color="FFFFFF" w:themeColor="background1"/>
              <w:bottom w:val="single" w:sz="4" w:space="0" w:color="FFFFFF" w:themeColor="background1"/>
            </w:tcBorders>
            <w:shd w:val="solid" w:color="221F72" w:fill="221F72"/>
          </w:tcPr>
          <w:p w:rsidR="00B873A7" w:rsidRPr="00A42B4A" w:rsidRDefault="00B873A7" w:rsidP="0091513F">
            <w:pPr>
              <w:pStyle w:val="Tableheading"/>
              <w:spacing w:before="20" w:after="20"/>
              <w:jc w:val="center"/>
              <w:rPr>
                <w:i/>
                <w:sz w:val="16"/>
              </w:rPr>
            </w:pPr>
            <w:r w:rsidRPr="00A42B4A">
              <w:rPr>
                <w:sz w:val="16"/>
              </w:rPr>
              <w:t>+100%</w:t>
            </w:r>
            <w:r w:rsidRPr="00A42B4A">
              <w:rPr>
                <w:sz w:val="16"/>
              </w:rPr>
              <w:br/>
              <w:t>in 2020</w:t>
            </w:r>
          </w:p>
        </w:tc>
        <w:tc>
          <w:tcPr>
            <w:tcW w:w="884" w:type="dxa"/>
            <w:tcBorders>
              <w:top w:val="single" w:sz="4" w:space="0" w:color="FFFFFF" w:themeColor="background1"/>
              <w:bottom w:val="single" w:sz="4" w:space="0" w:color="FFFFFF" w:themeColor="background1"/>
            </w:tcBorders>
            <w:shd w:val="solid" w:color="221F72" w:fill="221F72"/>
          </w:tcPr>
          <w:p w:rsidR="00B873A7" w:rsidRPr="00A42B4A" w:rsidRDefault="00B873A7" w:rsidP="0091513F">
            <w:pPr>
              <w:pStyle w:val="Tableheading"/>
              <w:spacing w:before="20" w:after="20"/>
              <w:jc w:val="center"/>
              <w:rPr>
                <w:i/>
                <w:sz w:val="16"/>
              </w:rPr>
            </w:pPr>
            <w:r w:rsidRPr="00A42B4A">
              <w:rPr>
                <w:sz w:val="16"/>
              </w:rPr>
              <w:t>Base traffic</w:t>
            </w:r>
          </w:p>
        </w:tc>
        <w:tc>
          <w:tcPr>
            <w:tcW w:w="884" w:type="dxa"/>
            <w:tcBorders>
              <w:top w:val="single" w:sz="4" w:space="0" w:color="FFFFFF" w:themeColor="background1"/>
              <w:bottom w:val="single" w:sz="4" w:space="0" w:color="FFFFFF" w:themeColor="background1"/>
            </w:tcBorders>
            <w:shd w:val="solid" w:color="221F72" w:fill="221F72"/>
          </w:tcPr>
          <w:p w:rsidR="00B873A7" w:rsidRPr="00A42B4A" w:rsidRDefault="00B873A7" w:rsidP="0091513F">
            <w:pPr>
              <w:pStyle w:val="Tableheading"/>
              <w:spacing w:before="20" w:after="20"/>
              <w:jc w:val="center"/>
              <w:rPr>
                <w:i/>
                <w:sz w:val="16"/>
              </w:rPr>
            </w:pPr>
            <w:r w:rsidRPr="00A42B4A">
              <w:rPr>
                <w:sz w:val="16"/>
              </w:rPr>
              <w:t>+50%</w:t>
            </w:r>
            <w:r w:rsidRPr="00A42B4A">
              <w:rPr>
                <w:sz w:val="16"/>
              </w:rPr>
              <w:br/>
              <w:t>in 2020</w:t>
            </w:r>
          </w:p>
        </w:tc>
        <w:tc>
          <w:tcPr>
            <w:tcW w:w="885" w:type="dxa"/>
            <w:tcBorders>
              <w:top w:val="single" w:sz="4" w:space="0" w:color="FFFFFF" w:themeColor="background1"/>
              <w:bottom w:val="single" w:sz="4" w:space="0" w:color="FFFFFF" w:themeColor="background1"/>
            </w:tcBorders>
            <w:shd w:val="solid" w:color="221F72" w:fill="221F72"/>
          </w:tcPr>
          <w:p w:rsidR="00B873A7" w:rsidRPr="00A42B4A" w:rsidRDefault="00B873A7" w:rsidP="0091513F">
            <w:pPr>
              <w:pStyle w:val="Tableheading"/>
              <w:spacing w:before="20" w:after="20"/>
              <w:jc w:val="center"/>
              <w:rPr>
                <w:i/>
                <w:sz w:val="16"/>
              </w:rPr>
            </w:pPr>
            <w:r w:rsidRPr="00A42B4A">
              <w:rPr>
                <w:sz w:val="16"/>
              </w:rPr>
              <w:t>+100%</w:t>
            </w:r>
            <w:r w:rsidRPr="00A42B4A">
              <w:rPr>
                <w:sz w:val="16"/>
              </w:rPr>
              <w:br/>
              <w:t>in 2020</w:t>
            </w:r>
          </w:p>
        </w:tc>
        <w:tc>
          <w:tcPr>
            <w:tcW w:w="901" w:type="dxa"/>
            <w:tcBorders>
              <w:top w:val="single" w:sz="4" w:space="0" w:color="FFFFFF" w:themeColor="background1"/>
              <w:bottom w:val="single" w:sz="4" w:space="0" w:color="FFFFFF" w:themeColor="background1"/>
            </w:tcBorders>
            <w:shd w:val="solid" w:color="221F72" w:fill="221F72"/>
          </w:tcPr>
          <w:p w:rsidR="00B873A7" w:rsidRPr="00A42B4A" w:rsidRDefault="00B873A7" w:rsidP="0091513F">
            <w:pPr>
              <w:pStyle w:val="Tableheading"/>
              <w:spacing w:before="20" w:after="20"/>
              <w:jc w:val="center"/>
              <w:rPr>
                <w:i/>
                <w:sz w:val="16"/>
              </w:rPr>
            </w:pPr>
            <w:r w:rsidRPr="00A42B4A">
              <w:rPr>
                <w:sz w:val="16"/>
              </w:rPr>
              <w:t>Base traffic</w:t>
            </w:r>
          </w:p>
        </w:tc>
        <w:tc>
          <w:tcPr>
            <w:tcW w:w="901" w:type="dxa"/>
            <w:tcBorders>
              <w:top w:val="single" w:sz="4" w:space="0" w:color="FFFFFF" w:themeColor="background1"/>
              <w:bottom w:val="single" w:sz="4" w:space="0" w:color="FFFFFF" w:themeColor="background1"/>
            </w:tcBorders>
            <w:shd w:val="solid" w:color="221F72" w:fill="221F72"/>
          </w:tcPr>
          <w:p w:rsidR="00B873A7" w:rsidRPr="00A42B4A" w:rsidRDefault="00B873A7" w:rsidP="0091513F">
            <w:pPr>
              <w:pStyle w:val="Tableheading"/>
              <w:spacing w:before="20" w:after="20"/>
              <w:jc w:val="center"/>
              <w:rPr>
                <w:i/>
                <w:sz w:val="16"/>
              </w:rPr>
            </w:pPr>
            <w:r w:rsidRPr="00A42B4A">
              <w:rPr>
                <w:sz w:val="16"/>
              </w:rPr>
              <w:t>+50%</w:t>
            </w:r>
            <w:r w:rsidRPr="00A42B4A">
              <w:rPr>
                <w:sz w:val="16"/>
              </w:rPr>
              <w:br/>
              <w:t>in 2020</w:t>
            </w:r>
          </w:p>
        </w:tc>
        <w:tc>
          <w:tcPr>
            <w:tcW w:w="903" w:type="dxa"/>
            <w:tcBorders>
              <w:top w:val="single" w:sz="4" w:space="0" w:color="FFFFFF" w:themeColor="background1"/>
              <w:bottom w:val="single" w:sz="4" w:space="0" w:color="FFFFFF" w:themeColor="background1"/>
            </w:tcBorders>
            <w:shd w:val="solid" w:color="221F72" w:fill="221F72"/>
          </w:tcPr>
          <w:p w:rsidR="00B873A7" w:rsidRPr="00A42B4A" w:rsidRDefault="00B873A7" w:rsidP="0091513F">
            <w:pPr>
              <w:pStyle w:val="Tableheading"/>
              <w:spacing w:before="20" w:after="20"/>
              <w:jc w:val="center"/>
              <w:rPr>
                <w:i/>
                <w:sz w:val="16"/>
              </w:rPr>
            </w:pPr>
            <w:r w:rsidRPr="00A42B4A">
              <w:rPr>
                <w:sz w:val="16"/>
              </w:rPr>
              <w:t>+100%</w:t>
            </w:r>
            <w:r w:rsidRPr="00A42B4A">
              <w:rPr>
                <w:sz w:val="16"/>
              </w:rPr>
              <w:br/>
              <w:t>in 2020</w:t>
            </w:r>
          </w:p>
        </w:tc>
      </w:tr>
      <w:tr w:rsidR="00011646" w:rsidTr="00EE4CCC">
        <w:tc>
          <w:tcPr>
            <w:tcW w:w="727" w:type="dxa"/>
            <w:tcBorders>
              <w:top w:val="single" w:sz="4" w:space="0" w:color="FFFFFF" w:themeColor="background1"/>
            </w:tcBorders>
          </w:tcPr>
          <w:p w:rsidR="00011646" w:rsidRDefault="00011646" w:rsidP="00841EA0">
            <w:pPr>
              <w:pStyle w:val="Tablecells"/>
              <w:ind w:right="0"/>
            </w:pPr>
            <w:r>
              <w:t>2020</w:t>
            </w:r>
          </w:p>
        </w:tc>
        <w:tc>
          <w:tcPr>
            <w:tcW w:w="884" w:type="dxa"/>
            <w:tcBorders>
              <w:top w:val="single" w:sz="4" w:space="0" w:color="FFFFFF" w:themeColor="background1"/>
            </w:tcBorders>
          </w:tcPr>
          <w:p w:rsidR="00011646" w:rsidRPr="00C25006" w:rsidRDefault="00011646" w:rsidP="00841EA0">
            <w:pPr>
              <w:pStyle w:val="Tablecells"/>
              <w:ind w:right="0"/>
            </w:pPr>
            <w:r w:rsidRPr="00C25006">
              <w:t xml:space="preserve">19,662 </w:t>
            </w:r>
          </w:p>
        </w:tc>
        <w:tc>
          <w:tcPr>
            <w:tcW w:w="884" w:type="dxa"/>
            <w:tcBorders>
              <w:top w:val="single" w:sz="4" w:space="0" w:color="FFFFFF" w:themeColor="background1"/>
            </w:tcBorders>
          </w:tcPr>
          <w:p w:rsidR="00011646" w:rsidRPr="00C25006" w:rsidRDefault="00011646" w:rsidP="00841EA0">
            <w:pPr>
              <w:pStyle w:val="Tablecells"/>
              <w:ind w:right="0"/>
            </w:pPr>
            <w:r w:rsidRPr="00C25006">
              <w:t xml:space="preserve">20,661 </w:t>
            </w:r>
          </w:p>
        </w:tc>
        <w:tc>
          <w:tcPr>
            <w:tcW w:w="885" w:type="dxa"/>
            <w:tcBorders>
              <w:top w:val="single" w:sz="4" w:space="0" w:color="FFFFFF" w:themeColor="background1"/>
            </w:tcBorders>
          </w:tcPr>
          <w:p w:rsidR="00011646" w:rsidRPr="00C25006" w:rsidRDefault="00011646" w:rsidP="00841EA0">
            <w:pPr>
              <w:pStyle w:val="Tablecells"/>
              <w:ind w:right="0"/>
            </w:pPr>
            <w:r w:rsidRPr="00C25006">
              <w:t xml:space="preserve">21,891 </w:t>
            </w:r>
          </w:p>
        </w:tc>
        <w:tc>
          <w:tcPr>
            <w:tcW w:w="884" w:type="dxa"/>
            <w:tcBorders>
              <w:top w:val="single" w:sz="4" w:space="0" w:color="FFFFFF" w:themeColor="background1"/>
            </w:tcBorders>
          </w:tcPr>
          <w:p w:rsidR="00011646" w:rsidRPr="00793612" w:rsidRDefault="00011646" w:rsidP="00011646">
            <w:pPr>
              <w:pStyle w:val="Tablecells"/>
              <w:ind w:right="0"/>
            </w:pPr>
            <w:r w:rsidRPr="00793612">
              <w:t xml:space="preserve">14,590 </w:t>
            </w:r>
          </w:p>
        </w:tc>
        <w:tc>
          <w:tcPr>
            <w:tcW w:w="884" w:type="dxa"/>
            <w:tcBorders>
              <w:top w:val="single" w:sz="4" w:space="0" w:color="FFFFFF" w:themeColor="background1"/>
            </w:tcBorders>
          </w:tcPr>
          <w:p w:rsidR="00011646" w:rsidRPr="00793612" w:rsidRDefault="00011646" w:rsidP="00011646">
            <w:pPr>
              <w:pStyle w:val="Tablecells"/>
              <w:ind w:right="0"/>
            </w:pPr>
            <w:r w:rsidRPr="00793612">
              <w:t xml:space="preserve">15,039 </w:t>
            </w:r>
          </w:p>
        </w:tc>
        <w:tc>
          <w:tcPr>
            <w:tcW w:w="885" w:type="dxa"/>
            <w:tcBorders>
              <w:top w:val="single" w:sz="4" w:space="0" w:color="FFFFFF" w:themeColor="background1"/>
            </w:tcBorders>
          </w:tcPr>
          <w:p w:rsidR="00011646" w:rsidRDefault="00011646" w:rsidP="00011646">
            <w:pPr>
              <w:pStyle w:val="Tablecells"/>
              <w:ind w:right="0"/>
            </w:pPr>
            <w:r w:rsidRPr="00793612">
              <w:t xml:space="preserve">15,683 </w:t>
            </w:r>
          </w:p>
        </w:tc>
        <w:tc>
          <w:tcPr>
            <w:tcW w:w="901" w:type="dxa"/>
            <w:tcBorders>
              <w:top w:val="single" w:sz="4" w:space="0" w:color="FFFFFF" w:themeColor="background1"/>
            </w:tcBorders>
          </w:tcPr>
          <w:p w:rsidR="00011646" w:rsidRPr="00011646" w:rsidRDefault="00011646" w:rsidP="00011646">
            <w:pPr>
              <w:pStyle w:val="Tablecells"/>
              <w:jc w:val="center"/>
              <w:rPr>
                <w:color w:val="FF0000"/>
              </w:rPr>
            </w:pPr>
            <w:r w:rsidRPr="00011646">
              <w:rPr>
                <w:color w:val="FF0000"/>
              </w:rPr>
              <w:t>-5,072</w:t>
            </w:r>
            <w:r w:rsidRPr="00011646">
              <w:rPr>
                <w:color w:val="FF0000"/>
              </w:rPr>
              <w:br/>
              <w:t>-26%</w:t>
            </w:r>
          </w:p>
        </w:tc>
        <w:tc>
          <w:tcPr>
            <w:tcW w:w="901" w:type="dxa"/>
            <w:tcBorders>
              <w:top w:val="single" w:sz="4" w:space="0" w:color="FFFFFF" w:themeColor="background1"/>
            </w:tcBorders>
          </w:tcPr>
          <w:p w:rsidR="00011646" w:rsidRPr="00011646" w:rsidRDefault="00011646" w:rsidP="00011646">
            <w:pPr>
              <w:pStyle w:val="Tablecells"/>
              <w:jc w:val="center"/>
              <w:rPr>
                <w:color w:val="FF0000"/>
              </w:rPr>
            </w:pPr>
            <w:r w:rsidRPr="00011646">
              <w:rPr>
                <w:color w:val="FF0000"/>
              </w:rPr>
              <w:t>-5,622</w:t>
            </w:r>
            <w:r w:rsidRPr="00011646">
              <w:rPr>
                <w:color w:val="FF0000"/>
              </w:rPr>
              <w:br/>
              <w:t>-27%</w:t>
            </w:r>
          </w:p>
        </w:tc>
        <w:tc>
          <w:tcPr>
            <w:tcW w:w="903" w:type="dxa"/>
            <w:tcBorders>
              <w:top w:val="single" w:sz="4" w:space="0" w:color="FFFFFF" w:themeColor="background1"/>
            </w:tcBorders>
          </w:tcPr>
          <w:p w:rsidR="00011646" w:rsidRPr="00011646" w:rsidRDefault="00011646" w:rsidP="00011646">
            <w:pPr>
              <w:pStyle w:val="Tablecells"/>
              <w:jc w:val="center"/>
              <w:rPr>
                <w:color w:val="FF0000"/>
              </w:rPr>
            </w:pPr>
            <w:r w:rsidRPr="00011646">
              <w:rPr>
                <w:color w:val="FF0000"/>
              </w:rPr>
              <w:t>-6,208</w:t>
            </w:r>
            <w:r w:rsidRPr="00011646">
              <w:rPr>
                <w:color w:val="FF0000"/>
              </w:rPr>
              <w:br/>
              <w:t>-28%</w:t>
            </w:r>
          </w:p>
        </w:tc>
      </w:tr>
      <w:tr w:rsidR="00011646" w:rsidTr="00011646">
        <w:trPr>
          <w:cnfStyle w:val="000000100000" w:firstRow="0" w:lastRow="0" w:firstColumn="0" w:lastColumn="0" w:oddVBand="0" w:evenVBand="0" w:oddHBand="1" w:evenHBand="0" w:firstRowFirstColumn="0" w:firstRowLastColumn="0" w:lastRowFirstColumn="0" w:lastRowLastColumn="0"/>
        </w:trPr>
        <w:tc>
          <w:tcPr>
            <w:tcW w:w="727" w:type="dxa"/>
            <w:tcBorders>
              <w:top w:val="nil"/>
              <w:bottom w:val="single" w:sz="4" w:space="0" w:color="808080"/>
            </w:tcBorders>
          </w:tcPr>
          <w:p w:rsidR="00011646" w:rsidRDefault="00011646" w:rsidP="00841EA0">
            <w:pPr>
              <w:pStyle w:val="Tablecells"/>
              <w:ind w:right="0"/>
            </w:pPr>
            <w:r>
              <w:t>2025</w:t>
            </w:r>
          </w:p>
        </w:tc>
        <w:tc>
          <w:tcPr>
            <w:tcW w:w="884" w:type="dxa"/>
            <w:tcBorders>
              <w:top w:val="nil"/>
              <w:bottom w:val="single" w:sz="4" w:space="0" w:color="808080"/>
            </w:tcBorders>
          </w:tcPr>
          <w:p w:rsidR="00011646" w:rsidRPr="00C25006" w:rsidRDefault="00011646" w:rsidP="00841EA0">
            <w:pPr>
              <w:pStyle w:val="Tablecells"/>
              <w:ind w:right="0"/>
            </w:pPr>
            <w:r w:rsidRPr="00C25006">
              <w:t xml:space="preserve">20,312 </w:t>
            </w:r>
          </w:p>
        </w:tc>
        <w:tc>
          <w:tcPr>
            <w:tcW w:w="884" w:type="dxa"/>
            <w:tcBorders>
              <w:top w:val="nil"/>
              <w:bottom w:val="single" w:sz="4" w:space="0" w:color="808080"/>
            </w:tcBorders>
          </w:tcPr>
          <w:p w:rsidR="00011646" w:rsidRPr="00C25006" w:rsidRDefault="00011646" w:rsidP="00841EA0">
            <w:pPr>
              <w:pStyle w:val="Tablecells"/>
              <w:ind w:right="0"/>
            </w:pPr>
            <w:r w:rsidRPr="00C25006">
              <w:t xml:space="preserve">22,204 </w:t>
            </w:r>
          </w:p>
        </w:tc>
        <w:tc>
          <w:tcPr>
            <w:tcW w:w="885" w:type="dxa"/>
            <w:tcBorders>
              <w:top w:val="nil"/>
              <w:bottom w:val="single" w:sz="4" w:space="0" w:color="808080"/>
            </w:tcBorders>
          </w:tcPr>
          <w:p w:rsidR="00011646" w:rsidRDefault="00011646" w:rsidP="00841EA0">
            <w:pPr>
              <w:pStyle w:val="Tablecells"/>
              <w:ind w:right="0"/>
            </w:pPr>
            <w:r w:rsidRPr="00C25006">
              <w:t xml:space="preserve">24,257 </w:t>
            </w:r>
          </w:p>
        </w:tc>
        <w:tc>
          <w:tcPr>
            <w:tcW w:w="884" w:type="dxa"/>
            <w:tcBorders>
              <w:top w:val="nil"/>
              <w:bottom w:val="single" w:sz="4" w:space="0" w:color="808080"/>
            </w:tcBorders>
          </w:tcPr>
          <w:p w:rsidR="00011646" w:rsidRPr="00B1144B" w:rsidRDefault="00011646" w:rsidP="00011646">
            <w:pPr>
              <w:pStyle w:val="Tablecells"/>
              <w:ind w:right="0"/>
            </w:pPr>
            <w:r w:rsidRPr="00B1144B">
              <w:t xml:space="preserve">14,895 </w:t>
            </w:r>
          </w:p>
        </w:tc>
        <w:tc>
          <w:tcPr>
            <w:tcW w:w="884" w:type="dxa"/>
            <w:tcBorders>
              <w:top w:val="nil"/>
              <w:bottom w:val="single" w:sz="4" w:space="0" w:color="808080"/>
            </w:tcBorders>
          </w:tcPr>
          <w:p w:rsidR="00011646" w:rsidRPr="00B1144B" w:rsidRDefault="00011646" w:rsidP="00011646">
            <w:pPr>
              <w:pStyle w:val="Tablecells"/>
              <w:ind w:right="0"/>
            </w:pPr>
            <w:r w:rsidRPr="00B1144B">
              <w:t xml:space="preserve">15,882 </w:t>
            </w:r>
          </w:p>
        </w:tc>
        <w:tc>
          <w:tcPr>
            <w:tcW w:w="885" w:type="dxa"/>
            <w:tcBorders>
              <w:top w:val="nil"/>
              <w:bottom w:val="single" w:sz="4" w:space="0" w:color="808080"/>
            </w:tcBorders>
          </w:tcPr>
          <w:p w:rsidR="00011646" w:rsidRDefault="00011646" w:rsidP="00011646">
            <w:pPr>
              <w:pStyle w:val="Tablecells"/>
              <w:ind w:right="0"/>
            </w:pPr>
            <w:r w:rsidRPr="00B1144B">
              <w:t xml:space="preserve">17,031 </w:t>
            </w:r>
          </w:p>
        </w:tc>
        <w:tc>
          <w:tcPr>
            <w:tcW w:w="901" w:type="dxa"/>
            <w:tcBorders>
              <w:top w:val="nil"/>
              <w:bottom w:val="single" w:sz="4" w:space="0" w:color="808080"/>
            </w:tcBorders>
          </w:tcPr>
          <w:p w:rsidR="00011646" w:rsidRPr="00011646" w:rsidRDefault="00011646" w:rsidP="00011646">
            <w:pPr>
              <w:pStyle w:val="Tablecells"/>
              <w:jc w:val="center"/>
              <w:rPr>
                <w:color w:val="FF0000"/>
              </w:rPr>
            </w:pPr>
            <w:r w:rsidRPr="00011646">
              <w:rPr>
                <w:color w:val="FF0000"/>
              </w:rPr>
              <w:t>-5,417</w:t>
            </w:r>
            <w:r w:rsidRPr="00011646">
              <w:rPr>
                <w:color w:val="FF0000"/>
              </w:rPr>
              <w:br/>
              <w:t>-27%</w:t>
            </w:r>
          </w:p>
        </w:tc>
        <w:tc>
          <w:tcPr>
            <w:tcW w:w="901" w:type="dxa"/>
            <w:tcBorders>
              <w:top w:val="nil"/>
              <w:bottom w:val="single" w:sz="4" w:space="0" w:color="808080"/>
            </w:tcBorders>
          </w:tcPr>
          <w:p w:rsidR="00011646" w:rsidRPr="00011646" w:rsidRDefault="00011646" w:rsidP="00011646">
            <w:pPr>
              <w:pStyle w:val="Tablecells"/>
              <w:jc w:val="center"/>
              <w:rPr>
                <w:color w:val="FF0000"/>
              </w:rPr>
            </w:pPr>
            <w:r w:rsidRPr="00011646">
              <w:rPr>
                <w:color w:val="FF0000"/>
              </w:rPr>
              <w:t>-6,322</w:t>
            </w:r>
            <w:r w:rsidRPr="00011646">
              <w:rPr>
                <w:color w:val="FF0000"/>
              </w:rPr>
              <w:br/>
              <w:t>-28%</w:t>
            </w:r>
          </w:p>
        </w:tc>
        <w:tc>
          <w:tcPr>
            <w:tcW w:w="903" w:type="dxa"/>
            <w:tcBorders>
              <w:top w:val="nil"/>
              <w:bottom w:val="single" w:sz="4" w:space="0" w:color="808080"/>
            </w:tcBorders>
          </w:tcPr>
          <w:p w:rsidR="00011646" w:rsidRPr="00011646" w:rsidRDefault="00011646" w:rsidP="00011646">
            <w:pPr>
              <w:pStyle w:val="Tablecells"/>
              <w:jc w:val="center"/>
              <w:rPr>
                <w:color w:val="FF0000"/>
              </w:rPr>
            </w:pPr>
            <w:r w:rsidRPr="00011646">
              <w:rPr>
                <w:color w:val="FF0000"/>
              </w:rPr>
              <w:t>-7,226</w:t>
            </w:r>
            <w:r w:rsidRPr="00011646">
              <w:rPr>
                <w:color w:val="FF0000"/>
              </w:rPr>
              <w:br/>
              <w:t>-30%</w:t>
            </w:r>
          </w:p>
        </w:tc>
      </w:tr>
    </w:tbl>
    <w:p w:rsidR="00B873A7" w:rsidRDefault="00B873A7" w:rsidP="0023094B">
      <w:pPr>
        <w:pStyle w:val="Heading4"/>
        <w:pageBreakBefore/>
        <w:spacing w:before="0"/>
      </w:pPr>
      <w:r>
        <w:t>540MHz released in 2015</w:t>
      </w:r>
    </w:p>
    <w:p w:rsidR="00B873A7" w:rsidRDefault="00B873A7" w:rsidP="00011646">
      <w:pPr>
        <w:spacing w:after="120"/>
      </w:pPr>
      <w:r>
        <w:t>In this sensitivity, we assume that another 540MHz (2×25MHz of sub-</w:t>
      </w:r>
      <w:r w:rsidRPr="008630EB">
        <w:t>1GHz spectrum</w:t>
      </w:r>
      <w:r>
        <w:t xml:space="preserve"> and 2×245MHz of 1–6GHz spectrum) is released in 2015. Again we assume that the extra spectrum is allocated to each of the three operators in proportion to their rounded national market share.</w:t>
      </w:r>
      <w:r w:rsidR="00011646">
        <w:t xml:space="preserve"> </w:t>
      </w:r>
      <w:r>
        <w:t xml:space="preserve">The results are shown in </w:t>
      </w:r>
      <w:r w:rsidRPr="002D2F9B">
        <w:fldChar w:fldCharType="begin"/>
      </w:r>
      <w:r w:rsidRPr="002571CA">
        <w:instrText xml:space="preserve"> REF _Ref378544528 \h </w:instrText>
      </w:r>
      <w:r w:rsidRPr="002D2F9B">
        <w:fldChar w:fldCharType="separate"/>
      </w:r>
      <w:r w:rsidR="00A87B65" w:rsidRPr="00DD020E">
        <w:rPr>
          <w:spacing w:val="-4"/>
        </w:rPr>
        <w:t>Figure</w:t>
      </w:r>
      <w:r w:rsidR="00A87B65">
        <w:rPr>
          <w:spacing w:val="-4"/>
        </w:rPr>
        <w:t> </w:t>
      </w:r>
      <w:r w:rsidR="00A87B65">
        <w:rPr>
          <w:noProof/>
          <w:spacing w:val="-4"/>
        </w:rPr>
        <w:t>4</w:t>
      </w:r>
      <w:r w:rsidR="00A87B65" w:rsidRPr="00DD020E">
        <w:rPr>
          <w:spacing w:val="-4"/>
        </w:rPr>
        <w:t>.</w:t>
      </w:r>
      <w:r w:rsidR="00A87B65">
        <w:rPr>
          <w:noProof/>
          <w:spacing w:val="-4"/>
        </w:rPr>
        <w:t>58</w:t>
      </w:r>
      <w:r w:rsidRPr="002D2F9B">
        <w:fldChar w:fldCharType="end"/>
      </w:r>
      <w:r>
        <w:t xml:space="preserve">. </w:t>
      </w:r>
    </w:p>
    <w:p w:rsidR="00B873A7" w:rsidRPr="00DD020E" w:rsidRDefault="00B873A7" w:rsidP="00B873A7">
      <w:pPr>
        <w:pStyle w:val="Caption"/>
        <w:rPr>
          <w:spacing w:val="-4"/>
        </w:rPr>
      </w:pPr>
      <w:bookmarkStart w:id="189" w:name="_Ref378544528"/>
      <w:r w:rsidRPr="00DD020E">
        <w:rPr>
          <w:spacing w:val="-4"/>
        </w:rPr>
        <w:t>Figure</w:t>
      </w:r>
      <w:r>
        <w:rPr>
          <w:spacing w:val="-4"/>
        </w:rPr>
        <w:t> </w:t>
      </w:r>
      <w:r w:rsidRPr="00DD020E">
        <w:rPr>
          <w:spacing w:val="-4"/>
        </w:rPr>
        <w:fldChar w:fldCharType="begin"/>
      </w:r>
      <w:r w:rsidRPr="00DD020E">
        <w:rPr>
          <w:spacing w:val="-4"/>
        </w:rPr>
        <w:instrText xml:space="preserve"> STYLEREF 1 \s \* MERGEFORMAT </w:instrText>
      </w:r>
      <w:r w:rsidRPr="00DD020E">
        <w:rPr>
          <w:spacing w:val="-4"/>
        </w:rPr>
        <w:fldChar w:fldCharType="separate"/>
      </w:r>
      <w:r w:rsidR="00A87B65">
        <w:rPr>
          <w:noProof/>
          <w:spacing w:val="-4"/>
        </w:rPr>
        <w:t>4</w:t>
      </w:r>
      <w:r w:rsidRPr="00DD020E">
        <w:rPr>
          <w:noProof/>
          <w:spacing w:val="-4"/>
        </w:rPr>
        <w:fldChar w:fldCharType="end"/>
      </w:r>
      <w:r w:rsidRPr="00DD020E">
        <w:rPr>
          <w:spacing w:val="-4"/>
        </w:rPr>
        <w:t>.</w:t>
      </w:r>
      <w:r w:rsidRPr="00DD020E">
        <w:rPr>
          <w:spacing w:val="-4"/>
        </w:rPr>
        <w:fldChar w:fldCharType="begin"/>
      </w:r>
      <w:r w:rsidRPr="00DD020E">
        <w:rPr>
          <w:spacing w:val="-4"/>
        </w:rPr>
        <w:instrText xml:space="preserve"> SEQ Figure \* ARABIC \s 1 \* MERGEFORMAT </w:instrText>
      </w:r>
      <w:r w:rsidRPr="00DD020E">
        <w:rPr>
          <w:spacing w:val="-4"/>
        </w:rPr>
        <w:fldChar w:fldCharType="separate"/>
      </w:r>
      <w:r w:rsidR="00A87B65">
        <w:rPr>
          <w:noProof/>
          <w:spacing w:val="-4"/>
        </w:rPr>
        <w:t>58</w:t>
      </w:r>
      <w:r w:rsidRPr="00DD020E">
        <w:rPr>
          <w:noProof/>
          <w:spacing w:val="-4"/>
        </w:rPr>
        <w:fldChar w:fldCharType="end"/>
      </w:r>
      <w:bookmarkEnd w:id="189"/>
      <w:r w:rsidRPr="00DD020E">
        <w:rPr>
          <w:spacing w:val="-4"/>
        </w:rPr>
        <w:t>: Logical sites for all operators; additi</w:t>
      </w:r>
      <w:r>
        <w:rPr>
          <w:spacing w:val="-4"/>
        </w:rPr>
        <w:t>onal spectrum allocation, 540MHz released in 2015</w:t>
      </w:r>
      <w:r w:rsidRPr="00DD020E">
        <w:rPr>
          <w:spacing w:val="-4"/>
        </w:rPr>
        <w:t xml:space="preserve"> [Source: Analysys Mason, </w:t>
      </w:r>
      <w:r>
        <w:rPr>
          <w:spacing w:val="-4"/>
        </w:rPr>
        <w:t>2014</w:t>
      </w:r>
      <w:r w:rsidRPr="00DD020E">
        <w:rPr>
          <w:spacing w:val="-4"/>
        </w:rPr>
        <w:t>]</w:t>
      </w:r>
    </w:p>
    <w:p w:rsidR="00B873A7" w:rsidRDefault="00577827" w:rsidP="00577827">
      <w:pPr>
        <w:jc w:val="center"/>
      </w:pPr>
      <w:r w:rsidRPr="00577827">
        <w:rPr>
          <w:noProof/>
          <w:lang w:val="en-AU" w:eastAsia="en-AU"/>
        </w:rPr>
        <w:drawing>
          <wp:inline distT="0" distB="0" distL="0" distR="0" wp14:anchorId="75F7794D" wp14:editId="31F587DE">
            <wp:extent cx="5362575" cy="3114675"/>
            <wp:effectExtent l="0" t="0" r="0" b="0"/>
            <wp:docPr id="110" name="Picture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5362575" cy="3114675"/>
                    </a:xfrm>
                    <a:prstGeom prst="rect">
                      <a:avLst/>
                    </a:prstGeom>
                    <a:noFill/>
                    <a:ln>
                      <a:noFill/>
                    </a:ln>
                  </pic:spPr>
                </pic:pic>
              </a:graphicData>
            </a:graphic>
          </wp:inline>
        </w:drawing>
      </w:r>
    </w:p>
    <w:p w:rsidR="00B873A7" w:rsidRDefault="00B873A7" w:rsidP="00B873A7">
      <w:r w:rsidRPr="002D2F9B">
        <w:fldChar w:fldCharType="begin"/>
      </w:r>
      <w:r w:rsidRPr="002571CA">
        <w:instrText xml:space="preserve"> REF _Ref383446387 \h </w:instrText>
      </w:r>
      <w:r w:rsidRPr="002D2F9B">
        <w:fldChar w:fldCharType="separate"/>
      </w:r>
      <w:r w:rsidR="00A87B65">
        <w:t>Figure </w:t>
      </w:r>
      <w:r w:rsidR="00A87B65">
        <w:rPr>
          <w:noProof/>
        </w:rPr>
        <w:t>4</w:t>
      </w:r>
      <w:r w:rsidR="00A87B65">
        <w:t>.</w:t>
      </w:r>
      <w:r w:rsidR="00A87B65">
        <w:rPr>
          <w:noProof/>
        </w:rPr>
        <w:t>59</w:t>
      </w:r>
      <w:r w:rsidRPr="002D2F9B">
        <w:fldChar w:fldCharType="end"/>
      </w:r>
      <w:r>
        <w:t xml:space="preserve"> shows that making another 540MHz of spectrum available has again slightly larger impact on the number of 4G sites required than making 240MHz of spectrum available: the number of sites needed in 2020 is reduced by </w:t>
      </w:r>
      <w:r w:rsidR="00011646">
        <w:t>27–32%</w:t>
      </w:r>
      <w:r>
        <w:t xml:space="preserve"> and in 2025 by </w:t>
      </w:r>
      <w:r w:rsidR="00011646">
        <w:t>28–36%</w:t>
      </w:r>
      <w:r>
        <w:t xml:space="preserve">. </w:t>
      </w:r>
      <w:bookmarkStart w:id="190" w:name="_Ref378544537"/>
    </w:p>
    <w:p w:rsidR="00B873A7" w:rsidRPr="00535269" w:rsidRDefault="00B873A7" w:rsidP="00B873A7">
      <w:pPr>
        <w:pStyle w:val="Caption"/>
      </w:pPr>
      <w:bookmarkStart w:id="191" w:name="_Ref383446387"/>
      <w:r>
        <w:t>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fldSimple w:instr=" SEQ Figure \* ARABIC \s 1 \* MERGEFORMAT ">
        <w:r w:rsidR="00A87B65">
          <w:rPr>
            <w:noProof/>
          </w:rPr>
          <w:t>59</w:t>
        </w:r>
      </w:fldSimple>
      <w:bookmarkEnd w:id="190"/>
      <w:bookmarkEnd w:id="191"/>
      <w:r>
        <w:t>: Effect of assuming release of additional 540MHz of spectrum on number of 4G capacity sites required with varying assumptions about traffic levels [Source: Analysys Mason, 2014]</w:t>
      </w:r>
    </w:p>
    <w:tbl>
      <w:tblPr>
        <w:tblStyle w:val="MediumShading2-Accent1"/>
        <w:tblW w:w="8738" w:type="dxa"/>
        <w:tblInd w:w="108" w:type="dxa"/>
        <w:tblLayout w:type="fixed"/>
        <w:tblLook w:val="0420" w:firstRow="1" w:lastRow="0" w:firstColumn="0" w:lastColumn="0" w:noHBand="0" w:noVBand="1"/>
      </w:tblPr>
      <w:tblGrid>
        <w:gridCol w:w="727"/>
        <w:gridCol w:w="884"/>
        <w:gridCol w:w="884"/>
        <w:gridCol w:w="885"/>
        <w:gridCol w:w="884"/>
        <w:gridCol w:w="884"/>
        <w:gridCol w:w="885"/>
        <w:gridCol w:w="901"/>
        <w:gridCol w:w="901"/>
        <w:gridCol w:w="903"/>
      </w:tblGrid>
      <w:tr w:rsidR="00B873A7" w:rsidRPr="00A42B4A" w:rsidTr="00EE4CCC">
        <w:trPr>
          <w:cnfStyle w:val="100000000000" w:firstRow="1" w:lastRow="0" w:firstColumn="0" w:lastColumn="0" w:oddVBand="0" w:evenVBand="0" w:oddHBand="0" w:evenHBand="0" w:firstRowFirstColumn="0" w:firstRowLastColumn="0" w:lastRowFirstColumn="0" w:lastRowLastColumn="0"/>
        </w:trPr>
        <w:tc>
          <w:tcPr>
            <w:tcW w:w="727" w:type="dxa"/>
            <w:tcBorders>
              <w:top w:val="single" w:sz="18" w:space="0" w:color="221F72"/>
              <w:bottom w:val="single" w:sz="4" w:space="0" w:color="FFFFFF" w:themeColor="background1"/>
            </w:tcBorders>
            <w:shd w:val="solid" w:color="221F72" w:fill="221F72"/>
          </w:tcPr>
          <w:p w:rsidR="00B873A7" w:rsidRPr="00A42B4A" w:rsidRDefault="00B873A7" w:rsidP="00841EA0">
            <w:pPr>
              <w:pStyle w:val="Tableheading"/>
              <w:spacing w:before="20" w:after="20"/>
              <w:rPr>
                <w:b/>
                <w:i/>
              </w:rPr>
            </w:pPr>
          </w:p>
        </w:tc>
        <w:tc>
          <w:tcPr>
            <w:tcW w:w="2653" w:type="dxa"/>
            <w:gridSpan w:val="3"/>
            <w:tcBorders>
              <w:top w:val="single" w:sz="18" w:space="0" w:color="221F72"/>
              <w:bottom w:val="single" w:sz="4" w:space="0" w:color="FFFFFF" w:themeColor="background1"/>
            </w:tcBorders>
            <w:shd w:val="solid" w:color="221F72" w:fill="221F72"/>
          </w:tcPr>
          <w:p w:rsidR="00B873A7" w:rsidRPr="004A1D72" w:rsidRDefault="00B873A7" w:rsidP="00841EA0">
            <w:pPr>
              <w:pStyle w:val="Tableheading"/>
              <w:spacing w:before="20" w:after="20"/>
              <w:ind w:right="0"/>
              <w:jc w:val="center"/>
              <w:rPr>
                <w:b/>
                <w:i/>
              </w:rPr>
            </w:pPr>
            <w:r w:rsidRPr="004A1D72">
              <w:rPr>
                <w:b/>
              </w:rPr>
              <w:t>Baseline amount of spectrum</w:t>
            </w:r>
          </w:p>
        </w:tc>
        <w:tc>
          <w:tcPr>
            <w:tcW w:w="2653" w:type="dxa"/>
            <w:gridSpan w:val="3"/>
            <w:tcBorders>
              <w:top w:val="single" w:sz="18" w:space="0" w:color="221F72"/>
              <w:bottom w:val="single" w:sz="4" w:space="0" w:color="FFFFFF" w:themeColor="background1"/>
            </w:tcBorders>
            <w:shd w:val="solid" w:color="221F72" w:fill="221F72"/>
          </w:tcPr>
          <w:p w:rsidR="00B873A7" w:rsidRPr="004A1D72" w:rsidRDefault="00B873A7" w:rsidP="00841EA0">
            <w:pPr>
              <w:pStyle w:val="Tableheading"/>
              <w:spacing w:before="20" w:after="20"/>
              <w:ind w:right="0"/>
              <w:jc w:val="center"/>
              <w:rPr>
                <w:b/>
                <w:i/>
              </w:rPr>
            </w:pPr>
            <w:r w:rsidRPr="004A1D72">
              <w:rPr>
                <w:b/>
              </w:rPr>
              <w:t xml:space="preserve">Additional </w:t>
            </w:r>
            <w:r>
              <w:rPr>
                <w:b/>
              </w:rPr>
              <w:t>54</w:t>
            </w:r>
            <w:r w:rsidRPr="004A1D72">
              <w:rPr>
                <w:b/>
              </w:rPr>
              <w:t>0MHz</w:t>
            </w:r>
          </w:p>
        </w:tc>
        <w:tc>
          <w:tcPr>
            <w:tcW w:w="2705" w:type="dxa"/>
            <w:gridSpan w:val="3"/>
            <w:tcBorders>
              <w:top w:val="single" w:sz="18" w:space="0" w:color="221F72"/>
              <w:bottom w:val="single" w:sz="4" w:space="0" w:color="FFFFFF" w:themeColor="background1"/>
            </w:tcBorders>
            <w:shd w:val="solid" w:color="221F72" w:fill="221F72"/>
          </w:tcPr>
          <w:p w:rsidR="00B873A7" w:rsidRPr="004A1D72" w:rsidRDefault="00577827" w:rsidP="00841EA0">
            <w:pPr>
              <w:pStyle w:val="Tableheading"/>
              <w:spacing w:before="20" w:after="20"/>
              <w:ind w:right="0"/>
              <w:jc w:val="center"/>
              <w:rPr>
                <w:b/>
                <w:i/>
              </w:rPr>
            </w:pPr>
            <w:r>
              <w:rPr>
                <w:b/>
              </w:rPr>
              <w:t>Difference</w:t>
            </w:r>
          </w:p>
        </w:tc>
      </w:tr>
      <w:tr w:rsidR="00B873A7" w:rsidRPr="00A42B4A" w:rsidTr="00EE4CCC">
        <w:trPr>
          <w:cnfStyle w:val="000000100000" w:firstRow="0" w:lastRow="0" w:firstColumn="0" w:lastColumn="0" w:oddVBand="0" w:evenVBand="0" w:oddHBand="1" w:evenHBand="0" w:firstRowFirstColumn="0" w:firstRowLastColumn="0" w:lastRowFirstColumn="0" w:lastRowLastColumn="0"/>
        </w:trPr>
        <w:tc>
          <w:tcPr>
            <w:tcW w:w="727" w:type="dxa"/>
            <w:tcBorders>
              <w:top w:val="single" w:sz="4" w:space="0" w:color="FFFFFF" w:themeColor="background1"/>
              <w:bottom w:val="single" w:sz="4" w:space="0" w:color="FFFFFF" w:themeColor="background1"/>
            </w:tcBorders>
            <w:shd w:val="solid" w:color="221F72" w:fill="221F72"/>
          </w:tcPr>
          <w:p w:rsidR="00B873A7" w:rsidRPr="00A42B4A" w:rsidRDefault="00B873A7" w:rsidP="00841EA0">
            <w:pPr>
              <w:pStyle w:val="Tableheading"/>
              <w:spacing w:before="20" w:after="20"/>
              <w:rPr>
                <w:i/>
              </w:rPr>
            </w:pPr>
          </w:p>
        </w:tc>
        <w:tc>
          <w:tcPr>
            <w:tcW w:w="884" w:type="dxa"/>
            <w:tcBorders>
              <w:top w:val="single" w:sz="4" w:space="0" w:color="FFFFFF" w:themeColor="background1"/>
              <w:bottom w:val="single" w:sz="4" w:space="0" w:color="FFFFFF" w:themeColor="background1"/>
            </w:tcBorders>
            <w:shd w:val="solid" w:color="221F72" w:fill="221F72"/>
          </w:tcPr>
          <w:p w:rsidR="00B873A7" w:rsidRPr="00A42B4A" w:rsidRDefault="00B873A7" w:rsidP="0091513F">
            <w:pPr>
              <w:pStyle w:val="Tableheading"/>
              <w:spacing w:before="20" w:after="20"/>
              <w:jc w:val="center"/>
              <w:rPr>
                <w:i/>
                <w:sz w:val="16"/>
              </w:rPr>
            </w:pPr>
            <w:r w:rsidRPr="00A42B4A">
              <w:rPr>
                <w:sz w:val="16"/>
              </w:rPr>
              <w:t>Base traffic</w:t>
            </w:r>
          </w:p>
        </w:tc>
        <w:tc>
          <w:tcPr>
            <w:tcW w:w="884" w:type="dxa"/>
            <w:tcBorders>
              <w:top w:val="single" w:sz="4" w:space="0" w:color="FFFFFF" w:themeColor="background1"/>
              <w:bottom w:val="single" w:sz="4" w:space="0" w:color="FFFFFF" w:themeColor="background1"/>
            </w:tcBorders>
            <w:shd w:val="solid" w:color="221F72" w:fill="221F72"/>
          </w:tcPr>
          <w:p w:rsidR="00B873A7" w:rsidRPr="00A42B4A" w:rsidRDefault="00B873A7" w:rsidP="0091513F">
            <w:pPr>
              <w:pStyle w:val="Tableheading"/>
              <w:spacing w:before="20" w:after="20"/>
              <w:jc w:val="center"/>
              <w:rPr>
                <w:i/>
              </w:rPr>
            </w:pPr>
            <w:r w:rsidRPr="00A42B4A">
              <w:rPr>
                <w:sz w:val="16"/>
              </w:rPr>
              <w:t>+50%</w:t>
            </w:r>
            <w:r w:rsidRPr="00A42B4A">
              <w:rPr>
                <w:sz w:val="16"/>
              </w:rPr>
              <w:br/>
              <w:t>in 2020</w:t>
            </w:r>
          </w:p>
        </w:tc>
        <w:tc>
          <w:tcPr>
            <w:tcW w:w="885" w:type="dxa"/>
            <w:tcBorders>
              <w:top w:val="single" w:sz="4" w:space="0" w:color="FFFFFF" w:themeColor="background1"/>
              <w:bottom w:val="single" w:sz="4" w:space="0" w:color="FFFFFF" w:themeColor="background1"/>
            </w:tcBorders>
            <w:shd w:val="solid" w:color="221F72" w:fill="221F72"/>
          </w:tcPr>
          <w:p w:rsidR="00B873A7" w:rsidRPr="00A42B4A" w:rsidRDefault="00B873A7" w:rsidP="0091513F">
            <w:pPr>
              <w:pStyle w:val="Tableheading"/>
              <w:spacing w:before="20" w:after="20"/>
              <w:jc w:val="center"/>
              <w:rPr>
                <w:i/>
                <w:sz w:val="16"/>
              </w:rPr>
            </w:pPr>
            <w:r w:rsidRPr="00A42B4A">
              <w:rPr>
                <w:sz w:val="16"/>
              </w:rPr>
              <w:t>+100%</w:t>
            </w:r>
            <w:r w:rsidRPr="00A42B4A">
              <w:rPr>
                <w:sz w:val="16"/>
              </w:rPr>
              <w:br/>
              <w:t>in 2020</w:t>
            </w:r>
          </w:p>
        </w:tc>
        <w:tc>
          <w:tcPr>
            <w:tcW w:w="884" w:type="dxa"/>
            <w:tcBorders>
              <w:top w:val="single" w:sz="4" w:space="0" w:color="FFFFFF" w:themeColor="background1"/>
              <w:bottom w:val="single" w:sz="4" w:space="0" w:color="FFFFFF" w:themeColor="background1"/>
            </w:tcBorders>
            <w:shd w:val="solid" w:color="221F72" w:fill="221F72"/>
          </w:tcPr>
          <w:p w:rsidR="00B873A7" w:rsidRPr="00A42B4A" w:rsidRDefault="00B873A7" w:rsidP="0091513F">
            <w:pPr>
              <w:pStyle w:val="Tableheading"/>
              <w:spacing w:before="20" w:after="20"/>
              <w:jc w:val="center"/>
              <w:rPr>
                <w:i/>
                <w:sz w:val="16"/>
              </w:rPr>
            </w:pPr>
            <w:r w:rsidRPr="00A42B4A">
              <w:rPr>
                <w:sz w:val="16"/>
              </w:rPr>
              <w:t>Base traffic</w:t>
            </w:r>
          </w:p>
        </w:tc>
        <w:tc>
          <w:tcPr>
            <w:tcW w:w="884" w:type="dxa"/>
            <w:tcBorders>
              <w:top w:val="single" w:sz="4" w:space="0" w:color="FFFFFF" w:themeColor="background1"/>
              <w:bottom w:val="single" w:sz="4" w:space="0" w:color="FFFFFF" w:themeColor="background1"/>
            </w:tcBorders>
            <w:shd w:val="solid" w:color="221F72" w:fill="221F72"/>
          </w:tcPr>
          <w:p w:rsidR="00B873A7" w:rsidRPr="00A42B4A" w:rsidRDefault="00B873A7" w:rsidP="0091513F">
            <w:pPr>
              <w:pStyle w:val="Tableheading"/>
              <w:spacing w:before="20" w:after="20"/>
              <w:jc w:val="center"/>
              <w:rPr>
                <w:i/>
                <w:sz w:val="16"/>
              </w:rPr>
            </w:pPr>
            <w:r w:rsidRPr="00A42B4A">
              <w:rPr>
                <w:sz w:val="16"/>
              </w:rPr>
              <w:t>+50%</w:t>
            </w:r>
            <w:r w:rsidRPr="00A42B4A">
              <w:rPr>
                <w:sz w:val="16"/>
              </w:rPr>
              <w:br/>
              <w:t>in 2020</w:t>
            </w:r>
          </w:p>
        </w:tc>
        <w:tc>
          <w:tcPr>
            <w:tcW w:w="885" w:type="dxa"/>
            <w:tcBorders>
              <w:top w:val="single" w:sz="4" w:space="0" w:color="FFFFFF" w:themeColor="background1"/>
              <w:bottom w:val="single" w:sz="4" w:space="0" w:color="FFFFFF" w:themeColor="background1"/>
            </w:tcBorders>
            <w:shd w:val="solid" w:color="221F72" w:fill="221F72"/>
          </w:tcPr>
          <w:p w:rsidR="00B873A7" w:rsidRPr="00A42B4A" w:rsidRDefault="00B873A7" w:rsidP="0091513F">
            <w:pPr>
              <w:pStyle w:val="Tableheading"/>
              <w:spacing w:before="20" w:after="20"/>
              <w:jc w:val="center"/>
              <w:rPr>
                <w:i/>
                <w:sz w:val="16"/>
              </w:rPr>
            </w:pPr>
            <w:r w:rsidRPr="00A42B4A">
              <w:rPr>
                <w:sz w:val="16"/>
              </w:rPr>
              <w:t>+100%</w:t>
            </w:r>
            <w:r w:rsidRPr="00A42B4A">
              <w:rPr>
                <w:sz w:val="16"/>
              </w:rPr>
              <w:br/>
              <w:t>in 2020</w:t>
            </w:r>
          </w:p>
        </w:tc>
        <w:tc>
          <w:tcPr>
            <w:tcW w:w="901" w:type="dxa"/>
            <w:tcBorders>
              <w:top w:val="single" w:sz="4" w:space="0" w:color="FFFFFF" w:themeColor="background1"/>
              <w:bottom w:val="single" w:sz="4" w:space="0" w:color="FFFFFF" w:themeColor="background1"/>
            </w:tcBorders>
            <w:shd w:val="solid" w:color="221F72" w:fill="221F72"/>
          </w:tcPr>
          <w:p w:rsidR="00B873A7" w:rsidRPr="00A42B4A" w:rsidRDefault="00B873A7" w:rsidP="0091513F">
            <w:pPr>
              <w:pStyle w:val="Tableheading"/>
              <w:spacing w:before="20" w:after="20"/>
              <w:jc w:val="center"/>
              <w:rPr>
                <w:i/>
                <w:sz w:val="16"/>
              </w:rPr>
            </w:pPr>
            <w:r w:rsidRPr="00A42B4A">
              <w:rPr>
                <w:sz w:val="16"/>
              </w:rPr>
              <w:t>Base traffic</w:t>
            </w:r>
          </w:p>
        </w:tc>
        <w:tc>
          <w:tcPr>
            <w:tcW w:w="901" w:type="dxa"/>
            <w:tcBorders>
              <w:top w:val="single" w:sz="4" w:space="0" w:color="FFFFFF" w:themeColor="background1"/>
              <w:bottom w:val="single" w:sz="4" w:space="0" w:color="FFFFFF" w:themeColor="background1"/>
            </w:tcBorders>
            <w:shd w:val="solid" w:color="221F72" w:fill="221F72"/>
          </w:tcPr>
          <w:p w:rsidR="00B873A7" w:rsidRPr="00A42B4A" w:rsidRDefault="00B873A7" w:rsidP="0091513F">
            <w:pPr>
              <w:pStyle w:val="Tableheading"/>
              <w:spacing w:before="20" w:after="20"/>
              <w:jc w:val="center"/>
              <w:rPr>
                <w:i/>
                <w:sz w:val="16"/>
              </w:rPr>
            </w:pPr>
            <w:r w:rsidRPr="00A42B4A">
              <w:rPr>
                <w:sz w:val="16"/>
              </w:rPr>
              <w:t>+50%</w:t>
            </w:r>
            <w:r w:rsidRPr="00A42B4A">
              <w:rPr>
                <w:sz w:val="16"/>
              </w:rPr>
              <w:br/>
              <w:t>in 2020</w:t>
            </w:r>
          </w:p>
        </w:tc>
        <w:tc>
          <w:tcPr>
            <w:tcW w:w="903" w:type="dxa"/>
            <w:tcBorders>
              <w:top w:val="single" w:sz="4" w:space="0" w:color="FFFFFF" w:themeColor="background1"/>
              <w:bottom w:val="single" w:sz="4" w:space="0" w:color="FFFFFF" w:themeColor="background1"/>
            </w:tcBorders>
            <w:shd w:val="solid" w:color="221F72" w:fill="221F72"/>
          </w:tcPr>
          <w:p w:rsidR="00B873A7" w:rsidRPr="00A42B4A" w:rsidRDefault="00B873A7" w:rsidP="0091513F">
            <w:pPr>
              <w:pStyle w:val="Tableheading"/>
              <w:spacing w:before="20" w:after="20"/>
              <w:jc w:val="center"/>
              <w:rPr>
                <w:i/>
                <w:sz w:val="16"/>
              </w:rPr>
            </w:pPr>
            <w:r w:rsidRPr="00A42B4A">
              <w:rPr>
                <w:sz w:val="16"/>
              </w:rPr>
              <w:t>+100%</w:t>
            </w:r>
            <w:r w:rsidRPr="00A42B4A">
              <w:rPr>
                <w:sz w:val="16"/>
              </w:rPr>
              <w:br/>
              <w:t>in 2020</w:t>
            </w:r>
          </w:p>
        </w:tc>
      </w:tr>
      <w:tr w:rsidR="00011646" w:rsidTr="00EE4CCC">
        <w:tc>
          <w:tcPr>
            <w:tcW w:w="727" w:type="dxa"/>
            <w:tcBorders>
              <w:top w:val="single" w:sz="4" w:space="0" w:color="FFFFFF" w:themeColor="background1"/>
            </w:tcBorders>
          </w:tcPr>
          <w:p w:rsidR="00011646" w:rsidRDefault="00011646" w:rsidP="00841EA0">
            <w:pPr>
              <w:pStyle w:val="Tablecells"/>
              <w:ind w:right="0"/>
            </w:pPr>
            <w:r>
              <w:t>2020</w:t>
            </w:r>
          </w:p>
        </w:tc>
        <w:tc>
          <w:tcPr>
            <w:tcW w:w="884" w:type="dxa"/>
            <w:tcBorders>
              <w:top w:val="single" w:sz="4" w:space="0" w:color="FFFFFF" w:themeColor="background1"/>
            </w:tcBorders>
          </w:tcPr>
          <w:p w:rsidR="00011646" w:rsidRPr="00C25006" w:rsidRDefault="00011646" w:rsidP="00841EA0">
            <w:pPr>
              <w:pStyle w:val="Tablecells"/>
              <w:ind w:right="0"/>
            </w:pPr>
            <w:r w:rsidRPr="00C25006">
              <w:t xml:space="preserve">19,662 </w:t>
            </w:r>
          </w:p>
        </w:tc>
        <w:tc>
          <w:tcPr>
            <w:tcW w:w="884" w:type="dxa"/>
            <w:tcBorders>
              <w:top w:val="single" w:sz="4" w:space="0" w:color="FFFFFF" w:themeColor="background1"/>
            </w:tcBorders>
          </w:tcPr>
          <w:p w:rsidR="00011646" w:rsidRPr="00C25006" w:rsidRDefault="00011646" w:rsidP="00841EA0">
            <w:pPr>
              <w:pStyle w:val="Tablecells"/>
              <w:ind w:right="0"/>
            </w:pPr>
            <w:r w:rsidRPr="00C25006">
              <w:t xml:space="preserve">20,661 </w:t>
            </w:r>
          </w:p>
        </w:tc>
        <w:tc>
          <w:tcPr>
            <w:tcW w:w="885" w:type="dxa"/>
            <w:tcBorders>
              <w:top w:val="single" w:sz="4" w:space="0" w:color="FFFFFF" w:themeColor="background1"/>
            </w:tcBorders>
          </w:tcPr>
          <w:p w:rsidR="00011646" w:rsidRPr="00C25006" w:rsidRDefault="00011646" w:rsidP="00841EA0">
            <w:pPr>
              <w:pStyle w:val="Tablecells"/>
              <w:ind w:right="0"/>
            </w:pPr>
            <w:r w:rsidRPr="00C25006">
              <w:t xml:space="preserve">21,891 </w:t>
            </w:r>
          </w:p>
        </w:tc>
        <w:tc>
          <w:tcPr>
            <w:tcW w:w="884" w:type="dxa"/>
            <w:tcBorders>
              <w:top w:val="single" w:sz="4" w:space="0" w:color="FFFFFF" w:themeColor="background1"/>
            </w:tcBorders>
          </w:tcPr>
          <w:p w:rsidR="00011646" w:rsidRPr="0003530B" w:rsidRDefault="00011646" w:rsidP="00EE4CCC">
            <w:pPr>
              <w:pStyle w:val="Tablecells"/>
            </w:pPr>
            <w:r w:rsidRPr="0003530B">
              <w:t xml:space="preserve">14,444 </w:t>
            </w:r>
          </w:p>
        </w:tc>
        <w:tc>
          <w:tcPr>
            <w:tcW w:w="884" w:type="dxa"/>
            <w:tcBorders>
              <w:top w:val="single" w:sz="4" w:space="0" w:color="FFFFFF" w:themeColor="background1"/>
            </w:tcBorders>
          </w:tcPr>
          <w:p w:rsidR="00011646" w:rsidRPr="0003530B" w:rsidRDefault="00011646" w:rsidP="00EE4CCC">
            <w:pPr>
              <w:pStyle w:val="Tablecells"/>
            </w:pPr>
            <w:r w:rsidRPr="0003530B">
              <w:t xml:space="preserve">14,573 </w:t>
            </w:r>
          </w:p>
        </w:tc>
        <w:tc>
          <w:tcPr>
            <w:tcW w:w="885" w:type="dxa"/>
            <w:tcBorders>
              <w:top w:val="single" w:sz="4" w:space="0" w:color="FFFFFF" w:themeColor="background1"/>
            </w:tcBorders>
          </w:tcPr>
          <w:p w:rsidR="00011646" w:rsidRDefault="00011646" w:rsidP="00EE4CCC">
            <w:pPr>
              <w:pStyle w:val="Tablecells"/>
            </w:pPr>
            <w:r w:rsidRPr="0003530B">
              <w:t xml:space="preserve">14,827 </w:t>
            </w:r>
          </w:p>
        </w:tc>
        <w:tc>
          <w:tcPr>
            <w:tcW w:w="901" w:type="dxa"/>
            <w:tcBorders>
              <w:top w:val="single" w:sz="4" w:space="0" w:color="FFFFFF" w:themeColor="background1"/>
            </w:tcBorders>
          </w:tcPr>
          <w:p w:rsidR="00011646" w:rsidRPr="00011646" w:rsidRDefault="00011646" w:rsidP="00011646">
            <w:pPr>
              <w:pStyle w:val="Tablecells"/>
              <w:jc w:val="center"/>
              <w:rPr>
                <w:color w:val="FF0000"/>
              </w:rPr>
            </w:pPr>
            <w:r w:rsidRPr="00011646">
              <w:rPr>
                <w:color w:val="FF0000"/>
              </w:rPr>
              <w:t>-5,218</w:t>
            </w:r>
            <w:r w:rsidRPr="00011646">
              <w:rPr>
                <w:color w:val="FF0000"/>
              </w:rPr>
              <w:br/>
              <w:t>-27%</w:t>
            </w:r>
          </w:p>
        </w:tc>
        <w:tc>
          <w:tcPr>
            <w:tcW w:w="901" w:type="dxa"/>
            <w:tcBorders>
              <w:top w:val="single" w:sz="4" w:space="0" w:color="FFFFFF" w:themeColor="background1"/>
            </w:tcBorders>
          </w:tcPr>
          <w:p w:rsidR="00011646" w:rsidRPr="00011646" w:rsidRDefault="00011646" w:rsidP="00011646">
            <w:pPr>
              <w:pStyle w:val="Tablecells"/>
              <w:jc w:val="center"/>
              <w:rPr>
                <w:color w:val="FF0000"/>
              </w:rPr>
            </w:pPr>
            <w:r w:rsidRPr="00011646">
              <w:rPr>
                <w:color w:val="FF0000"/>
              </w:rPr>
              <w:t>-6,088</w:t>
            </w:r>
            <w:r w:rsidRPr="00011646">
              <w:rPr>
                <w:color w:val="FF0000"/>
              </w:rPr>
              <w:br/>
              <w:t>-29%</w:t>
            </w:r>
          </w:p>
        </w:tc>
        <w:tc>
          <w:tcPr>
            <w:tcW w:w="903" w:type="dxa"/>
            <w:tcBorders>
              <w:top w:val="single" w:sz="4" w:space="0" w:color="FFFFFF" w:themeColor="background1"/>
            </w:tcBorders>
          </w:tcPr>
          <w:p w:rsidR="00011646" w:rsidRPr="00011646" w:rsidRDefault="00011646" w:rsidP="00011646">
            <w:pPr>
              <w:pStyle w:val="Tablecells"/>
              <w:jc w:val="center"/>
              <w:rPr>
                <w:color w:val="FF0000"/>
              </w:rPr>
            </w:pPr>
            <w:r w:rsidRPr="00011646">
              <w:rPr>
                <w:color w:val="FF0000"/>
              </w:rPr>
              <w:t>-7,064</w:t>
            </w:r>
            <w:r w:rsidRPr="00011646">
              <w:rPr>
                <w:color w:val="FF0000"/>
              </w:rPr>
              <w:br/>
              <w:t>-32%</w:t>
            </w:r>
          </w:p>
        </w:tc>
      </w:tr>
      <w:tr w:rsidR="00011646" w:rsidTr="00841EA0">
        <w:trPr>
          <w:cnfStyle w:val="000000100000" w:firstRow="0" w:lastRow="0" w:firstColumn="0" w:lastColumn="0" w:oddVBand="0" w:evenVBand="0" w:oddHBand="1" w:evenHBand="0" w:firstRowFirstColumn="0" w:firstRowLastColumn="0" w:lastRowFirstColumn="0" w:lastRowLastColumn="0"/>
        </w:trPr>
        <w:tc>
          <w:tcPr>
            <w:tcW w:w="727" w:type="dxa"/>
            <w:tcBorders>
              <w:top w:val="nil"/>
              <w:bottom w:val="single" w:sz="4" w:space="0" w:color="808080"/>
            </w:tcBorders>
          </w:tcPr>
          <w:p w:rsidR="00011646" w:rsidRDefault="00011646" w:rsidP="00841EA0">
            <w:pPr>
              <w:pStyle w:val="Tablecells"/>
              <w:ind w:right="0"/>
            </w:pPr>
            <w:r>
              <w:t>2025</w:t>
            </w:r>
          </w:p>
        </w:tc>
        <w:tc>
          <w:tcPr>
            <w:tcW w:w="884" w:type="dxa"/>
            <w:tcBorders>
              <w:top w:val="nil"/>
              <w:bottom w:val="single" w:sz="4" w:space="0" w:color="808080"/>
            </w:tcBorders>
          </w:tcPr>
          <w:p w:rsidR="00011646" w:rsidRPr="00C25006" w:rsidRDefault="00011646" w:rsidP="00841EA0">
            <w:pPr>
              <w:pStyle w:val="Tablecells"/>
              <w:ind w:right="0"/>
            </w:pPr>
            <w:r w:rsidRPr="00C25006">
              <w:t xml:space="preserve">20,312 </w:t>
            </w:r>
          </w:p>
        </w:tc>
        <w:tc>
          <w:tcPr>
            <w:tcW w:w="884" w:type="dxa"/>
            <w:tcBorders>
              <w:top w:val="nil"/>
              <w:bottom w:val="single" w:sz="4" w:space="0" w:color="808080"/>
            </w:tcBorders>
          </w:tcPr>
          <w:p w:rsidR="00011646" w:rsidRPr="00C25006" w:rsidRDefault="00011646" w:rsidP="00841EA0">
            <w:pPr>
              <w:pStyle w:val="Tablecells"/>
              <w:ind w:right="0"/>
            </w:pPr>
            <w:r w:rsidRPr="00C25006">
              <w:t xml:space="preserve">22,204 </w:t>
            </w:r>
          </w:p>
        </w:tc>
        <w:tc>
          <w:tcPr>
            <w:tcW w:w="885" w:type="dxa"/>
            <w:tcBorders>
              <w:top w:val="nil"/>
              <w:bottom w:val="single" w:sz="4" w:space="0" w:color="808080"/>
            </w:tcBorders>
          </w:tcPr>
          <w:p w:rsidR="00011646" w:rsidRDefault="00011646" w:rsidP="00841EA0">
            <w:pPr>
              <w:pStyle w:val="Tablecells"/>
              <w:ind w:right="0"/>
            </w:pPr>
            <w:r w:rsidRPr="00C25006">
              <w:t xml:space="preserve">24,257 </w:t>
            </w:r>
          </w:p>
        </w:tc>
        <w:tc>
          <w:tcPr>
            <w:tcW w:w="884" w:type="dxa"/>
            <w:tcBorders>
              <w:top w:val="nil"/>
              <w:bottom w:val="single" w:sz="4" w:space="0" w:color="808080"/>
            </w:tcBorders>
          </w:tcPr>
          <w:p w:rsidR="00011646" w:rsidRPr="0003110F" w:rsidRDefault="00011646" w:rsidP="00EE4CCC">
            <w:pPr>
              <w:pStyle w:val="Tablecells"/>
            </w:pPr>
            <w:r w:rsidRPr="0003110F">
              <w:t xml:space="preserve">14,532 </w:t>
            </w:r>
          </w:p>
        </w:tc>
        <w:tc>
          <w:tcPr>
            <w:tcW w:w="884" w:type="dxa"/>
            <w:tcBorders>
              <w:top w:val="nil"/>
              <w:bottom w:val="single" w:sz="4" w:space="0" w:color="808080"/>
            </w:tcBorders>
          </w:tcPr>
          <w:p w:rsidR="00011646" w:rsidRPr="0003110F" w:rsidRDefault="00011646" w:rsidP="00EE4CCC">
            <w:pPr>
              <w:pStyle w:val="Tablecells"/>
            </w:pPr>
            <w:r w:rsidRPr="0003110F">
              <w:t xml:space="preserve">14,958 </w:t>
            </w:r>
          </w:p>
        </w:tc>
        <w:tc>
          <w:tcPr>
            <w:tcW w:w="885" w:type="dxa"/>
            <w:tcBorders>
              <w:top w:val="nil"/>
              <w:bottom w:val="single" w:sz="4" w:space="0" w:color="808080"/>
            </w:tcBorders>
          </w:tcPr>
          <w:p w:rsidR="00011646" w:rsidRDefault="00011646" w:rsidP="00EE4CCC">
            <w:pPr>
              <w:pStyle w:val="Tablecells"/>
            </w:pPr>
            <w:r w:rsidRPr="0003110F">
              <w:t xml:space="preserve">15,620 </w:t>
            </w:r>
          </w:p>
        </w:tc>
        <w:tc>
          <w:tcPr>
            <w:tcW w:w="901" w:type="dxa"/>
            <w:tcBorders>
              <w:top w:val="nil"/>
              <w:bottom w:val="single" w:sz="4" w:space="0" w:color="808080"/>
            </w:tcBorders>
          </w:tcPr>
          <w:p w:rsidR="00011646" w:rsidRPr="00011646" w:rsidRDefault="00011646" w:rsidP="00011646">
            <w:pPr>
              <w:pStyle w:val="Tablecells"/>
              <w:jc w:val="center"/>
              <w:rPr>
                <w:color w:val="FF0000"/>
              </w:rPr>
            </w:pPr>
            <w:r w:rsidRPr="00011646">
              <w:rPr>
                <w:color w:val="FF0000"/>
              </w:rPr>
              <w:t>-5,780</w:t>
            </w:r>
            <w:r w:rsidRPr="00011646">
              <w:rPr>
                <w:color w:val="FF0000"/>
              </w:rPr>
              <w:br/>
              <w:t>-28%</w:t>
            </w:r>
          </w:p>
        </w:tc>
        <w:tc>
          <w:tcPr>
            <w:tcW w:w="901" w:type="dxa"/>
            <w:tcBorders>
              <w:top w:val="nil"/>
              <w:bottom w:val="single" w:sz="4" w:space="0" w:color="808080"/>
            </w:tcBorders>
          </w:tcPr>
          <w:p w:rsidR="00011646" w:rsidRPr="00011646" w:rsidRDefault="00011646" w:rsidP="00841EA0">
            <w:pPr>
              <w:pStyle w:val="Tablecells"/>
              <w:jc w:val="center"/>
              <w:rPr>
                <w:color w:val="FF0000"/>
              </w:rPr>
            </w:pPr>
            <w:r w:rsidRPr="00011646">
              <w:rPr>
                <w:color w:val="FF0000"/>
              </w:rPr>
              <w:t>-7,246</w:t>
            </w:r>
            <w:r w:rsidRPr="00011646">
              <w:rPr>
                <w:color w:val="FF0000"/>
              </w:rPr>
              <w:br/>
              <w:t>-33%</w:t>
            </w:r>
          </w:p>
        </w:tc>
        <w:tc>
          <w:tcPr>
            <w:tcW w:w="903" w:type="dxa"/>
            <w:tcBorders>
              <w:top w:val="nil"/>
              <w:bottom w:val="single" w:sz="4" w:space="0" w:color="808080"/>
            </w:tcBorders>
          </w:tcPr>
          <w:p w:rsidR="00011646" w:rsidRPr="00011646" w:rsidRDefault="00011646" w:rsidP="00841EA0">
            <w:pPr>
              <w:pStyle w:val="Tablecells"/>
              <w:ind w:right="0"/>
              <w:jc w:val="center"/>
              <w:rPr>
                <w:color w:val="FF0000"/>
              </w:rPr>
            </w:pPr>
            <w:r w:rsidRPr="00011646">
              <w:rPr>
                <w:color w:val="FF0000"/>
              </w:rPr>
              <w:t>-8,637</w:t>
            </w:r>
            <w:r w:rsidR="0091513F">
              <w:rPr>
                <w:color w:val="FF0000"/>
              </w:rPr>
              <w:t xml:space="preserve">   </w:t>
            </w:r>
            <w:r w:rsidRPr="00011646">
              <w:rPr>
                <w:color w:val="FF0000"/>
              </w:rPr>
              <w:t>-36%</w:t>
            </w:r>
          </w:p>
        </w:tc>
      </w:tr>
    </w:tbl>
    <w:p w:rsidR="00550C5F" w:rsidRDefault="00550C5F" w:rsidP="00550C5F">
      <w:pPr>
        <w:pStyle w:val="Heading3"/>
      </w:pPr>
      <w:bookmarkStart w:id="192" w:name="_Toc373161408"/>
      <w:bookmarkStart w:id="193" w:name="_Toc399178493"/>
      <w:bookmarkEnd w:id="183"/>
      <w:r>
        <w:t>VHA uses 800MHz as coverage layer</w:t>
      </w:r>
    </w:p>
    <w:p w:rsidR="00550C5F" w:rsidRDefault="00550C5F" w:rsidP="00550C5F">
      <w:r>
        <w:t>VHA announced in July 2014 that it would be refarming its 800MHz holdings from 3G to 4G.</w:t>
      </w:r>
      <w:r>
        <w:rPr>
          <w:rStyle w:val="FootnoteReference"/>
        </w:rPr>
        <w:footnoteReference w:id="48"/>
      </w:r>
      <w:r>
        <w:t xml:space="preserve"> As discussed in </w:t>
      </w:r>
      <w:r w:rsidR="00E36E08">
        <w:t>Section</w:t>
      </w:r>
      <w:r>
        <w:t xml:space="preserve"> </w:t>
      </w:r>
      <w:r w:rsidRPr="002D2F9B">
        <w:fldChar w:fldCharType="begin"/>
      </w:r>
      <w:r w:rsidRPr="002571CA">
        <w:instrText xml:space="preserve"> REF _Ref399571111 \r \h </w:instrText>
      </w:r>
      <w:r w:rsidRPr="002D2F9B">
        <w:fldChar w:fldCharType="separate"/>
      </w:r>
      <w:r w:rsidR="00A87B65">
        <w:t>4.3.2</w:t>
      </w:r>
      <w:r w:rsidRPr="002D2F9B">
        <w:fldChar w:fldCharType="end"/>
      </w:r>
      <w:r>
        <w:t xml:space="preserve">, </w:t>
      </w:r>
      <w:r w:rsidRPr="00550C5F">
        <w:t xml:space="preserve">VHA has 2×10MHz of 800MHz spectrum in Sydney, Melbourne, Brisbane, Adelaide and Perth, and </w:t>
      </w:r>
      <w:r w:rsidR="00834A70">
        <w:t xml:space="preserve">in its announcement it said it </w:t>
      </w:r>
      <w:r>
        <w:t xml:space="preserve">will initially refarm </w:t>
      </w:r>
      <w:r w:rsidRPr="00550C5F">
        <w:t xml:space="preserve">2×5MHz </w:t>
      </w:r>
      <w:r>
        <w:t>for 4G</w:t>
      </w:r>
      <w:r w:rsidRPr="00550C5F">
        <w:t>. As the largest cities have 2×10MHz, we assume an allocation of 2×10MHz in all metropolitan areas.</w:t>
      </w:r>
      <w:r>
        <w:t xml:space="preserve"> However, as noted in the introduction to this section, our base case assumes that VHA continues to use the 1800MHz band as its 4G coverage band</w:t>
      </w:r>
      <w:r w:rsidR="00162304">
        <w:t xml:space="preserve">. This is because </w:t>
      </w:r>
      <w:r>
        <w:t xml:space="preserve">our model indicates that if VHA bases the spacing of its 4G base stations on the coverage that is achievable at 800MHz </w:t>
      </w:r>
      <w:r w:rsidR="00162304">
        <w:t>(</w:t>
      </w:r>
      <w:r>
        <w:t>with 1800MHz de</w:t>
      </w:r>
      <w:r w:rsidR="00162304">
        <w:t>ployed as a capacity layer where needed),</w:t>
      </w:r>
      <w:r>
        <w:t xml:space="preserve"> it is likely to face capacity issues at the cell edges which </w:t>
      </w:r>
      <w:r w:rsidR="00162304">
        <w:t>will be</w:t>
      </w:r>
      <w:r>
        <w:t xml:space="preserve"> outside the range of 1800MHz coverage meaning that all of the data traffic </w:t>
      </w:r>
      <w:r w:rsidR="00162304">
        <w:t>has</w:t>
      </w:r>
      <w:r>
        <w:t xml:space="preserve"> to be carried on the </w:t>
      </w:r>
      <w:r w:rsidRPr="00550C5F">
        <w:t>2×5MHz</w:t>
      </w:r>
      <w:r>
        <w:t xml:space="preserve"> of 800MHz spectrum.</w:t>
      </w:r>
    </w:p>
    <w:p w:rsidR="00550C5F" w:rsidRDefault="00550C5F" w:rsidP="00550C5F">
      <w:r>
        <w:t xml:space="preserve">The purpose of this sensitivity is to show how many more 4G sites VHA needs as a result of using 1800MHz as the coverage layer or, put another way, to see how many 4G </w:t>
      </w:r>
      <w:r w:rsidR="00A56FC9">
        <w:t xml:space="preserve">sites </w:t>
      </w:r>
      <w:r>
        <w:t xml:space="preserve">VHA could avoid building </w:t>
      </w:r>
      <w:r w:rsidR="00A56FC9" w:rsidRPr="00A56FC9">
        <w:t>[</w:t>
      </w:r>
      <w:r w:rsidR="00A56FC9" w:rsidRPr="00A56FC9">
        <w:rPr>
          <w:rFonts w:ascii="Wingdings" w:hAnsi="Wingdings"/>
        </w:rPr>
        <w:t></w:t>
      </w:r>
      <w:r w:rsidR="00A56FC9" w:rsidRPr="00A56FC9">
        <w:t>]</w:t>
      </w:r>
      <w:r w:rsidR="001F0E2F">
        <w:t xml:space="preserve"> </w:t>
      </w:r>
      <w:r>
        <w:t>by relying on 800MHz as the coverage layer.</w:t>
      </w:r>
      <w:r w:rsidR="00834A70">
        <w:t xml:space="preserve"> In the sensitivity we assume that the 800MHz spectrum is only used to provide 4G coverage in metropolitan areas because in regional and remote areas VHA only has 2</w:t>
      </w:r>
      <w:r w:rsidR="00834A70" w:rsidRPr="00550C5F">
        <w:t>×</w:t>
      </w:r>
      <w:r w:rsidR="00834A70">
        <w:t>5MHz of 800MHz spectrum and we assume that VHA needs to continue using this amount of spectrum for the foreseeable future to provide 3G coverage.</w:t>
      </w:r>
    </w:p>
    <w:p w:rsidR="003B1698" w:rsidRDefault="003B1698" w:rsidP="00550C5F">
      <w:r w:rsidRPr="002D2F9B">
        <w:fldChar w:fldCharType="begin"/>
      </w:r>
      <w:r w:rsidRPr="002571CA">
        <w:instrText xml:space="preserve"> REF _Ref399575496 \h </w:instrText>
      </w:r>
      <w:r w:rsidRPr="002D2F9B">
        <w:fldChar w:fldCharType="separate"/>
      </w:r>
      <w:r w:rsidR="00A87B65">
        <w:t xml:space="preserve">Figure </w:t>
      </w:r>
      <w:r w:rsidR="00A87B65">
        <w:rPr>
          <w:noProof/>
        </w:rPr>
        <w:t>4</w:t>
      </w:r>
      <w:r w:rsidR="00A87B65">
        <w:t>.</w:t>
      </w:r>
      <w:r w:rsidR="00A87B65">
        <w:rPr>
          <w:noProof/>
        </w:rPr>
        <w:t>60</w:t>
      </w:r>
      <w:r w:rsidRPr="002D2F9B">
        <w:fldChar w:fldCharType="end"/>
      </w:r>
      <w:r>
        <w:t xml:space="preserve"> shows the evolution of 4G sites for VHA in the base case. The total number of sites in 2020 is around 7500, of which 98% are pure coverage sites. </w:t>
      </w:r>
      <w:r w:rsidR="00B218B3" w:rsidRPr="00B218B3">
        <w:t>Figure 4.61</w:t>
      </w:r>
      <w:r w:rsidR="00B218B3">
        <w:t xml:space="preserve"> </w:t>
      </w:r>
      <w:r>
        <w:t xml:space="preserve">shows that by using 800MHz as the coverage layer, VHA’s 4G site count could be reduced to around 3500, of which only 16% are pure coverage sites (most of the pure coverage sites are small cells). We believe that VHA has </w:t>
      </w:r>
      <w:r w:rsidR="00A56FC9" w:rsidRPr="00A56FC9">
        <w:t>[</w:t>
      </w:r>
      <w:r w:rsidR="00A56FC9" w:rsidRPr="00A56FC9">
        <w:rPr>
          <w:rFonts w:ascii="Wingdings" w:hAnsi="Wingdings"/>
        </w:rPr>
        <w:t></w:t>
      </w:r>
      <w:r w:rsidR="00A56FC9" w:rsidRPr="00A56FC9">
        <w:t>]</w:t>
      </w:r>
      <w:r>
        <w:t xml:space="preserve"> physical sites today so the base case requires a significant increase in the total number of sites.</w:t>
      </w:r>
    </w:p>
    <w:p w:rsidR="00550C5F" w:rsidRDefault="00550C5F" w:rsidP="00550C5F">
      <w:pPr>
        <w:pStyle w:val="Caption"/>
      </w:pPr>
      <w:bookmarkStart w:id="194" w:name="_Ref399575496"/>
      <w:r>
        <w:t xml:space="preserve">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fldSimple w:instr=" SEQ Figure \* ARABIC \s 1 \* MERGEFORMAT ">
        <w:r w:rsidR="00A87B65">
          <w:rPr>
            <w:noProof/>
          </w:rPr>
          <w:t>60</w:t>
        </w:r>
      </w:fldSimple>
      <w:bookmarkEnd w:id="194"/>
      <w:r>
        <w:t>: Evolution of VHA 4G sites in the base case (with 1800MHz coverage layer) [Source: Analysys Mason, 2014]</w:t>
      </w:r>
    </w:p>
    <w:p w:rsidR="0005766B" w:rsidRPr="0005766B" w:rsidRDefault="00577827" w:rsidP="0005766B">
      <w:r w:rsidRPr="00577827">
        <w:rPr>
          <w:noProof/>
          <w:lang w:val="en-AU" w:eastAsia="en-AU"/>
        </w:rPr>
        <w:drawing>
          <wp:inline distT="0" distB="0" distL="0" distR="0" wp14:anchorId="336A2418" wp14:editId="09F77B66">
            <wp:extent cx="5362575" cy="3114675"/>
            <wp:effectExtent l="0" t="0" r="0" b="0"/>
            <wp:docPr id="111" name="Picture 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a:off x="0" y="0"/>
                      <a:ext cx="5362575" cy="3114675"/>
                    </a:xfrm>
                    <a:prstGeom prst="rect">
                      <a:avLst/>
                    </a:prstGeom>
                    <a:noFill/>
                    <a:ln>
                      <a:noFill/>
                    </a:ln>
                  </pic:spPr>
                </pic:pic>
              </a:graphicData>
            </a:graphic>
          </wp:inline>
        </w:drawing>
      </w:r>
      <w:bookmarkStart w:id="195" w:name="_Ref399575726"/>
    </w:p>
    <w:p w:rsidR="00550C5F" w:rsidRPr="004D7C83" w:rsidRDefault="00550C5F" w:rsidP="0005766B">
      <w:pPr>
        <w:pStyle w:val="Caption"/>
        <w:spacing w:before="360"/>
        <w:rPr>
          <w:spacing w:val="-4"/>
        </w:rPr>
      </w:pPr>
      <w:r w:rsidRPr="004D7C83">
        <w:rPr>
          <w:spacing w:val="-4"/>
        </w:rPr>
        <w:t xml:space="preserve">Figure </w:t>
      </w:r>
      <w:r w:rsidR="005D6750" w:rsidRPr="004D7C83">
        <w:rPr>
          <w:spacing w:val="-4"/>
        </w:rPr>
        <w:fldChar w:fldCharType="begin"/>
      </w:r>
      <w:r w:rsidR="005D6750" w:rsidRPr="004D7C83">
        <w:rPr>
          <w:spacing w:val="-4"/>
        </w:rPr>
        <w:instrText xml:space="preserve"> STYLEREF 1 \s \* MERGEFORMAT </w:instrText>
      </w:r>
      <w:r w:rsidR="005D6750" w:rsidRPr="004D7C83">
        <w:rPr>
          <w:spacing w:val="-4"/>
        </w:rPr>
        <w:fldChar w:fldCharType="separate"/>
      </w:r>
      <w:r w:rsidR="00A87B65">
        <w:rPr>
          <w:noProof/>
          <w:spacing w:val="-4"/>
        </w:rPr>
        <w:t>4</w:t>
      </w:r>
      <w:r w:rsidR="005D6750" w:rsidRPr="004D7C83">
        <w:rPr>
          <w:noProof/>
          <w:spacing w:val="-4"/>
        </w:rPr>
        <w:fldChar w:fldCharType="end"/>
      </w:r>
      <w:r w:rsidRPr="004D7C83">
        <w:rPr>
          <w:spacing w:val="-4"/>
        </w:rPr>
        <w:t>.</w:t>
      </w:r>
      <w:r w:rsidR="005D6750" w:rsidRPr="004D7C83">
        <w:rPr>
          <w:spacing w:val="-4"/>
        </w:rPr>
        <w:fldChar w:fldCharType="begin"/>
      </w:r>
      <w:r w:rsidR="005D6750" w:rsidRPr="004D7C83">
        <w:rPr>
          <w:spacing w:val="-4"/>
        </w:rPr>
        <w:instrText xml:space="preserve"> SEQ Figure \* ARABIC \s 1 \* MERGEFORMAT </w:instrText>
      </w:r>
      <w:r w:rsidR="005D6750" w:rsidRPr="004D7C83">
        <w:rPr>
          <w:spacing w:val="-4"/>
        </w:rPr>
        <w:fldChar w:fldCharType="separate"/>
      </w:r>
      <w:r w:rsidR="00A87B65">
        <w:rPr>
          <w:noProof/>
          <w:spacing w:val="-4"/>
        </w:rPr>
        <w:t>61</w:t>
      </w:r>
      <w:r w:rsidR="005D6750" w:rsidRPr="004D7C83">
        <w:rPr>
          <w:noProof/>
          <w:spacing w:val="-4"/>
        </w:rPr>
        <w:fldChar w:fldCharType="end"/>
      </w:r>
      <w:bookmarkEnd w:id="195"/>
      <w:r w:rsidRPr="004D7C83">
        <w:rPr>
          <w:spacing w:val="-4"/>
        </w:rPr>
        <w:t>: Evolution of VHA 4G sites in sensitivity with 800MHz coverage layer [Source: Analysys Mason, 2014]</w:t>
      </w:r>
    </w:p>
    <w:p w:rsidR="006A1479" w:rsidRDefault="005E17D7" w:rsidP="00550C5F">
      <w:r w:rsidRPr="005E17D7">
        <w:rPr>
          <w:noProof/>
          <w:lang w:val="en-AU" w:eastAsia="en-AU"/>
        </w:rPr>
        <w:drawing>
          <wp:inline distT="0" distB="0" distL="0" distR="0" wp14:anchorId="7645A0E3" wp14:editId="683A2471">
            <wp:extent cx="5362575" cy="3114675"/>
            <wp:effectExtent l="0" t="0" r="0" b="0"/>
            <wp:docPr id="112" name="Picture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5362575" cy="3114675"/>
                    </a:xfrm>
                    <a:prstGeom prst="rect">
                      <a:avLst/>
                    </a:prstGeom>
                    <a:noFill/>
                    <a:ln>
                      <a:noFill/>
                    </a:ln>
                  </pic:spPr>
                </pic:pic>
              </a:graphicData>
            </a:graphic>
          </wp:inline>
        </w:drawing>
      </w:r>
    </w:p>
    <w:p w:rsidR="0005766B" w:rsidRDefault="00983A7E" w:rsidP="00550C5F">
      <w:r w:rsidRPr="00A56FC9">
        <w:t>[</w:t>
      </w:r>
      <w:r w:rsidRPr="00A56FC9">
        <w:rPr>
          <w:rFonts w:ascii="Wingdings" w:hAnsi="Wingdings"/>
        </w:rPr>
        <w:t></w:t>
      </w:r>
      <w:r w:rsidRPr="00A56FC9">
        <w:t>]</w:t>
      </w:r>
    </w:p>
    <w:p w:rsidR="00B873A7" w:rsidRDefault="00B873A7" w:rsidP="006A1479">
      <w:pPr>
        <w:pStyle w:val="Heading2"/>
        <w:pageBreakBefore/>
      </w:pPr>
      <w:bookmarkStart w:id="196" w:name="_Toc402102960"/>
      <w:bookmarkStart w:id="197" w:name="_Toc409445590"/>
      <w:r>
        <w:t>Summary</w:t>
      </w:r>
      <w:bookmarkEnd w:id="192"/>
      <w:r>
        <w:t xml:space="preserve"> of results</w:t>
      </w:r>
      <w:bookmarkEnd w:id="193"/>
      <w:bookmarkEnd w:id="196"/>
      <w:bookmarkEnd w:id="197"/>
    </w:p>
    <w:p w:rsidR="00CB3145" w:rsidRPr="00BD0E8C" w:rsidRDefault="00B873A7" w:rsidP="00AB588A">
      <w:pPr>
        <w:rPr>
          <w:rFonts w:ascii="Arial" w:hAnsi="Arial" w:cs="Arial"/>
          <w:bCs/>
          <w:i/>
          <w:sz w:val="18"/>
          <w:szCs w:val="18"/>
        </w:rPr>
      </w:pPr>
      <w:r w:rsidRPr="002D2F9B">
        <w:fldChar w:fldCharType="begin"/>
      </w:r>
      <w:r w:rsidRPr="002571CA">
        <w:instrText xml:space="preserve"> REF _Ref378550210 \h </w:instrText>
      </w:r>
      <w:r w:rsidR="00DA12CB" w:rsidRPr="002571CA">
        <w:instrText xml:space="preserve"> \* MERGEFORMAT </w:instrText>
      </w:r>
      <w:r w:rsidRPr="002D2F9B">
        <w:fldChar w:fldCharType="separate"/>
      </w:r>
      <w:r w:rsidR="00A87B65">
        <w:t>Figure 4.62</w:t>
      </w:r>
      <w:r w:rsidRPr="002D2F9B">
        <w:fldChar w:fldCharType="end"/>
      </w:r>
      <w:r>
        <w:t xml:space="preserve"> and </w:t>
      </w:r>
      <w:r w:rsidRPr="002D2F9B">
        <w:fldChar w:fldCharType="begin"/>
      </w:r>
      <w:r w:rsidRPr="002571CA">
        <w:instrText xml:space="preserve"> REF _Ref378550220 \h </w:instrText>
      </w:r>
      <w:r w:rsidR="00DA12CB" w:rsidRPr="002571CA">
        <w:instrText xml:space="preserve"> \* MERGEFORMAT </w:instrText>
      </w:r>
      <w:r w:rsidRPr="002D2F9B">
        <w:fldChar w:fldCharType="separate"/>
      </w:r>
      <w:r w:rsidR="00A87B65">
        <w:t>Figure 4.63</w:t>
      </w:r>
      <w:r w:rsidRPr="002D2F9B">
        <w:fldChar w:fldCharType="end"/>
      </w:r>
      <w:r>
        <w:t xml:space="preserve"> are summary tables showing the total number of logical sites by technology in the base case</w:t>
      </w:r>
      <w:r w:rsidRPr="000C30C5">
        <w:t xml:space="preserve"> </w:t>
      </w:r>
      <w:r>
        <w:t>and each sensitivity in 2020</w:t>
      </w:r>
      <w:r w:rsidR="004D7C83">
        <w:t>,</w:t>
      </w:r>
      <w:r>
        <w:t xml:space="preserve"> while </w:t>
      </w:r>
      <w:r w:rsidR="004D7C83" w:rsidRPr="002D2F9B">
        <w:fldChar w:fldCharType="begin"/>
      </w:r>
      <w:r w:rsidR="004D7C83" w:rsidRPr="002571CA">
        <w:instrText xml:space="preserve"> REF _Ref378550247 \h </w:instrText>
      </w:r>
      <w:r w:rsidR="004D7C83" w:rsidRPr="002D2F9B">
        <w:fldChar w:fldCharType="separate"/>
      </w:r>
      <w:r w:rsidR="00A87B65">
        <w:t>Figure </w:t>
      </w:r>
      <w:r w:rsidR="00A87B65">
        <w:rPr>
          <w:noProof/>
        </w:rPr>
        <w:t>4</w:t>
      </w:r>
      <w:r w:rsidR="00A87B65">
        <w:t>.</w:t>
      </w:r>
      <w:r w:rsidR="00A87B65">
        <w:rPr>
          <w:noProof/>
        </w:rPr>
        <w:t>64</w:t>
      </w:r>
      <w:r w:rsidR="004D7C83" w:rsidRPr="002D2F9B">
        <w:fldChar w:fldCharType="end"/>
      </w:r>
      <w:r w:rsidR="004D7C83">
        <w:t xml:space="preserve"> </w:t>
      </w:r>
      <w:r>
        <w:t xml:space="preserve">and </w:t>
      </w:r>
      <w:r w:rsidR="00DA12CB" w:rsidRPr="002D2F9B">
        <w:fldChar w:fldCharType="begin"/>
      </w:r>
      <w:r w:rsidR="00DA12CB" w:rsidRPr="002571CA">
        <w:instrText xml:space="preserve"> REF _Ref399578546 \h </w:instrText>
      </w:r>
      <w:r w:rsidR="00DA12CB" w:rsidRPr="002D2F9B">
        <w:fldChar w:fldCharType="separate"/>
      </w:r>
      <w:r w:rsidR="00A87B65">
        <w:t>Figure </w:t>
      </w:r>
      <w:r w:rsidR="00A87B65">
        <w:rPr>
          <w:noProof/>
        </w:rPr>
        <w:t>4</w:t>
      </w:r>
      <w:r w:rsidR="00A87B65">
        <w:t>.</w:t>
      </w:r>
      <w:r w:rsidR="00A87B65">
        <w:rPr>
          <w:noProof/>
        </w:rPr>
        <w:t>65</w:t>
      </w:r>
      <w:r w:rsidR="00DA12CB" w:rsidRPr="002D2F9B">
        <w:fldChar w:fldCharType="end"/>
      </w:r>
      <w:r w:rsidR="004D7C83">
        <w:t xml:space="preserve"> </w:t>
      </w:r>
      <w:r>
        <w:t>show the same information for 2025.</w:t>
      </w:r>
    </w:p>
    <w:p w:rsidR="00B873A7" w:rsidRDefault="00B873A7" w:rsidP="00B873A7">
      <w:pPr>
        <w:pStyle w:val="Caption"/>
      </w:pPr>
      <w:bookmarkStart w:id="198" w:name="_Ref378550210"/>
      <w:r>
        <w:t>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fldSimple w:instr=" SEQ Figure \* ARABIC \s 1 \* MERGEFORMAT ">
        <w:r w:rsidR="00A87B65">
          <w:rPr>
            <w:noProof/>
          </w:rPr>
          <w:t>62</w:t>
        </w:r>
      </w:fldSimple>
      <w:bookmarkEnd w:id="198"/>
      <w:r>
        <w:t>: Total number of sites in 2020 for the base case and each sensitivity,</w:t>
      </w:r>
      <w:r w:rsidRPr="005333FD">
        <w:t xml:space="preserve"> </w:t>
      </w:r>
      <w:r>
        <w:t>and the difference from the case (first part) [Source: Analysys Mason, 2014]</w:t>
      </w:r>
    </w:p>
    <w:tbl>
      <w:tblPr>
        <w:tblStyle w:val="MediumShading2-Accent1"/>
        <w:tblW w:w="8732" w:type="dxa"/>
        <w:tblInd w:w="108" w:type="dxa"/>
        <w:tblLook w:val="0420" w:firstRow="1" w:lastRow="0" w:firstColumn="0" w:lastColumn="0" w:noHBand="0" w:noVBand="1"/>
      </w:tblPr>
      <w:tblGrid>
        <w:gridCol w:w="1481"/>
        <w:gridCol w:w="1443"/>
        <w:gridCol w:w="1443"/>
        <w:gridCol w:w="1443"/>
        <w:gridCol w:w="1462"/>
        <w:gridCol w:w="1460"/>
      </w:tblGrid>
      <w:tr w:rsidR="00B873A7" w:rsidRPr="00562241" w:rsidTr="00EE4CCC">
        <w:trPr>
          <w:cnfStyle w:val="100000000000" w:firstRow="1" w:lastRow="0" w:firstColumn="0" w:lastColumn="0" w:oddVBand="0" w:evenVBand="0" w:oddHBand="0" w:evenHBand="0" w:firstRowFirstColumn="0" w:firstRowLastColumn="0" w:lastRowFirstColumn="0" w:lastRowLastColumn="0"/>
        </w:trPr>
        <w:tc>
          <w:tcPr>
            <w:tcW w:w="1481" w:type="dxa"/>
            <w:tcBorders>
              <w:top w:val="single" w:sz="18" w:space="0" w:color="221F72"/>
              <w:bottom w:val="single" w:sz="4" w:space="0" w:color="FFFFFF" w:themeColor="background1"/>
            </w:tcBorders>
            <w:shd w:val="solid" w:color="221F72" w:fill="221F72"/>
          </w:tcPr>
          <w:p w:rsidR="00B873A7" w:rsidRPr="00562241" w:rsidRDefault="00B873A7" w:rsidP="00841EA0">
            <w:pPr>
              <w:pStyle w:val="Tableheading"/>
              <w:rPr>
                <w:b/>
              </w:rPr>
            </w:pPr>
          </w:p>
        </w:tc>
        <w:tc>
          <w:tcPr>
            <w:tcW w:w="1443" w:type="dxa"/>
            <w:tcBorders>
              <w:top w:val="single" w:sz="18" w:space="0" w:color="221F72"/>
              <w:bottom w:val="single" w:sz="4" w:space="0" w:color="FFFFFF" w:themeColor="background1"/>
            </w:tcBorders>
            <w:shd w:val="solid" w:color="221F72" w:fill="221F72"/>
          </w:tcPr>
          <w:p w:rsidR="00B873A7" w:rsidRDefault="00B873A7" w:rsidP="00841EA0">
            <w:pPr>
              <w:pStyle w:val="Tableheading"/>
              <w:ind w:right="0"/>
              <w:jc w:val="right"/>
              <w:rPr>
                <w:b/>
              </w:rPr>
            </w:pPr>
            <w:r>
              <w:rPr>
                <w:b/>
              </w:rPr>
              <w:t>Base case</w:t>
            </w:r>
          </w:p>
        </w:tc>
        <w:tc>
          <w:tcPr>
            <w:tcW w:w="1443" w:type="dxa"/>
            <w:tcBorders>
              <w:top w:val="single" w:sz="18" w:space="0" w:color="221F72"/>
              <w:bottom w:val="single" w:sz="4" w:space="0" w:color="FFFFFF" w:themeColor="background1"/>
            </w:tcBorders>
            <w:shd w:val="solid" w:color="221F72" w:fill="221F72"/>
          </w:tcPr>
          <w:p w:rsidR="00B873A7" w:rsidRDefault="00B873A7" w:rsidP="00841EA0">
            <w:pPr>
              <w:pStyle w:val="Tableheading"/>
              <w:ind w:right="0"/>
              <w:jc w:val="right"/>
              <w:rPr>
                <w:b/>
              </w:rPr>
            </w:pPr>
            <w:r>
              <w:rPr>
                <w:b/>
              </w:rPr>
              <w:t>50% more traffic</w:t>
            </w:r>
          </w:p>
        </w:tc>
        <w:tc>
          <w:tcPr>
            <w:tcW w:w="1443" w:type="dxa"/>
            <w:tcBorders>
              <w:top w:val="single" w:sz="18" w:space="0" w:color="221F72"/>
              <w:bottom w:val="single" w:sz="4" w:space="0" w:color="FFFFFF" w:themeColor="background1"/>
            </w:tcBorders>
            <w:shd w:val="solid" w:color="221F72" w:fill="221F72"/>
          </w:tcPr>
          <w:p w:rsidR="00B873A7" w:rsidRDefault="00B873A7" w:rsidP="00841EA0">
            <w:pPr>
              <w:pStyle w:val="Tableheading"/>
              <w:ind w:right="0"/>
              <w:jc w:val="right"/>
              <w:rPr>
                <w:b/>
              </w:rPr>
            </w:pPr>
            <w:r>
              <w:rPr>
                <w:b/>
              </w:rPr>
              <w:t>100% more traffic</w:t>
            </w:r>
          </w:p>
        </w:tc>
        <w:tc>
          <w:tcPr>
            <w:tcW w:w="1462" w:type="dxa"/>
            <w:tcBorders>
              <w:top w:val="single" w:sz="18" w:space="0" w:color="221F72"/>
              <w:bottom w:val="single" w:sz="4" w:space="0" w:color="FFFFFF" w:themeColor="background1"/>
            </w:tcBorders>
            <w:shd w:val="solid" w:color="221F72" w:fill="221F72"/>
          </w:tcPr>
          <w:p w:rsidR="00B873A7" w:rsidRDefault="00B873A7" w:rsidP="00841EA0">
            <w:pPr>
              <w:pStyle w:val="Tableheading"/>
              <w:ind w:right="0"/>
              <w:jc w:val="right"/>
              <w:rPr>
                <w:b/>
              </w:rPr>
            </w:pPr>
            <w:r>
              <w:rPr>
                <w:b/>
              </w:rPr>
              <w:t>Increased spectral efficiency</w:t>
            </w:r>
          </w:p>
        </w:tc>
        <w:tc>
          <w:tcPr>
            <w:tcW w:w="1460" w:type="dxa"/>
            <w:tcBorders>
              <w:top w:val="single" w:sz="18" w:space="0" w:color="221F72"/>
              <w:bottom w:val="single" w:sz="4" w:space="0" w:color="FFFFFF" w:themeColor="background1"/>
            </w:tcBorders>
            <w:shd w:val="solid" w:color="221F72" w:fill="221F72"/>
          </w:tcPr>
          <w:p w:rsidR="00B873A7" w:rsidRDefault="00B873A7" w:rsidP="00841EA0">
            <w:pPr>
              <w:pStyle w:val="Tableheading"/>
              <w:ind w:right="0"/>
              <w:jc w:val="right"/>
              <w:rPr>
                <w:b/>
              </w:rPr>
            </w:pPr>
            <w:r>
              <w:rPr>
                <w:b/>
              </w:rPr>
              <w:t>11% data traffic in the busy hour</w:t>
            </w:r>
          </w:p>
        </w:tc>
      </w:tr>
      <w:tr w:rsidR="00B873A7" w:rsidTr="00EE4CCC">
        <w:trPr>
          <w:cnfStyle w:val="000000100000" w:firstRow="0" w:lastRow="0" w:firstColumn="0" w:lastColumn="0" w:oddVBand="0" w:evenVBand="0" w:oddHBand="1" w:evenHBand="0" w:firstRowFirstColumn="0" w:firstRowLastColumn="0" w:lastRowFirstColumn="0" w:lastRowLastColumn="0"/>
        </w:trPr>
        <w:tc>
          <w:tcPr>
            <w:tcW w:w="1481" w:type="dxa"/>
            <w:tcBorders>
              <w:top w:val="single" w:sz="4" w:space="0" w:color="FFFFFF" w:themeColor="background1"/>
              <w:bottom w:val="nil"/>
            </w:tcBorders>
          </w:tcPr>
          <w:p w:rsidR="00B873A7" w:rsidRPr="005468E5" w:rsidRDefault="00B873A7" w:rsidP="00841EA0">
            <w:pPr>
              <w:pStyle w:val="Tablecells"/>
            </w:pPr>
            <w:r w:rsidRPr="005468E5">
              <w:t>Total 3G sites</w:t>
            </w:r>
          </w:p>
        </w:tc>
        <w:tc>
          <w:tcPr>
            <w:tcW w:w="1443" w:type="dxa"/>
            <w:tcBorders>
              <w:top w:val="single" w:sz="4" w:space="0" w:color="FFFFFF" w:themeColor="background1"/>
              <w:bottom w:val="nil"/>
            </w:tcBorders>
            <w:vAlign w:val="center"/>
          </w:tcPr>
          <w:p w:rsidR="00B873A7" w:rsidRDefault="00B873A7" w:rsidP="00841EA0">
            <w:pPr>
              <w:pStyle w:val="Tablecells"/>
              <w:ind w:right="0"/>
              <w:jc w:val="right"/>
            </w:pPr>
            <w:r>
              <w:t xml:space="preserve">18,565 </w:t>
            </w:r>
          </w:p>
        </w:tc>
        <w:tc>
          <w:tcPr>
            <w:tcW w:w="1443" w:type="dxa"/>
            <w:tcBorders>
              <w:top w:val="single" w:sz="4" w:space="0" w:color="FFFFFF" w:themeColor="background1"/>
              <w:bottom w:val="nil"/>
            </w:tcBorders>
          </w:tcPr>
          <w:p w:rsidR="00B873A7" w:rsidRPr="00132E75" w:rsidRDefault="00B873A7" w:rsidP="00841EA0">
            <w:pPr>
              <w:pStyle w:val="Tablecells"/>
              <w:ind w:right="0"/>
              <w:jc w:val="right"/>
            </w:pPr>
            <w:r w:rsidRPr="00132E75">
              <w:t xml:space="preserve">19,233 </w:t>
            </w:r>
          </w:p>
        </w:tc>
        <w:tc>
          <w:tcPr>
            <w:tcW w:w="1443" w:type="dxa"/>
            <w:tcBorders>
              <w:top w:val="single" w:sz="4" w:space="0" w:color="FFFFFF" w:themeColor="background1"/>
              <w:bottom w:val="nil"/>
            </w:tcBorders>
          </w:tcPr>
          <w:p w:rsidR="00B873A7" w:rsidRPr="00132E75" w:rsidRDefault="00B873A7" w:rsidP="00841EA0">
            <w:pPr>
              <w:pStyle w:val="Tablecells"/>
              <w:ind w:right="0"/>
              <w:jc w:val="right"/>
            </w:pPr>
            <w:r w:rsidRPr="00132E75">
              <w:t xml:space="preserve">20,066 </w:t>
            </w:r>
          </w:p>
        </w:tc>
        <w:tc>
          <w:tcPr>
            <w:tcW w:w="1462" w:type="dxa"/>
            <w:tcBorders>
              <w:top w:val="single" w:sz="4" w:space="0" w:color="FFFFFF" w:themeColor="background1"/>
              <w:bottom w:val="nil"/>
            </w:tcBorders>
          </w:tcPr>
          <w:p w:rsidR="00B873A7" w:rsidRDefault="00B873A7" w:rsidP="00841EA0">
            <w:pPr>
              <w:pStyle w:val="Tablecells"/>
              <w:ind w:right="0"/>
              <w:jc w:val="right"/>
            </w:pPr>
            <w:r w:rsidRPr="00132E75">
              <w:t xml:space="preserve">18,383 </w:t>
            </w:r>
          </w:p>
        </w:tc>
        <w:tc>
          <w:tcPr>
            <w:tcW w:w="1460" w:type="dxa"/>
            <w:tcBorders>
              <w:top w:val="single" w:sz="4" w:space="0" w:color="FFFFFF" w:themeColor="background1"/>
              <w:bottom w:val="nil"/>
            </w:tcBorders>
            <w:vAlign w:val="center"/>
          </w:tcPr>
          <w:p w:rsidR="00B873A7" w:rsidRPr="00F1754E" w:rsidRDefault="00B873A7" w:rsidP="00841EA0">
            <w:pPr>
              <w:pStyle w:val="Tablecells"/>
              <w:ind w:right="0"/>
              <w:jc w:val="right"/>
            </w:pPr>
            <w:r w:rsidRPr="00F1754E">
              <w:t xml:space="preserve">19,215 </w:t>
            </w:r>
          </w:p>
        </w:tc>
      </w:tr>
      <w:tr w:rsidR="00B873A7" w:rsidRPr="00BB78B9" w:rsidTr="00841EA0">
        <w:tc>
          <w:tcPr>
            <w:tcW w:w="1481" w:type="dxa"/>
            <w:tcBorders>
              <w:bottom w:val="nil"/>
            </w:tcBorders>
          </w:tcPr>
          <w:p w:rsidR="00B873A7" w:rsidRPr="00BB78B9" w:rsidRDefault="00B873A7" w:rsidP="00841EA0">
            <w:pPr>
              <w:pStyle w:val="Tablecells"/>
              <w:rPr>
                <w:i/>
              </w:rPr>
            </w:pPr>
            <w:r w:rsidRPr="00BB78B9">
              <w:rPr>
                <w:i/>
              </w:rPr>
              <w:t>(difference)</w:t>
            </w:r>
          </w:p>
        </w:tc>
        <w:tc>
          <w:tcPr>
            <w:tcW w:w="1443" w:type="dxa"/>
            <w:tcBorders>
              <w:bottom w:val="nil"/>
            </w:tcBorders>
            <w:vAlign w:val="center"/>
          </w:tcPr>
          <w:p w:rsidR="00B873A7" w:rsidRPr="00F1754E" w:rsidRDefault="00B873A7" w:rsidP="00841EA0">
            <w:pPr>
              <w:pStyle w:val="Tablecells"/>
              <w:ind w:right="0"/>
              <w:jc w:val="right"/>
              <w:rPr>
                <w:i/>
              </w:rPr>
            </w:pPr>
          </w:p>
        </w:tc>
        <w:tc>
          <w:tcPr>
            <w:tcW w:w="1443" w:type="dxa"/>
            <w:tcBorders>
              <w:bottom w:val="nil"/>
            </w:tcBorders>
          </w:tcPr>
          <w:p w:rsidR="00B873A7" w:rsidRPr="00F1754E" w:rsidRDefault="00B873A7" w:rsidP="00841EA0">
            <w:pPr>
              <w:pStyle w:val="Tablecells"/>
              <w:ind w:right="0"/>
              <w:jc w:val="right"/>
              <w:rPr>
                <w:i/>
              </w:rPr>
            </w:pPr>
            <w:r w:rsidRPr="00F1754E">
              <w:rPr>
                <w:i/>
              </w:rPr>
              <w:t xml:space="preserve">+668 </w:t>
            </w:r>
          </w:p>
        </w:tc>
        <w:tc>
          <w:tcPr>
            <w:tcW w:w="1443" w:type="dxa"/>
            <w:tcBorders>
              <w:bottom w:val="nil"/>
            </w:tcBorders>
          </w:tcPr>
          <w:p w:rsidR="00B873A7" w:rsidRPr="00F1754E" w:rsidRDefault="00B873A7" w:rsidP="00841EA0">
            <w:pPr>
              <w:pStyle w:val="Tablecells"/>
              <w:ind w:right="0"/>
              <w:jc w:val="right"/>
              <w:rPr>
                <w:i/>
              </w:rPr>
            </w:pPr>
            <w:r w:rsidRPr="00F1754E">
              <w:rPr>
                <w:i/>
              </w:rPr>
              <w:t xml:space="preserve">+1,501 </w:t>
            </w:r>
          </w:p>
        </w:tc>
        <w:tc>
          <w:tcPr>
            <w:tcW w:w="1462" w:type="dxa"/>
            <w:tcBorders>
              <w:bottom w:val="nil"/>
            </w:tcBorders>
          </w:tcPr>
          <w:p w:rsidR="00B873A7" w:rsidRPr="00F1754E" w:rsidRDefault="00B873A7" w:rsidP="00841EA0">
            <w:pPr>
              <w:pStyle w:val="Tablecells"/>
              <w:ind w:right="0"/>
              <w:jc w:val="right"/>
              <w:rPr>
                <w:i/>
              </w:rPr>
            </w:pPr>
            <w:r w:rsidRPr="00F1754E">
              <w:rPr>
                <w:i/>
                <w:color w:val="FF0000"/>
              </w:rPr>
              <w:t xml:space="preserve">-182 </w:t>
            </w:r>
          </w:p>
        </w:tc>
        <w:tc>
          <w:tcPr>
            <w:tcW w:w="1460" w:type="dxa"/>
            <w:tcBorders>
              <w:bottom w:val="nil"/>
            </w:tcBorders>
            <w:vAlign w:val="center"/>
          </w:tcPr>
          <w:p w:rsidR="00B873A7" w:rsidRPr="00F1754E" w:rsidRDefault="00B873A7" w:rsidP="00841EA0">
            <w:pPr>
              <w:pStyle w:val="Tablecells"/>
              <w:ind w:right="0"/>
              <w:jc w:val="right"/>
              <w:rPr>
                <w:i/>
              </w:rPr>
            </w:pPr>
            <w:r w:rsidRPr="00F1754E">
              <w:rPr>
                <w:i/>
              </w:rPr>
              <w:t xml:space="preserve">+650 </w:t>
            </w:r>
          </w:p>
        </w:tc>
      </w:tr>
      <w:tr w:rsidR="00CB3145" w:rsidTr="00841EA0">
        <w:trPr>
          <w:cnfStyle w:val="000000100000" w:firstRow="0" w:lastRow="0" w:firstColumn="0" w:lastColumn="0" w:oddVBand="0" w:evenVBand="0" w:oddHBand="1" w:evenHBand="0" w:firstRowFirstColumn="0" w:firstRowLastColumn="0" w:lastRowFirstColumn="0" w:lastRowLastColumn="0"/>
        </w:trPr>
        <w:tc>
          <w:tcPr>
            <w:tcW w:w="1481" w:type="dxa"/>
            <w:tcBorders>
              <w:bottom w:val="nil"/>
            </w:tcBorders>
          </w:tcPr>
          <w:p w:rsidR="00CB3145" w:rsidRPr="00B26ADF" w:rsidRDefault="00CB3145" w:rsidP="00841EA0">
            <w:pPr>
              <w:pStyle w:val="Tablecells"/>
            </w:pPr>
            <w:r w:rsidRPr="00B26ADF">
              <w:t>Total 4G sites</w:t>
            </w:r>
          </w:p>
        </w:tc>
        <w:tc>
          <w:tcPr>
            <w:tcW w:w="1443" w:type="dxa"/>
            <w:tcBorders>
              <w:bottom w:val="nil"/>
            </w:tcBorders>
          </w:tcPr>
          <w:p w:rsidR="00CB3145" w:rsidRPr="00965FCF" w:rsidRDefault="00CB3145" w:rsidP="00CB3145">
            <w:pPr>
              <w:pStyle w:val="Tablecells"/>
              <w:ind w:right="0"/>
              <w:jc w:val="right"/>
            </w:pPr>
            <w:r w:rsidRPr="00965FCF">
              <w:t xml:space="preserve">19,662 </w:t>
            </w:r>
          </w:p>
        </w:tc>
        <w:tc>
          <w:tcPr>
            <w:tcW w:w="1443" w:type="dxa"/>
            <w:tcBorders>
              <w:bottom w:val="nil"/>
            </w:tcBorders>
          </w:tcPr>
          <w:p w:rsidR="00CB3145" w:rsidRPr="00965FCF" w:rsidRDefault="00CB3145" w:rsidP="00CB3145">
            <w:pPr>
              <w:pStyle w:val="Tablecells"/>
              <w:ind w:right="0"/>
              <w:jc w:val="right"/>
            </w:pPr>
            <w:r w:rsidRPr="00965FCF">
              <w:t xml:space="preserve">20,661 </w:t>
            </w:r>
          </w:p>
        </w:tc>
        <w:tc>
          <w:tcPr>
            <w:tcW w:w="1443" w:type="dxa"/>
            <w:tcBorders>
              <w:bottom w:val="nil"/>
            </w:tcBorders>
          </w:tcPr>
          <w:p w:rsidR="00CB3145" w:rsidRPr="00965FCF" w:rsidRDefault="00CB3145" w:rsidP="00CB3145">
            <w:pPr>
              <w:pStyle w:val="Tablecells"/>
              <w:ind w:right="0"/>
              <w:jc w:val="right"/>
            </w:pPr>
            <w:r w:rsidRPr="00965FCF">
              <w:t xml:space="preserve">21,891 </w:t>
            </w:r>
          </w:p>
        </w:tc>
        <w:tc>
          <w:tcPr>
            <w:tcW w:w="1462" w:type="dxa"/>
            <w:tcBorders>
              <w:bottom w:val="nil"/>
            </w:tcBorders>
          </w:tcPr>
          <w:p w:rsidR="00CB3145" w:rsidRPr="00965FCF" w:rsidRDefault="00CB3145" w:rsidP="00CB3145">
            <w:pPr>
              <w:pStyle w:val="Tablecells"/>
              <w:ind w:right="0"/>
              <w:jc w:val="right"/>
            </w:pPr>
            <w:r w:rsidRPr="00965FCF">
              <w:t xml:space="preserve">19,289 </w:t>
            </w:r>
          </w:p>
        </w:tc>
        <w:tc>
          <w:tcPr>
            <w:tcW w:w="1460" w:type="dxa"/>
            <w:tcBorders>
              <w:bottom w:val="nil"/>
            </w:tcBorders>
          </w:tcPr>
          <w:p w:rsidR="00CB3145" w:rsidRDefault="00CB3145" w:rsidP="00CB3145">
            <w:pPr>
              <w:pStyle w:val="Tablecells"/>
              <w:ind w:right="0"/>
              <w:jc w:val="right"/>
            </w:pPr>
            <w:r w:rsidRPr="00965FCF">
              <w:t xml:space="preserve">20,402 </w:t>
            </w:r>
          </w:p>
        </w:tc>
      </w:tr>
      <w:tr w:rsidR="00CB3145" w:rsidRPr="00F1754E" w:rsidTr="00841EA0">
        <w:tc>
          <w:tcPr>
            <w:tcW w:w="1481" w:type="dxa"/>
            <w:tcBorders>
              <w:top w:val="nil"/>
              <w:bottom w:val="single" w:sz="4" w:space="0" w:color="808080"/>
            </w:tcBorders>
          </w:tcPr>
          <w:p w:rsidR="00CB3145" w:rsidRPr="00BB78B9" w:rsidRDefault="00CB3145" w:rsidP="00841EA0">
            <w:pPr>
              <w:pStyle w:val="Tablecells"/>
              <w:rPr>
                <w:i/>
              </w:rPr>
            </w:pPr>
            <w:r w:rsidRPr="00BB78B9">
              <w:rPr>
                <w:i/>
              </w:rPr>
              <w:t>(difference)</w:t>
            </w:r>
          </w:p>
        </w:tc>
        <w:tc>
          <w:tcPr>
            <w:tcW w:w="1443" w:type="dxa"/>
            <w:tcBorders>
              <w:top w:val="nil"/>
              <w:bottom w:val="single" w:sz="4" w:space="0" w:color="808080"/>
            </w:tcBorders>
            <w:vAlign w:val="center"/>
          </w:tcPr>
          <w:p w:rsidR="00CB3145" w:rsidRPr="00CB3145" w:rsidRDefault="00CB3145" w:rsidP="00CB3145">
            <w:pPr>
              <w:pStyle w:val="Tablecells"/>
              <w:ind w:right="0"/>
              <w:jc w:val="right"/>
              <w:rPr>
                <w:i/>
              </w:rPr>
            </w:pPr>
          </w:p>
        </w:tc>
        <w:tc>
          <w:tcPr>
            <w:tcW w:w="1443" w:type="dxa"/>
            <w:tcBorders>
              <w:top w:val="nil"/>
              <w:bottom w:val="single" w:sz="4" w:space="0" w:color="808080"/>
            </w:tcBorders>
          </w:tcPr>
          <w:p w:rsidR="00CB3145" w:rsidRPr="00CB3145" w:rsidRDefault="00CB3145" w:rsidP="00CB3145">
            <w:pPr>
              <w:pStyle w:val="Tablecells"/>
              <w:ind w:right="0"/>
              <w:jc w:val="right"/>
              <w:rPr>
                <w:i/>
              </w:rPr>
            </w:pPr>
            <w:r>
              <w:rPr>
                <w:i/>
              </w:rPr>
              <w:t>+</w:t>
            </w:r>
            <w:r w:rsidRPr="00CB3145">
              <w:rPr>
                <w:i/>
              </w:rPr>
              <w:t xml:space="preserve">999 </w:t>
            </w:r>
          </w:p>
        </w:tc>
        <w:tc>
          <w:tcPr>
            <w:tcW w:w="1443" w:type="dxa"/>
            <w:tcBorders>
              <w:top w:val="nil"/>
              <w:bottom w:val="single" w:sz="4" w:space="0" w:color="808080"/>
            </w:tcBorders>
          </w:tcPr>
          <w:p w:rsidR="00CB3145" w:rsidRPr="00CB3145" w:rsidRDefault="00CB3145" w:rsidP="00CB3145">
            <w:pPr>
              <w:pStyle w:val="Tablecells"/>
              <w:ind w:right="0"/>
              <w:jc w:val="right"/>
              <w:rPr>
                <w:i/>
              </w:rPr>
            </w:pPr>
            <w:r>
              <w:rPr>
                <w:i/>
              </w:rPr>
              <w:t>+</w:t>
            </w:r>
            <w:r w:rsidRPr="00CB3145">
              <w:rPr>
                <w:i/>
              </w:rPr>
              <w:t xml:space="preserve">2,229 </w:t>
            </w:r>
          </w:p>
        </w:tc>
        <w:tc>
          <w:tcPr>
            <w:tcW w:w="1462" w:type="dxa"/>
            <w:tcBorders>
              <w:top w:val="nil"/>
              <w:bottom w:val="single" w:sz="4" w:space="0" w:color="808080"/>
            </w:tcBorders>
          </w:tcPr>
          <w:p w:rsidR="00CB3145" w:rsidRPr="00CB3145" w:rsidRDefault="00CB3145" w:rsidP="00CB3145">
            <w:pPr>
              <w:pStyle w:val="Tablecells"/>
              <w:ind w:right="0"/>
              <w:jc w:val="right"/>
              <w:rPr>
                <w:i/>
              </w:rPr>
            </w:pPr>
            <w:r w:rsidRPr="00CB3145">
              <w:rPr>
                <w:i/>
                <w:color w:val="FF0000"/>
              </w:rPr>
              <w:t xml:space="preserve">-373 </w:t>
            </w:r>
          </w:p>
        </w:tc>
        <w:tc>
          <w:tcPr>
            <w:tcW w:w="1460" w:type="dxa"/>
            <w:tcBorders>
              <w:top w:val="nil"/>
              <w:bottom w:val="single" w:sz="4" w:space="0" w:color="808080"/>
            </w:tcBorders>
          </w:tcPr>
          <w:p w:rsidR="00CB3145" w:rsidRPr="00CB3145" w:rsidRDefault="00CB3145" w:rsidP="00CB3145">
            <w:pPr>
              <w:pStyle w:val="Tablecells"/>
              <w:ind w:right="0"/>
              <w:jc w:val="right"/>
              <w:rPr>
                <w:i/>
              </w:rPr>
            </w:pPr>
            <w:r>
              <w:rPr>
                <w:i/>
              </w:rPr>
              <w:t>+</w:t>
            </w:r>
            <w:r w:rsidRPr="00CB3145">
              <w:rPr>
                <w:i/>
              </w:rPr>
              <w:t xml:space="preserve">740 </w:t>
            </w:r>
          </w:p>
        </w:tc>
      </w:tr>
      <w:tr w:rsidR="00CB3145" w:rsidTr="00841EA0">
        <w:trPr>
          <w:cnfStyle w:val="000000100000" w:firstRow="0" w:lastRow="0" w:firstColumn="0" w:lastColumn="0" w:oddVBand="0" w:evenVBand="0" w:oddHBand="1" w:evenHBand="0" w:firstRowFirstColumn="0" w:firstRowLastColumn="0" w:lastRowFirstColumn="0" w:lastRowLastColumn="0"/>
        </w:trPr>
        <w:tc>
          <w:tcPr>
            <w:tcW w:w="1481" w:type="dxa"/>
            <w:tcBorders>
              <w:top w:val="nil"/>
              <w:bottom w:val="nil"/>
            </w:tcBorders>
          </w:tcPr>
          <w:p w:rsidR="00CB3145" w:rsidRPr="00FC54B4" w:rsidRDefault="00CB3145" w:rsidP="00841EA0">
            <w:pPr>
              <w:pStyle w:val="Tablecells"/>
              <w:rPr>
                <w:b/>
              </w:rPr>
            </w:pPr>
            <w:r w:rsidRPr="00FC54B4">
              <w:rPr>
                <w:b/>
              </w:rPr>
              <w:t>Total sites</w:t>
            </w:r>
          </w:p>
        </w:tc>
        <w:tc>
          <w:tcPr>
            <w:tcW w:w="1443" w:type="dxa"/>
            <w:tcBorders>
              <w:top w:val="nil"/>
              <w:bottom w:val="nil"/>
            </w:tcBorders>
            <w:vAlign w:val="center"/>
          </w:tcPr>
          <w:p w:rsidR="00CB3145" w:rsidRPr="00CB3145" w:rsidRDefault="00CB3145" w:rsidP="00CB3145">
            <w:pPr>
              <w:pStyle w:val="Tablecells"/>
              <w:ind w:right="0"/>
              <w:jc w:val="right"/>
              <w:rPr>
                <w:b/>
              </w:rPr>
            </w:pPr>
            <w:r w:rsidRPr="00CB3145">
              <w:rPr>
                <w:b/>
              </w:rPr>
              <w:t xml:space="preserve">38,227 </w:t>
            </w:r>
          </w:p>
        </w:tc>
        <w:tc>
          <w:tcPr>
            <w:tcW w:w="1443" w:type="dxa"/>
            <w:tcBorders>
              <w:top w:val="nil"/>
              <w:bottom w:val="nil"/>
            </w:tcBorders>
            <w:vAlign w:val="center"/>
          </w:tcPr>
          <w:p w:rsidR="00CB3145" w:rsidRPr="00CB3145" w:rsidRDefault="00CB3145" w:rsidP="00CB3145">
            <w:pPr>
              <w:pStyle w:val="Tablecells"/>
              <w:ind w:right="0"/>
              <w:jc w:val="right"/>
              <w:rPr>
                <w:b/>
              </w:rPr>
            </w:pPr>
            <w:r w:rsidRPr="00CB3145">
              <w:rPr>
                <w:b/>
              </w:rPr>
              <w:t xml:space="preserve">39,894 </w:t>
            </w:r>
          </w:p>
        </w:tc>
        <w:tc>
          <w:tcPr>
            <w:tcW w:w="1443" w:type="dxa"/>
            <w:tcBorders>
              <w:top w:val="nil"/>
              <w:bottom w:val="nil"/>
            </w:tcBorders>
            <w:vAlign w:val="center"/>
          </w:tcPr>
          <w:p w:rsidR="00CB3145" w:rsidRPr="00CB3145" w:rsidRDefault="00CB3145" w:rsidP="00CB3145">
            <w:pPr>
              <w:pStyle w:val="Tablecells"/>
              <w:ind w:right="0"/>
              <w:jc w:val="right"/>
              <w:rPr>
                <w:b/>
              </w:rPr>
            </w:pPr>
            <w:r w:rsidRPr="00CB3145">
              <w:rPr>
                <w:b/>
              </w:rPr>
              <w:t xml:space="preserve">41,957 </w:t>
            </w:r>
          </w:p>
        </w:tc>
        <w:tc>
          <w:tcPr>
            <w:tcW w:w="1462" w:type="dxa"/>
            <w:tcBorders>
              <w:top w:val="nil"/>
              <w:bottom w:val="nil"/>
            </w:tcBorders>
            <w:vAlign w:val="center"/>
          </w:tcPr>
          <w:p w:rsidR="00CB3145" w:rsidRPr="00CB3145" w:rsidRDefault="00CB3145" w:rsidP="00CB3145">
            <w:pPr>
              <w:pStyle w:val="Tablecells"/>
              <w:ind w:right="0"/>
              <w:jc w:val="right"/>
              <w:rPr>
                <w:b/>
              </w:rPr>
            </w:pPr>
            <w:r w:rsidRPr="00CB3145">
              <w:rPr>
                <w:b/>
              </w:rPr>
              <w:t xml:space="preserve">37,672 </w:t>
            </w:r>
          </w:p>
        </w:tc>
        <w:tc>
          <w:tcPr>
            <w:tcW w:w="1460" w:type="dxa"/>
            <w:tcBorders>
              <w:top w:val="nil"/>
              <w:bottom w:val="nil"/>
            </w:tcBorders>
            <w:vAlign w:val="center"/>
          </w:tcPr>
          <w:p w:rsidR="00CB3145" w:rsidRPr="00CB3145" w:rsidRDefault="00CB3145" w:rsidP="00CB3145">
            <w:pPr>
              <w:pStyle w:val="Tablecells"/>
              <w:ind w:right="0"/>
              <w:jc w:val="right"/>
              <w:rPr>
                <w:b/>
              </w:rPr>
            </w:pPr>
            <w:r w:rsidRPr="00CB3145">
              <w:rPr>
                <w:b/>
              </w:rPr>
              <w:t xml:space="preserve">39,617 </w:t>
            </w:r>
          </w:p>
        </w:tc>
      </w:tr>
      <w:tr w:rsidR="00CB3145" w:rsidRPr="00CB3145" w:rsidTr="00841EA0">
        <w:tc>
          <w:tcPr>
            <w:tcW w:w="1481" w:type="dxa"/>
            <w:tcBorders>
              <w:top w:val="nil"/>
              <w:bottom w:val="single" w:sz="4" w:space="0" w:color="808080"/>
            </w:tcBorders>
          </w:tcPr>
          <w:p w:rsidR="00CB3145" w:rsidRPr="00BB78B9" w:rsidRDefault="00CB3145" w:rsidP="00841EA0">
            <w:pPr>
              <w:pStyle w:val="Tablecells"/>
              <w:rPr>
                <w:b/>
                <w:i/>
              </w:rPr>
            </w:pPr>
            <w:r w:rsidRPr="00BB78B9">
              <w:rPr>
                <w:b/>
                <w:i/>
              </w:rPr>
              <w:t>(difference)</w:t>
            </w:r>
          </w:p>
        </w:tc>
        <w:tc>
          <w:tcPr>
            <w:tcW w:w="1443" w:type="dxa"/>
            <w:tcBorders>
              <w:top w:val="nil"/>
              <w:bottom w:val="single" w:sz="4" w:space="0" w:color="808080"/>
            </w:tcBorders>
            <w:vAlign w:val="center"/>
          </w:tcPr>
          <w:p w:rsidR="00CB3145" w:rsidRPr="00CB3145" w:rsidRDefault="00CB3145" w:rsidP="00CB3145">
            <w:pPr>
              <w:pStyle w:val="Tablecells"/>
              <w:ind w:right="0"/>
              <w:jc w:val="right"/>
              <w:rPr>
                <w:b/>
                <w:i/>
              </w:rPr>
            </w:pPr>
          </w:p>
        </w:tc>
        <w:tc>
          <w:tcPr>
            <w:tcW w:w="1443" w:type="dxa"/>
            <w:tcBorders>
              <w:top w:val="nil"/>
              <w:bottom w:val="single" w:sz="4" w:space="0" w:color="808080"/>
            </w:tcBorders>
            <w:vAlign w:val="center"/>
          </w:tcPr>
          <w:p w:rsidR="00CB3145" w:rsidRPr="00CB3145" w:rsidRDefault="00CB3145" w:rsidP="00CB3145">
            <w:pPr>
              <w:pStyle w:val="Tablecells"/>
              <w:ind w:right="0"/>
              <w:jc w:val="right"/>
              <w:rPr>
                <w:b/>
                <w:i/>
              </w:rPr>
            </w:pPr>
            <w:r w:rsidRPr="00CB3145">
              <w:rPr>
                <w:b/>
                <w:i/>
              </w:rPr>
              <w:t xml:space="preserve">+1,667 </w:t>
            </w:r>
          </w:p>
        </w:tc>
        <w:tc>
          <w:tcPr>
            <w:tcW w:w="1443" w:type="dxa"/>
            <w:tcBorders>
              <w:top w:val="nil"/>
              <w:bottom w:val="single" w:sz="4" w:space="0" w:color="808080"/>
            </w:tcBorders>
            <w:vAlign w:val="center"/>
          </w:tcPr>
          <w:p w:rsidR="00CB3145" w:rsidRPr="00CB3145" w:rsidRDefault="00CB3145" w:rsidP="00CB3145">
            <w:pPr>
              <w:pStyle w:val="Tablecells"/>
              <w:ind w:right="0"/>
              <w:jc w:val="right"/>
              <w:rPr>
                <w:b/>
                <w:i/>
              </w:rPr>
            </w:pPr>
            <w:r w:rsidRPr="00CB3145">
              <w:rPr>
                <w:b/>
                <w:i/>
              </w:rPr>
              <w:t xml:space="preserve">+3,730 </w:t>
            </w:r>
          </w:p>
        </w:tc>
        <w:tc>
          <w:tcPr>
            <w:tcW w:w="1462" w:type="dxa"/>
            <w:tcBorders>
              <w:top w:val="nil"/>
              <w:bottom w:val="single" w:sz="4" w:space="0" w:color="808080"/>
            </w:tcBorders>
            <w:vAlign w:val="center"/>
          </w:tcPr>
          <w:p w:rsidR="00CB3145" w:rsidRPr="00CB3145" w:rsidRDefault="00CB3145" w:rsidP="00CB3145">
            <w:pPr>
              <w:pStyle w:val="Tablecells"/>
              <w:ind w:right="0"/>
              <w:jc w:val="right"/>
              <w:rPr>
                <w:b/>
                <w:i/>
              </w:rPr>
            </w:pPr>
            <w:r w:rsidRPr="00CB3145">
              <w:rPr>
                <w:b/>
                <w:i/>
              </w:rPr>
              <w:t xml:space="preserve">-555 </w:t>
            </w:r>
          </w:p>
        </w:tc>
        <w:tc>
          <w:tcPr>
            <w:tcW w:w="1460" w:type="dxa"/>
            <w:tcBorders>
              <w:top w:val="nil"/>
              <w:bottom w:val="single" w:sz="4" w:space="0" w:color="808080"/>
            </w:tcBorders>
            <w:vAlign w:val="center"/>
          </w:tcPr>
          <w:p w:rsidR="00CB3145" w:rsidRPr="00CB3145" w:rsidRDefault="00CB3145" w:rsidP="00CB3145">
            <w:pPr>
              <w:pStyle w:val="Tablecells"/>
              <w:ind w:right="0"/>
              <w:jc w:val="right"/>
              <w:rPr>
                <w:b/>
                <w:i/>
              </w:rPr>
            </w:pPr>
            <w:r w:rsidRPr="00CB3145">
              <w:rPr>
                <w:b/>
                <w:i/>
              </w:rPr>
              <w:t xml:space="preserve">+1,390 </w:t>
            </w:r>
          </w:p>
        </w:tc>
      </w:tr>
    </w:tbl>
    <w:p w:rsidR="00B873A7" w:rsidRDefault="00B873A7" w:rsidP="00B873A7">
      <w:pPr>
        <w:pStyle w:val="01"/>
      </w:pPr>
    </w:p>
    <w:p w:rsidR="00B873A7" w:rsidRDefault="00B873A7" w:rsidP="00B873A7">
      <w:pPr>
        <w:pStyle w:val="Caption"/>
      </w:pPr>
      <w:bookmarkStart w:id="199" w:name="_Ref378550220"/>
      <w:r>
        <w:t>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fldSimple w:instr=" SEQ Figure \* ARABIC \s 1 \* MERGEFORMAT ">
        <w:r w:rsidR="00A87B65">
          <w:rPr>
            <w:noProof/>
          </w:rPr>
          <w:t>63</w:t>
        </w:r>
      </w:fldSimple>
      <w:bookmarkEnd w:id="199"/>
      <w:r>
        <w:t>: Total number of sites in 2020 for the base case and each sensitivity, and the difference from the base case (second part) [Source: Analysys Mason, 2014]</w:t>
      </w:r>
    </w:p>
    <w:tbl>
      <w:tblPr>
        <w:tblStyle w:val="MediumShading2-Accent1"/>
        <w:tblW w:w="8732" w:type="dxa"/>
        <w:tblInd w:w="108" w:type="dxa"/>
        <w:tblLook w:val="0420" w:firstRow="1" w:lastRow="0" w:firstColumn="0" w:lastColumn="0" w:noHBand="0" w:noVBand="1"/>
      </w:tblPr>
      <w:tblGrid>
        <w:gridCol w:w="1761"/>
        <w:gridCol w:w="1746"/>
        <w:gridCol w:w="1746"/>
        <w:gridCol w:w="1747"/>
        <w:gridCol w:w="1732"/>
      </w:tblGrid>
      <w:tr w:rsidR="00B873A7" w:rsidRPr="00562241" w:rsidTr="00EE4CCC">
        <w:trPr>
          <w:cnfStyle w:val="100000000000" w:firstRow="1" w:lastRow="0" w:firstColumn="0" w:lastColumn="0" w:oddVBand="0" w:evenVBand="0" w:oddHBand="0" w:evenHBand="0" w:firstRowFirstColumn="0" w:firstRowLastColumn="0" w:lastRowFirstColumn="0" w:lastRowLastColumn="0"/>
        </w:trPr>
        <w:tc>
          <w:tcPr>
            <w:tcW w:w="1761" w:type="dxa"/>
            <w:tcBorders>
              <w:top w:val="single" w:sz="18" w:space="0" w:color="221F72"/>
              <w:bottom w:val="single" w:sz="4" w:space="0" w:color="FFFFFF" w:themeColor="background1"/>
            </w:tcBorders>
            <w:shd w:val="solid" w:color="221F72" w:fill="221F72"/>
          </w:tcPr>
          <w:p w:rsidR="00B873A7" w:rsidRPr="00562241" w:rsidRDefault="00B873A7" w:rsidP="00841EA0">
            <w:pPr>
              <w:pStyle w:val="Tableheading"/>
              <w:keepLines/>
              <w:rPr>
                <w:b/>
              </w:rPr>
            </w:pPr>
          </w:p>
        </w:tc>
        <w:tc>
          <w:tcPr>
            <w:tcW w:w="1746" w:type="dxa"/>
            <w:tcBorders>
              <w:top w:val="single" w:sz="18" w:space="0" w:color="221F72"/>
              <w:bottom w:val="single" w:sz="4" w:space="0" w:color="FFFFFF" w:themeColor="background1"/>
            </w:tcBorders>
            <w:shd w:val="solid" w:color="221F72" w:fill="221F72"/>
          </w:tcPr>
          <w:p w:rsidR="00B873A7" w:rsidRDefault="00B873A7" w:rsidP="00841EA0">
            <w:pPr>
              <w:pStyle w:val="Tableheading"/>
              <w:keepLines/>
              <w:ind w:right="0"/>
              <w:jc w:val="right"/>
              <w:rPr>
                <w:b/>
              </w:rPr>
            </w:pPr>
            <w:r>
              <w:rPr>
                <w:b/>
              </w:rPr>
              <w:t>No 700MHz or 2.5GHz spectrum</w:t>
            </w:r>
          </w:p>
        </w:tc>
        <w:tc>
          <w:tcPr>
            <w:tcW w:w="1746" w:type="dxa"/>
            <w:tcBorders>
              <w:top w:val="single" w:sz="18" w:space="0" w:color="221F72"/>
              <w:bottom w:val="single" w:sz="4" w:space="0" w:color="FFFFFF" w:themeColor="background1"/>
            </w:tcBorders>
            <w:shd w:val="solid" w:color="221F72" w:fill="221F72"/>
          </w:tcPr>
          <w:p w:rsidR="00B873A7" w:rsidRDefault="00B873A7" w:rsidP="00841EA0">
            <w:pPr>
              <w:pStyle w:val="Tableheading"/>
              <w:keepLines/>
              <w:ind w:right="0"/>
              <w:jc w:val="right"/>
              <w:rPr>
                <w:b/>
              </w:rPr>
            </w:pPr>
            <w:r>
              <w:rPr>
                <w:b/>
              </w:rPr>
              <w:t xml:space="preserve">+150MHz of spectrum in 2015 </w:t>
            </w:r>
          </w:p>
        </w:tc>
        <w:tc>
          <w:tcPr>
            <w:tcW w:w="1747" w:type="dxa"/>
            <w:tcBorders>
              <w:top w:val="single" w:sz="18" w:space="0" w:color="221F72"/>
              <w:bottom w:val="single" w:sz="4" w:space="0" w:color="FFFFFF" w:themeColor="background1"/>
            </w:tcBorders>
            <w:shd w:val="solid" w:color="221F72" w:fill="221F72"/>
          </w:tcPr>
          <w:p w:rsidR="00B873A7" w:rsidRDefault="00B873A7" w:rsidP="00841EA0">
            <w:pPr>
              <w:pStyle w:val="Tableheading"/>
              <w:keepLines/>
              <w:ind w:right="0"/>
              <w:jc w:val="right"/>
              <w:rPr>
                <w:b/>
              </w:rPr>
            </w:pPr>
            <w:r>
              <w:rPr>
                <w:b/>
              </w:rPr>
              <w:t xml:space="preserve">+240MHz of spectrum in 2015 </w:t>
            </w:r>
          </w:p>
        </w:tc>
        <w:tc>
          <w:tcPr>
            <w:tcW w:w="1732" w:type="dxa"/>
            <w:tcBorders>
              <w:top w:val="single" w:sz="18" w:space="0" w:color="221F72"/>
              <w:bottom w:val="single" w:sz="4" w:space="0" w:color="FFFFFF" w:themeColor="background1"/>
            </w:tcBorders>
            <w:shd w:val="solid" w:color="221F72" w:fill="221F72"/>
          </w:tcPr>
          <w:p w:rsidR="00B873A7" w:rsidRDefault="00B873A7" w:rsidP="00841EA0">
            <w:pPr>
              <w:pStyle w:val="Tableheading"/>
              <w:keepLines/>
              <w:ind w:right="0"/>
              <w:jc w:val="right"/>
              <w:rPr>
                <w:b/>
              </w:rPr>
            </w:pPr>
            <w:r>
              <w:rPr>
                <w:b/>
              </w:rPr>
              <w:t>+540MHz of spectrum in 2015</w:t>
            </w:r>
          </w:p>
        </w:tc>
      </w:tr>
      <w:tr w:rsidR="00B873A7" w:rsidRPr="00F1754E" w:rsidTr="00EE4CCC">
        <w:trPr>
          <w:cnfStyle w:val="000000100000" w:firstRow="0" w:lastRow="0" w:firstColumn="0" w:lastColumn="0" w:oddVBand="0" w:evenVBand="0" w:oddHBand="1" w:evenHBand="0" w:firstRowFirstColumn="0" w:firstRowLastColumn="0" w:lastRowFirstColumn="0" w:lastRowLastColumn="0"/>
        </w:trPr>
        <w:tc>
          <w:tcPr>
            <w:tcW w:w="1761" w:type="dxa"/>
            <w:tcBorders>
              <w:top w:val="single" w:sz="4" w:space="0" w:color="FFFFFF" w:themeColor="background1"/>
              <w:bottom w:val="nil"/>
            </w:tcBorders>
          </w:tcPr>
          <w:p w:rsidR="00B873A7" w:rsidRPr="00B26ADF" w:rsidRDefault="00B873A7" w:rsidP="00841EA0">
            <w:pPr>
              <w:pStyle w:val="Tablecells"/>
            </w:pPr>
            <w:r w:rsidRPr="00B26ADF">
              <w:t>Total 3G sites</w:t>
            </w:r>
          </w:p>
        </w:tc>
        <w:tc>
          <w:tcPr>
            <w:tcW w:w="1746" w:type="dxa"/>
            <w:tcBorders>
              <w:top w:val="single" w:sz="4" w:space="0" w:color="FFFFFF" w:themeColor="background1"/>
              <w:bottom w:val="nil"/>
            </w:tcBorders>
            <w:vAlign w:val="center"/>
          </w:tcPr>
          <w:p w:rsidR="00B873A7" w:rsidRPr="00F1754E" w:rsidRDefault="00B873A7" w:rsidP="00CB3145">
            <w:pPr>
              <w:pStyle w:val="Tablecells"/>
              <w:ind w:right="0"/>
              <w:jc w:val="right"/>
            </w:pPr>
            <w:r w:rsidRPr="00F1754E">
              <w:t xml:space="preserve">18,565 </w:t>
            </w:r>
          </w:p>
        </w:tc>
        <w:tc>
          <w:tcPr>
            <w:tcW w:w="1746" w:type="dxa"/>
            <w:tcBorders>
              <w:top w:val="single" w:sz="4" w:space="0" w:color="FFFFFF" w:themeColor="background1"/>
              <w:bottom w:val="nil"/>
            </w:tcBorders>
            <w:vAlign w:val="center"/>
          </w:tcPr>
          <w:p w:rsidR="00B873A7" w:rsidRPr="00F1754E" w:rsidRDefault="00B873A7" w:rsidP="00CB3145">
            <w:pPr>
              <w:pStyle w:val="Tablecells"/>
              <w:ind w:right="0"/>
              <w:jc w:val="right"/>
            </w:pPr>
            <w:r w:rsidRPr="00F1754E">
              <w:t xml:space="preserve">18,565 </w:t>
            </w:r>
          </w:p>
        </w:tc>
        <w:tc>
          <w:tcPr>
            <w:tcW w:w="1747" w:type="dxa"/>
            <w:tcBorders>
              <w:top w:val="single" w:sz="4" w:space="0" w:color="FFFFFF" w:themeColor="background1"/>
              <w:bottom w:val="nil"/>
            </w:tcBorders>
            <w:vAlign w:val="center"/>
          </w:tcPr>
          <w:p w:rsidR="00B873A7" w:rsidRPr="00F1754E" w:rsidRDefault="00B873A7" w:rsidP="00CB3145">
            <w:pPr>
              <w:pStyle w:val="Tablecells"/>
              <w:ind w:right="0"/>
              <w:jc w:val="right"/>
            </w:pPr>
            <w:r w:rsidRPr="00F1754E">
              <w:t xml:space="preserve">18,565 </w:t>
            </w:r>
          </w:p>
        </w:tc>
        <w:tc>
          <w:tcPr>
            <w:tcW w:w="1732" w:type="dxa"/>
            <w:tcBorders>
              <w:top w:val="single" w:sz="4" w:space="0" w:color="FFFFFF" w:themeColor="background1"/>
              <w:bottom w:val="nil"/>
            </w:tcBorders>
            <w:vAlign w:val="center"/>
          </w:tcPr>
          <w:p w:rsidR="00B873A7" w:rsidRPr="00F1754E" w:rsidRDefault="00B873A7" w:rsidP="00CB3145">
            <w:pPr>
              <w:pStyle w:val="Tablecells"/>
              <w:ind w:right="0"/>
              <w:jc w:val="right"/>
            </w:pPr>
            <w:r w:rsidRPr="00F1754E">
              <w:t xml:space="preserve">18,565 </w:t>
            </w:r>
          </w:p>
        </w:tc>
      </w:tr>
      <w:tr w:rsidR="00B873A7" w:rsidRPr="00BB78B9" w:rsidTr="00841EA0">
        <w:tc>
          <w:tcPr>
            <w:tcW w:w="1761" w:type="dxa"/>
            <w:tcBorders>
              <w:bottom w:val="nil"/>
            </w:tcBorders>
          </w:tcPr>
          <w:p w:rsidR="00B873A7" w:rsidRPr="00BB78B9" w:rsidRDefault="00B873A7" w:rsidP="00841EA0">
            <w:pPr>
              <w:pStyle w:val="Tablecells"/>
              <w:keepNext/>
              <w:keepLines/>
              <w:rPr>
                <w:i/>
              </w:rPr>
            </w:pPr>
            <w:r w:rsidRPr="00BB78B9">
              <w:rPr>
                <w:i/>
              </w:rPr>
              <w:t>(difference)</w:t>
            </w:r>
          </w:p>
        </w:tc>
        <w:tc>
          <w:tcPr>
            <w:tcW w:w="1746" w:type="dxa"/>
            <w:tcBorders>
              <w:bottom w:val="nil"/>
            </w:tcBorders>
            <w:vAlign w:val="center"/>
          </w:tcPr>
          <w:p w:rsidR="00B873A7" w:rsidRPr="00CB3145" w:rsidRDefault="00B873A7" w:rsidP="00CB3145">
            <w:pPr>
              <w:pStyle w:val="Tablecells"/>
              <w:ind w:right="0"/>
              <w:jc w:val="right"/>
              <w:rPr>
                <w:i/>
              </w:rPr>
            </w:pPr>
            <w:r w:rsidRPr="00CB3145">
              <w:rPr>
                <w:i/>
              </w:rPr>
              <w:t xml:space="preserve">0 </w:t>
            </w:r>
          </w:p>
        </w:tc>
        <w:tc>
          <w:tcPr>
            <w:tcW w:w="1746" w:type="dxa"/>
            <w:tcBorders>
              <w:bottom w:val="nil"/>
            </w:tcBorders>
            <w:vAlign w:val="center"/>
          </w:tcPr>
          <w:p w:rsidR="00B873A7" w:rsidRPr="00CB3145" w:rsidRDefault="00B873A7" w:rsidP="00CB3145">
            <w:pPr>
              <w:pStyle w:val="Tablecells"/>
              <w:ind w:right="0"/>
              <w:jc w:val="right"/>
              <w:rPr>
                <w:i/>
              </w:rPr>
            </w:pPr>
            <w:r w:rsidRPr="00CB3145">
              <w:rPr>
                <w:i/>
              </w:rPr>
              <w:t xml:space="preserve">0 </w:t>
            </w:r>
          </w:p>
        </w:tc>
        <w:tc>
          <w:tcPr>
            <w:tcW w:w="1747" w:type="dxa"/>
            <w:tcBorders>
              <w:bottom w:val="nil"/>
            </w:tcBorders>
            <w:vAlign w:val="center"/>
          </w:tcPr>
          <w:p w:rsidR="00B873A7" w:rsidRPr="00CB3145" w:rsidRDefault="00B873A7" w:rsidP="00CB3145">
            <w:pPr>
              <w:pStyle w:val="Tablecells"/>
              <w:ind w:right="0"/>
              <w:jc w:val="right"/>
              <w:rPr>
                <w:i/>
              </w:rPr>
            </w:pPr>
            <w:r w:rsidRPr="00CB3145">
              <w:rPr>
                <w:i/>
              </w:rPr>
              <w:t xml:space="preserve">0 </w:t>
            </w:r>
          </w:p>
        </w:tc>
        <w:tc>
          <w:tcPr>
            <w:tcW w:w="1732" w:type="dxa"/>
            <w:tcBorders>
              <w:bottom w:val="nil"/>
            </w:tcBorders>
            <w:vAlign w:val="center"/>
          </w:tcPr>
          <w:p w:rsidR="00B873A7" w:rsidRPr="00CB3145" w:rsidRDefault="00B873A7" w:rsidP="00CB3145">
            <w:pPr>
              <w:pStyle w:val="Tablecells"/>
              <w:ind w:right="0"/>
              <w:jc w:val="right"/>
              <w:rPr>
                <w:i/>
              </w:rPr>
            </w:pPr>
            <w:r w:rsidRPr="00CB3145">
              <w:rPr>
                <w:i/>
              </w:rPr>
              <w:t xml:space="preserve">0 </w:t>
            </w:r>
          </w:p>
        </w:tc>
      </w:tr>
      <w:tr w:rsidR="00CB3145" w:rsidTr="00841EA0">
        <w:trPr>
          <w:cnfStyle w:val="000000100000" w:firstRow="0" w:lastRow="0" w:firstColumn="0" w:lastColumn="0" w:oddVBand="0" w:evenVBand="0" w:oddHBand="1" w:evenHBand="0" w:firstRowFirstColumn="0" w:firstRowLastColumn="0" w:lastRowFirstColumn="0" w:lastRowLastColumn="0"/>
        </w:trPr>
        <w:tc>
          <w:tcPr>
            <w:tcW w:w="1761" w:type="dxa"/>
            <w:tcBorders>
              <w:bottom w:val="nil"/>
            </w:tcBorders>
          </w:tcPr>
          <w:p w:rsidR="00CB3145" w:rsidRPr="00B26ADF" w:rsidRDefault="00CB3145" w:rsidP="00841EA0">
            <w:pPr>
              <w:pStyle w:val="Tablecells"/>
              <w:keepNext/>
              <w:keepLines/>
            </w:pPr>
            <w:r w:rsidRPr="00B26ADF">
              <w:t>Total 4G sites</w:t>
            </w:r>
          </w:p>
        </w:tc>
        <w:tc>
          <w:tcPr>
            <w:tcW w:w="1746" w:type="dxa"/>
            <w:tcBorders>
              <w:bottom w:val="nil"/>
            </w:tcBorders>
          </w:tcPr>
          <w:p w:rsidR="00CB3145" w:rsidRPr="006A1382" w:rsidRDefault="00CB3145" w:rsidP="00CB3145">
            <w:pPr>
              <w:pStyle w:val="Tablecells"/>
              <w:ind w:right="0"/>
              <w:jc w:val="right"/>
            </w:pPr>
            <w:r w:rsidRPr="006A1382">
              <w:t xml:space="preserve">32,760 </w:t>
            </w:r>
          </w:p>
        </w:tc>
        <w:tc>
          <w:tcPr>
            <w:tcW w:w="1746" w:type="dxa"/>
            <w:tcBorders>
              <w:bottom w:val="nil"/>
            </w:tcBorders>
          </w:tcPr>
          <w:p w:rsidR="00CB3145" w:rsidRPr="006A1382" w:rsidRDefault="00CB3145" w:rsidP="00CB3145">
            <w:pPr>
              <w:pStyle w:val="Tablecells"/>
              <w:ind w:right="0"/>
              <w:jc w:val="right"/>
            </w:pPr>
            <w:r w:rsidRPr="006A1382">
              <w:t xml:space="preserve">14,737 </w:t>
            </w:r>
          </w:p>
        </w:tc>
        <w:tc>
          <w:tcPr>
            <w:tcW w:w="1747" w:type="dxa"/>
            <w:tcBorders>
              <w:bottom w:val="nil"/>
            </w:tcBorders>
          </w:tcPr>
          <w:p w:rsidR="00CB3145" w:rsidRPr="006A1382" w:rsidRDefault="00CB3145" w:rsidP="00CB3145">
            <w:pPr>
              <w:pStyle w:val="Tablecells"/>
              <w:ind w:right="0"/>
              <w:jc w:val="right"/>
            </w:pPr>
            <w:r w:rsidRPr="006A1382">
              <w:t xml:space="preserve">14,590 </w:t>
            </w:r>
          </w:p>
        </w:tc>
        <w:tc>
          <w:tcPr>
            <w:tcW w:w="1732" w:type="dxa"/>
            <w:tcBorders>
              <w:bottom w:val="nil"/>
            </w:tcBorders>
          </w:tcPr>
          <w:p w:rsidR="00CB3145" w:rsidRDefault="00CB3145" w:rsidP="00CB3145">
            <w:pPr>
              <w:pStyle w:val="Tablecells"/>
              <w:ind w:right="0"/>
              <w:jc w:val="right"/>
            </w:pPr>
            <w:r w:rsidRPr="006A1382">
              <w:t xml:space="preserve">14,444 </w:t>
            </w:r>
          </w:p>
        </w:tc>
      </w:tr>
      <w:tr w:rsidR="00CB3145" w:rsidRPr="00BB78B9" w:rsidTr="00841EA0">
        <w:tc>
          <w:tcPr>
            <w:tcW w:w="1761" w:type="dxa"/>
            <w:tcBorders>
              <w:top w:val="nil"/>
              <w:bottom w:val="single" w:sz="4" w:space="0" w:color="808080"/>
            </w:tcBorders>
          </w:tcPr>
          <w:p w:rsidR="00CB3145" w:rsidRPr="00BB78B9" w:rsidRDefault="00CB3145" w:rsidP="00841EA0">
            <w:pPr>
              <w:pStyle w:val="Tablecells"/>
              <w:keepNext/>
              <w:keepLines/>
              <w:rPr>
                <w:i/>
              </w:rPr>
            </w:pPr>
            <w:r w:rsidRPr="00BB78B9">
              <w:rPr>
                <w:i/>
              </w:rPr>
              <w:t>(difference)</w:t>
            </w:r>
          </w:p>
        </w:tc>
        <w:tc>
          <w:tcPr>
            <w:tcW w:w="1746" w:type="dxa"/>
            <w:tcBorders>
              <w:top w:val="nil"/>
              <w:bottom w:val="single" w:sz="4" w:space="0" w:color="808080"/>
            </w:tcBorders>
          </w:tcPr>
          <w:p w:rsidR="00CB3145" w:rsidRPr="00CB3145" w:rsidRDefault="00CB3145" w:rsidP="00CB3145">
            <w:pPr>
              <w:pStyle w:val="Tablecells"/>
              <w:ind w:right="0"/>
              <w:jc w:val="right"/>
              <w:rPr>
                <w:i/>
              </w:rPr>
            </w:pPr>
            <w:r w:rsidRPr="00CB3145">
              <w:rPr>
                <w:i/>
              </w:rPr>
              <w:t xml:space="preserve">+13,098 </w:t>
            </w:r>
          </w:p>
        </w:tc>
        <w:tc>
          <w:tcPr>
            <w:tcW w:w="1746" w:type="dxa"/>
            <w:tcBorders>
              <w:top w:val="nil"/>
              <w:bottom w:val="single" w:sz="4" w:space="0" w:color="808080"/>
            </w:tcBorders>
          </w:tcPr>
          <w:p w:rsidR="00CB3145" w:rsidRPr="00CB3145" w:rsidRDefault="00CB3145" w:rsidP="00CB3145">
            <w:pPr>
              <w:pStyle w:val="Tablecells"/>
              <w:ind w:right="0"/>
              <w:jc w:val="right"/>
              <w:rPr>
                <w:i/>
                <w:color w:val="FF0000"/>
              </w:rPr>
            </w:pPr>
            <w:r w:rsidRPr="00CB3145">
              <w:rPr>
                <w:i/>
                <w:color w:val="FF0000"/>
              </w:rPr>
              <w:t xml:space="preserve">-4,925 </w:t>
            </w:r>
          </w:p>
        </w:tc>
        <w:tc>
          <w:tcPr>
            <w:tcW w:w="1747" w:type="dxa"/>
            <w:tcBorders>
              <w:top w:val="nil"/>
              <w:bottom w:val="single" w:sz="4" w:space="0" w:color="808080"/>
            </w:tcBorders>
          </w:tcPr>
          <w:p w:rsidR="00CB3145" w:rsidRPr="00CB3145" w:rsidRDefault="00CB3145" w:rsidP="00CB3145">
            <w:pPr>
              <w:pStyle w:val="Tablecells"/>
              <w:ind w:right="0"/>
              <w:jc w:val="right"/>
              <w:rPr>
                <w:i/>
                <w:color w:val="FF0000"/>
              </w:rPr>
            </w:pPr>
            <w:r w:rsidRPr="00CB3145">
              <w:rPr>
                <w:i/>
                <w:color w:val="FF0000"/>
              </w:rPr>
              <w:t xml:space="preserve">-5,072 </w:t>
            </w:r>
          </w:p>
        </w:tc>
        <w:tc>
          <w:tcPr>
            <w:tcW w:w="1732" w:type="dxa"/>
            <w:tcBorders>
              <w:top w:val="nil"/>
              <w:bottom w:val="single" w:sz="4" w:space="0" w:color="808080"/>
            </w:tcBorders>
          </w:tcPr>
          <w:p w:rsidR="00CB3145" w:rsidRPr="00CB3145" w:rsidRDefault="00CB3145" w:rsidP="00CB3145">
            <w:pPr>
              <w:pStyle w:val="Tablecells"/>
              <w:ind w:right="0"/>
              <w:jc w:val="right"/>
              <w:rPr>
                <w:i/>
                <w:color w:val="FF0000"/>
              </w:rPr>
            </w:pPr>
            <w:r w:rsidRPr="00CB3145">
              <w:rPr>
                <w:i/>
                <w:color w:val="FF0000"/>
              </w:rPr>
              <w:t xml:space="preserve">-5,218 </w:t>
            </w:r>
          </w:p>
        </w:tc>
      </w:tr>
      <w:tr w:rsidR="00CB3145" w:rsidTr="00841EA0">
        <w:trPr>
          <w:cnfStyle w:val="000000100000" w:firstRow="0" w:lastRow="0" w:firstColumn="0" w:lastColumn="0" w:oddVBand="0" w:evenVBand="0" w:oddHBand="1" w:evenHBand="0" w:firstRowFirstColumn="0" w:firstRowLastColumn="0" w:lastRowFirstColumn="0" w:lastRowLastColumn="0"/>
        </w:trPr>
        <w:tc>
          <w:tcPr>
            <w:tcW w:w="1761" w:type="dxa"/>
            <w:tcBorders>
              <w:top w:val="nil"/>
              <w:bottom w:val="nil"/>
            </w:tcBorders>
          </w:tcPr>
          <w:p w:rsidR="00CB3145" w:rsidRPr="00FC54B4" w:rsidRDefault="00CB3145" w:rsidP="00841EA0">
            <w:pPr>
              <w:pStyle w:val="Tablecells"/>
              <w:keepNext/>
              <w:keepLines/>
              <w:rPr>
                <w:b/>
              </w:rPr>
            </w:pPr>
            <w:r w:rsidRPr="00FC54B4">
              <w:rPr>
                <w:b/>
              </w:rPr>
              <w:t>Total sites</w:t>
            </w:r>
          </w:p>
        </w:tc>
        <w:tc>
          <w:tcPr>
            <w:tcW w:w="1746" w:type="dxa"/>
            <w:tcBorders>
              <w:top w:val="nil"/>
              <w:bottom w:val="nil"/>
            </w:tcBorders>
            <w:vAlign w:val="center"/>
          </w:tcPr>
          <w:p w:rsidR="00CB3145" w:rsidRPr="00CB3145" w:rsidRDefault="00CB3145" w:rsidP="00CB3145">
            <w:pPr>
              <w:pStyle w:val="Tablecells"/>
              <w:ind w:right="0"/>
              <w:jc w:val="right"/>
              <w:rPr>
                <w:b/>
              </w:rPr>
            </w:pPr>
            <w:r w:rsidRPr="00CB3145">
              <w:rPr>
                <w:b/>
              </w:rPr>
              <w:t xml:space="preserve">51,325 </w:t>
            </w:r>
          </w:p>
        </w:tc>
        <w:tc>
          <w:tcPr>
            <w:tcW w:w="1746" w:type="dxa"/>
            <w:tcBorders>
              <w:top w:val="nil"/>
              <w:bottom w:val="nil"/>
            </w:tcBorders>
            <w:vAlign w:val="center"/>
          </w:tcPr>
          <w:p w:rsidR="00CB3145" w:rsidRPr="00CB3145" w:rsidRDefault="00CB3145" w:rsidP="00CB3145">
            <w:pPr>
              <w:pStyle w:val="Tablecells"/>
              <w:ind w:right="0"/>
              <w:jc w:val="right"/>
              <w:rPr>
                <w:b/>
              </w:rPr>
            </w:pPr>
            <w:r w:rsidRPr="00CB3145">
              <w:rPr>
                <w:b/>
              </w:rPr>
              <w:t xml:space="preserve">33,302 </w:t>
            </w:r>
          </w:p>
        </w:tc>
        <w:tc>
          <w:tcPr>
            <w:tcW w:w="1747" w:type="dxa"/>
            <w:tcBorders>
              <w:top w:val="nil"/>
              <w:bottom w:val="nil"/>
            </w:tcBorders>
            <w:vAlign w:val="center"/>
          </w:tcPr>
          <w:p w:rsidR="00CB3145" w:rsidRPr="00CB3145" w:rsidRDefault="00CB3145" w:rsidP="00CB3145">
            <w:pPr>
              <w:pStyle w:val="Tablecells"/>
              <w:ind w:right="0"/>
              <w:jc w:val="right"/>
              <w:rPr>
                <w:b/>
              </w:rPr>
            </w:pPr>
            <w:r w:rsidRPr="00CB3145">
              <w:rPr>
                <w:b/>
              </w:rPr>
              <w:t xml:space="preserve">33,155 </w:t>
            </w:r>
          </w:p>
        </w:tc>
        <w:tc>
          <w:tcPr>
            <w:tcW w:w="1732" w:type="dxa"/>
            <w:tcBorders>
              <w:top w:val="nil"/>
              <w:bottom w:val="nil"/>
            </w:tcBorders>
            <w:vAlign w:val="center"/>
          </w:tcPr>
          <w:p w:rsidR="00CB3145" w:rsidRPr="00CB3145" w:rsidRDefault="00CB3145" w:rsidP="00CB3145">
            <w:pPr>
              <w:pStyle w:val="Tablecells"/>
              <w:ind w:right="0"/>
              <w:jc w:val="right"/>
              <w:rPr>
                <w:b/>
              </w:rPr>
            </w:pPr>
            <w:r w:rsidRPr="00CB3145">
              <w:rPr>
                <w:b/>
              </w:rPr>
              <w:t xml:space="preserve">33,009 </w:t>
            </w:r>
          </w:p>
        </w:tc>
      </w:tr>
      <w:tr w:rsidR="00CB3145" w:rsidRPr="00BB78B9" w:rsidTr="00841EA0">
        <w:tc>
          <w:tcPr>
            <w:tcW w:w="1761" w:type="dxa"/>
            <w:tcBorders>
              <w:top w:val="nil"/>
              <w:bottom w:val="single" w:sz="4" w:space="0" w:color="808080"/>
            </w:tcBorders>
          </w:tcPr>
          <w:p w:rsidR="00CB3145" w:rsidRPr="00BB78B9" w:rsidRDefault="00CB3145" w:rsidP="00841EA0">
            <w:pPr>
              <w:pStyle w:val="Tablecells"/>
              <w:keepNext/>
              <w:keepLines/>
              <w:rPr>
                <w:b/>
                <w:i/>
              </w:rPr>
            </w:pPr>
            <w:r w:rsidRPr="00BB78B9">
              <w:rPr>
                <w:b/>
                <w:i/>
              </w:rPr>
              <w:t>(difference)</w:t>
            </w:r>
          </w:p>
        </w:tc>
        <w:tc>
          <w:tcPr>
            <w:tcW w:w="1746" w:type="dxa"/>
            <w:tcBorders>
              <w:top w:val="nil"/>
              <w:bottom w:val="single" w:sz="4" w:space="0" w:color="808080"/>
            </w:tcBorders>
          </w:tcPr>
          <w:p w:rsidR="00CB3145" w:rsidRPr="00CB3145" w:rsidRDefault="00CB3145" w:rsidP="00CB3145">
            <w:pPr>
              <w:pStyle w:val="Tablecells"/>
              <w:ind w:right="0"/>
              <w:jc w:val="right"/>
              <w:rPr>
                <w:b/>
                <w:i/>
              </w:rPr>
            </w:pPr>
            <w:r w:rsidRPr="00CB3145">
              <w:rPr>
                <w:b/>
                <w:i/>
              </w:rPr>
              <w:t xml:space="preserve">+13,098 </w:t>
            </w:r>
          </w:p>
        </w:tc>
        <w:tc>
          <w:tcPr>
            <w:tcW w:w="1746" w:type="dxa"/>
            <w:tcBorders>
              <w:top w:val="nil"/>
              <w:bottom w:val="single" w:sz="4" w:space="0" w:color="808080"/>
            </w:tcBorders>
          </w:tcPr>
          <w:p w:rsidR="00CB3145" w:rsidRPr="00CB3145" w:rsidRDefault="00CB3145" w:rsidP="00CB3145">
            <w:pPr>
              <w:pStyle w:val="Tablecells"/>
              <w:ind w:right="0"/>
              <w:jc w:val="right"/>
              <w:rPr>
                <w:b/>
                <w:i/>
                <w:color w:val="FF0000"/>
              </w:rPr>
            </w:pPr>
            <w:r w:rsidRPr="00CB3145">
              <w:rPr>
                <w:b/>
                <w:i/>
                <w:color w:val="FF0000"/>
              </w:rPr>
              <w:t xml:space="preserve">-4,925 </w:t>
            </w:r>
          </w:p>
        </w:tc>
        <w:tc>
          <w:tcPr>
            <w:tcW w:w="1747" w:type="dxa"/>
            <w:tcBorders>
              <w:top w:val="nil"/>
              <w:bottom w:val="single" w:sz="4" w:space="0" w:color="808080"/>
            </w:tcBorders>
          </w:tcPr>
          <w:p w:rsidR="00CB3145" w:rsidRPr="00CB3145" w:rsidRDefault="00CB3145" w:rsidP="00CB3145">
            <w:pPr>
              <w:pStyle w:val="Tablecells"/>
              <w:ind w:right="0"/>
              <w:jc w:val="right"/>
              <w:rPr>
                <w:b/>
                <w:i/>
                <w:color w:val="FF0000"/>
              </w:rPr>
            </w:pPr>
            <w:r w:rsidRPr="00CB3145">
              <w:rPr>
                <w:b/>
                <w:i/>
                <w:color w:val="FF0000"/>
              </w:rPr>
              <w:t xml:space="preserve">-5,072 </w:t>
            </w:r>
          </w:p>
        </w:tc>
        <w:tc>
          <w:tcPr>
            <w:tcW w:w="1732" w:type="dxa"/>
            <w:tcBorders>
              <w:top w:val="nil"/>
              <w:bottom w:val="single" w:sz="4" w:space="0" w:color="808080"/>
            </w:tcBorders>
          </w:tcPr>
          <w:p w:rsidR="00CB3145" w:rsidRPr="00CB3145" w:rsidRDefault="00CB3145" w:rsidP="00CB3145">
            <w:pPr>
              <w:pStyle w:val="Tablecells"/>
              <w:ind w:right="0"/>
              <w:jc w:val="right"/>
              <w:rPr>
                <w:b/>
                <w:i/>
                <w:color w:val="FF0000"/>
              </w:rPr>
            </w:pPr>
            <w:r w:rsidRPr="00CB3145">
              <w:rPr>
                <w:b/>
                <w:i/>
                <w:color w:val="FF0000"/>
              </w:rPr>
              <w:t xml:space="preserve">-5,218 </w:t>
            </w:r>
          </w:p>
        </w:tc>
      </w:tr>
    </w:tbl>
    <w:p w:rsidR="00B873A7" w:rsidRDefault="00B873A7" w:rsidP="00B873A7">
      <w:pPr>
        <w:pStyle w:val="01"/>
      </w:pPr>
    </w:p>
    <w:p w:rsidR="00B873A7" w:rsidRDefault="00B873A7" w:rsidP="00B873A7">
      <w:pPr>
        <w:pStyle w:val="Caption"/>
      </w:pPr>
      <w:bookmarkStart w:id="200" w:name="_Ref378550247"/>
      <w:r>
        <w:t>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fldSimple w:instr=" SEQ Figure \* ARABIC \s 1 \* MERGEFORMAT ">
        <w:r w:rsidR="00A87B65">
          <w:rPr>
            <w:noProof/>
          </w:rPr>
          <w:t>64</w:t>
        </w:r>
      </w:fldSimple>
      <w:bookmarkEnd w:id="200"/>
      <w:r>
        <w:t>: Total number of sites in 2025 for the base case and each sensitivity and difference with the base case (first part) [Source: Analysys Mason, 2014]</w:t>
      </w:r>
    </w:p>
    <w:tbl>
      <w:tblPr>
        <w:tblStyle w:val="MediumShading2-Accent1"/>
        <w:tblW w:w="8732" w:type="dxa"/>
        <w:tblInd w:w="108" w:type="dxa"/>
        <w:tblLook w:val="0420" w:firstRow="1" w:lastRow="0" w:firstColumn="0" w:lastColumn="0" w:noHBand="0" w:noVBand="1"/>
      </w:tblPr>
      <w:tblGrid>
        <w:gridCol w:w="1481"/>
        <w:gridCol w:w="1445"/>
        <w:gridCol w:w="1445"/>
        <w:gridCol w:w="1445"/>
        <w:gridCol w:w="1464"/>
        <w:gridCol w:w="1452"/>
      </w:tblGrid>
      <w:tr w:rsidR="00B873A7" w:rsidRPr="00562241" w:rsidTr="00EE4CCC">
        <w:trPr>
          <w:cnfStyle w:val="100000000000" w:firstRow="1" w:lastRow="0" w:firstColumn="0" w:lastColumn="0" w:oddVBand="0" w:evenVBand="0" w:oddHBand="0" w:evenHBand="0" w:firstRowFirstColumn="0" w:firstRowLastColumn="0" w:lastRowFirstColumn="0" w:lastRowLastColumn="0"/>
        </w:trPr>
        <w:tc>
          <w:tcPr>
            <w:tcW w:w="1481" w:type="dxa"/>
            <w:tcBorders>
              <w:top w:val="single" w:sz="18" w:space="0" w:color="221F72"/>
              <w:bottom w:val="single" w:sz="4" w:space="0" w:color="FFFFFF" w:themeColor="background1"/>
            </w:tcBorders>
            <w:shd w:val="solid" w:color="221F72" w:fill="221F72"/>
          </w:tcPr>
          <w:p w:rsidR="00B873A7" w:rsidRPr="00562241" w:rsidRDefault="00B873A7" w:rsidP="00841EA0">
            <w:pPr>
              <w:pStyle w:val="Tableheading"/>
              <w:rPr>
                <w:b/>
              </w:rPr>
            </w:pPr>
          </w:p>
        </w:tc>
        <w:tc>
          <w:tcPr>
            <w:tcW w:w="1445" w:type="dxa"/>
            <w:tcBorders>
              <w:top w:val="single" w:sz="18" w:space="0" w:color="221F72"/>
              <w:bottom w:val="single" w:sz="4" w:space="0" w:color="FFFFFF" w:themeColor="background1"/>
            </w:tcBorders>
            <w:shd w:val="solid" w:color="221F72" w:fill="221F72"/>
          </w:tcPr>
          <w:p w:rsidR="00B873A7" w:rsidRDefault="00B873A7" w:rsidP="00841EA0">
            <w:pPr>
              <w:pStyle w:val="Tableheading"/>
              <w:ind w:right="0"/>
              <w:jc w:val="right"/>
              <w:rPr>
                <w:b/>
              </w:rPr>
            </w:pPr>
            <w:r>
              <w:rPr>
                <w:b/>
              </w:rPr>
              <w:t>Base case</w:t>
            </w:r>
          </w:p>
        </w:tc>
        <w:tc>
          <w:tcPr>
            <w:tcW w:w="1445" w:type="dxa"/>
            <w:tcBorders>
              <w:top w:val="single" w:sz="18" w:space="0" w:color="221F72"/>
              <w:bottom w:val="single" w:sz="4" w:space="0" w:color="FFFFFF" w:themeColor="background1"/>
            </w:tcBorders>
            <w:shd w:val="solid" w:color="221F72" w:fill="221F72"/>
          </w:tcPr>
          <w:p w:rsidR="00B873A7" w:rsidRDefault="00B873A7" w:rsidP="00841EA0">
            <w:pPr>
              <w:pStyle w:val="Tableheading"/>
              <w:ind w:right="0"/>
              <w:jc w:val="right"/>
              <w:rPr>
                <w:b/>
              </w:rPr>
            </w:pPr>
            <w:r>
              <w:rPr>
                <w:b/>
              </w:rPr>
              <w:t>50% more traffic</w:t>
            </w:r>
          </w:p>
        </w:tc>
        <w:tc>
          <w:tcPr>
            <w:tcW w:w="1445" w:type="dxa"/>
            <w:tcBorders>
              <w:top w:val="single" w:sz="18" w:space="0" w:color="221F72"/>
              <w:bottom w:val="single" w:sz="4" w:space="0" w:color="FFFFFF" w:themeColor="background1"/>
            </w:tcBorders>
            <w:shd w:val="solid" w:color="221F72" w:fill="221F72"/>
          </w:tcPr>
          <w:p w:rsidR="00B873A7" w:rsidRDefault="00B873A7" w:rsidP="00841EA0">
            <w:pPr>
              <w:pStyle w:val="Tableheading"/>
              <w:ind w:right="0"/>
              <w:jc w:val="right"/>
              <w:rPr>
                <w:b/>
              </w:rPr>
            </w:pPr>
            <w:r>
              <w:rPr>
                <w:b/>
              </w:rPr>
              <w:t>100% more traffic</w:t>
            </w:r>
          </w:p>
        </w:tc>
        <w:tc>
          <w:tcPr>
            <w:tcW w:w="1464" w:type="dxa"/>
            <w:tcBorders>
              <w:top w:val="single" w:sz="18" w:space="0" w:color="221F72"/>
              <w:bottom w:val="single" w:sz="4" w:space="0" w:color="FFFFFF" w:themeColor="background1"/>
            </w:tcBorders>
            <w:shd w:val="solid" w:color="221F72" w:fill="221F72"/>
          </w:tcPr>
          <w:p w:rsidR="00B873A7" w:rsidRDefault="00B873A7" w:rsidP="00841EA0">
            <w:pPr>
              <w:pStyle w:val="Tableheading"/>
              <w:ind w:right="0"/>
              <w:jc w:val="right"/>
              <w:rPr>
                <w:b/>
              </w:rPr>
            </w:pPr>
            <w:r>
              <w:rPr>
                <w:b/>
              </w:rPr>
              <w:t>Increased spectral efficiency</w:t>
            </w:r>
          </w:p>
        </w:tc>
        <w:tc>
          <w:tcPr>
            <w:tcW w:w="1452" w:type="dxa"/>
            <w:tcBorders>
              <w:top w:val="single" w:sz="18" w:space="0" w:color="221F72"/>
              <w:bottom w:val="single" w:sz="4" w:space="0" w:color="FFFFFF" w:themeColor="background1"/>
            </w:tcBorders>
            <w:shd w:val="solid" w:color="221F72" w:fill="221F72"/>
          </w:tcPr>
          <w:p w:rsidR="00B873A7" w:rsidRDefault="00B873A7" w:rsidP="00841EA0">
            <w:pPr>
              <w:pStyle w:val="Tableheading"/>
              <w:ind w:right="0"/>
              <w:jc w:val="right"/>
              <w:rPr>
                <w:b/>
              </w:rPr>
            </w:pPr>
            <w:r>
              <w:rPr>
                <w:b/>
              </w:rPr>
              <w:t>11% data traffic in the busy hour</w:t>
            </w:r>
          </w:p>
        </w:tc>
      </w:tr>
      <w:tr w:rsidR="00B873A7" w:rsidTr="00EE4CCC">
        <w:trPr>
          <w:cnfStyle w:val="000000100000" w:firstRow="0" w:lastRow="0" w:firstColumn="0" w:lastColumn="0" w:oddVBand="0" w:evenVBand="0" w:oddHBand="1" w:evenHBand="0" w:firstRowFirstColumn="0" w:firstRowLastColumn="0" w:lastRowFirstColumn="0" w:lastRowLastColumn="0"/>
        </w:trPr>
        <w:tc>
          <w:tcPr>
            <w:tcW w:w="1481" w:type="dxa"/>
            <w:tcBorders>
              <w:top w:val="single" w:sz="4" w:space="0" w:color="FFFFFF" w:themeColor="background1"/>
              <w:bottom w:val="nil"/>
            </w:tcBorders>
          </w:tcPr>
          <w:p w:rsidR="00B873A7" w:rsidRPr="0032094C" w:rsidRDefault="00B873A7" w:rsidP="00841EA0">
            <w:pPr>
              <w:pStyle w:val="Tablecells"/>
            </w:pPr>
            <w:r w:rsidRPr="0032094C">
              <w:t>Total 3G sites</w:t>
            </w:r>
          </w:p>
        </w:tc>
        <w:tc>
          <w:tcPr>
            <w:tcW w:w="1445" w:type="dxa"/>
            <w:tcBorders>
              <w:top w:val="single" w:sz="4" w:space="0" w:color="FFFFFF" w:themeColor="background1"/>
              <w:bottom w:val="nil"/>
            </w:tcBorders>
            <w:vAlign w:val="center"/>
          </w:tcPr>
          <w:p w:rsidR="00B873A7" w:rsidRDefault="00B873A7" w:rsidP="00CB3145">
            <w:pPr>
              <w:pStyle w:val="Tablecells"/>
              <w:ind w:right="0"/>
              <w:jc w:val="right"/>
            </w:pPr>
            <w:r>
              <w:t xml:space="preserve">18,029 </w:t>
            </w:r>
          </w:p>
        </w:tc>
        <w:tc>
          <w:tcPr>
            <w:tcW w:w="1445" w:type="dxa"/>
            <w:tcBorders>
              <w:top w:val="single" w:sz="4" w:space="0" w:color="FFFFFF" w:themeColor="background1"/>
              <w:bottom w:val="nil"/>
            </w:tcBorders>
          </w:tcPr>
          <w:p w:rsidR="00B873A7" w:rsidRPr="00E3748E" w:rsidRDefault="00B873A7" w:rsidP="00CB3145">
            <w:pPr>
              <w:pStyle w:val="Tablecells"/>
              <w:ind w:right="0"/>
              <w:jc w:val="right"/>
            </w:pPr>
            <w:r w:rsidRPr="00E3748E">
              <w:t xml:space="preserve">18,029 </w:t>
            </w:r>
          </w:p>
        </w:tc>
        <w:tc>
          <w:tcPr>
            <w:tcW w:w="1445" w:type="dxa"/>
            <w:tcBorders>
              <w:top w:val="single" w:sz="4" w:space="0" w:color="FFFFFF" w:themeColor="background1"/>
              <w:bottom w:val="nil"/>
            </w:tcBorders>
          </w:tcPr>
          <w:p w:rsidR="00B873A7" w:rsidRPr="00E3748E" w:rsidRDefault="00B873A7" w:rsidP="00CB3145">
            <w:pPr>
              <w:pStyle w:val="Tablecells"/>
              <w:ind w:right="0"/>
              <w:jc w:val="right"/>
            </w:pPr>
            <w:r w:rsidRPr="00E3748E">
              <w:t xml:space="preserve">18,033 </w:t>
            </w:r>
          </w:p>
        </w:tc>
        <w:tc>
          <w:tcPr>
            <w:tcW w:w="1464" w:type="dxa"/>
            <w:tcBorders>
              <w:top w:val="single" w:sz="4" w:space="0" w:color="FFFFFF" w:themeColor="background1"/>
              <w:bottom w:val="nil"/>
            </w:tcBorders>
          </w:tcPr>
          <w:p w:rsidR="00B873A7" w:rsidRDefault="00B873A7" w:rsidP="00CB3145">
            <w:pPr>
              <w:pStyle w:val="Tablecells"/>
              <w:ind w:right="0"/>
              <w:jc w:val="right"/>
            </w:pPr>
            <w:r w:rsidRPr="00E3748E">
              <w:t xml:space="preserve">18,028 </w:t>
            </w:r>
          </w:p>
        </w:tc>
        <w:tc>
          <w:tcPr>
            <w:tcW w:w="1452" w:type="dxa"/>
            <w:tcBorders>
              <w:top w:val="single" w:sz="4" w:space="0" w:color="FFFFFF" w:themeColor="background1"/>
              <w:bottom w:val="nil"/>
            </w:tcBorders>
            <w:vAlign w:val="center"/>
          </w:tcPr>
          <w:p w:rsidR="00B873A7" w:rsidRPr="00CB3145" w:rsidRDefault="00B873A7" w:rsidP="00CB3145">
            <w:pPr>
              <w:pStyle w:val="Tablecells"/>
              <w:ind w:right="0"/>
              <w:jc w:val="right"/>
            </w:pPr>
            <w:r w:rsidRPr="00CB3145">
              <w:t xml:space="preserve">18,029 </w:t>
            </w:r>
          </w:p>
        </w:tc>
      </w:tr>
      <w:tr w:rsidR="00B873A7" w:rsidRPr="00814A2B" w:rsidTr="00841EA0">
        <w:tc>
          <w:tcPr>
            <w:tcW w:w="1481" w:type="dxa"/>
            <w:tcBorders>
              <w:bottom w:val="nil"/>
            </w:tcBorders>
          </w:tcPr>
          <w:p w:rsidR="00B873A7" w:rsidRPr="003214C3" w:rsidRDefault="00B873A7" w:rsidP="00841EA0">
            <w:pPr>
              <w:pStyle w:val="Tablecells"/>
              <w:rPr>
                <w:i/>
              </w:rPr>
            </w:pPr>
            <w:r w:rsidRPr="003214C3">
              <w:rPr>
                <w:i/>
              </w:rPr>
              <w:t>(difference)</w:t>
            </w:r>
          </w:p>
        </w:tc>
        <w:tc>
          <w:tcPr>
            <w:tcW w:w="1445" w:type="dxa"/>
            <w:tcBorders>
              <w:bottom w:val="nil"/>
            </w:tcBorders>
            <w:vAlign w:val="center"/>
          </w:tcPr>
          <w:p w:rsidR="00B873A7" w:rsidRPr="00CB3145" w:rsidRDefault="00B873A7" w:rsidP="00CB3145">
            <w:pPr>
              <w:pStyle w:val="Tablecells"/>
              <w:ind w:right="0"/>
              <w:jc w:val="right"/>
              <w:rPr>
                <w:i/>
              </w:rPr>
            </w:pPr>
          </w:p>
        </w:tc>
        <w:tc>
          <w:tcPr>
            <w:tcW w:w="1445" w:type="dxa"/>
            <w:tcBorders>
              <w:bottom w:val="nil"/>
            </w:tcBorders>
            <w:vAlign w:val="center"/>
          </w:tcPr>
          <w:p w:rsidR="00B873A7" w:rsidRPr="00CB3145" w:rsidRDefault="00B873A7" w:rsidP="00CB3145">
            <w:pPr>
              <w:pStyle w:val="Tablecells"/>
              <w:ind w:right="0"/>
              <w:jc w:val="right"/>
              <w:rPr>
                <w:i/>
              </w:rPr>
            </w:pPr>
            <w:r w:rsidRPr="00CB3145">
              <w:rPr>
                <w:i/>
              </w:rPr>
              <w:t xml:space="preserve">0 </w:t>
            </w:r>
          </w:p>
        </w:tc>
        <w:tc>
          <w:tcPr>
            <w:tcW w:w="1445" w:type="dxa"/>
            <w:tcBorders>
              <w:bottom w:val="nil"/>
            </w:tcBorders>
            <w:vAlign w:val="center"/>
          </w:tcPr>
          <w:p w:rsidR="00B873A7" w:rsidRPr="00CB3145" w:rsidRDefault="00B873A7" w:rsidP="00CB3145">
            <w:pPr>
              <w:pStyle w:val="Tablecells"/>
              <w:ind w:right="0"/>
              <w:jc w:val="right"/>
              <w:rPr>
                <w:i/>
              </w:rPr>
            </w:pPr>
            <w:r w:rsidRPr="00CB3145">
              <w:rPr>
                <w:i/>
              </w:rPr>
              <w:t xml:space="preserve">+4 </w:t>
            </w:r>
          </w:p>
        </w:tc>
        <w:tc>
          <w:tcPr>
            <w:tcW w:w="1464" w:type="dxa"/>
            <w:tcBorders>
              <w:bottom w:val="nil"/>
            </w:tcBorders>
            <w:vAlign w:val="center"/>
          </w:tcPr>
          <w:p w:rsidR="00B873A7" w:rsidRPr="00CB3145" w:rsidRDefault="00B873A7" w:rsidP="00CB3145">
            <w:pPr>
              <w:pStyle w:val="Tablecells"/>
              <w:ind w:right="0"/>
              <w:jc w:val="right"/>
              <w:rPr>
                <w:i/>
              </w:rPr>
            </w:pPr>
            <w:r w:rsidRPr="00CB3145">
              <w:rPr>
                <w:i/>
                <w:color w:val="FF0000"/>
              </w:rPr>
              <w:t xml:space="preserve">-1 </w:t>
            </w:r>
          </w:p>
        </w:tc>
        <w:tc>
          <w:tcPr>
            <w:tcW w:w="1452" w:type="dxa"/>
            <w:tcBorders>
              <w:bottom w:val="nil"/>
            </w:tcBorders>
            <w:vAlign w:val="center"/>
          </w:tcPr>
          <w:p w:rsidR="00B873A7" w:rsidRPr="00CB3145" w:rsidRDefault="00B873A7" w:rsidP="00CB3145">
            <w:pPr>
              <w:pStyle w:val="Tablecells"/>
              <w:ind w:right="0"/>
              <w:jc w:val="right"/>
              <w:rPr>
                <w:i/>
              </w:rPr>
            </w:pPr>
            <w:r w:rsidRPr="00CB3145">
              <w:rPr>
                <w:i/>
              </w:rPr>
              <w:t xml:space="preserve">0 </w:t>
            </w:r>
          </w:p>
        </w:tc>
      </w:tr>
      <w:tr w:rsidR="00CB3145" w:rsidTr="00841EA0">
        <w:trPr>
          <w:cnfStyle w:val="000000100000" w:firstRow="0" w:lastRow="0" w:firstColumn="0" w:lastColumn="0" w:oddVBand="0" w:evenVBand="0" w:oddHBand="1" w:evenHBand="0" w:firstRowFirstColumn="0" w:firstRowLastColumn="0" w:lastRowFirstColumn="0" w:lastRowLastColumn="0"/>
        </w:trPr>
        <w:tc>
          <w:tcPr>
            <w:tcW w:w="1481" w:type="dxa"/>
            <w:tcBorders>
              <w:bottom w:val="nil"/>
            </w:tcBorders>
          </w:tcPr>
          <w:p w:rsidR="00CB3145" w:rsidRPr="0032094C" w:rsidRDefault="00CB3145" w:rsidP="00841EA0">
            <w:pPr>
              <w:pStyle w:val="Tablecells"/>
            </w:pPr>
            <w:r w:rsidRPr="0032094C">
              <w:t>Total 4G sites</w:t>
            </w:r>
          </w:p>
        </w:tc>
        <w:tc>
          <w:tcPr>
            <w:tcW w:w="1445" w:type="dxa"/>
            <w:tcBorders>
              <w:bottom w:val="nil"/>
            </w:tcBorders>
            <w:vAlign w:val="center"/>
          </w:tcPr>
          <w:p w:rsidR="00CB3145" w:rsidRPr="00CB3145" w:rsidRDefault="00CB3145" w:rsidP="00CB3145">
            <w:pPr>
              <w:pStyle w:val="Tablecells"/>
              <w:ind w:right="0"/>
              <w:jc w:val="right"/>
            </w:pPr>
            <w:r w:rsidRPr="00CB3145">
              <w:t xml:space="preserve">20,312 </w:t>
            </w:r>
          </w:p>
        </w:tc>
        <w:tc>
          <w:tcPr>
            <w:tcW w:w="1445" w:type="dxa"/>
            <w:tcBorders>
              <w:bottom w:val="nil"/>
            </w:tcBorders>
            <w:vAlign w:val="center"/>
          </w:tcPr>
          <w:p w:rsidR="00CB3145" w:rsidRPr="00CB3145" w:rsidRDefault="00CB3145" w:rsidP="00CB3145">
            <w:pPr>
              <w:pStyle w:val="Tablecells"/>
              <w:ind w:right="0"/>
              <w:jc w:val="right"/>
            </w:pPr>
            <w:r w:rsidRPr="00CB3145">
              <w:t xml:space="preserve">22,204 </w:t>
            </w:r>
          </w:p>
        </w:tc>
        <w:tc>
          <w:tcPr>
            <w:tcW w:w="1445" w:type="dxa"/>
            <w:tcBorders>
              <w:bottom w:val="nil"/>
            </w:tcBorders>
            <w:vAlign w:val="center"/>
          </w:tcPr>
          <w:p w:rsidR="00CB3145" w:rsidRPr="00CB3145" w:rsidRDefault="00CB3145" w:rsidP="00CB3145">
            <w:pPr>
              <w:pStyle w:val="Tablecells"/>
              <w:ind w:right="0"/>
              <w:jc w:val="right"/>
            </w:pPr>
            <w:r w:rsidRPr="00CB3145">
              <w:t xml:space="preserve">24,257 </w:t>
            </w:r>
          </w:p>
        </w:tc>
        <w:tc>
          <w:tcPr>
            <w:tcW w:w="1464" w:type="dxa"/>
            <w:tcBorders>
              <w:bottom w:val="nil"/>
            </w:tcBorders>
            <w:vAlign w:val="center"/>
          </w:tcPr>
          <w:p w:rsidR="00CB3145" w:rsidRPr="00CB3145" w:rsidRDefault="00CB3145" w:rsidP="00CB3145">
            <w:pPr>
              <w:pStyle w:val="Tablecells"/>
              <w:ind w:right="0"/>
              <w:jc w:val="right"/>
            </w:pPr>
            <w:r w:rsidRPr="00CB3145">
              <w:t xml:space="preserve">19,490 </w:t>
            </w:r>
          </w:p>
        </w:tc>
        <w:tc>
          <w:tcPr>
            <w:tcW w:w="1452" w:type="dxa"/>
            <w:tcBorders>
              <w:bottom w:val="nil"/>
            </w:tcBorders>
            <w:vAlign w:val="center"/>
          </w:tcPr>
          <w:p w:rsidR="00CB3145" w:rsidRPr="00CB3145" w:rsidRDefault="00CB3145" w:rsidP="00CB3145">
            <w:pPr>
              <w:pStyle w:val="Tablecells"/>
              <w:ind w:right="0"/>
              <w:jc w:val="right"/>
            </w:pPr>
            <w:r w:rsidRPr="00CB3145">
              <w:t xml:space="preserve">21,527 </w:t>
            </w:r>
          </w:p>
        </w:tc>
      </w:tr>
      <w:tr w:rsidR="00CB3145" w:rsidRPr="003214C3" w:rsidTr="00841EA0">
        <w:tc>
          <w:tcPr>
            <w:tcW w:w="1481" w:type="dxa"/>
            <w:tcBorders>
              <w:top w:val="nil"/>
              <w:bottom w:val="single" w:sz="4" w:space="0" w:color="808080"/>
            </w:tcBorders>
          </w:tcPr>
          <w:p w:rsidR="00CB3145" w:rsidRPr="003214C3" w:rsidRDefault="00CB3145" w:rsidP="00841EA0">
            <w:pPr>
              <w:pStyle w:val="Tablecells"/>
              <w:rPr>
                <w:i/>
              </w:rPr>
            </w:pPr>
            <w:r w:rsidRPr="003214C3">
              <w:rPr>
                <w:i/>
              </w:rPr>
              <w:t>(difference)</w:t>
            </w:r>
          </w:p>
        </w:tc>
        <w:tc>
          <w:tcPr>
            <w:tcW w:w="1445" w:type="dxa"/>
            <w:tcBorders>
              <w:top w:val="nil"/>
              <w:bottom w:val="single" w:sz="4" w:space="0" w:color="808080"/>
            </w:tcBorders>
            <w:vAlign w:val="center"/>
          </w:tcPr>
          <w:p w:rsidR="00CB3145" w:rsidRPr="00CB3145" w:rsidRDefault="00CB3145" w:rsidP="00CB3145">
            <w:pPr>
              <w:pStyle w:val="Tablecells"/>
              <w:ind w:right="0"/>
              <w:jc w:val="right"/>
              <w:rPr>
                <w:i/>
              </w:rPr>
            </w:pPr>
          </w:p>
        </w:tc>
        <w:tc>
          <w:tcPr>
            <w:tcW w:w="1445" w:type="dxa"/>
            <w:tcBorders>
              <w:top w:val="nil"/>
              <w:bottom w:val="single" w:sz="4" w:space="0" w:color="808080"/>
            </w:tcBorders>
            <w:vAlign w:val="center"/>
          </w:tcPr>
          <w:p w:rsidR="00CB3145" w:rsidRPr="00CB3145" w:rsidRDefault="00CB3145" w:rsidP="00CB3145">
            <w:pPr>
              <w:pStyle w:val="Tablecells"/>
              <w:ind w:right="0"/>
              <w:jc w:val="right"/>
              <w:rPr>
                <w:i/>
              </w:rPr>
            </w:pPr>
            <w:r w:rsidRPr="00CB3145">
              <w:rPr>
                <w:i/>
              </w:rPr>
              <w:t xml:space="preserve">+1,892 </w:t>
            </w:r>
          </w:p>
        </w:tc>
        <w:tc>
          <w:tcPr>
            <w:tcW w:w="1445" w:type="dxa"/>
            <w:tcBorders>
              <w:top w:val="nil"/>
              <w:bottom w:val="single" w:sz="4" w:space="0" w:color="808080"/>
            </w:tcBorders>
            <w:vAlign w:val="center"/>
          </w:tcPr>
          <w:p w:rsidR="00CB3145" w:rsidRPr="00CB3145" w:rsidRDefault="00CB3145" w:rsidP="00CB3145">
            <w:pPr>
              <w:pStyle w:val="Tablecells"/>
              <w:ind w:right="0"/>
              <w:jc w:val="right"/>
              <w:rPr>
                <w:i/>
              </w:rPr>
            </w:pPr>
            <w:r w:rsidRPr="00CB3145">
              <w:rPr>
                <w:i/>
              </w:rPr>
              <w:t xml:space="preserve">+3,945 </w:t>
            </w:r>
          </w:p>
        </w:tc>
        <w:tc>
          <w:tcPr>
            <w:tcW w:w="1464" w:type="dxa"/>
            <w:tcBorders>
              <w:top w:val="nil"/>
              <w:bottom w:val="single" w:sz="4" w:space="0" w:color="808080"/>
            </w:tcBorders>
            <w:vAlign w:val="center"/>
          </w:tcPr>
          <w:p w:rsidR="00CB3145" w:rsidRPr="00CB3145" w:rsidRDefault="00CB3145" w:rsidP="00CB3145">
            <w:pPr>
              <w:pStyle w:val="Tablecells"/>
              <w:ind w:right="0"/>
              <w:jc w:val="right"/>
              <w:rPr>
                <w:i/>
              </w:rPr>
            </w:pPr>
            <w:r w:rsidRPr="00CB3145">
              <w:rPr>
                <w:i/>
                <w:color w:val="FF0000"/>
              </w:rPr>
              <w:t xml:space="preserve">-822 </w:t>
            </w:r>
          </w:p>
        </w:tc>
        <w:tc>
          <w:tcPr>
            <w:tcW w:w="1452" w:type="dxa"/>
            <w:tcBorders>
              <w:top w:val="nil"/>
              <w:bottom w:val="single" w:sz="4" w:space="0" w:color="808080"/>
            </w:tcBorders>
            <w:vAlign w:val="center"/>
          </w:tcPr>
          <w:p w:rsidR="00CB3145" w:rsidRPr="00CB3145" w:rsidRDefault="00CB3145" w:rsidP="00CB3145">
            <w:pPr>
              <w:pStyle w:val="Tablecells"/>
              <w:ind w:right="0"/>
              <w:jc w:val="right"/>
              <w:rPr>
                <w:i/>
              </w:rPr>
            </w:pPr>
            <w:r w:rsidRPr="00CB3145">
              <w:rPr>
                <w:i/>
              </w:rPr>
              <w:t xml:space="preserve">+1,215 </w:t>
            </w:r>
          </w:p>
        </w:tc>
      </w:tr>
      <w:tr w:rsidR="00CB3145" w:rsidTr="00841EA0">
        <w:trPr>
          <w:cnfStyle w:val="000000100000" w:firstRow="0" w:lastRow="0" w:firstColumn="0" w:lastColumn="0" w:oddVBand="0" w:evenVBand="0" w:oddHBand="1" w:evenHBand="0" w:firstRowFirstColumn="0" w:firstRowLastColumn="0" w:lastRowFirstColumn="0" w:lastRowLastColumn="0"/>
        </w:trPr>
        <w:tc>
          <w:tcPr>
            <w:tcW w:w="1481" w:type="dxa"/>
            <w:tcBorders>
              <w:top w:val="nil"/>
              <w:bottom w:val="nil"/>
            </w:tcBorders>
          </w:tcPr>
          <w:p w:rsidR="00CB3145" w:rsidRPr="00FC54B4" w:rsidRDefault="00CB3145" w:rsidP="00841EA0">
            <w:pPr>
              <w:pStyle w:val="Tablecells"/>
              <w:rPr>
                <w:b/>
              </w:rPr>
            </w:pPr>
            <w:r w:rsidRPr="00FC54B4">
              <w:rPr>
                <w:b/>
              </w:rPr>
              <w:t>Total sites</w:t>
            </w:r>
          </w:p>
        </w:tc>
        <w:tc>
          <w:tcPr>
            <w:tcW w:w="1445" w:type="dxa"/>
            <w:tcBorders>
              <w:top w:val="nil"/>
              <w:bottom w:val="nil"/>
            </w:tcBorders>
            <w:vAlign w:val="center"/>
          </w:tcPr>
          <w:p w:rsidR="00CB3145" w:rsidRPr="00CB3145" w:rsidRDefault="00CB3145" w:rsidP="00CB3145">
            <w:pPr>
              <w:pStyle w:val="Tablecells"/>
              <w:ind w:right="0"/>
              <w:jc w:val="right"/>
              <w:rPr>
                <w:b/>
              </w:rPr>
            </w:pPr>
            <w:r w:rsidRPr="00CB3145">
              <w:rPr>
                <w:b/>
              </w:rPr>
              <w:t xml:space="preserve">38,341 </w:t>
            </w:r>
          </w:p>
        </w:tc>
        <w:tc>
          <w:tcPr>
            <w:tcW w:w="1445" w:type="dxa"/>
            <w:tcBorders>
              <w:top w:val="nil"/>
              <w:bottom w:val="nil"/>
            </w:tcBorders>
            <w:vAlign w:val="center"/>
          </w:tcPr>
          <w:p w:rsidR="00CB3145" w:rsidRPr="00CB3145" w:rsidRDefault="00CB3145" w:rsidP="00CB3145">
            <w:pPr>
              <w:pStyle w:val="Tablecells"/>
              <w:ind w:right="0"/>
              <w:jc w:val="right"/>
              <w:rPr>
                <w:b/>
              </w:rPr>
            </w:pPr>
            <w:r w:rsidRPr="00CB3145">
              <w:rPr>
                <w:b/>
              </w:rPr>
              <w:t xml:space="preserve">40,233 </w:t>
            </w:r>
          </w:p>
        </w:tc>
        <w:tc>
          <w:tcPr>
            <w:tcW w:w="1445" w:type="dxa"/>
            <w:tcBorders>
              <w:top w:val="nil"/>
              <w:bottom w:val="nil"/>
            </w:tcBorders>
            <w:vAlign w:val="center"/>
          </w:tcPr>
          <w:p w:rsidR="00CB3145" w:rsidRPr="00CB3145" w:rsidRDefault="00CB3145" w:rsidP="00CB3145">
            <w:pPr>
              <w:pStyle w:val="Tablecells"/>
              <w:ind w:right="0"/>
              <w:jc w:val="right"/>
              <w:rPr>
                <w:b/>
              </w:rPr>
            </w:pPr>
            <w:r w:rsidRPr="00CB3145">
              <w:rPr>
                <w:b/>
              </w:rPr>
              <w:t xml:space="preserve">42,290 </w:t>
            </w:r>
          </w:p>
        </w:tc>
        <w:tc>
          <w:tcPr>
            <w:tcW w:w="1464" w:type="dxa"/>
            <w:tcBorders>
              <w:top w:val="nil"/>
              <w:bottom w:val="nil"/>
            </w:tcBorders>
            <w:vAlign w:val="center"/>
          </w:tcPr>
          <w:p w:rsidR="00CB3145" w:rsidRPr="00CB3145" w:rsidRDefault="00CB3145" w:rsidP="00CB3145">
            <w:pPr>
              <w:pStyle w:val="Tablecells"/>
              <w:ind w:right="0"/>
              <w:jc w:val="right"/>
              <w:rPr>
                <w:b/>
              </w:rPr>
            </w:pPr>
            <w:r w:rsidRPr="00CB3145">
              <w:rPr>
                <w:b/>
              </w:rPr>
              <w:t xml:space="preserve">37,518 </w:t>
            </w:r>
          </w:p>
        </w:tc>
        <w:tc>
          <w:tcPr>
            <w:tcW w:w="1452" w:type="dxa"/>
            <w:tcBorders>
              <w:top w:val="nil"/>
              <w:bottom w:val="nil"/>
            </w:tcBorders>
            <w:vAlign w:val="center"/>
          </w:tcPr>
          <w:p w:rsidR="00CB3145" w:rsidRPr="00CB3145" w:rsidRDefault="00CB3145" w:rsidP="00CB3145">
            <w:pPr>
              <w:pStyle w:val="Tablecells"/>
              <w:ind w:right="0"/>
              <w:jc w:val="right"/>
              <w:rPr>
                <w:b/>
              </w:rPr>
            </w:pPr>
            <w:r w:rsidRPr="00CB3145">
              <w:rPr>
                <w:b/>
              </w:rPr>
              <w:t xml:space="preserve">39,556 </w:t>
            </w:r>
          </w:p>
        </w:tc>
      </w:tr>
      <w:tr w:rsidR="00CB3145" w:rsidRPr="003214C3" w:rsidTr="00841EA0">
        <w:tc>
          <w:tcPr>
            <w:tcW w:w="1481" w:type="dxa"/>
            <w:tcBorders>
              <w:top w:val="nil"/>
              <w:bottom w:val="single" w:sz="4" w:space="0" w:color="808080"/>
            </w:tcBorders>
          </w:tcPr>
          <w:p w:rsidR="00CB3145" w:rsidRPr="003214C3" w:rsidRDefault="00CB3145" w:rsidP="00841EA0">
            <w:pPr>
              <w:pStyle w:val="Tablecells"/>
              <w:rPr>
                <w:b/>
                <w:i/>
              </w:rPr>
            </w:pPr>
            <w:r w:rsidRPr="003214C3">
              <w:rPr>
                <w:b/>
                <w:i/>
              </w:rPr>
              <w:t>(difference)</w:t>
            </w:r>
          </w:p>
        </w:tc>
        <w:tc>
          <w:tcPr>
            <w:tcW w:w="1445" w:type="dxa"/>
            <w:tcBorders>
              <w:top w:val="nil"/>
              <w:bottom w:val="single" w:sz="4" w:space="0" w:color="808080"/>
            </w:tcBorders>
            <w:vAlign w:val="center"/>
          </w:tcPr>
          <w:p w:rsidR="00CB3145" w:rsidRPr="00CB3145" w:rsidRDefault="00CB3145" w:rsidP="00CB3145">
            <w:pPr>
              <w:pStyle w:val="Tablecells"/>
              <w:ind w:right="0"/>
              <w:jc w:val="right"/>
              <w:rPr>
                <w:b/>
                <w:i/>
              </w:rPr>
            </w:pPr>
          </w:p>
        </w:tc>
        <w:tc>
          <w:tcPr>
            <w:tcW w:w="1445" w:type="dxa"/>
            <w:tcBorders>
              <w:top w:val="nil"/>
              <w:bottom w:val="single" w:sz="4" w:space="0" w:color="808080"/>
            </w:tcBorders>
            <w:vAlign w:val="center"/>
          </w:tcPr>
          <w:p w:rsidR="00CB3145" w:rsidRPr="00CB3145" w:rsidRDefault="00CB3145" w:rsidP="00CB3145">
            <w:pPr>
              <w:pStyle w:val="Tablecells"/>
              <w:ind w:right="0"/>
              <w:jc w:val="right"/>
              <w:rPr>
                <w:b/>
                <w:i/>
              </w:rPr>
            </w:pPr>
            <w:r w:rsidRPr="00CB3145">
              <w:rPr>
                <w:b/>
                <w:i/>
              </w:rPr>
              <w:t xml:space="preserve">+1,892 </w:t>
            </w:r>
          </w:p>
        </w:tc>
        <w:tc>
          <w:tcPr>
            <w:tcW w:w="1445" w:type="dxa"/>
            <w:tcBorders>
              <w:top w:val="nil"/>
              <w:bottom w:val="single" w:sz="4" w:space="0" w:color="808080"/>
            </w:tcBorders>
            <w:vAlign w:val="center"/>
          </w:tcPr>
          <w:p w:rsidR="00CB3145" w:rsidRPr="00CB3145" w:rsidRDefault="00CB3145" w:rsidP="00CB3145">
            <w:pPr>
              <w:pStyle w:val="Tablecells"/>
              <w:ind w:right="0"/>
              <w:jc w:val="right"/>
              <w:rPr>
                <w:b/>
                <w:i/>
              </w:rPr>
            </w:pPr>
            <w:r w:rsidRPr="00CB3145">
              <w:rPr>
                <w:b/>
                <w:i/>
              </w:rPr>
              <w:t xml:space="preserve">+3,949 </w:t>
            </w:r>
          </w:p>
        </w:tc>
        <w:tc>
          <w:tcPr>
            <w:tcW w:w="1464" w:type="dxa"/>
            <w:tcBorders>
              <w:top w:val="nil"/>
              <w:bottom w:val="single" w:sz="4" w:space="0" w:color="808080"/>
            </w:tcBorders>
            <w:vAlign w:val="center"/>
          </w:tcPr>
          <w:p w:rsidR="00CB3145" w:rsidRPr="00CB3145" w:rsidRDefault="00CB3145" w:rsidP="00CB3145">
            <w:pPr>
              <w:pStyle w:val="Tablecells"/>
              <w:ind w:right="0"/>
              <w:jc w:val="right"/>
              <w:rPr>
                <w:b/>
                <w:i/>
              </w:rPr>
            </w:pPr>
            <w:r w:rsidRPr="00CB3145">
              <w:rPr>
                <w:b/>
                <w:i/>
                <w:color w:val="FF0000"/>
              </w:rPr>
              <w:t xml:space="preserve">-823 </w:t>
            </w:r>
          </w:p>
        </w:tc>
        <w:tc>
          <w:tcPr>
            <w:tcW w:w="1452" w:type="dxa"/>
            <w:tcBorders>
              <w:top w:val="nil"/>
              <w:bottom w:val="single" w:sz="4" w:space="0" w:color="808080"/>
            </w:tcBorders>
            <w:vAlign w:val="center"/>
          </w:tcPr>
          <w:p w:rsidR="00CB3145" w:rsidRPr="00CB3145" w:rsidRDefault="00CB3145" w:rsidP="00CB3145">
            <w:pPr>
              <w:pStyle w:val="Tablecells"/>
              <w:ind w:right="0"/>
              <w:jc w:val="right"/>
              <w:rPr>
                <w:b/>
                <w:i/>
              </w:rPr>
            </w:pPr>
            <w:r w:rsidRPr="00CB3145">
              <w:rPr>
                <w:b/>
                <w:i/>
              </w:rPr>
              <w:t xml:space="preserve">+1,215 </w:t>
            </w:r>
          </w:p>
        </w:tc>
      </w:tr>
    </w:tbl>
    <w:p w:rsidR="00B873A7" w:rsidRDefault="00B873A7" w:rsidP="00162304">
      <w:pPr>
        <w:pStyle w:val="01"/>
      </w:pPr>
    </w:p>
    <w:p w:rsidR="00B873A7" w:rsidRDefault="00B873A7" w:rsidP="0005766B">
      <w:pPr>
        <w:pStyle w:val="Caption"/>
        <w:pageBreakBefore/>
      </w:pPr>
      <w:bookmarkStart w:id="201" w:name="_Ref378550250"/>
      <w:bookmarkStart w:id="202" w:name="_Ref399578546"/>
      <w:r>
        <w:t>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fldSimple w:instr=" SEQ Figure \* ARABIC \s 1 \* MERGEFORMAT ">
        <w:r w:rsidR="00A87B65">
          <w:rPr>
            <w:noProof/>
          </w:rPr>
          <w:t>65</w:t>
        </w:r>
      </w:fldSimple>
      <w:bookmarkEnd w:id="201"/>
      <w:bookmarkEnd w:id="202"/>
      <w:r>
        <w:t>: Total number of sites in 2025 for the base case and each sensitivity, and difference from the base case (second part) [Source: Analysys Mason, 2014]</w:t>
      </w:r>
    </w:p>
    <w:tbl>
      <w:tblPr>
        <w:tblStyle w:val="MediumShading2-Accent1"/>
        <w:tblW w:w="8732" w:type="dxa"/>
        <w:tblInd w:w="108" w:type="dxa"/>
        <w:tblLook w:val="0420" w:firstRow="1" w:lastRow="0" w:firstColumn="0" w:lastColumn="0" w:noHBand="0" w:noVBand="1"/>
      </w:tblPr>
      <w:tblGrid>
        <w:gridCol w:w="1759"/>
        <w:gridCol w:w="1742"/>
        <w:gridCol w:w="1743"/>
        <w:gridCol w:w="1744"/>
        <w:gridCol w:w="1744"/>
      </w:tblGrid>
      <w:tr w:rsidR="003421C4" w:rsidRPr="00562241" w:rsidTr="00EE4CCC">
        <w:trPr>
          <w:cnfStyle w:val="100000000000" w:firstRow="1" w:lastRow="0" w:firstColumn="0" w:lastColumn="0" w:oddVBand="0" w:evenVBand="0" w:oddHBand="0" w:evenHBand="0" w:firstRowFirstColumn="0" w:firstRowLastColumn="0" w:lastRowFirstColumn="0" w:lastRowLastColumn="0"/>
        </w:trPr>
        <w:tc>
          <w:tcPr>
            <w:tcW w:w="1759" w:type="dxa"/>
            <w:tcBorders>
              <w:top w:val="single" w:sz="18" w:space="0" w:color="221F72"/>
              <w:bottom w:val="single" w:sz="4" w:space="0" w:color="FFFFFF" w:themeColor="background1"/>
            </w:tcBorders>
            <w:shd w:val="solid" w:color="221F72" w:fill="221F72"/>
          </w:tcPr>
          <w:p w:rsidR="003421C4" w:rsidRPr="00562241" w:rsidRDefault="003421C4" w:rsidP="00E36E08">
            <w:pPr>
              <w:pStyle w:val="Tableheading"/>
              <w:rPr>
                <w:b/>
              </w:rPr>
            </w:pPr>
          </w:p>
        </w:tc>
        <w:tc>
          <w:tcPr>
            <w:tcW w:w="1742" w:type="dxa"/>
            <w:tcBorders>
              <w:top w:val="single" w:sz="18" w:space="0" w:color="221F72"/>
              <w:bottom w:val="single" w:sz="4" w:space="0" w:color="FFFFFF" w:themeColor="background1"/>
            </w:tcBorders>
            <w:shd w:val="solid" w:color="221F72" w:fill="221F72"/>
          </w:tcPr>
          <w:p w:rsidR="003421C4" w:rsidRDefault="003421C4" w:rsidP="00E36E08">
            <w:pPr>
              <w:pStyle w:val="Tableheading"/>
              <w:keepLines/>
              <w:ind w:right="0"/>
              <w:jc w:val="right"/>
              <w:rPr>
                <w:b/>
              </w:rPr>
            </w:pPr>
            <w:r>
              <w:t>No 700MHz or 2.5GHz spectrum</w:t>
            </w:r>
          </w:p>
        </w:tc>
        <w:tc>
          <w:tcPr>
            <w:tcW w:w="1743" w:type="dxa"/>
            <w:tcBorders>
              <w:top w:val="single" w:sz="18" w:space="0" w:color="221F72"/>
              <w:bottom w:val="single" w:sz="4" w:space="0" w:color="FFFFFF" w:themeColor="background1"/>
            </w:tcBorders>
            <w:shd w:val="solid" w:color="221F72" w:fill="221F72"/>
          </w:tcPr>
          <w:p w:rsidR="003421C4" w:rsidRDefault="003421C4" w:rsidP="00E36E08">
            <w:pPr>
              <w:pStyle w:val="Tableheading"/>
              <w:keepLines/>
              <w:ind w:right="0"/>
              <w:jc w:val="right"/>
              <w:rPr>
                <w:b/>
              </w:rPr>
            </w:pPr>
            <w:r>
              <w:t xml:space="preserve">+150MHz of spectrum in 2015 </w:t>
            </w:r>
          </w:p>
        </w:tc>
        <w:tc>
          <w:tcPr>
            <w:tcW w:w="1744" w:type="dxa"/>
            <w:tcBorders>
              <w:top w:val="single" w:sz="18" w:space="0" w:color="221F72"/>
              <w:bottom w:val="single" w:sz="4" w:space="0" w:color="FFFFFF" w:themeColor="background1"/>
            </w:tcBorders>
            <w:shd w:val="solid" w:color="221F72" w:fill="221F72"/>
          </w:tcPr>
          <w:p w:rsidR="003421C4" w:rsidRDefault="003421C4" w:rsidP="00E36E08">
            <w:pPr>
              <w:pStyle w:val="Tableheading"/>
              <w:keepLines/>
              <w:ind w:right="0"/>
              <w:jc w:val="right"/>
              <w:rPr>
                <w:b/>
              </w:rPr>
            </w:pPr>
            <w:r>
              <w:t xml:space="preserve">+240MHz of spectrum in 2015 </w:t>
            </w:r>
          </w:p>
        </w:tc>
        <w:tc>
          <w:tcPr>
            <w:tcW w:w="1744" w:type="dxa"/>
            <w:tcBorders>
              <w:top w:val="single" w:sz="18" w:space="0" w:color="221F72"/>
              <w:bottom w:val="single" w:sz="4" w:space="0" w:color="FFFFFF" w:themeColor="background1"/>
            </w:tcBorders>
            <w:shd w:val="solid" w:color="221F72" w:fill="221F72"/>
          </w:tcPr>
          <w:p w:rsidR="003421C4" w:rsidRDefault="003421C4" w:rsidP="00E36E08">
            <w:pPr>
              <w:pStyle w:val="Tableheading"/>
              <w:keepLines/>
              <w:ind w:right="0"/>
              <w:jc w:val="right"/>
              <w:rPr>
                <w:b/>
              </w:rPr>
            </w:pPr>
            <w:r>
              <w:t>+540MHz of spectrum in 2015</w:t>
            </w:r>
          </w:p>
        </w:tc>
      </w:tr>
      <w:tr w:rsidR="003421C4" w:rsidTr="00EE4CCC">
        <w:trPr>
          <w:cnfStyle w:val="000000100000" w:firstRow="0" w:lastRow="0" w:firstColumn="0" w:lastColumn="0" w:oddVBand="0" w:evenVBand="0" w:oddHBand="1" w:evenHBand="0" w:firstRowFirstColumn="0" w:firstRowLastColumn="0" w:lastRowFirstColumn="0" w:lastRowLastColumn="0"/>
        </w:trPr>
        <w:tc>
          <w:tcPr>
            <w:tcW w:w="1759" w:type="dxa"/>
            <w:tcBorders>
              <w:top w:val="single" w:sz="4" w:space="0" w:color="FFFFFF" w:themeColor="background1"/>
              <w:bottom w:val="nil"/>
            </w:tcBorders>
          </w:tcPr>
          <w:p w:rsidR="003421C4" w:rsidRPr="0032094C" w:rsidRDefault="003421C4" w:rsidP="00E36E08">
            <w:pPr>
              <w:pStyle w:val="Tablecells"/>
            </w:pPr>
            <w:r w:rsidRPr="0032094C">
              <w:t>Total 3G sites</w:t>
            </w:r>
          </w:p>
        </w:tc>
        <w:tc>
          <w:tcPr>
            <w:tcW w:w="1742" w:type="dxa"/>
            <w:tcBorders>
              <w:top w:val="single" w:sz="4" w:space="0" w:color="FFFFFF" w:themeColor="background1"/>
              <w:bottom w:val="nil"/>
            </w:tcBorders>
          </w:tcPr>
          <w:p w:rsidR="003421C4" w:rsidRPr="00B6296F" w:rsidRDefault="003421C4" w:rsidP="00E36E08">
            <w:pPr>
              <w:pStyle w:val="Tablecells"/>
              <w:ind w:right="0"/>
              <w:jc w:val="right"/>
            </w:pPr>
            <w:r w:rsidRPr="00B6296F">
              <w:t xml:space="preserve">18,029 </w:t>
            </w:r>
          </w:p>
        </w:tc>
        <w:tc>
          <w:tcPr>
            <w:tcW w:w="1743" w:type="dxa"/>
            <w:tcBorders>
              <w:top w:val="single" w:sz="4" w:space="0" w:color="FFFFFF" w:themeColor="background1"/>
              <w:bottom w:val="nil"/>
            </w:tcBorders>
          </w:tcPr>
          <w:p w:rsidR="003421C4" w:rsidRPr="00B6296F" w:rsidRDefault="003421C4" w:rsidP="00E36E08">
            <w:pPr>
              <w:pStyle w:val="Tablecells"/>
              <w:ind w:right="0"/>
              <w:jc w:val="right"/>
            </w:pPr>
            <w:r w:rsidRPr="00B6296F">
              <w:t xml:space="preserve">18,029 </w:t>
            </w:r>
          </w:p>
        </w:tc>
        <w:tc>
          <w:tcPr>
            <w:tcW w:w="1744" w:type="dxa"/>
            <w:tcBorders>
              <w:top w:val="single" w:sz="4" w:space="0" w:color="FFFFFF" w:themeColor="background1"/>
              <w:bottom w:val="nil"/>
            </w:tcBorders>
          </w:tcPr>
          <w:p w:rsidR="003421C4" w:rsidRPr="00B6296F" w:rsidRDefault="003421C4" w:rsidP="00E36E08">
            <w:pPr>
              <w:pStyle w:val="Tablecells"/>
              <w:ind w:right="0"/>
              <w:jc w:val="right"/>
            </w:pPr>
            <w:r w:rsidRPr="00B6296F">
              <w:t xml:space="preserve">18,029 </w:t>
            </w:r>
          </w:p>
        </w:tc>
        <w:tc>
          <w:tcPr>
            <w:tcW w:w="1744" w:type="dxa"/>
            <w:tcBorders>
              <w:top w:val="single" w:sz="4" w:space="0" w:color="FFFFFF" w:themeColor="background1"/>
              <w:bottom w:val="nil"/>
            </w:tcBorders>
          </w:tcPr>
          <w:p w:rsidR="003421C4" w:rsidRDefault="003421C4" w:rsidP="00E36E08">
            <w:pPr>
              <w:pStyle w:val="Tablecells"/>
              <w:ind w:right="0"/>
              <w:jc w:val="right"/>
            </w:pPr>
            <w:r w:rsidRPr="00B6296F">
              <w:t xml:space="preserve">18,029 </w:t>
            </w:r>
          </w:p>
        </w:tc>
      </w:tr>
      <w:tr w:rsidR="003421C4" w:rsidRPr="00BB78B9" w:rsidTr="00E36E08">
        <w:tc>
          <w:tcPr>
            <w:tcW w:w="1759" w:type="dxa"/>
            <w:tcBorders>
              <w:bottom w:val="nil"/>
            </w:tcBorders>
          </w:tcPr>
          <w:p w:rsidR="003421C4" w:rsidRPr="00BB78B9" w:rsidRDefault="003421C4" w:rsidP="00E36E08">
            <w:pPr>
              <w:pStyle w:val="Tablecells"/>
              <w:rPr>
                <w:i/>
              </w:rPr>
            </w:pPr>
            <w:r w:rsidRPr="00BB78B9">
              <w:rPr>
                <w:i/>
              </w:rPr>
              <w:t>(difference)</w:t>
            </w:r>
          </w:p>
        </w:tc>
        <w:tc>
          <w:tcPr>
            <w:tcW w:w="1742" w:type="dxa"/>
            <w:tcBorders>
              <w:bottom w:val="nil"/>
            </w:tcBorders>
            <w:vAlign w:val="center"/>
          </w:tcPr>
          <w:p w:rsidR="003421C4" w:rsidRPr="00CB3145" w:rsidRDefault="003421C4" w:rsidP="00E36E08">
            <w:pPr>
              <w:pStyle w:val="Tablecells"/>
              <w:ind w:right="0"/>
              <w:jc w:val="right"/>
              <w:rPr>
                <w:i/>
              </w:rPr>
            </w:pPr>
            <w:r w:rsidRPr="00CB3145">
              <w:rPr>
                <w:i/>
              </w:rPr>
              <w:t xml:space="preserve">0 </w:t>
            </w:r>
          </w:p>
        </w:tc>
        <w:tc>
          <w:tcPr>
            <w:tcW w:w="1743" w:type="dxa"/>
            <w:tcBorders>
              <w:bottom w:val="nil"/>
            </w:tcBorders>
            <w:vAlign w:val="center"/>
          </w:tcPr>
          <w:p w:rsidR="003421C4" w:rsidRPr="00CB3145" w:rsidRDefault="003421C4" w:rsidP="00E36E08">
            <w:pPr>
              <w:pStyle w:val="Tablecells"/>
              <w:ind w:right="0"/>
              <w:jc w:val="right"/>
              <w:rPr>
                <w:i/>
              </w:rPr>
            </w:pPr>
            <w:r w:rsidRPr="00CB3145">
              <w:rPr>
                <w:i/>
              </w:rPr>
              <w:t xml:space="preserve">0 </w:t>
            </w:r>
          </w:p>
        </w:tc>
        <w:tc>
          <w:tcPr>
            <w:tcW w:w="1744" w:type="dxa"/>
            <w:tcBorders>
              <w:bottom w:val="nil"/>
            </w:tcBorders>
            <w:vAlign w:val="center"/>
          </w:tcPr>
          <w:p w:rsidR="003421C4" w:rsidRPr="00CB3145" w:rsidRDefault="003421C4" w:rsidP="00E36E08">
            <w:pPr>
              <w:pStyle w:val="Tablecells"/>
              <w:ind w:right="0"/>
              <w:jc w:val="right"/>
              <w:rPr>
                <w:i/>
              </w:rPr>
            </w:pPr>
            <w:r w:rsidRPr="00CB3145">
              <w:rPr>
                <w:i/>
              </w:rPr>
              <w:t xml:space="preserve">0 </w:t>
            </w:r>
          </w:p>
        </w:tc>
        <w:tc>
          <w:tcPr>
            <w:tcW w:w="1744" w:type="dxa"/>
            <w:tcBorders>
              <w:bottom w:val="nil"/>
            </w:tcBorders>
            <w:vAlign w:val="center"/>
          </w:tcPr>
          <w:p w:rsidR="003421C4" w:rsidRPr="00CB3145" w:rsidRDefault="003421C4" w:rsidP="00E36E08">
            <w:pPr>
              <w:pStyle w:val="Tablecells"/>
              <w:ind w:right="0"/>
              <w:jc w:val="right"/>
              <w:rPr>
                <w:i/>
              </w:rPr>
            </w:pPr>
            <w:r w:rsidRPr="00CB3145">
              <w:rPr>
                <w:i/>
              </w:rPr>
              <w:t xml:space="preserve">0 </w:t>
            </w:r>
          </w:p>
        </w:tc>
      </w:tr>
      <w:tr w:rsidR="003421C4" w:rsidTr="00E36E08">
        <w:trPr>
          <w:cnfStyle w:val="000000100000" w:firstRow="0" w:lastRow="0" w:firstColumn="0" w:lastColumn="0" w:oddVBand="0" w:evenVBand="0" w:oddHBand="1" w:evenHBand="0" w:firstRowFirstColumn="0" w:firstRowLastColumn="0" w:lastRowFirstColumn="0" w:lastRowLastColumn="0"/>
        </w:trPr>
        <w:tc>
          <w:tcPr>
            <w:tcW w:w="1759" w:type="dxa"/>
            <w:tcBorders>
              <w:bottom w:val="nil"/>
            </w:tcBorders>
          </w:tcPr>
          <w:p w:rsidR="003421C4" w:rsidRPr="00CB73EE" w:rsidRDefault="003421C4" w:rsidP="00E36E08">
            <w:pPr>
              <w:pStyle w:val="Tablecells"/>
            </w:pPr>
            <w:r>
              <w:t>Total 4</w:t>
            </w:r>
            <w:r w:rsidRPr="00CB73EE">
              <w:t>G sites</w:t>
            </w:r>
          </w:p>
        </w:tc>
        <w:tc>
          <w:tcPr>
            <w:tcW w:w="1742" w:type="dxa"/>
            <w:tcBorders>
              <w:bottom w:val="nil"/>
            </w:tcBorders>
          </w:tcPr>
          <w:p w:rsidR="003421C4" w:rsidRPr="0090145A" w:rsidRDefault="003421C4" w:rsidP="00E36E08">
            <w:pPr>
              <w:pStyle w:val="Tablecells"/>
              <w:ind w:right="0"/>
              <w:jc w:val="right"/>
            </w:pPr>
            <w:r>
              <w:t>34,106</w:t>
            </w:r>
            <w:r w:rsidRPr="0090145A">
              <w:t xml:space="preserve"> </w:t>
            </w:r>
          </w:p>
        </w:tc>
        <w:tc>
          <w:tcPr>
            <w:tcW w:w="1743" w:type="dxa"/>
            <w:tcBorders>
              <w:bottom w:val="nil"/>
            </w:tcBorders>
          </w:tcPr>
          <w:p w:rsidR="003421C4" w:rsidRPr="0090145A" w:rsidRDefault="003421C4" w:rsidP="00E36E08">
            <w:pPr>
              <w:pStyle w:val="Tablecells"/>
              <w:ind w:right="0"/>
              <w:jc w:val="right"/>
            </w:pPr>
            <w:r>
              <w:t>15,189</w:t>
            </w:r>
          </w:p>
        </w:tc>
        <w:tc>
          <w:tcPr>
            <w:tcW w:w="1744" w:type="dxa"/>
            <w:tcBorders>
              <w:bottom w:val="nil"/>
            </w:tcBorders>
          </w:tcPr>
          <w:p w:rsidR="003421C4" w:rsidRPr="0090145A" w:rsidRDefault="003421C4" w:rsidP="00E36E08">
            <w:pPr>
              <w:pStyle w:val="Tablecells"/>
              <w:ind w:right="0"/>
              <w:jc w:val="right"/>
            </w:pPr>
            <w:r>
              <w:t>14,895</w:t>
            </w:r>
          </w:p>
        </w:tc>
        <w:tc>
          <w:tcPr>
            <w:tcW w:w="1744" w:type="dxa"/>
            <w:tcBorders>
              <w:bottom w:val="nil"/>
            </w:tcBorders>
          </w:tcPr>
          <w:p w:rsidR="003421C4" w:rsidRDefault="003421C4" w:rsidP="00E36E08">
            <w:pPr>
              <w:pStyle w:val="Tablecells"/>
              <w:ind w:right="0"/>
              <w:jc w:val="right"/>
            </w:pPr>
            <w:r>
              <w:t>14,532</w:t>
            </w:r>
            <w:r w:rsidRPr="0090145A">
              <w:t xml:space="preserve"> </w:t>
            </w:r>
          </w:p>
        </w:tc>
      </w:tr>
      <w:tr w:rsidR="003421C4" w:rsidRPr="00BB78B9" w:rsidTr="00E36E08">
        <w:tc>
          <w:tcPr>
            <w:tcW w:w="1759" w:type="dxa"/>
            <w:tcBorders>
              <w:top w:val="nil"/>
              <w:bottom w:val="single" w:sz="4" w:space="0" w:color="808080"/>
            </w:tcBorders>
          </w:tcPr>
          <w:p w:rsidR="003421C4" w:rsidRPr="00BB78B9" w:rsidRDefault="003421C4" w:rsidP="00E36E08">
            <w:pPr>
              <w:pStyle w:val="Tablecells"/>
              <w:rPr>
                <w:i/>
              </w:rPr>
            </w:pPr>
            <w:r w:rsidRPr="00BB78B9">
              <w:rPr>
                <w:i/>
              </w:rPr>
              <w:t>(difference)</w:t>
            </w:r>
          </w:p>
        </w:tc>
        <w:tc>
          <w:tcPr>
            <w:tcW w:w="1742" w:type="dxa"/>
            <w:tcBorders>
              <w:top w:val="nil"/>
              <w:bottom w:val="single" w:sz="4" w:space="0" w:color="808080"/>
            </w:tcBorders>
          </w:tcPr>
          <w:p w:rsidR="003421C4" w:rsidRPr="00CB3145" w:rsidRDefault="003421C4" w:rsidP="00E36E08">
            <w:pPr>
              <w:pStyle w:val="Tablecells"/>
              <w:ind w:right="0"/>
              <w:jc w:val="right"/>
              <w:rPr>
                <w:i/>
              </w:rPr>
            </w:pPr>
            <w:r>
              <w:rPr>
                <w:i/>
              </w:rPr>
              <w:t>13,794</w:t>
            </w:r>
            <w:r w:rsidRPr="00CB3145">
              <w:rPr>
                <w:i/>
              </w:rPr>
              <w:t xml:space="preserve"> </w:t>
            </w:r>
          </w:p>
        </w:tc>
        <w:tc>
          <w:tcPr>
            <w:tcW w:w="1743" w:type="dxa"/>
            <w:tcBorders>
              <w:top w:val="nil"/>
              <w:bottom w:val="single" w:sz="4" w:space="0" w:color="808080"/>
            </w:tcBorders>
          </w:tcPr>
          <w:p w:rsidR="003421C4" w:rsidRPr="00CB3145" w:rsidRDefault="003421C4" w:rsidP="00E36E08">
            <w:pPr>
              <w:pStyle w:val="Tablecells"/>
              <w:ind w:right="0"/>
              <w:jc w:val="right"/>
              <w:rPr>
                <w:i/>
                <w:color w:val="FF0000"/>
              </w:rPr>
            </w:pPr>
            <w:r>
              <w:rPr>
                <w:i/>
                <w:color w:val="FF0000"/>
              </w:rPr>
              <w:t>-5,123</w:t>
            </w:r>
            <w:r w:rsidRPr="00CB3145">
              <w:rPr>
                <w:i/>
                <w:color w:val="FF0000"/>
              </w:rPr>
              <w:t xml:space="preserve"> </w:t>
            </w:r>
          </w:p>
        </w:tc>
        <w:tc>
          <w:tcPr>
            <w:tcW w:w="1744" w:type="dxa"/>
            <w:tcBorders>
              <w:top w:val="nil"/>
              <w:bottom w:val="single" w:sz="4" w:space="0" w:color="808080"/>
            </w:tcBorders>
          </w:tcPr>
          <w:p w:rsidR="003421C4" w:rsidRPr="00CB3145" w:rsidRDefault="003421C4" w:rsidP="00E36E08">
            <w:pPr>
              <w:pStyle w:val="Tablecells"/>
              <w:ind w:right="0"/>
              <w:jc w:val="right"/>
              <w:rPr>
                <w:i/>
                <w:color w:val="FF0000"/>
              </w:rPr>
            </w:pPr>
            <w:r>
              <w:rPr>
                <w:i/>
                <w:color w:val="FF0000"/>
              </w:rPr>
              <w:t>-5,417</w:t>
            </w:r>
            <w:r w:rsidRPr="00CB3145">
              <w:rPr>
                <w:i/>
                <w:color w:val="FF0000"/>
              </w:rPr>
              <w:t xml:space="preserve"> </w:t>
            </w:r>
          </w:p>
        </w:tc>
        <w:tc>
          <w:tcPr>
            <w:tcW w:w="1744" w:type="dxa"/>
            <w:tcBorders>
              <w:top w:val="nil"/>
              <w:bottom w:val="single" w:sz="4" w:space="0" w:color="808080"/>
            </w:tcBorders>
          </w:tcPr>
          <w:p w:rsidR="003421C4" w:rsidRPr="00CB3145" w:rsidRDefault="003421C4" w:rsidP="00E36E08">
            <w:pPr>
              <w:pStyle w:val="Tablecells"/>
              <w:ind w:right="0"/>
              <w:jc w:val="right"/>
              <w:rPr>
                <w:i/>
                <w:color w:val="FF0000"/>
              </w:rPr>
            </w:pPr>
            <w:r>
              <w:rPr>
                <w:i/>
                <w:color w:val="FF0000"/>
              </w:rPr>
              <w:t>-5,780</w:t>
            </w:r>
            <w:r w:rsidRPr="00CB3145">
              <w:rPr>
                <w:i/>
                <w:color w:val="FF0000"/>
              </w:rPr>
              <w:t xml:space="preserve"> </w:t>
            </w:r>
          </w:p>
        </w:tc>
      </w:tr>
      <w:tr w:rsidR="003421C4" w:rsidTr="00E36E08">
        <w:trPr>
          <w:cnfStyle w:val="000000100000" w:firstRow="0" w:lastRow="0" w:firstColumn="0" w:lastColumn="0" w:oddVBand="0" w:evenVBand="0" w:oddHBand="1" w:evenHBand="0" w:firstRowFirstColumn="0" w:firstRowLastColumn="0" w:lastRowFirstColumn="0" w:lastRowLastColumn="0"/>
        </w:trPr>
        <w:tc>
          <w:tcPr>
            <w:tcW w:w="1759" w:type="dxa"/>
            <w:tcBorders>
              <w:top w:val="nil"/>
              <w:bottom w:val="nil"/>
            </w:tcBorders>
          </w:tcPr>
          <w:p w:rsidR="003421C4" w:rsidRPr="00FC54B4" w:rsidRDefault="003421C4" w:rsidP="00E36E08">
            <w:pPr>
              <w:pStyle w:val="Tablecells"/>
              <w:rPr>
                <w:b/>
              </w:rPr>
            </w:pPr>
            <w:r w:rsidRPr="00FC54B4">
              <w:rPr>
                <w:b/>
              </w:rPr>
              <w:t>Total sites</w:t>
            </w:r>
          </w:p>
        </w:tc>
        <w:tc>
          <w:tcPr>
            <w:tcW w:w="1742" w:type="dxa"/>
            <w:tcBorders>
              <w:top w:val="nil"/>
              <w:bottom w:val="nil"/>
            </w:tcBorders>
          </w:tcPr>
          <w:p w:rsidR="003421C4" w:rsidRPr="00CB3145" w:rsidRDefault="003421C4" w:rsidP="00E36E08">
            <w:pPr>
              <w:pStyle w:val="Tablecells"/>
              <w:ind w:right="0"/>
              <w:jc w:val="right"/>
              <w:rPr>
                <w:b/>
              </w:rPr>
            </w:pPr>
            <w:r>
              <w:rPr>
                <w:b/>
              </w:rPr>
              <w:t>52,135</w:t>
            </w:r>
          </w:p>
        </w:tc>
        <w:tc>
          <w:tcPr>
            <w:tcW w:w="1743" w:type="dxa"/>
            <w:tcBorders>
              <w:top w:val="nil"/>
              <w:bottom w:val="nil"/>
            </w:tcBorders>
          </w:tcPr>
          <w:p w:rsidR="003421C4" w:rsidRPr="00CB3145" w:rsidRDefault="003421C4" w:rsidP="00E36E08">
            <w:pPr>
              <w:pStyle w:val="Tablecells"/>
              <w:ind w:right="0"/>
              <w:jc w:val="right"/>
              <w:rPr>
                <w:b/>
              </w:rPr>
            </w:pPr>
            <w:r>
              <w:rPr>
                <w:b/>
              </w:rPr>
              <w:t>33,218</w:t>
            </w:r>
          </w:p>
        </w:tc>
        <w:tc>
          <w:tcPr>
            <w:tcW w:w="1744" w:type="dxa"/>
            <w:tcBorders>
              <w:top w:val="nil"/>
              <w:bottom w:val="nil"/>
            </w:tcBorders>
          </w:tcPr>
          <w:p w:rsidR="003421C4" w:rsidRPr="00CB3145" w:rsidRDefault="003421C4" w:rsidP="00E36E08">
            <w:pPr>
              <w:pStyle w:val="Tablecells"/>
              <w:ind w:right="0"/>
              <w:jc w:val="right"/>
              <w:rPr>
                <w:b/>
              </w:rPr>
            </w:pPr>
            <w:r>
              <w:rPr>
                <w:b/>
              </w:rPr>
              <w:t>32,924</w:t>
            </w:r>
            <w:r w:rsidRPr="00CB3145">
              <w:rPr>
                <w:b/>
              </w:rPr>
              <w:t xml:space="preserve"> </w:t>
            </w:r>
          </w:p>
        </w:tc>
        <w:tc>
          <w:tcPr>
            <w:tcW w:w="1744" w:type="dxa"/>
            <w:tcBorders>
              <w:top w:val="nil"/>
              <w:bottom w:val="nil"/>
            </w:tcBorders>
          </w:tcPr>
          <w:p w:rsidR="003421C4" w:rsidRPr="00CB3145" w:rsidRDefault="003421C4" w:rsidP="00E36E08">
            <w:pPr>
              <w:pStyle w:val="Tablecells"/>
              <w:ind w:right="0"/>
              <w:jc w:val="right"/>
              <w:rPr>
                <w:b/>
              </w:rPr>
            </w:pPr>
            <w:r>
              <w:rPr>
                <w:b/>
              </w:rPr>
              <w:t>32,561</w:t>
            </w:r>
            <w:r w:rsidRPr="00CB3145">
              <w:rPr>
                <w:b/>
              </w:rPr>
              <w:t xml:space="preserve"> </w:t>
            </w:r>
          </w:p>
        </w:tc>
      </w:tr>
      <w:tr w:rsidR="003421C4" w:rsidRPr="00BB78B9" w:rsidTr="00E36E08">
        <w:tc>
          <w:tcPr>
            <w:tcW w:w="1759" w:type="dxa"/>
            <w:tcBorders>
              <w:top w:val="nil"/>
              <w:bottom w:val="single" w:sz="4" w:space="0" w:color="808080"/>
            </w:tcBorders>
          </w:tcPr>
          <w:p w:rsidR="003421C4" w:rsidRPr="00BB78B9" w:rsidRDefault="003421C4" w:rsidP="00E36E08">
            <w:pPr>
              <w:pStyle w:val="Tablecells"/>
              <w:rPr>
                <w:b/>
                <w:i/>
              </w:rPr>
            </w:pPr>
            <w:r w:rsidRPr="00BB78B9">
              <w:rPr>
                <w:b/>
                <w:i/>
              </w:rPr>
              <w:t>(difference)</w:t>
            </w:r>
          </w:p>
        </w:tc>
        <w:tc>
          <w:tcPr>
            <w:tcW w:w="1742" w:type="dxa"/>
            <w:tcBorders>
              <w:top w:val="nil"/>
              <w:bottom w:val="single" w:sz="4" w:space="0" w:color="808080"/>
            </w:tcBorders>
          </w:tcPr>
          <w:p w:rsidR="003421C4" w:rsidRPr="00CB3145" w:rsidRDefault="003421C4" w:rsidP="00E36E08">
            <w:pPr>
              <w:pStyle w:val="Tablecells"/>
              <w:ind w:right="0"/>
              <w:jc w:val="right"/>
              <w:rPr>
                <w:b/>
                <w:i/>
              </w:rPr>
            </w:pPr>
            <w:r>
              <w:rPr>
                <w:b/>
                <w:i/>
              </w:rPr>
              <w:t>13,794</w:t>
            </w:r>
            <w:r w:rsidRPr="00CB3145">
              <w:rPr>
                <w:b/>
                <w:i/>
              </w:rPr>
              <w:t xml:space="preserve"> </w:t>
            </w:r>
          </w:p>
        </w:tc>
        <w:tc>
          <w:tcPr>
            <w:tcW w:w="1743" w:type="dxa"/>
            <w:tcBorders>
              <w:top w:val="nil"/>
              <w:bottom w:val="single" w:sz="4" w:space="0" w:color="808080"/>
            </w:tcBorders>
          </w:tcPr>
          <w:p w:rsidR="003421C4" w:rsidRPr="00CB3145" w:rsidRDefault="003421C4" w:rsidP="00E36E08">
            <w:pPr>
              <w:pStyle w:val="Tablecells"/>
              <w:ind w:right="0"/>
              <w:jc w:val="right"/>
              <w:rPr>
                <w:b/>
                <w:i/>
                <w:color w:val="FF0000"/>
              </w:rPr>
            </w:pPr>
            <w:r>
              <w:rPr>
                <w:b/>
                <w:i/>
                <w:color w:val="FF0000"/>
              </w:rPr>
              <w:t>-5,123</w:t>
            </w:r>
            <w:r w:rsidRPr="00CB3145">
              <w:rPr>
                <w:b/>
                <w:i/>
                <w:color w:val="FF0000"/>
              </w:rPr>
              <w:t xml:space="preserve"> </w:t>
            </w:r>
          </w:p>
        </w:tc>
        <w:tc>
          <w:tcPr>
            <w:tcW w:w="1744" w:type="dxa"/>
            <w:tcBorders>
              <w:top w:val="nil"/>
              <w:bottom w:val="single" w:sz="4" w:space="0" w:color="808080"/>
            </w:tcBorders>
          </w:tcPr>
          <w:p w:rsidR="003421C4" w:rsidRPr="00CB3145" w:rsidRDefault="003421C4" w:rsidP="00E36E08">
            <w:pPr>
              <w:pStyle w:val="Tablecells"/>
              <w:ind w:right="0"/>
              <w:jc w:val="right"/>
              <w:rPr>
                <w:b/>
                <w:i/>
                <w:color w:val="FF0000"/>
              </w:rPr>
            </w:pPr>
            <w:r>
              <w:rPr>
                <w:b/>
                <w:i/>
                <w:color w:val="FF0000"/>
              </w:rPr>
              <w:t>-5,417</w:t>
            </w:r>
            <w:r w:rsidRPr="00CB3145">
              <w:rPr>
                <w:b/>
                <w:i/>
                <w:color w:val="FF0000"/>
              </w:rPr>
              <w:t xml:space="preserve"> </w:t>
            </w:r>
          </w:p>
        </w:tc>
        <w:tc>
          <w:tcPr>
            <w:tcW w:w="1744" w:type="dxa"/>
            <w:tcBorders>
              <w:top w:val="nil"/>
              <w:bottom w:val="single" w:sz="4" w:space="0" w:color="808080"/>
            </w:tcBorders>
          </w:tcPr>
          <w:p w:rsidR="003421C4" w:rsidRPr="00CB3145" w:rsidRDefault="003421C4" w:rsidP="00E36E08">
            <w:pPr>
              <w:pStyle w:val="Tablecells"/>
              <w:ind w:right="0"/>
              <w:jc w:val="right"/>
              <w:rPr>
                <w:b/>
                <w:i/>
                <w:color w:val="FF0000"/>
              </w:rPr>
            </w:pPr>
            <w:r>
              <w:rPr>
                <w:b/>
                <w:i/>
                <w:color w:val="FF0000"/>
              </w:rPr>
              <w:t>-5,780</w:t>
            </w:r>
            <w:r w:rsidRPr="00CB3145">
              <w:rPr>
                <w:b/>
                <w:i/>
                <w:color w:val="FF0000"/>
              </w:rPr>
              <w:t xml:space="preserve"> </w:t>
            </w:r>
          </w:p>
        </w:tc>
      </w:tr>
    </w:tbl>
    <w:p w:rsidR="003421C4" w:rsidRDefault="003421C4" w:rsidP="003421C4"/>
    <w:p w:rsidR="00B873A7" w:rsidRDefault="00B873A7" w:rsidP="00B873A7">
      <w:r>
        <w:t>It can be seen that overall the</w:t>
      </w:r>
      <w:r w:rsidR="00834A70">
        <w:t xml:space="preserve"> number of 4G logical sites required is relatively insensitive to the assumptions on traffic levels and spectral efficiency: </w:t>
      </w:r>
      <w:r>
        <w:t xml:space="preserve">the number of 4G logical sites required in 2020 </w:t>
      </w:r>
      <w:r w:rsidR="00834A70">
        <w:t xml:space="preserve">increases </w:t>
      </w:r>
      <w:r>
        <w:t xml:space="preserve">by </w:t>
      </w:r>
      <w:r w:rsidR="00834A70">
        <w:t xml:space="preserve">no more than </w:t>
      </w:r>
      <w:r w:rsidR="00DA12CB">
        <w:t>11</w:t>
      </w:r>
      <w:r>
        <w:t>% (+</w:t>
      </w:r>
      <w:r w:rsidR="00DA12CB">
        <w:t>2,229</w:t>
      </w:r>
      <w:r>
        <w:t xml:space="preserve"> sites</w:t>
      </w:r>
      <w:r w:rsidR="00834A70">
        <w:t>, in the sensitivity with 100% more traffic</w:t>
      </w:r>
      <w:r>
        <w:t xml:space="preserve">) and </w:t>
      </w:r>
      <w:r w:rsidR="00834A70">
        <w:t xml:space="preserve">in 2025 </w:t>
      </w:r>
      <w:r>
        <w:t xml:space="preserve">by </w:t>
      </w:r>
      <w:r w:rsidR="00834A70">
        <w:t>no more than 19</w:t>
      </w:r>
      <w:r>
        <w:t>% (+</w:t>
      </w:r>
      <w:r w:rsidR="00DA12CB">
        <w:t>3,945</w:t>
      </w:r>
      <w:r>
        <w:t xml:space="preserve"> sites</w:t>
      </w:r>
      <w:r w:rsidR="00834A70">
        <w:t>, again in the sensitivity with 100% more traffic</w:t>
      </w:r>
      <w:r>
        <w:t>)</w:t>
      </w:r>
      <w:r w:rsidR="00834A70">
        <w:t>.</w:t>
      </w:r>
      <w:r>
        <w:t xml:space="preserve"> This is because the number of 4G sites required purely to provide additional capacity is fairly small compared to the number of 4G coverage sites.</w:t>
      </w:r>
      <w:r w:rsidR="00834A70" w:rsidRPr="00834A70">
        <w:t xml:space="preserve"> </w:t>
      </w:r>
      <w:r w:rsidR="00834A70">
        <w:t>3G logical sites barely change in any of the sensitivities.</w:t>
      </w:r>
    </w:p>
    <w:p w:rsidR="00B873A7" w:rsidRDefault="00B873A7" w:rsidP="00B873A7">
      <w:r>
        <w:t xml:space="preserve">The assumptions about the amounts of spectrum available have a larger impact on the results of the model but their influence should not be misinterpreted. In </w:t>
      </w:r>
      <w:r w:rsidR="00834A70">
        <w:t xml:space="preserve">the case of </w:t>
      </w:r>
      <w:r>
        <w:t xml:space="preserve">less spectrum </w:t>
      </w:r>
      <w:r w:rsidR="00D673BA">
        <w:t>and the case of</w:t>
      </w:r>
      <w:r>
        <w:t xml:space="preserve"> more spectrum </w:t>
      </w:r>
      <w:r w:rsidR="00DA12CB">
        <w:t>most</w:t>
      </w:r>
      <w:r>
        <w:t xml:space="preserve"> of the impact is due to the </w:t>
      </w:r>
      <w:r w:rsidR="00834A70">
        <w:t xml:space="preserve">assumptions regarding the </w:t>
      </w:r>
      <w:r>
        <w:t>coverage band used from 2015 onwards for LTE deployments:</w:t>
      </w:r>
    </w:p>
    <w:p w:rsidR="00B873A7" w:rsidRDefault="00B873A7" w:rsidP="00B873A7">
      <w:pPr>
        <w:pStyle w:val="ListBulletCompact"/>
        <w:tabs>
          <w:tab w:val="num" w:pos="360"/>
        </w:tabs>
        <w:ind w:left="357" w:hanging="357"/>
      </w:pPr>
      <w:r>
        <w:t xml:space="preserve">the 700MHz band for Optus and Telstra and the 1800MHz band for </w:t>
      </w:r>
      <w:r w:rsidR="00550C5F">
        <w:t>VHA</w:t>
      </w:r>
      <w:r>
        <w:t xml:space="preserve"> in the base case</w:t>
      </w:r>
    </w:p>
    <w:p w:rsidR="00B873A7" w:rsidRDefault="00B873A7" w:rsidP="00B873A7">
      <w:pPr>
        <w:pStyle w:val="ListBulletCompact"/>
        <w:tabs>
          <w:tab w:val="num" w:pos="360"/>
        </w:tabs>
        <w:ind w:left="357" w:hanging="357"/>
      </w:pPr>
      <w:r>
        <w:t>the 1800MHz band for all operators  in the sensitivity with no 700MHz or 2.5GHz spectrum</w:t>
      </w:r>
    </w:p>
    <w:p w:rsidR="00B873A7" w:rsidRDefault="00B873A7" w:rsidP="00B873A7">
      <w:pPr>
        <w:pStyle w:val="ListBullet"/>
        <w:tabs>
          <w:tab w:val="num" w:pos="360"/>
        </w:tabs>
        <w:ind w:left="357" w:hanging="357"/>
      </w:pPr>
      <w:r>
        <w:t>the 700MHz band</w:t>
      </w:r>
      <w:r w:rsidRPr="00B04533">
        <w:t xml:space="preserve"> </w:t>
      </w:r>
      <w:r>
        <w:t>for all operators in the sensitivities with additional spectrum.</w:t>
      </w:r>
    </w:p>
    <w:p w:rsidR="00B873A7" w:rsidRDefault="00B873A7" w:rsidP="00B873A7">
      <w:r>
        <w:t>It is however, important to note that there are a number of factors that can affect an operator’s desire to seek out additional spectrum</w:t>
      </w:r>
      <w:r w:rsidR="00834A70">
        <w:t xml:space="preserve"> besides the cost of adding additional spectrum bands to existing sites versus building new capacity sites</w:t>
      </w:r>
      <w:r>
        <w:t>. The impact of many of these factors is difficult to quantify, and for this reason most spectrum forecasting modelling to date has focussed on projected network demand. Other factors may include:</w:t>
      </w:r>
    </w:p>
    <w:p w:rsidR="00D673BA" w:rsidRDefault="00D673BA" w:rsidP="00D673BA">
      <w:pPr>
        <w:pStyle w:val="ListBullet"/>
      </w:pPr>
      <w:r w:rsidRPr="00FE2654">
        <w:rPr>
          <w:i/>
        </w:rPr>
        <w:t>Consumer demand and market supply for technology or services</w:t>
      </w:r>
      <w:r>
        <w:t>: for example, historically operators possessing large blocks of contiguous spectrum have been able to offer higher headline data rates to customers, which has been seen as a source of competitive advantage. However, the recent emergence of carrier aggregation technology which enables operators to use certain combinations of non-contiguous spectrum as a single virtual block may mean that large blocks are less valuable in the future than they were in the past.</w:t>
      </w:r>
    </w:p>
    <w:p w:rsidR="00D673BA" w:rsidRPr="004D7C83" w:rsidRDefault="00D673BA" w:rsidP="00D673BA">
      <w:pPr>
        <w:pStyle w:val="ListBullet"/>
        <w:rPr>
          <w:spacing w:val="-4"/>
        </w:rPr>
      </w:pPr>
      <w:r w:rsidRPr="004D7C83">
        <w:rPr>
          <w:i/>
          <w:spacing w:val="-4"/>
        </w:rPr>
        <w:t>Technological advancements (not related to spectral efficiency)</w:t>
      </w:r>
      <w:r w:rsidRPr="004D7C83">
        <w:rPr>
          <w:spacing w:val="-4"/>
        </w:rPr>
        <w:t>: for example, the possibility of 5G technology using microwave technologies to deliver ultra-fast download speeds in urban hotspots could create demand amongst mobile operators to acquire blocks of spectrum above 20GHz.</w:t>
      </w:r>
    </w:p>
    <w:p w:rsidR="00D673BA" w:rsidRDefault="00D673BA" w:rsidP="00D673BA">
      <w:pPr>
        <w:pStyle w:val="ListBullet"/>
      </w:pPr>
      <w:r w:rsidRPr="00FE2654">
        <w:rPr>
          <w:i/>
        </w:rPr>
        <w:t>Uncertainty about whether and when more spectrum will be released in the future</w:t>
      </w:r>
      <w:r>
        <w:t>: for example, at the time of the 700MHz auction is was not clear if or when any more new low frequency spectrum would be offered to mobile operators. Telstra and Optus may therefore have been willing to acquire spectrum over and above what they could immediately justify on cost-saving grounds in order to be certain of having enough spectrum in the future.</w:t>
      </w:r>
    </w:p>
    <w:p w:rsidR="00D673BA" w:rsidRDefault="00D673BA" w:rsidP="00D673BA">
      <w:pPr>
        <w:pStyle w:val="ListBullet"/>
      </w:pPr>
      <w:r w:rsidRPr="00FE2654">
        <w:rPr>
          <w:i/>
        </w:rPr>
        <w:t>State and local planning and installation processes</w:t>
      </w:r>
      <w:r>
        <w:t>: the time required to acquire additional macrocell sites in urban and suburban areas and the potential for negative publicity arising out of local opposition to new sites may mean that operators place a higher value on being able to add new spectrum to existing sites than the financial savings would imply.</w:t>
      </w:r>
    </w:p>
    <w:p w:rsidR="00D673BA" w:rsidRDefault="00D673BA" w:rsidP="00D673BA">
      <w:pPr>
        <w:pStyle w:val="ListBullet"/>
      </w:pPr>
      <w:r>
        <w:rPr>
          <w:i/>
        </w:rPr>
        <w:t>P</w:t>
      </w:r>
      <w:r w:rsidRPr="00FE2654">
        <w:rPr>
          <w:i/>
        </w:rPr>
        <w:t>opulation migration</w:t>
      </w:r>
      <w:r>
        <w:rPr>
          <w:i/>
        </w:rPr>
        <w:t xml:space="preserve"> and social trends</w:t>
      </w:r>
      <w:r>
        <w:t>: an increase in home working may increase the demand for spectrum in suburban and rural areas to a greater extent than our modelling indicates. Similarly, if demand for mobile broadband amongst commuters increases (e.g. as a result of widespread adoption of streaming audio as an alternative to conventional car radio) this may increase the demand for mobile spectrum along commuter routes.</w:t>
      </w:r>
    </w:p>
    <w:p w:rsidR="00B873A7" w:rsidRPr="004D7C83" w:rsidRDefault="00B873A7" w:rsidP="00B873A7">
      <w:pPr>
        <w:pStyle w:val="Heading2"/>
        <w:jc w:val="left"/>
        <w:rPr>
          <w:spacing w:val="-4"/>
        </w:rPr>
      </w:pPr>
      <w:bookmarkStart w:id="203" w:name="_Toc399178494"/>
      <w:bookmarkStart w:id="204" w:name="_Toc402102961"/>
      <w:bookmarkStart w:id="205" w:name="_Toc409445591"/>
      <w:r w:rsidRPr="004D7C83">
        <w:rPr>
          <w:spacing w:val="-4"/>
        </w:rPr>
        <w:t>Comparison with other approaches to estimating future demand for mobile spectrum</w:t>
      </w:r>
      <w:bookmarkEnd w:id="203"/>
      <w:bookmarkEnd w:id="204"/>
      <w:bookmarkEnd w:id="205"/>
    </w:p>
    <w:p w:rsidR="00B873A7" w:rsidRDefault="00B873A7" w:rsidP="00B873A7">
      <w:r>
        <w:t>We are aware of two previous exercises to estimate the future demand for spectrum for wireless access services in Australia in recent years: one carried out by Ovum and Aegis Systems for the ACMA in 2007</w:t>
      </w:r>
      <w:r>
        <w:rPr>
          <w:rStyle w:val="FootnoteReference"/>
        </w:rPr>
        <w:footnoteReference w:id="49"/>
      </w:r>
      <w:r>
        <w:t xml:space="preserve"> and the other undertaken by the ACMA itself in 2011.</w:t>
      </w:r>
      <w:r>
        <w:rPr>
          <w:rStyle w:val="FootnoteReference"/>
        </w:rPr>
        <w:footnoteReference w:id="50"/>
      </w:r>
      <w:r>
        <w:t xml:space="preserve"> The forecast prepared by Ovum and Aegis Systems uses a methodology developed by the ITU-R.</w:t>
      </w:r>
      <w:r>
        <w:rPr>
          <w:rStyle w:val="FootnoteReference"/>
        </w:rPr>
        <w:footnoteReference w:id="51"/>
      </w:r>
      <w:r>
        <w:t xml:space="preserve"> The ACMA’s 2011 report does not describe the methodology used in detail and the ACMA was not able to make a copy of the forecasting model available for this study, but it appears that it is similar to that used by the US Federal Communications Commission (FCC) in 2010.</w:t>
      </w:r>
      <w:r>
        <w:rPr>
          <w:rStyle w:val="FootnoteReference"/>
        </w:rPr>
        <w:footnoteReference w:id="52"/>
      </w:r>
      <w:r>
        <w:t xml:space="preserve"> In the remainder of this section we compare the approach that we have taken with the ITU-R and FCC methodologies and discuss the strengths and weakness of each.</w:t>
      </w:r>
    </w:p>
    <w:p w:rsidR="00B873A7" w:rsidRDefault="00B873A7" w:rsidP="00B873A7">
      <w:pPr>
        <w:pStyle w:val="Heading3"/>
        <w:ind w:hanging="567"/>
      </w:pPr>
      <w:r>
        <w:t>Approach used by Analysys Mason</w:t>
      </w:r>
    </w:p>
    <w:p w:rsidR="00B873A7" w:rsidRPr="004D7C83" w:rsidRDefault="00B873A7" w:rsidP="00B873A7">
      <w:pPr>
        <w:rPr>
          <w:spacing w:val="-4"/>
        </w:rPr>
      </w:pPr>
      <w:r w:rsidRPr="004D7C83">
        <w:rPr>
          <w:spacing w:val="-4"/>
        </w:rPr>
        <w:t>As explained earlier in this section, our approach attempts to estimate the number of base stations that would be required in each frequency band, given a set of assumptions about the extent of mobile coverage, the volume of busy-hour traffic in different geotypes split by technology, the amount of spectrum available to support each technology, and the average spectral efficiency of each technology. Thus our methodology estimates the amount of spectrum required, based on a spreadsheet approximation of a real network but only does so indirectly, by examining the relationship between the amount of spectrum made available and the resulting number of base stations.</w:t>
      </w:r>
    </w:p>
    <w:p w:rsidR="00B873A7" w:rsidRDefault="00B873A7" w:rsidP="00B873A7">
      <w:r>
        <w:t>We believe that the advantages of our approach are that it is relatively transparent and it is able to cope with a fairly complex set of assumptions about the way that spectrum is allocated to individual operators. The limitations of our approach stem from the fact that it is a spreadsheet approximation of each operator’s network rather than a radio network plan, although our assumptions are informed by data from the operators and the ACMA. We calculate the number of sites required to serve national geotypes</w:t>
      </w:r>
      <w:r w:rsidRPr="006C5819">
        <w:t xml:space="preserve"> </w:t>
      </w:r>
      <w:r>
        <w:t>at an aggregate level. The geotypes are defined on the basis of population density and are not fully aligned with the ACMA’s licensing areas, although the population density thresholds have been chosen to achieve a reasonable match (see Section </w:t>
      </w:r>
      <w:r w:rsidRPr="002D2F9B">
        <w:fldChar w:fldCharType="begin"/>
      </w:r>
      <w:r w:rsidRPr="002571CA">
        <w:instrText xml:space="preserve"> REF _Ref380598776 \r \h </w:instrText>
      </w:r>
      <w:r w:rsidRPr="002D2F9B">
        <w:fldChar w:fldCharType="separate"/>
      </w:r>
      <w:r w:rsidR="00A87B65">
        <w:t>4.3.1</w:t>
      </w:r>
      <w:r w:rsidRPr="002D2F9B">
        <w:fldChar w:fldCharType="end"/>
      </w:r>
      <w:r>
        <w:t>).</w:t>
      </w:r>
    </w:p>
    <w:p w:rsidR="00B873A7" w:rsidRDefault="00B873A7" w:rsidP="00B873A7">
      <w:r>
        <w:t>The number of sites required to cover a given area within a given geotype using a particular band is based on the average cell radius. This is clearly a simplification, since in the real world the achievable cell radius will vary depending on topographical and man-made features, and sites will be unevenly distributed due to problems with securing permission to build in the ideal locations. Nevertheless we have tried to calibrate cell radii so that the starting number of sites for each operator calculated by the model is in line with the actual figures (based on data provided by operators and extracted from the ACMA’s database). When it comes to calculating the number of capacity sites, we have used a standard curve</w:t>
      </w:r>
      <w:r w:rsidR="00C42CC4">
        <w:rPr>
          <w:rStyle w:val="FootnoteReference"/>
        </w:rPr>
        <w:footnoteReference w:id="53"/>
      </w:r>
      <w:r>
        <w:t xml:space="preserve"> to estimate the relative loading of different sites within each geotype, although the curve that we have used is based on operator-supplied data. </w:t>
      </w:r>
      <w:r w:rsidRPr="006C5819">
        <w:t>It is also worth noting that in some bands operators have different amounts of spectrum in different metropolitan (and sometimes regional) areas. Where this happens we have had to use average values</w:t>
      </w:r>
      <w:r>
        <w:t>. Again we have tried to calibrate the capacity site calculations so that the starting number of sites is in line with the actual figures.</w:t>
      </w:r>
    </w:p>
    <w:p w:rsidR="00B873A7" w:rsidRDefault="00B873A7" w:rsidP="00B873A7">
      <w:pPr>
        <w:pStyle w:val="Heading3"/>
        <w:ind w:hanging="567"/>
      </w:pPr>
      <w:r>
        <w:t>ITU-R methodology</w:t>
      </w:r>
    </w:p>
    <w:p w:rsidR="00B873A7" w:rsidRPr="004D7C83" w:rsidRDefault="00B873A7" w:rsidP="00B873A7">
      <w:pPr>
        <w:rPr>
          <w:spacing w:val="-4"/>
        </w:rPr>
      </w:pPr>
      <w:r w:rsidRPr="004D7C83">
        <w:rPr>
          <w:spacing w:val="-4"/>
        </w:rPr>
        <w:t xml:space="preserve">The ITU-R methodology forecasts the demand for spectrum directly by building a detailed traffic forecast and feeding this into a queuing model which calculates the spectrum required in each teledensity (a concept which is similar to our geotypes) and takes the largest requirement as its output. The ITU-R methodology (see </w:t>
      </w:r>
      <w:r w:rsidRPr="002571CA">
        <w:fldChar w:fldCharType="begin"/>
      </w:r>
      <w:r w:rsidRPr="002571CA">
        <w:instrText xml:space="preserve"> REF _Ref380597440 \h </w:instrText>
      </w:r>
      <w:r w:rsidRPr="002571CA">
        <w:fldChar w:fldCharType="separate"/>
      </w:r>
      <w:r w:rsidR="00A87B65">
        <w:t>Figure </w:t>
      </w:r>
      <w:r w:rsidR="00A87B65">
        <w:rPr>
          <w:noProof/>
        </w:rPr>
        <w:t>4</w:t>
      </w:r>
      <w:r w:rsidR="00A87B65">
        <w:t>.</w:t>
      </w:r>
      <w:r w:rsidR="00A87B65">
        <w:rPr>
          <w:noProof/>
        </w:rPr>
        <w:t>66</w:t>
      </w:r>
      <w:r w:rsidRPr="002571CA">
        <w:fldChar w:fldCharType="end"/>
      </w:r>
      <w:r w:rsidRPr="004D7C83">
        <w:rPr>
          <w:spacing w:val="-4"/>
        </w:rPr>
        <w:t xml:space="preserve"> below) actually calculates the demand for Radio Access Technology Group 1 (RATG1) spectrum (equivalent to 2G, 3G and LTE, but not LTE-A) and, separately, RATG2 spectrum (equivalent to LTE-A and subsequent technologies). The traffic forecast is based on demand by service category (SC), which is a combination of bitrate and traffic class (conversational, streaming, interactive or background) and by service environment (SE), which is a combination of service usage pattern (home, office or public area) and teledensity (dense urban, suburban and rural). It then makes assumptions about how the demand is split between RATG1 and RATG2 and uses these figures to drive the queuing theory model. The latest version of the ITU-R methodology contains suggested parameters for 2010, 2015 and 2020 (but not 2025).</w:t>
      </w:r>
    </w:p>
    <w:p w:rsidR="00B873A7" w:rsidRDefault="00B873A7" w:rsidP="00B873A7">
      <w:pPr>
        <w:pStyle w:val="Caption"/>
      </w:pPr>
      <w:bookmarkStart w:id="206" w:name="_Ref380597440"/>
      <w:r>
        <w:t>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fldSimple w:instr=" SEQ Figure \* ARABIC \s 1 \* MERGEFORMAT ">
        <w:r w:rsidR="00A87B65">
          <w:rPr>
            <w:noProof/>
          </w:rPr>
          <w:t>66</w:t>
        </w:r>
      </w:fldSimple>
      <w:bookmarkEnd w:id="206"/>
      <w:r>
        <w:t xml:space="preserve">: Overview of ITU-R methodology [Source: Adapted from Real Wireless, 2013] </w:t>
      </w:r>
    </w:p>
    <w:p w:rsidR="00B873A7" w:rsidRDefault="00B873A7" w:rsidP="00B873A7">
      <w:pPr>
        <w:pStyle w:val="Border"/>
      </w:pPr>
      <w:r w:rsidRPr="004F50AE">
        <w:rPr>
          <w:noProof/>
          <w:lang w:val="en-AU" w:eastAsia="en-AU"/>
        </w:rPr>
        <w:drawing>
          <wp:inline distT="0" distB="0" distL="0" distR="0" wp14:anchorId="1994E62F" wp14:editId="004F5878">
            <wp:extent cx="5543550" cy="2587407"/>
            <wp:effectExtent l="0" t="0" r="0" b="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5543550" cy="2587407"/>
                    </a:xfrm>
                    <a:prstGeom prst="rect">
                      <a:avLst/>
                    </a:prstGeom>
                    <a:noFill/>
                    <a:ln>
                      <a:noFill/>
                    </a:ln>
                  </pic:spPr>
                </pic:pic>
              </a:graphicData>
            </a:graphic>
          </wp:inline>
        </w:drawing>
      </w:r>
    </w:p>
    <w:p w:rsidR="00B873A7" w:rsidRPr="0002692A" w:rsidRDefault="00B873A7" w:rsidP="00B873A7">
      <w:r>
        <w:t>The advantage of the ITU-R methodology is that it takes a much more detailed ‘radio engineering’ approach to the estimation of demand, although this does not, in itself, reduce the uncertainties related to future levels of demand, i.e. it is still necessary to take a view on future levels of data traffic per user. A recent report for the UK regulator Ofcom by Real Wireless</w:t>
      </w:r>
      <w:r w:rsidRPr="0002692A">
        <w:t xml:space="preserve"> contains a critique of the ITU-R approach.</w:t>
      </w:r>
      <w:r>
        <w:rPr>
          <w:rStyle w:val="FootnoteReference"/>
        </w:rPr>
        <w:footnoteReference w:id="54"/>
      </w:r>
      <w:r w:rsidRPr="0002692A">
        <w:t xml:space="preserve"> </w:t>
      </w:r>
      <w:r>
        <w:t>In particular, Real Wireless notes</w:t>
      </w:r>
      <w:r w:rsidRPr="0002692A">
        <w:t xml:space="preserve"> that, in the ITU-R approach:</w:t>
      </w:r>
    </w:p>
    <w:p w:rsidR="00B873A7" w:rsidRPr="0002692A" w:rsidRDefault="00B873A7" w:rsidP="00B873A7">
      <w:pPr>
        <w:pStyle w:val="ListBulletCompact"/>
      </w:pPr>
      <w:r>
        <w:t>c</w:t>
      </w:r>
      <w:r w:rsidRPr="0002692A">
        <w:t>ell sizes do not vary with frequency or RATG</w:t>
      </w:r>
    </w:p>
    <w:p w:rsidR="00B873A7" w:rsidRPr="0002692A" w:rsidRDefault="00B873A7" w:rsidP="00B873A7">
      <w:pPr>
        <w:pStyle w:val="ListBulletCompact"/>
      </w:pPr>
      <w:r>
        <w:t>c</w:t>
      </w:r>
      <w:r w:rsidRPr="0002692A">
        <w:t>overage levels do not vary by RATG</w:t>
      </w:r>
    </w:p>
    <w:p w:rsidR="00B873A7" w:rsidRPr="0002692A" w:rsidRDefault="00B873A7" w:rsidP="00B873A7">
      <w:pPr>
        <w:pStyle w:val="ListBulletCompact"/>
      </w:pPr>
      <w:r>
        <w:t>d</w:t>
      </w:r>
      <w:r w:rsidRPr="0002692A">
        <w:t>emand density does not vary within each geotype</w:t>
      </w:r>
    </w:p>
    <w:p w:rsidR="00B873A7" w:rsidRPr="0002692A" w:rsidRDefault="00B873A7" w:rsidP="00B873A7">
      <w:pPr>
        <w:pStyle w:val="ListBullet"/>
      </w:pPr>
      <w:r>
        <w:t>t</w:t>
      </w:r>
      <w:r w:rsidRPr="0002692A">
        <w:t>he assumptions regarding circuit-switched and packet-switched data are arguably out</w:t>
      </w:r>
      <w:r>
        <w:t xml:space="preserve"> </w:t>
      </w:r>
      <w:r w:rsidRPr="0002692A">
        <w:t>of</w:t>
      </w:r>
      <w:r>
        <w:t xml:space="preserve"> </w:t>
      </w:r>
      <w:r w:rsidRPr="0002692A">
        <w:t>date</w:t>
      </w:r>
      <w:r>
        <w:t>.</w:t>
      </w:r>
    </w:p>
    <w:p w:rsidR="00B873A7" w:rsidRDefault="00B873A7" w:rsidP="00B873A7">
      <w:r>
        <w:t xml:space="preserve">We would add to these points that </w:t>
      </w:r>
      <w:r w:rsidRPr="0002692A">
        <w:t xml:space="preserve">the </w:t>
      </w:r>
      <w:r>
        <w:t xml:space="preserve">way in which the </w:t>
      </w:r>
      <w:r w:rsidRPr="0002692A">
        <w:t>ITU-R model</w:t>
      </w:r>
      <w:r>
        <w:t xml:space="preserve"> turns traffic into spectrum demand</w:t>
      </w:r>
      <w:r w:rsidRPr="0002692A">
        <w:t xml:space="preserve"> is fairly abstract and quite difficult to relate to operators’</w:t>
      </w:r>
      <w:r>
        <w:t xml:space="preserve"> actual and planned deployments.</w:t>
      </w:r>
    </w:p>
    <w:p w:rsidR="00B873A7" w:rsidRDefault="00B873A7" w:rsidP="00B873A7">
      <w:pPr>
        <w:pStyle w:val="Heading3"/>
        <w:ind w:hanging="567"/>
      </w:pPr>
      <w:bookmarkStart w:id="207" w:name="_Ref380597574"/>
      <w:r>
        <w:t>FCC methodology</w:t>
      </w:r>
      <w:bookmarkEnd w:id="207"/>
    </w:p>
    <w:p w:rsidR="00B873A7" w:rsidRDefault="00B873A7" w:rsidP="00B873A7">
      <w:r>
        <w:t xml:space="preserve">The FCC methodology (see </w:t>
      </w:r>
      <w:r w:rsidRPr="002D2F9B">
        <w:fldChar w:fldCharType="begin"/>
      </w:r>
      <w:r w:rsidRPr="002571CA">
        <w:instrText xml:space="preserve"> REF _Ref380597466 \h </w:instrText>
      </w:r>
      <w:r w:rsidRPr="002D2F9B">
        <w:fldChar w:fldCharType="separate"/>
      </w:r>
      <w:r w:rsidR="00A87B65">
        <w:t>Figure </w:t>
      </w:r>
      <w:r w:rsidR="00A87B65">
        <w:rPr>
          <w:noProof/>
        </w:rPr>
        <w:t>4</w:t>
      </w:r>
      <w:r w:rsidR="00A87B65">
        <w:t>.</w:t>
      </w:r>
      <w:r w:rsidR="00A87B65">
        <w:rPr>
          <w:noProof/>
        </w:rPr>
        <w:t>67</w:t>
      </w:r>
      <w:r w:rsidRPr="002D2F9B">
        <w:fldChar w:fldCharType="end"/>
      </w:r>
      <w:r>
        <w:t xml:space="preserve"> below) calculates the amount of data spectrum required as a multiple of the amount used in the base year by estimating the growth in data traffic per site (i.e. taking account of both the growth in data traffic and the number of sites) and then adjusting the answer for expected increases in spectral efficiency. The amount of voice spectrum is assumed to remain constant (though the FCC acknowledges that this is a simplification in an era when voice traffic is expected to start migrating from circuit-switched to VoIP).</w:t>
      </w:r>
    </w:p>
    <w:tbl>
      <w:tblPr>
        <w:tblW w:w="8730" w:type="dxa"/>
        <w:tblLayout w:type="fixed"/>
        <w:tblCellMar>
          <w:left w:w="0" w:type="dxa"/>
          <w:right w:w="0" w:type="dxa"/>
        </w:tblCellMar>
        <w:tblLook w:val="0000" w:firstRow="0" w:lastRow="0" w:firstColumn="0" w:lastColumn="0" w:noHBand="0" w:noVBand="0"/>
      </w:tblPr>
      <w:tblGrid>
        <w:gridCol w:w="6576"/>
        <w:gridCol w:w="2154"/>
      </w:tblGrid>
      <w:tr w:rsidR="00B873A7" w:rsidTr="00841EA0">
        <w:tc>
          <w:tcPr>
            <w:tcW w:w="6576" w:type="dxa"/>
            <w:tcBorders>
              <w:right w:val="single" w:sz="4" w:space="0" w:color="auto"/>
            </w:tcBorders>
            <w:shd w:val="clear" w:color="auto" w:fill="auto"/>
          </w:tcPr>
          <w:p w:rsidR="00B873A7" w:rsidRDefault="00B873A7" w:rsidP="00841EA0">
            <w:pPr>
              <w:pStyle w:val="Bordersmall"/>
            </w:pPr>
            <w:r>
              <w:rPr>
                <w:noProof/>
                <w:lang w:val="en-AU" w:eastAsia="en-AU"/>
              </w:rPr>
              <w:drawing>
                <wp:inline distT="0" distB="0" distL="0" distR="0" wp14:anchorId="7F019A54" wp14:editId="7B8A8532">
                  <wp:extent cx="3857292" cy="3610708"/>
                  <wp:effectExtent l="0" t="0" r="0" b="889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bwMode="auto">
                          <a:xfrm>
                            <a:off x="0" y="0"/>
                            <a:ext cx="3861170" cy="3614338"/>
                          </a:xfrm>
                          <a:prstGeom prst="rect">
                            <a:avLst/>
                          </a:prstGeom>
                          <a:noFill/>
                          <a:ln>
                            <a:noFill/>
                          </a:ln>
                        </pic:spPr>
                      </pic:pic>
                    </a:graphicData>
                  </a:graphic>
                </wp:inline>
              </w:drawing>
            </w:r>
          </w:p>
        </w:tc>
        <w:tc>
          <w:tcPr>
            <w:tcW w:w="2154" w:type="dxa"/>
            <w:tcBorders>
              <w:left w:val="single" w:sz="4" w:space="0" w:color="auto"/>
            </w:tcBorders>
            <w:shd w:val="clear" w:color="auto" w:fill="auto"/>
          </w:tcPr>
          <w:p w:rsidR="00B873A7" w:rsidRDefault="00B873A7" w:rsidP="00841EA0">
            <w:pPr>
              <w:pStyle w:val="Captionsmall"/>
            </w:pPr>
            <w:bookmarkStart w:id="208" w:name="_Ref380597466"/>
            <w:r>
              <w:t>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r w:rsidR="008B1006">
              <w:fldChar w:fldCharType="begin"/>
            </w:r>
            <w:r w:rsidR="008B1006">
              <w:instrText xml:space="preserve"> SEQ Figure \* ARABIC \s 1 \* MERGEFORMAT </w:instrText>
            </w:r>
            <w:r w:rsidR="008B1006">
              <w:fldChar w:fldCharType="separate"/>
            </w:r>
            <w:r w:rsidR="00A87B65">
              <w:rPr>
                <w:noProof/>
              </w:rPr>
              <w:t>67</w:t>
            </w:r>
            <w:r w:rsidR="008B1006">
              <w:rPr>
                <w:noProof/>
              </w:rPr>
              <w:fldChar w:fldCharType="end"/>
            </w:r>
            <w:bookmarkEnd w:id="208"/>
            <w:r>
              <w:t>: Overview of FCC methodology [Source: FCC, 2010]</w:t>
            </w:r>
          </w:p>
          <w:p w:rsidR="00B873A7" w:rsidRPr="008D33EE" w:rsidRDefault="00B873A7" w:rsidP="00841EA0">
            <w:pPr>
              <w:jc w:val="left"/>
            </w:pPr>
            <w:r>
              <w:t xml:space="preserve"> </w:t>
            </w:r>
          </w:p>
        </w:tc>
      </w:tr>
    </w:tbl>
    <w:p w:rsidR="00B873A7" w:rsidRPr="009142AC" w:rsidRDefault="00B873A7" w:rsidP="00B873A7">
      <w:r>
        <w:br/>
        <w:t>The main advantage of the FCC approach is that it is very simple and transparent. The key weakness of the approach is that it implicitly assumes that the amount of spectrum used for data services in the base year is the ‘right’ amount, because future estimates are scaled off this. It is therefore very important that the estimate of used spectrum in the base year is accurate, which is difficult to achieve in practice.</w:t>
      </w:r>
    </w:p>
    <w:p w:rsidR="00B873A7" w:rsidRDefault="00B873A7" w:rsidP="00B873A7">
      <w:pPr>
        <w:pStyle w:val="Heading3"/>
        <w:ind w:hanging="567"/>
      </w:pPr>
      <w:r>
        <w:t>Comparisons with previous Australian forecasts</w:t>
      </w:r>
    </w:p>
    <w:p w:rsidR="00B873A7" w:rsidRDefault="00B873A7" w:rsidP="00B873A7">
      <w:r>
        <w:t>The ACMA’s 2011 paper calculated that, after the release of the 700MHz and 2.5GHz bands, there would be around 800MHz of spectrum allocated to mobile services in Australia (although not all of this is in use nationwide) and concluded that the total amount of spectrum required in 2020 would be 1081MHz (down from a peak of 1172MHz in 2018), meaning that another 300MHz would need to be found by 2020. The earlier 2007 report by Ovum based on the ITU-R methodology suggested much higher numbers for 2020: 1380MHz in 2020 (down from a peak of 1620MHz in 2015). However, the ACMA’s 2011 report noted that t</w:t>
      </w:r>
      <w:r w:rsidRPr="00CC3888">
        <w:t xml:space="preserve">he ACMA </w:t>
      </w:r>
      <w:r>
        <w:t>“</w:t>
      </w:r>
      <w:r w:rsidRPr="00CC3888">
        <w:t xml:space="preserve">believes that the amount of spectrum forecast </w:t>
      </w:r>
      <w:r>
        <w:t>[using the ITU-R methodology]</w:t>
      </w:r>
      <w:r w:rsidRPr="00CC3888">
        <w:t xml:space="preserve"> is both unnecessary and unsustainable, and would find it difficult to make this much spectrum available as it is often already heavily utilised.</w:t>
      </w:r>
      <w:r>
        <w:t>”</w:t>
      </w:r>
    </w:p>
    <w:p w:rsidR="00A45C91" w:rsidRDefault="00A45C91" w:rsidP="00B873A7">
      <w:r>
        <w:t>It is worth noting that previous reports have tried to estimate the demand for additional spectrum directly based on the forecast growth in traffic whereas our approach considers the trade-off between the amount of spectrum available and the amount of additional infrastructure required.</w:t>
      </w:r>
    </w:p>
    <w:p w:rsidR="007F3F24" w:rsidRDefault="007F3F24" w:rsidP="007F3F24">
      <w:r>
        <w:t>The ACMA’s 2011 paper</w:t>
      </w:r>
      <w:r w:rsidDel="006F5629">
        <w:t xml:space="preserve"> </w:t>
      </w:r>
      <w:r>
        <w:t xml:space="preserve">assumes that between 2011 and 2020 the CAGR for data traffic would be 59%, whereas our base case </w:t>
      </w:r>
      <w:r w:rsidRPr="00EA0A82">
        <w:t>assumes 38%</w:t>
      </w:r>
      <w:r>
        <w:t xml:space="preserve"> over the same period (and 49% in the scenario with the most intensive growth), i.e. the ACMA model assumed that traffic would be 67 times higher in 2020 than in 2011, whereas our base case assumes a multiple </w:t>
      </w:r>
      <w:r w:rsidRPr="00EA0A82">
        <w:t>of 18</w:t>
      </w:r>
      <w:r>
        <w:t xml:space="preserve"> (and a multiple of 35 in the scenario with the most intensive growth)</w:t>
      </w:r>
      <w:r w:rsidRPr="00EA0A82">
        <w:t>. It therefore</w:t>
      </w:r>
      <w:r>
        <w:t xml:space="preserve"> appears that the ACMA’s 2011 report predicts </w:t>
      </w:r>
      <w:r w:rsidR="00A45C91">
        <w:t xml:space="preserve">a demand for large amounts of additional </w:t>
      </w:r>
      <w:r w:rsidR="00F70981">
        <w:t>spectrum</w:t>
      </w:r>
      <w:r>
        <w:t xml:space="preserve"> partly as a result of assuming much faster traffic growth than we do and partly because it implicitly assumes that the spectrum was efficiently us</w:t>
      </w:r>
      <w:r w:rsidR="00F70981">
        <w:t>ed in 2007 and scales off this.</w:t>
      </w:r>
    </w:p>
    <w:p w:rsidR="00B873A7" w:rsidRDefault="00B873A7" w:rsidP="00B873A7">
      <w:r>
        <w:t xml:space="preserve">The report by Ovum and Aegis Systems only expresses their model’s traffic forecasts in terms of busy-hour traffic per subscriber in 2012 (for which the figures is 4kbit/s) and 2020 (for which the figures is 20kbit/s). These numbers are broadly similar to our own. However, Ovum and Aegis Systems assume that average capacity of a 5MHz carrier would be 0.8Mbit/s in 2012 (equivalent to 0.17bit/s/Hz) and 2.2Mbit/s in 2020 (equivalent to 0.46bit/s/Hz), whereas in our base case we assume an average spectral efficiency of 0.6bit/s/Hz for 3G (flat over the modelling period) and 1.0bit/s/Hz for 4G in 2012 (rising to 1.96bit/s/Hz in 2020). It therefore appears that Ovum and Aegis Systems may have forecast a need for </w:t>
      </w:r>
      <w:r w:rsidR="00A45C91">
        <w:t>large amounts of additional spectrum</w:t>
      </w:r>
      <w:r>
        <w:t xml:space="preserve"> because they assume very much lower spectral efficiency (although, as mentioned above, the ACMA stated in 2011 that it thought the ITU-R methodology overstated the demand for spectrum in Australia; and our discussion about the UK modelling work below also suggests that it may forecast much bigger increases in spectrum demand based on apparently similar inputs).</w:t>
      </w:r>
    </w:p>
    <w:p w:rsidR="00B873A7" w:rsidRDefault="00B873A7" w:rsidP="00B873A7">
      <w:pPr>
        <w:pStyle w:val="Heading3"/>
        <w:ind w:hanging="567"/>
      </w:pPr>
      <w:r>
        <w:t>International comparisons</w:t>
      </w:r>
    </w:p>
    <w:p w:rsidR="00B873A7" w:rsidRDefault="00B873A7" w:rsidP="00B873A7">
      <w:r>
        <w:t xml:space="preserve">Regulators and policymakers in a number of other countries have previously made or commissioned forecasts of the future demand for spectrum. These studies have typically used one of the three methodologies described above (or a modified version of them). </w:t>
      </w:r>
    </w:p>
    <w:p w:rsidR="00B873A7" w:rsidRDefault="00B873A7" w:rsidP="00B873A7">
      <w:r w:rsidRPr="002D2F9B">
        <w:fldChar w:fldCharType="begin"/>
      </w:r>
      <w:r w:rsidRPr="002571CA">
        <w:instrText xml:space="preserve"> REF _Ref383446539 \h </w:instrText>
      </w:r>
      <w:r w:rsidRPr="002D2F9B">
        <w:fldChar w:fldCharType="separate"/>
      </w:r>
      <w:r w:rsidR="00A87B65">
        <w:t>Figure </w:t>
      </w:r>
      <w:r w:rsidR="00A87B65">
        <w:rPr>
          <w:noProof/>
        </w:rPr>
        <w:t>4</w:t>
      </w:r>
      <w:r w:rsidR="00A87B65">
        <w:t>.</w:t>
      </w:r>
      <w:r w:rsidR="00A87B65">
        <w:rPr>
          <w:noProof/>
        </w:rPr>
        <w:t>68</w:t>
      </w:r>
      <w:r w:rsidRPr="002D2F9B">
        <w:fldChar w:fldCharType="end"/>
      </w:r>
      <w:r>
        <w:t xml:space="preserve"> below summarises the findings from four of these studies (in the USA, Canada, China and the UK), together with the results from Analysys Mason’s present study.</w:t>
      </w:r>
    </w:p>
    <w:p w:rsidR="00B873A7" w:rsidRDefault="00B873A7" w:rsidP="00B218B3">
      <w:pPr>
        <w:pStyle w:val="Caption"/>
        <w:pageBreakBefore/>
      </w:pPr>
      <w:bookmarkStart w:id="209" w:name="_Ref378915053"/>
      <w:bookmarkStart w:id="210" w:name="_Ref383446539"/>
      <w:r>
        <w:t>Figure </w:t>
      </w:r>
      <w:r w:rsidR="008B1006">
        <w:fldChar w:fldCharType="begin"/>
      </w:r>
      <w:r w:rsidR="008B1006">
        <w:instrText xml:space="preserve"> STYLEREF 1 \s \* MERGEFORMAT </w:instrText>
      </w:r>
      <w:r w:rsidR="008B1006">
        <w:fldChar w:fldCharType="separate"/>
      </w:r>
      <w:r w:rsidR="00A87B65">
        <w:rPr>
          <w:noProof/>
        </w:rPr>
        <w:t>4</w:t>
      </w:r>
      <w:r w:rsidR="008B1006">
        <w:rPr>
          <w:noProof/>
        </w:rPr>
        <w:fldChar w:fldCharType="end"/>
      </w:r>
      <w:r>
        <w:t>.</w:t>
      </w:r>
      <w:fldSimple w:instr=" SEQ Figure \* ARABIC \s 1 \* MERGEFORMAT ">
        <w:r w:rsidR="00A87B65">
          <w:rPr>
            <w:noProof/>
          </w:rPr>
          <w:t>68</w:t>
        </w:r>
      </w:fldSimple>
      <w:bookmarkEnd w:id="209"/>
      <w:bookmarkEnd w:id="210"/>
      <w:r>
        <w:t>: Summary of findings from international studies [Source: Analysys Mason, 2014]</w:t>
      </w:r>
    </w:p>
    <w:tbl>
      <w:tblPr>
        <w:tblStyle w:val="MediumShading2-Accent1"/>
        <w:tblW w:w="8788" w:type="dxa"/>
        <w:tblInd w:w="108" w:type="dxa"/>
        <w:tblLook w:val="0420" w:firstRow="1" w:lastRow="0" w:firstColumn="0" w:lastColumn="0" w:noHBand="0" w:noVBand="1"/>
      </w:tblPr>
      <w:tblGrid>
        <w:gridCol w:w="1629"/>
        <w:gridCol w:w="1162"/>
        <w:gridCol w:w="1077"/>
        <w:gridCol w:w="1361"/>
        <w:gridCol w:w="1178"/>
        <w:gridCol w:w="1020"/>
        <w:gridCol w:w="1361"/>
      </w:tblGrid>
      <w:tr w:rsidR="00B873A7" w:rsidRPr="00804930" w:rsidTr="00EE4CCC">
        <w:trPr>
          <w:cnfStyle w:val="100000000000" w:firstRow="1" w:lastRow="0" w:firstColumn="0" w:lastColumn="0" w:oddVBand="0" w:evenVBand="0" w:oddHBand="0" w:evenHBand="0" w:firstRowFirstColumn="0" w:firstRowLastColumn="0" w:lastRowFirstColumn="0" w:lastRowLastColumn="0"/>
        </w:trPr>
        <w:tc>
          <w:tcPr>
            <w:tcW w:w="1629" w:type="dxa"/>
            <w:tcBorders>
              <w:top w:val="single" w:sz="18" w:space="0" w:color="221F72"/>
              <w:bottom w:val="single" w:sz="4" w:space="0" w:color="FFFFFF" w:themeColor="background1"/>
            </w:tcBorders>
            <w:shd w:val="solid" w:color="221F72" w:fill="221F72"/>
          </w:tcPr>
          <w:p w:rsidR="00B873A7" w:rsidRPr="00804930" w:rsidRDefault="00B873A7" w:rsidP="00841EA0">
            <w:pPr>
              <w:pStyle w:val="Tableheading"/>
              <w:rPr>
                <w:b/>
              </w:rPr>
            </w:pPr>
            <w:r>
              <w:rPr>
                <w:b/>
              </w:rPr>
              <w:t>Study</w:t>
            </w:r>
          </w:p>
        </w:tc>
        <w:tc>
          <w:tcPr>
            <w:tcW w:w="1162" w:type="dxa"/>
            <w:tcBorders>
              <w:top w:val="single" w:sz="18" w:space="0" w:color="221F72"/>
              <w:bottom w:val="single" w:sz="4" w:space="0" w:color="FFFFFF" w:themeColor="background1"/>
            </w:tcBorders>
            <w:shd w:val="solid" w:color="221F72" w:fill="221F72"/>
          </w:tcPr>
          <w:p w:rsidR="00B873A7" w:rsidRPr="00804930" w:rsidRDefault="00B873A7" w:rsidP="00841EA0">
            <w:pPr>
              <w:pStyle w:val="Tableheading"/>
              <w:jc w:val="center"/>
              <w:rPr>
                <w:b/>
              </w:rPr>
            </w:pPr>
            <w:r>
              <w:rPr>
                <w:b/>
              </w:rPr>
              <w:t>First</w:t>
            </w:r>
            <w:r>
              <w:rPr>
                <w:b/>
              </w:rPr>
              <w:br/>
              <w:t>five-year period</w:t>
            </w:r>
          </w:p>
        </w:tc>
        <w:tc>
          <w:tcPr>
            <w:tcW w:w="1077" w:type="dxa"/>
            <w:tcBorders>
              <w:top w:val="single" w:sz="18" w:space="0" w:color="221F72"/>
              <w:bottom w:val="single" w:sz="4" w:space="0" w:color="FFFFFF" w:themeColor="background1"/>
            </w:tcBorders>
            <w:shd w:val="solid" w:color="221F72" w:fill="221F72"/>
          </w:tcPr>
          <w:p w:rsidR="00B873A7" w:rsidRPr="00804930" w:rsidRDefault="00B873A7" w:rsidP="00841EA0">
            <w:pPr>
              <w:pStyle w:val="Tableheading"/>
              <w:jc w:val="center"/>
              <w:rPr>
                <w:b/>
              </w:rPr>
            </w:pPr>
            <w:r>
              <w:rPr>
                <w:b/>
              </w:rPr>
              <w:t>Traffic growth multiple</w:t>
            </w:r>
          </w:p>
        </w:tc>
        <w:tc>
          <w:tcPr>
            <w:tcW w:w="1361" w:type="dxa"/>
            <w:tcBorders>
              <w:top w:val="single" w:sz="18" w:space="0" w:color="221F72"/>
              <w:bottom w:val="single" w:sz="4" w:space="0" w:color="FFFFFF" w:themeColor="background1"/>
            </w:tcBorders>
            <w:shd w:val="solid" w:color="221F72" w:fill="221F72"/>
          </w:tcPr>
          <w:p w:rsidR="00B873A7" w:rsidRPr="00804930" w:rsidRDefault="00B873A7" w:rsidP="00841EA0">
            <w:pPr>
              <w:pStyle w:val="Tableheading"/>
              <w:jc w:val="center"/>
              <w:rPr>
                <w:b/>
              </w:rPr>
            </w:pPr>
            <w:r>
              <w:rPr>
                <w:b/>
              </w:rPr>
              <w:t>Increase in demand for spectrum</w:t>
            </w:r>
          </w:p>
        </w:tc>
        <w:tc>
          <w:tcPr>
            <w:tcW w:w="1178" w:type="dxa"/>
            <w:tcBorders>
              <w:top w:val="single" w:sz="18" w:space="0" w:color="221F72"/>
              <w:bottom w:val="single" w:sz="4" w:space="0" w:color="FFFFFF" w:themeColor="background1"/>
            </w:tcBorders>
            <w:shd w:val="solid" w:color="221F72" w:fill="221F72"/>
          </w:tcPr>
          <w:p w:rsidR="00B873A7" w:rsidRPr="00804930" w:rsidRDefault="00B873A7" w:rsidP="00841EA0">
            <w:pPr>
              <w:pStyle w:val="Tableheading"/>
              <w:jc w:val="center"/>
              <w:rPr>
                <w:b/>
              </w:rPr>
            </w:pPr>
            <w:r>
              <w:rPr>
                <w:b/>
              </w:rPr>
              <w:t>Second five-year period (where available)</w:t>
            </w:r>
          </w:p>
        </w:tc>
        <w:tc>
          <w:tcPr>
            <w:tcW w:w="1020" w:type="dxa"/>
            <w:tcBorders>
              <w:top w:val="single" w:sz="18" w:space="0" w:color="221F72"/>
              <w:bottom w:val="single" w:sz="4" w:space="0" w:color="FFFFFF" w:themeColor="background1"/>
            </w:tcBorders>
            <w:shd w:val="solid" w:color="221F72" w:fill="221F72"/>
          </w:tcPr>
          <w:p w:rsidR="00B873A7" w:rsidRPr="00804930" w:rsidRDefault="00B873A7" w:rsidP="00841EA0">
            <w:pPr>
              <w:pStyle w:val="Tableheading"/>
              <w:jc w:val="center"/>
              <w:rPr>
                <w:b/>
              </w:rPr>
            </w:pPr>
            <w:r>
              <w:rPr>
                <w:b/>
              </w:rPr>
              <w:t>Traffic growth multiple</w:t>
            </w:r>
          </w:p>
        </w:tc>
        <w:tc>
          <w:tcPr>
            <w:tcW w:w="1361" w:type="dxa"/>
            <w:tcBorders>
              <w:top w:val="single" w:sz="18" w:space="0" w:color="221F72"/>
              <w:bottom w:val="single" w:sz="4" w:space="0" w:color="FFFFFF" w:themeColor="background1"/>
            </w:tcBorders>
            <w:shd w:val="solid" w:color="221F72" w:fill="221F72"/>
          </w:tcPr>
          <w:p w:rsidR="00B873A7" w:rsidRPr="00804930" w:rsidRDefault="00B873A7" w:rsidP="00841EA0">
            <w:pPr>
              <w:pStyle w:val="Tableheading"/>
              <w:jc w:val="center"/>
              <w:rPr>
                <w:b/>
              </w:rPr>
            </w:pPr>
            <w:r>
              <w:rPr>
                <w:b/>
              </w:rPr>
              <w:t>Increase in demand for spectrum</w:t>
            </w:r>
          </w:p>
        </w:tc>
      </w:tr>
      <w:tr w:rsidR="00B873A7" w:rsidTr="00EE4CCC">
        <w:trPr>
          <w:cnfStyle w:val="000000100000" w:firstRow="0" w:lastRow="0" w:firstColumn="0" w:lastColumn="0" w:oddVBand="0" w:evenVBand="0" w:oddHBand="1" w:evenHBand="0" w:firstRowFirstColumn="0" w:firstRowLastColumn="0" w:lastRowFirstColumn="0" w:lastRowLastColumn="0"/>
        </w:trPr>
        <w:tc>
          <w:tcPr>
            <w:tcW w:w="1629" w:type="dxa"/>
            <w:tcBorders>
              <w:top w:val="single" w:sz="4" w:space="0" w:color="FFFFFF" w:themeColor="background1"/>
              <w:bottom w:val="single" w:sz="4" w:space="0" w:color="auto"/>
            </w:tcBorders>
          </w:tcPr>
          <w:p w:rsidR="00B873A7" w:rsidRDefault="00B873A7" w:rsidP="00841EA0">
            <w:pPr>
              <w:pStyle w:val="Tablecells"/>
            </w:pPr>
            <w:r>
              <w:t>Australia (Analysys Mason, this study)</w:t>
            </w:r>
            <w:r w:rsidRPr="00A95528">
              <w:rPr>
                <w:vertAlign w:val="superscript"/>
              </w:rPr>
              <w:t xml:space="preserve"> 1</w:t>
            </w:r>
          </w:p>
        </w:tc>
        <w:tc>
          <w:tcPr>
            <w:tcW w:w="1162" w:type="dxa"/>
            <w:tcBorders>
              <w:top w:val="single" w:sz="4" w:space="0" w:color="FFFFFF" w:themeColor="background1"/>
              <w:bottom w:val="single" w:sz="4" w:space="0" w:color="auto"/>
            </w:tcBorders>
          </w:tcPr>
          <w:p w:rsidR="00B873A7" w:rsidRDefault="00B873A7" w:rsidP="00841EA0">
            <w:pPr>
              <w:pStyle w:val="Tablecells"/>
              <w:jc w:val="center"/>
            </w:pPr>
            <w:r>
              <w:t>2011–16</w:t>
            </w:r>
          </w:p>
        </w:tc>
        <w:tc>
          <w:tcPr>
            <w:tcW w:w="1077" w:type="dxa"/>
            <w:tcBorders>
              <w:top w:val="single" w:sz="4" w:space="0" w:color="FFFFFF" w:themeColor="background1"/>
              <w:bottom w:val="single" w:sz="4" w:space="0" w:color="auto"/>
            </w:tcBorders>
          </w:tcPr>
          <w:p w:rsidR="00B873A7" w:rsidRPr="00EA0A82" w:rsidRDefault="00B873A7" w:rsidP="00841EA0">
            <w:pPr>
              <w:pStyle w:val="Tablecells"/>
              <w:jc w:val="center"/>
            </w:pPr>
            <w:r w:rsidRPr="00EA0A82">
              <w:t>7.6×</w:t>
            </w:r>
          </w:p>
        </w:tc>
        <w:tc>
          <w:tcPr>
            <w:tcW w:w="1361" w:type="dxa"/>
            <w:tcBorders>
              <w:top w:val="single" w:sz="4" w:space="0" w:color="FFFFFF" w:themeColor="background1"/>
              <w:bottom w:val="single" w:sz="4" w:space="0" w:color="auto"/>
            </w:tcBorders>
          </w:tcPr>
          <w:p w:rsidR="00B873A7" w:rsidRPr="00EA0A82" w:rsidRDefault="00B873A7" w:rsidP="00841EA0">
            <w:pPr>
              <w:pStyle w:val="Tablecells"/>
              <w:jc w:val="center"/>
            </w:pPr>
            <w:r w:rsidRPr="00EA0A82">
              <w:t>–</w:t>
            </w:r>
          </w:p>
        </w:tc>
        <w:tc>
          <w:tcPr>
            <w:tcW w:w="1178" w:type="dxa"/>
            <w:tcBorders>
              <w:top w:val="single" w:sz="4" w:space="0" w:color="FFFFFF" w:themeColor="background1"/>
              <w:bottom w:val="single" w:sz="4" w:space="0" w:color="auto"/>
            </w:tcBorders>
          </w:tcPr>
          <w:p w:rsidR="00B873A7" w:rsidRPr="00EA0A82" w:rsidRDefault="00B873A7" w:rsidP="00841EA0">
            <w:pPr>
              <w:pStyle w:val="Tablecells"/>
              <w:jc w:val="center"/>
            </w:pPr>
            <w:r w:rsidRPr="00EA0A82">
              <w:t>2016–21</w:t>
            </w:r>
          </w:p>
        </w:tc>
        <w:tc>
          <w:tcPr>
            <w:tcW w:w="1020" w:type="dxa"/>
            <w:tcBorders>
              <w:top w:val="single" w:sz="4" w:space="0" w:color="FFFFFF" w:themeColor="background1"/>
              <w:bottom w:val="single" w:sz="4" w:space="0" w:color="auto"/>
            </w:tcBorders>
          </w:tcPr>
          <w:p w:rsidR="00B873A7" w:rsidRPr="00EA0A82" w:rsidRDefault="00B873A7" w:rsidP="00841EA0">
            <w:pPr>
              <w:pStyle w:val="Tablecells"/>
              <w:jc w:val="center"/>
            </w:pPr>
            <w:r w:rsidRPr="00EA0A82">
              <w:t>2.7×</w:t>
            </w:r>
          </w:p>
        </w:tc>
        <w:tc>
          <w:tcPr>
            <w:tcW w:w="1361" w:type="dxa"/>
            <w:tcBorders>
              <w:top w:val="single" w:sz="4" w:space="0" w:color="FFFFFF" w:themeColor="background1"/>
              <w:bottom w:val="single" w:sz="4" w:space="0" w:color="auto"/>
            </w:tcBorders>
          </w:tcPr>
          <w:p w:rsidR="00B873A7" w:rsidRDefault="00B873A7" w:rsidP="00841EA0">
            <w:pPr>
              <w:pStyle w:val="Tablecells"/>
              <w:jc w:val="center"/>
            </w:pPr>
            <w:r>
              <w:t>–</w:t>
            </w:r>
          </w:p>
        </w:tc>
      </w:tr>
      <w:tr w:rsidR="00B873A7" w:rsidTr="00841EA0">
        <w:tc>
          <w:tcPr>
            <w:tcW w:w="1629" w:type="dxa"/>
            <w:tcBorders>
              <w:top w:val="single" w:sz="4" w:space="0" w:color="auto"/>
              <w:bottom w:val="nil"/>
            </w:tcBorders>
          </w:tcPr>
          <w:p w:rsidR="00B873A7" w:rsidRDefault="00B873A7" w:rsidP="00841EA0">
            <w:pPr>
              <w:pStyle w:val="Tablecells"/>
            </w:pPr>
            <w:r>
              <w:t>USA (FCC, 2010)</w:t>
            </w:r>
          </w:p>
        </w:tc>
        <w:tc>
          <w:tcPr>
            <w:tcW w:w="1162" w:type="dxa"/>
            <w:tcBorders>
              <w:top w:val="single" w:sz="4" w:space="0" w:color="auto"/>
              <w:bottom w:val="nil"/>
            </w:tcBorders>
          </w:tcPr>
          <w:p w:rsidR="00B873A7" w:rsidRDefault="00B873A7" w:rsidP="00841EA0">
            <w:pPr>
              <w:pStyle w:val="Tablecells"/>
              <w:jc w:val="center"/>
            </w:pPr>
            <w:r>
              <w:t>2009–14</w:t>
            </w:r>
          </w:p>
        </w:tc>
        <w:tc>
          <w:tcPr>
            <w:tcW w:w="1077" w:type="dxa"/>
            <w:tcBorders>
              <w:top w:val="single" w:sz="4" w:space="0" w:color="auto"/>
              <w:bottom w:val="nil"/>
            </w:tcBorders>
          </w:tcPr>
          <w:p w:rsidR="00B873A7" w:rsidRDefault="00B873A7" w:rsidP="00841EA0">
            <w:pPr>
              <w:pStyle w:val="Tablecells"/>
              <w:jc w:val="center"/>
            </w:pPr>
            <w:r>
              <w:t>35.0×</w:t>
            </w:r>
          </w:p>
        </w:tc>
        <w:tc>
          <w:tcPr>
            <w:tcW w:w="1361" w:type="dxa"/>
            <w:tcBorders>
              <w:top w:val="single" w:sz="4" w:space="0" w:color="auto"/>
              <w:bottom w:val="nil"/>
            </w:tcBorders>
          </w:tcPr>
          <w:p w:rsidR="00B873A7" w:rsidRDefault="00B873A7" w:rsidP="00841EA0">
            <w:pPr>
              <w:pStyle w:val="Tablecells"/>
              <w:jc w:val="center"/>
            </w:pPr>
            <w:r>
              <w:t>652MHz</w:t>
            </w:r>
          </w:p>
        </w:tc>
        <w:tc>
          <w:tcPr>
            <w:tcW w:w="1178" w:type="dxa"/>
            <w:tcBorders>
              <w:top w:val="single" w:sz="4" w:space="0" w:color="auto"/>
              <w:bottom w:val="nil"/>
            </w:tcBorders>
          </w:tcPr>
          <w:p w:rsidR="00B873A7" w:rsidRDefault="00B873A7" w:rsidP="00841EA0">
            <w:pPr>
              <w:pStyle w:val="Tablecells"/>
              <w:jc w:val="center"/>
            </w:pPr>
            <w:r>
              <w:t>–</w:t>
            </w:r>
          </w:p>
        </w:tc>
        <w:tc>
          <w:tcPr>
            <w:tcW w:w="1020" w:type="dxa"/>
            <w:tcBorders>
              <w:top w:val="single" w:sz="4" w:space="0" w:color="auto"/>
              <w:bottom w:val="nil"/>
            </w:tcBorders>
          </w:tcPr>
          <w:p w:rsidR="00B873A7" w:rsidRDefault="00B873A7" w:rsidP="00841EA0">
            <w:pPr>
              <w:pStyle w:val="Tablecells"/>
              <w:jc w:val="center"/>
            </w:pPr>
            <w:r>
              <w:t>–</w:t>
            </w:r>
          </w:p>
        </w:tc>
        <w:tc>
          <w:tcPr>
            <w:tcW w:w="1361" w:type="dxa"/>
            <w:tcBorders>
              <w:top w:val="single" w:sz="4" w:space="0" w:color="auto"/>
              <w:bottom w:val="nil"/>
            </w:tcBorders>
          </w:tcPr>
          <w:p w:rsidR="00B873A7" w:rsidRDefault="00B873A7" w:rsidP="00841EA0">
            <w:pPr>
              <w:pStyle w:val="Tablecells"/>
              <w:jc w:val="center"/>
            </w:pPr>
            <w:r>
              <w:t>–</w:t>
            </w:r>
          </w:p>
        </w:tc>
      </w:tr>
      <w:tr w:rsidR="00B873A7" w:rsidTr="00841EA0">
        <w:trPr>
          <w:cnfStyle w:val="000000100000" w:firstRow="0" w:lastRow="0" w:firstColumn="0" w:lastColumn="0" w:oddVBand="0" w:evenVBand="0" w:oddHBand="1" w:evenHBand="0" w:firstRowFirstColumn="0" w:firstRowLastColumn="0" w:lastRowFirstColumn="0" w:lastRowLastColumn="0"/>
        </w:trPr>
        <w:tc>
          <w:tcPr>
            <w:tcW w:w="1629" w:type="dxa"/>
            <w:tcBorders>
              <w:top w:val="nil"/>
              <w:bottom w:val="nil"/>
            </w:tcBorders>
          </w:tcPr>
          <w:p w:rsidR="00B873A7" w:rsidRDefault="00B873A7" w:rsidP="00841EA0">
            <w:pPr>
              <w:pStyle w:val="Tablecells"/>
            </w:pPr>
            <w:r>
              <w:t>Canada (Industry Canada, 2011)</w:t>
            </w:r>
          </w:p>
        </w:tc>
        <w:tc>
          <w:tcPr>
            <w:tcW w:w="1162" w:type="dxa"/>
            <w:tcBorders>
              <w:top w:val="nil"/>
              <w:bottom w:val="nil"/>
            </w:tcBorders>
          </w:tcPr>
          <w:p w:rsidR="00B873A7" w:rsidRDefault="00B873A7" w:rsidP="00841EA0">
            <w:pPr>
              <w:pStyle w:val="Tablecells"/>
              <w:jc w:val="center"/>
            </w:pPr>
            <w:r>
              <w:t>2010–15</w:t>
            </w:r>
          </w:p>
        </w:tc>
        <w:tc>
          <w:tcPr>
            <w:tcW w:w="1077" w:type="dxa"/>
            <w:tcBorders>
              <w:top w:val="nil"/>
              <w:bottom w:val="nil"/>
            </w:tcBorders>
          </w:tcPr>
          <w:p w:rsidR="00B873A7" w:rsidRDefault="00B873A7" w:rsidP="00841EA0">
            <w:pPr>
              <w:pStyle w:val="Tablecells"/>
              <w:jc w:val="center"/>
            </w:pPr>
            <w:r>
              <w:t>30.1×</w:t>
            </w:r>
          </w:p>
        </w:tc>
        <w:tc>
          <w:tcPr>
            <w:tcW w:w="1361" w:type="dxa"/>
            <w:tcBorders>
              <w:top w:val="nil"/>
              <w:bottom w:val="nil"/>
            </w:tcBorders>
          </w:tcPr>
          <w:p w:rsidR="00B873A7" w:rsidRDefault="00B873A7" w:rsidP="00841EA0">
            <w:pPr>
              <w:pStyle w:val="Tablecells"/>
              <w:jc w:val="center"/>
            </w:pPr>
            <w:r>
              <w:t>135MHz</w:t>
            </w:r>
          </w:p>
        </w:tc>
        <w:tc>
          <w:tcPr>
            <w:tcW w:w="1178" w:type="dxa"/>
            <w:tcBorders>
              <w:top w:val="nil"/>
              <w:bottom w:val="nil"/>
            </w:tcBorders>
          </w:tcPr>
          <w:p w:rsidR="00B873A7" w:rsidRDefault="00B873A7" w:rsidP="00841EA0">
            <w:pPr>
              <w:pStyle w:val="Tablecells"/>
              <w:jc w:val="center"/>
            </w:pPr>
            <w:r>
              <w:t>–</w:t>
            </w:r>
          </w:p>
        </w:tc>
        <w:tc>
          <w:tcPr>
            <w:tcW w:w="1020" w:type="dxa"/>
            <w:tcBorders>
              <w:top w:val="nil"/>
              <w:bottom w:val="nil"/>
            </w:tcBorders>
          </w:tcPr>
          <w:p w:rsidR="00B873A7" w:rsidRDefault="00B873A7" w:rsidP="00841EA0">
            <w:pPr>
              <w:pStyle w:val="Tablecells"/>
              <w:jc w:val="center"/>
            </w:pPr>
            <w:r>
              <w:t>–</w:t>
            </w:r>
          </w:p>
        </w:tc>
        <w:tc>
          <w:tcPr>
            <w:tcW w:w="1361" w:type="dxa"/>
            <w:tcBorders>
              <w:top w:val="nil"/>
              <w:bottom w:val="nil"/>
            </w:tcBorders>
          </w:tcPr>
          <w:p w:rsidR="00B873A7" w:rsidRDefault="00B873A7" w:rsidP="00841EA0">
            <w:pPr>
              <w:pStyle w:val="Tablecells"/>
              <w:jc w:val="center"/>
            </w:pPr>
            <w:r>
              <w:t>–</w:t>
            </w:r>
          </w:p>
        </w:tc>
      </w:tr>
      <w:tr w:rsidR="00B873A7" w:rsidTr="00841EA0">
        <w:tc>
          <w:tcPr>
            <w:tcW w:w="1629" w:type="dxa"/>
            <w:tcBorders>
              <w:top w:val="nil"/>
              <w:bottom w:val="nil"/>
            </w:tcBorders>
          </w:tcPr>
          <w:p w:rsidR="00B873A7" w:rsidRDefault="00B873A7" w:rsidP="00841EA0">
            <w:pPr>
              <w:pStyle w:val="Tablecells"/>
            </w:pPr>
            <w:r>
              <w:t>China (MIIT, 2013)</w:t>
            </w:r>
          </w:p>
        </w:tc>
        <w:tc>
          <w:tcPr>
            <w:tcW w:w="1162" w:type="dxa"/>
            <w:tcBorders>
              <w:top w:val="nil"/>
              <w:bottom w:val="nil"/>
            </w:tcBorders>
          </w:tcPr>
          <w:p w:rsidR="00B873A7" w:rsidRDefault="00B873A7" w:rsidP="00841EA0">
            <w:pPr>
              <w:pStyle w:val="Tablecells"/>
              <w:jc w:val="center"/>
            </w:pPr>
            <w:r>
              <w:t>2010–15</w:t>
            </w:r>
          </w:p>
        </w:tc>
        <w:tc>
          <w:tcPr>
            <w:tcW w:w="1077" w:type="dxa"/>
            <w:tcBorders>
              <w:top w:val="nil"/>
              <w:bottom w:val="nil"/>
            </w:tcBorders>
          </w:tcPr>
          <w:p w:rsidR="00B873A7" w:rsidRDefault="00B873A7" w:rsidP="00841EA0">
            <w:pPr>
              <w:pStyle w:val="Tablecells"/>
              <w:jc w:val="center"/>
            </w:pPr>
            <w:r>
              <w:t>4.5×</w:t>
            </w:r>
          </w:p>
        </w:tc>
        <w:tc>
          <w:tcPr>
            <w:tcW w:w="1361" w:type="dxa"/>
            <w:tcBorders>
              <w:top w:val="nil"/>
              <w:bottom w:val="nil"/>
            </w:tcBorders>
          </w:tcPr>
          <w:p w:rsidR="00B873A7" w:rsidRDefault="00B873A7" w:rsidP="00841EA0">
            <w:pPr>
              <w:pStyle w:val="Tablecells"/>
              <w:jc w:val="center"/>
            </w:pPr>
            <w:r>
              <w:t>264MHz</w:t>
            </w:r>
            <w:r>
              <w:rPr>
                <w:vertAlign w:val="superscript"/>
              </w:rPr>
              <w:t>2</w:t>
            </w:r>
          </w:p>
        </w:tc>
        <w:tc>
          <w:tcPr>
            <w:tcW w:w="1178" w:type="dxa"/>
            <w:tcBorders>
              <w:top w:val="nil"/>
              <w:bottom w:val="nil"/>
            </w:tcBorders>
          </w:tcPr>
          <w:p w:rsidR="00B873A7" w:rsidRDefault="00B873A7" w:rsidP="00841EA0">
            <w:pPr>
              <w:pStyle w:val="Tablecells"/>
              <w:jc w:val="center"/>
            </w:pPr>
            <w:r>
              <w:t>2015–20</w:t>
            </w:r>
          </w:p>
        </w:tc>
        <w:tc>
          <w:tcPr>
            <w:tcW w:w="1020" w:type="dxa"/>
            <w:tcBorders>
              <w:top w:val="nil"/>
              <w:bottom w:val="nil"/>
            </w:tcBorders>
          </w:tcPr>
          <w:p w:rsidR="00B873A7" w:rsidRDefault="00B873A7" w:rsidP="00841EA0">
            <w:pPr>
              <w:pStyle w:val="Tablecells"/>
              <w:jc w:val="center"/>
            </w:pPr>
            <w:r>
              <w:t>21.6×</w:t>
            </w:r>
          </w:p>
        </w:tc>
        <w:tc>
          <w:tcPr>
            <w:tcW w:w="1361" w:type="dxa"/>
            <w:tcBorders>
              <w:top w:val="nil"/>
              <w:bottom w:val="nil"/>
            </w:tcBorders>
          </w:tcPr>
          <w:p w:rsidR="00B873A7" w:rsidRDefault="00B873A7" w:rsidP="00841EA0">
            <w:pPr>
              <w:pStyle w:val="Tablecells"/>
              <w:jc w:val="center"/>
            </w:pPr>
            <w:r>
              <w:t>1424MHz</w:t>
            </w:r>
            <w:r w:rsidRPr="00A95528">
              <w:rPr>
                <w:vertAlign w:val="superscript"/>
              </w:rPr>
              <w:t>3</w:t>
            </w:r>
          </w:p>
        </w:tc>
      </w:tr>
      <w:tr w:rsidR="00B873A7" w:rsidTr="00841EA0">
        <w:trPr>
          <w:cnfStyle w:val="000000100000" w:firstRow="0" w:lastRow="0" w:firstColumn="0" w:lastColumn="0" w:oddVBand="0" w:evenVBand="0" w:oddHBand="1" w:evenHBand="0" w:firstRowFirstColumn="0" w:firstRowLastColumn="0" w:lastRowFirstColumn="0" w:lastRowLastColumn="0"/>
        </w:trPr>
        <w:tc>
          <w:tcPr>
            <w:tcW w:w="1629" w:type="dxa"/>
            <w:tcBorders>
              <w:top w:val="nil"/>
              <w:bottom w:val="single" w:sz="4" w:space="0" w:color="808080"/>
            </w:tcBorders>
          </w:tcPr>
          <w:p w:rsidR="00B873A7" w:rsidRDefault="00B873A7" w:rsidP="00841EA0">
            <w:pPr>
              <w:pStyle w:val="Tablecells"/>
            </w:pPr>
            <w:r>
              <w:t>UK (Ofcom/Real Wireless, 2013)</w:t>
            </w:r>
            <w:r w:rsidRPr="00A95528">
              <w:rPr>
                <w:vertAlign w:val="superscript"/>
              </w:rPr>
              <w:t>4</w:t>
            </w:r>
          </w:p>
        </w:tc>
        <w:tc>
          <w:tcPr>
            <w:tcW w:w="1162" w:type="dxa"/>
            <w:tcBorders>
              <w:top w:val="nil"/>
              <w:bottom w:val="single" w:sz="4" w:space="0" w:color="808080"/>
            </w:tcBorders>
          </w:tcPr>
          <w:p w:rsidR="00B873A7" w:rsidRDefault="00B873A7" w:rsidP="00841EA0">
            <w:pPr>
              <w:pStyle w:val="Tablecells"/>
              <w:jc w:val="center"/>
            </w:pPr>
            <w:r>
              <w:t>2010–15</w:t>
            </w:r>
          </w:p>
        </w:tc>
        <w:tc>
          <w:tcPr>
            <w:tcW w:w="1077" w:type="dxa"/>
            <w:tcBorders>
              <w:top w:val="nil"/>
              <w:bottom w:val="single" w:sz="4" w:space="0" w:color="808080"/>
            </w:tcBorders>
          </w:tcPr>
          <w:p w:rsidR="00B873A7" w:rsidRDefault="00B873A7" w:rsidP="00841EA0">
            <w:pPr>
              <w:pStyle w:val="Tablecells"/>
              <w:jc w:val="center"/>
            </w:pPr>
            <w:r>
              <w:t>9.1×</w:t>
            </w:r>
          </w:p>
        </w:tc>
        <w:tc>
          <w:tcPr>
            <w:tcW w:w="1361" w:type="dxa"/>
            <w:tcBorders>
              <w:top w:val="nil"/>
              <w:bottom w:val="single" w:sz="4" w:space="0" w:color="808080"/>
            </w:tcBorders>
          </w:tcPr>
          <w:p w:rsidR="00B873A7" w:rsidRDefault="00B873A7" w:rsidP="00841EA0">
            <w:pPr>
              <w:pStyle w:val="Tablecells"/>
              <w:jc w:val="center"/>
            </w:pPr>
            <w:r>
              <w:t>230MHz</w:t>
            </w:r>
            <w:r w:rsidRPr="00A95528">
              <w:rPr>
                <w:vertAlign w:val="superscript"/>
              </w:rPr>
              <w:t>5</w:t>
            </w:r>
          </w:p>
        </w:tc>
        <w:tc>
          <w:tcPr>
            <w:tcW w:w="1178" w:type="dxa"/>
            <w:tcBorders>
              <w:top w:val="nil"/>
              <w:bottom w:val="single" w:sz="4" w:space="0" w:color="808080"/>
            </w:tcBorders>
          </w:tcPr>
          <w:p w:rsidR="00B873A7" w:rsidRDefault="00B873A7" w:rsidP="00841EA0">
            <w:pPr>
              <w:pStyle w:val="Tablecells"/>
              <w:jc w:val="center"/>
            </w:pPr>
            <w:r>
              <w:t>2015–20</w:t>
            </w:r>
          </w:p>
        </w:tc>
        <w:tc>
          <w:tcPr>
            <w:tcW w:w="1020" w:type="dxa"/>
            <w:tcBorders>
              <w:top w:val="nil"/>
              <w:bottom w:val="single" w:sz="4" w:space="0" w:color="808080"/>
            </w:tcBorders>
          </w:tcPr>
          <w:p w:rsidR="00B873A7" w:rsidRDefault="00B873A7" w:rsidP="00841EA0">
            <w:pPr>
              <w:pStyle w:val="Tablecells"/>
              <w:jc w:val="center"/>
            </w:pPr>
            <w:r>
              <w:t>3.8×</w:t>
            </w:r>
          </w:p>
        </w:tc>
        <w:tc>
          <w:tcPr>
            <w:tcW w:w="1361" w:type="dxa"/>
            <w:tcBorders>
              <w:top w:val="nil"/>
              <w:bottom w:val="single" w:sz="4" w:space="0" w:color="808080"/>
            </w:tcBorders>
          </w:tcPr>
          <w:p w:rsidR="00B873A7" w:rsidRDefault="00B873A7" w:rsidP="00841EA0">
            <w:pPr>
              <w:pStyle w:val="Tablecells"/>
              <w:jc w:val="center"/>
            </w:pPr>
            <w:r>
              <w:t>755MHz</w:t>
            </w:r>
          </w:p>
        </w:tc>
      </w:tr>
    </w:tbl>
    <w:p w:rsidR="00B873A7" w:rsidRDefault="00B873A7" w:rsidP="00B873A7">
      <w:pPr>
        <w:pStyle w:val="Tablenote"/>
      </w:pPr>
      <w:r>
        <w:t>Notes:</w:t>
      </w:r>
    </w:p>
    <w:p w:rsidR="00B873A7" w:rsidRDefault="00B873A7" w:rsidP="00B873A7">
      <w:pPr>
        <w:pStyle w:val="Tablenote"/>
        <w:ind w:left="284" w:hanging="284"/>
      </w:pPr>
      <w:r w:rsidRPr="00D5190F">
        <w:rPr>
          <w:vertAlign w:val="superscript"/>
        </w:rPr>
        <w:t>1</w:t>
      </w:r>
      <w:r>
        <w:t xml:space="preserve"> </w:t>
      </w:r>
      <w:r>
        <w:tab/>
        <w:t>Base-case results.</w:t>
      </w:r>
    </w:p>
    <w:p w:rsidR="00B873A7" w:rsidRDefault="00B873A7" w:rsidP="00B873A7">
      <w:pPr>
        <w:pStyle w:val="Tablenote"/>
        <w:ind w:left="284" w:hanging="284"/>
      </w:pPr>
      <w:r w:rsidRPr="00D5190F">
        <w:rPr>
          <w:vertAlign w:val="superscript"/>
        </w:rPr>
        <w:t>2</w:t>
      </w:r>
      <w:r>
        <w:t xml:space="preserve"> </w:t>
      </w:r>
      <w:r>
        <w:tab/>
        <w:t>Increase compared to 2012 baseline (2010 not reported, but assumed to be similar to 2012). Increase in demand relates to urban areas which drive overall spectrum requirements in the MIIT model.</w:t>
      </w:r>
    </w:p>
    <w:p w:rsidR="00B873A7" w:rsidRDefault="00B873A7" w:rsidP="00B873A7">
      <w:pPr>
        <w:pStyle w:val="Tablenote"/>
        <w:ind w:left="284" w:hanging="284"/>
      </w:pPr>
      <w:r w:rsidRPr="00D5190F">
        <w:rPr>
          <w:vertAlign w:val="superscript"/>
        </w:rPr>
        <w:t>3</w:t>
      </w:r>
      <w:r>
        <w:t xml:space="preserve"> </w:t>
      </w:r>
      <w:r>
        <w:tab/>
        <w:t>Increasing the number of macrocell sites reduces incremental demand by 186MHz.</w:t>
      </w:r>
    </w:p>
    <w:p w:rsidR="00B873A7" w:rsidRDefault="00B873A7" w:rsidP="00B873A7">
      <w:pPr>
        <w:pStyle w:val="Tablenote"/>
        <w:ind w:left="284" w:hanging="284"/>
      </w:pPr>
      <w:r w:rsidRPr="00D5190F">
        <w:rPr>
          <w:vertAlign w:val="superscript"/>
        </w:rPr>
        <w:t>4</w:t>
      </w:r>
      <w:r>
        <w:t xml:space="preserve"> </w:t>
      </w:r>
      <w:r>
        <w:tab/>
        <w:t>Medium demand case. Increase in demand relates to suburban areas which drive overall spectrum requirements in the Real Wireless model.</w:t>
      </w:r>
    </w:p>
    <w:p w:rsidR="00B873A7" w:rsidRDefault="00B873A7" w:rsidP="00B873A7">
      <w:pPr>
        <w:pStyle w:val="Tablenote"/>
        <w:ind w:left="284" w:hanging="284"/>
      </w:pPr>
      <w:r w:rsidRPr="00D5190F">
        <w:rPr>
          <w:vertAlign w:val="superscript"/>
        </w:rPr>
        <w:t>5</w:t>
      </w:r>
      <w:r>
        <w:t xml:space="preserve"> </w:t>
      </w:r>
      <w:r>
        <w:tab/>
        <w:t>Total demand for cellular spectrum is 720MHz in 2015. The current allocation is assumed to be c.760MHz, increasing to c.980MHz by 2015.</w:t>
      </w:r>
    </w:p>
    <w:p w:rsidR="00B873A7" w:rsidRDefault="00B873A7" w:rsidP="00B873A7">
      <w:r>
        <w:br/>
        <w:t>The FCC study (based on the methodology described in Section </w:t>
      </w:r>
      <w:r w:rsidRPr="002D2F9B">
        <w:fldChar w:fldCharType="begin"/>
      </w:r>
      <w:r w:rsidRPr="002571CA">
        <w:instrText xml:space="preserve"> REF _Ref380597574 \r \h </w:instrText>
      </w:r>
      <w:r w:rsidRPr="002D2F9B">
        <w:fldChar w:fldCharType="separate"/>
      </w:r>
      <w:r w:rsidR="00A87B65">
        <w:t>4.8.3</w:t>
      </w:r>
      <w:r w:rsidRPr="002D2F9B">
        <w:fldChar w:fldCharType="end"/>
      </w:r>
      <w:r>
        <w:t>) forecast a big increase in the demand for spectrum, 652MHz, between 2009 and 2014 but this is driven by a very high traffic growth multiple (35.0 times over the five-year period) and, it would appear, by the assumption that the spectrum allocated to data in 2010 was being fully utilised. It is worth noting that in reality traffic grew by a factor of around ten between 2009 and 2014, but the FCC only managed to release around 100MHz of additional mobile spectrum.</w:t>
      </w:r>
    </w:p>
    <w:p w:rsidR="00B873A7" w:rsidRDefault="00B873A7" w:rsidP="00B873A7">
      <w:r>
        <w:t>The Industry Canada study (which used a proprietary spectrum forecasting tool developed by PA Consulting, which appears to be similar in concept to the ITU-R approach) assumed nearly as much growth in traffic over five years as the FCC study (30.1 times between 2010 and 2015) but this resulted in an increase in demand of only 135MHz; the total demand in 2015 (190MHz) is considerably below the 270MHz that had already been allocated by 2011 when the study was undertaken.</w:t>
      </w:r>
    </w:p>
    <w:p w:rsidR="00B873A7" w:rsidRDefault="00B873A7" w:rsidP="00B873A7">
      <w:r>
        <w:t xml:space="preserve">The MIIT China study appears to use a similar method to our own, and at first sight it is perhaps surprising that it forecast such a high demand for additional spectrum. However, the traffic per subscriber grows from </w:t>
      </w:r>
      <w:r w:rsidRPr="00EA0A82">
        <w:t>around 23% of our base case in to around 2.7 times our base case in 2020</w:t>
      </w:r>
      <w:r>
        <w:t>. Moreover there is a large increase in overall device penetration, from 64% of the population in 2010 to 105% in 2020, whereas in our model overall device penetration (including M2M devices) only increases from 119% in 2010 to 142% in 2020. Finally, the MIIT model effectively assumes that 20% of traffic is carried in the busy hour (the spectral efficiency assumptions in the MIIT model appear similar to ours, as does the increase in the number of logical sites). Taken together it seems reasonable that these assumptions would result in a higher demand for spectrum than our model. It is also worth noting that in 2013 only 377MHz of spectrum was allocated to operators in China (including a 50MHz temporary allocation to China Mobile for its TD-LTE trial), whereas Australia currently has 510MHz</w:t>
      </w:r>
      <w:r w:rsidRPr="0053191A">
        <w:t xml:space="preserve"> allocated</w:t>
      </w:r>
      <w:r>
        <w:t xml:space="preserve"> in Sydney and Melbourne, and so the incremental requirement from 2010 to 2015 in the MIIT model does little more than bring the Chinese allocations in line with those that currently exist in Australia.</w:t>
      </w:r>
    </w:p>
    <w:p w:rsidR="00B873A7" w:rsidRDefault="00B873A7" w:rsidP="00B873A7">
      <w:r>
        <w:t>Finally, the Real Wireless study for Ofcom in the UK uses the ITU-R methodology (with a few modifications proposed by Real Wireless). This makes for an interesting comparison if we assume that the UK and Australian markets are broadly similar in terms of usage patterns and site densities, while noting that Real Wireless uses spectral efficiency assumptions which are broadly in line with our spectral efficiency sensitivity (i.e. about 60% higher than our base case). The population of the UK is roughly 2.5 times that of Australia. On a population-adjusted basis our base case has around 40% more traffic than Real Wireless in 2020 and a very similar amount in 2025. Despite this, using the medium market settings the Real Wireless model forecasts that another 755MHz of spectrum will be required between 2015 and 2020. As indicated above, this result does tend to support the theory that the ITU-R methodology produces much higher forecasts of spectrum demand than our approach.</w:t>
      </w:r>
    </w:p>
    <w:p w:rsidR="00CC7F56" w:rsidRPr="008A0DCE" w:rsidRDefault="00CC7F56" w:rsidP="00CC7F56">
      <w:pPr>
        <w:pStyle w:val="Heading1"/>
      </w:pPr>
      <w:bookmarkStart w:id="211" w:name="_Toc373161415"/>
      <w:bookmarkStart w:id="212" w:name="_Ref380663322"/>
      <w:bookmarkStart w:id="213" w:name="_Toc399178501"/>
      <w:bookmarkStart w:id="214" w:name="_Toc402102968"/>
      <w:bookmarkStart w:id="215" w:name="_Ref404270550"/>
      <w:bookmarkStart w:id="216" w:name="_Toc409445592"/>
      <w:bookmarkEnd w:id="11"/>
      <w:bookmarkEnd w:id="12"/>
      <w:bookmarkEnd w:id="13"/>
      <w:bookmarkEnd w:id="14"/>
      <w:bookmarkEnd w:id="15"/>
      <w:bookmarkEnd w:id="16"/>
      <w:bookmarkEnd w:id="17"/>
      <w:r w:rsidRPr="008A0DCE">
        <w:t>Technical developments and opportunities for substitution</w:t>
      </w:r>
      <w:bookmarkEnd w:id="211"/>
      <w:bookmarkEnd w:id="212"/>
      <w:bookmarkEnd w:id="213"/>
      <w:bookmarkEnd w:id="214"/>
      <w:bookmarkEnd w:id="215"/>
      <w:bookmarkEnd w:id="216"/>
    </w:p>
    <w:p w:rsidR="00CC7F56" w:rsidRDefault="00CC7F56" w:rsidP="00CC7F56">
      <w:pPr>
        <w:pStyle w:val="Heading2"/>
      </w:pPr>
      <w:bookmarkStart w:id="217" w:name="_Toc373161416"/>
      <w:bookmarkStart w:id="218" w:name="_Toc399178502"/>
      <w:bookmarkStart w:id="219" w:name="_Toc402102969"/>
      <w:bookmarkStart w:id="220" w:name="_Toc409445593"/>
      <w:r w:rsidRPr="008A0DCE">
        <w:t>Introduction</w:t>
      </w:r>
      <w:bookmarkEnd w:id="217"/>
      <w:bookmarkEnd w:id="218"/>
      <w:bookmarkEnd w:id="219"/>
      <w:bookmarkEnd w:id="220"/>
    </w:p>
    <w:p w:rsidR="00CC7F56" w:rsidRPr="00EB189B" w:rsidRDefault="00CC7F56" w:rsidP="00CC7F56">
      <w:r>
        <w:t>This chapter considers the technical developments that we consider are most likely to impact on wireless access services over the period to 2025 and discusses the opportunities for substitution between different types of use.</w:t>
      </w:r>
    </w:p>
    <w:p w:rsidR="00CC7F56" w:rsidRDefault="00CC7F56" w:rsidP="00CC7F56">
      <w:pPr>
        <w:pStyle w:val="Heading2"/>
      </w:pPr>
      <w:bookmarkStart w:id="221" w:name="_Toc373161417"/>
      <w:bookmarkStart w:id="222" w:name="_Toc399178503"/>
      <w:bookmarkStart w:id="223" w:name="_Toc402102970"/>
      <w:bookmarkStart w:id="224" w:name="_Toc409445594"/>
      <w:r w:rsidRPr="008A0DCE">
        <w:t>Techn</w:t>
      </w:r>
      <w:r>
        <w:t>ologic</w:t>
      </w:r>
      <w:r w:rsidRPr="008A0DCE">
        <w:t>al developments</w:t>
      </w:r>
      <w:bookmarkEnd w:id="221"/>
      <w:bookmarkEnd w:id="222"/>
      <w:bookmarkEnd w:id="223"/>
      <w:bookmarkEnd w:id="224"/>
    </w:p>
    <w:p w:rsidR="00CC7F56" w:rsidRPr="008E2F56" w:rsidRDefault="00CC7F56" w:rsidP="00CC7F56">
      <w:r>
        <w:t>In this section we review technological developments in three areas: 5G mobile technology, Wi-Fi and white-space devices.</w:t>
      </w:r>
    </w:p>
    <w:p w:rsidR="00CC7F56" w:rsidRPr="008A0DCE" w:rsidRDefault="00CC7F56" w:rsidP="00CC7F56">
      <w:pPr>
        <w:pStyle w:val="Heading3"/>
        <w:ind w:hanging="567"/>
      </w:pPr>
      <w:r w:rsidRPr="008A0DCE">
        <w:t>5G mobile technology</w:t>
      </w:r>
    </w:p>
    <w:p w:rsidR="00CC7F56" w:rsidRPr="008A0DCE" w:rsidRDefault="00CC7F56" w:rsidP="00CC7F56">
      <w:r w:rsidRPr="008A0DCE">
        <w:t xml:space="preserve">There is no official transnational agreement on what exactly will or should constitute 5G technology. However, the mobile industry is anticipating that </w:t>
      </w:r>
      <w:r>
        <w:t xml:space="preserve">5G </w:t>
      </w:r>
      <w:r w:rsidRPr="008A0DCE">
        <w:t xml:space="preserve">technology will be introduced around 2020. The following paragraphs are intended to give an idea of the current expectations for 5G technology. </w:t>
      </w:r>
    </w:p>
    <w:p w:rsidR="00CC7F56" w:rsidRPr="008A0DCE" w:rsidRDefault="00CC7F56" w:rsidP="00CC7F56">
      <w:r w:rsidRPr="008A0DCE">
        <w:t>The European Commission has provided funding of EUR15.9 million to a project called METIS</w:t>
      </w:r>
      <w:r>
        <w:t>,</w:t>
      </w:r>
      <w:r w:rsidRPr="008E2F56">
        <w:rPr>
          <w:rStyle w:val="FootnoteReference"/>
        </w:rPr>
        <w:footnoteReference w:id="55"/>
      </w:r>
      <w:r>
        <w:t xml:space="preserve"> which has</w:t>
      </w:r>
      <w:r w:rsidRPr="008A0DCE">
        <w:t xml:space="preserve"> </w:t>
      </w:r>
      <w:r>
        <w:t xml:space="preserve">a </w:t>
      </w:r>
      <w:r w:rsidRPr="008A0DCE">
        <w:t>mandate to investigate the implications of 5G technology.</w:t>
      </w:r>
      <w:r w:rsidRPr="00560B87">
        <w:t xml:space="preserve"> </w:t>
      </w:r>
      <w:r w:rsidRPr="008A0DCE">
        <w:t>METIS believes that 5G will beco</w:t>
      </w:r>
      <w:r>
        <w:t>me necessary to deal with vast increases</w:t>
      </w:r>
      <w:r w:rsidRPr="008A0DCE">
        <w:t xml:space="preserve"> </w:t>
      </w:r>
      <w:r>
        <w:t xml:space="preserve">in </w:t>
      </w:r>
      <w:r w:rsidRPr="008A0DCE">
        <w:t>mobile data traffic across a much wider range and larger base of MBB devices. This, it argues, will be driven by growing subscriber numbers, growing usage per device and innovative applications of MBB devices. As a result, METIS has voiced the opinion that 5G technology will become identified with one or more of the following: very high data transmission speeds, substantially more robust coverage in dense urban areas, the “efficient handling” of a vast ecosystem of MBB devices, and highly improved MBB quality of service in terms of latency, reliability and cell edge coverage.</w:t>
      </w:r>
      <w:r w:rsidRPr="008E2F56">
        <w:rPr>
          <w:rStyle w:val="FootnoteReference"/>
        </w:rPr>
        <w:footnoteReference w:id="56"/>
      </w:r>
    </w:p>
    <w:p w:rsidR="00CC7F56" w:rsidRPr="008A0DCE" w:rsidRDefault="00CC7F56" w:rsidP="00CC7F56">
      <w:r w:rsidRPr="008A0DCE">
        <w:t>In a recent white paper,</w:t>
      </w:r>
      <w:r w:rsidRPr="008E2F56">
        <w:rPr>
          <w:rStyle w:val="FootnoteReference"/>
        </w:rPr>
        <w:footnoteReference w:id="57"/>
      </w:r>
      <w:r w:rsidRPr="00570387">
        <w:t xml:space="preserve"> </w:t>
      </w:r>
      <w:r w:rsidRPr="008A0DCE">
        <w:t>Ericsson (which is also the co-ordinator of the METIS project) emphasises that 5G technology will see further evolution of existing technologies (LTE, HSPA, Wi</w:t>
      </w:r>
      <w:r>
        <w:t>-</w:t>
      </w:r>
      <w:r w:rsidRPr="008A0DCE">
        <w:t>Fi) in combination with the deployment of new radio access technologies in higher-frequency bands to deliver multi-</w:t>
      </w:r>
      <w:r>
        <w:t>Gbit/s</w:t>
      </w:r>
      <w:r w:rsidRPr="008A0DCE">
        <w:t xml:space="preserve"> data rates in specific scenarios. 5G technology will, Ericsson stresses, not replace but complement existing mobile technologies to produce a much more differentiated network infrastructure. As such, 5G will not constitute a single technology but a “set of seamlessly integrated radio technologies”. </w:t>
      </w:r>
      <w:r>
        <w:t>In addition</w:t>
      </w:r>
      <w:r w:rsidRPr="008A0DCE">
        <w:t>, Ericsson has stressed that any 5G technology ecosystem would also need to feature substantially improved performance in terms of energy efficiency as well as reduced maintenance and deployment costs.</w:t>
      </w:r>
    </w:p>
    <w:p w:rsidR="00CC7F56" w:rsidRPr="008A0DCE" w:rsidRDefault="00CC7F56" w:rsidP="00CC7F56">
      <w:r w:rsidRPr="008A0DCE">
        <w:t>A possible glimpse at what new higher-frequency radio technologies may look like has been provided by Samsung, which has publis</w:t>
      </w:r>
      <w:r>
        <w:t>hed results on a new millimetre-</w:t>
      </w:r>
      <w:r w:rsidRPr="008A0DCE">
        <w:t xml:space="preserve">wave technology it </w:t>
      </w:r>
      <w:r>
        <w:t xml:space="preserve">classifies </w:t>
      </w:r>
      <w:r w:rsidRPr="008A0DCE">
        <w:t>as 5G. Samsung claims that its technology is capable of transmitting data in the 28GHz band with a speed of over 1Gb</w:t>
      </w:r>
      <w:r>
        <w:t>it/</w:t>
      </w:r>
      <w:r w:rsidRPr="008A0DCE">
        <w:t>s over a range of up to 2km with line-of-sight connections and 200</w:t>
      </w:r>
      <w:r>
        <w:t>–</w:t>
      </w:r>
      <w:r w:rsidRPr="008A0DCE">
        <w:t>300m for non-line-of-sight connections. Samsung believes this kind of technology will lie at the heart of the next generation of mobile technology, which it predicts will feature “transmission spe</w:t>
      </w:r>
      <w:r w:rsidR="005A106E">
        <w:t>eds of up to several tens of Gbit/</w:t>
      </w:r>
      <w:r w:rsidRPr="008A0DCE">
        <w:t>s per base station”. The technology is currently only at the prototype stage but Samsung says that it could be commercialised by 2020.</w:t>
      </w:r>
      <w:r w:rsidRPr="00C369F8">
        <w:rPr>
          <w:rStyle w:val="FootnoteReference"/>
        </w:rPr>
        <w:footnoteReference w:id="58"/>
      </w:r>
    </w:p>
    <w:p w:rsidR="00CC7F56" w:rsidRPr="008A0DCE" w:rsidRDefault="00CC7F56" w:rsidP="00CC7F56">
      <w:r w:rsidRPr="008A0DCE">
        <w:t>Another aspect of research into 5G that has implications for spectrum management is the expectation that 5G will support licensed shared access or authorised shared access in bands which are not allocated exclusively for use by mobile networks (e.g. use of public sector spectrum in areas where there are no public sector users of the band in question). This is one area of research being pursued by Nokia Solutions and Networks (NSN)</w:t>
      </w:r>
      <w:r>
        <w:t>,</w:t>
      </w:r>
      <w:r w:rsidRPr="008A0DCE">
        <w:t xml:space="preserve"> which was part of the first spectrum sharing trial of the Authorised Shared Access (ASA) concept</w:t>
      </w:r>
      <w:r>
        <w:t>,</w:t>
      </w:r>
      <w:r w:rsidRPr="008A0DCE">
        <w:t xml:space="preserve"> with </w:t>
      </w:r>
      <w:r>
        <w:t xml:space="preserve">a </w:t>
      </w:r>
      <w:r w:rsidRPr="008A0DCE">
        <w:t>live LTE network operating in the 2.3</w:t>
      </w:r>
      <w:r>
        <w:t>GHz</w:t>
      </w:r>
      <w:r w:rsidRPr="008A0DCE">
        <w:t xml:space="preserve"> band in Finland on 25 April 2013.</w:t>
      </w:r>
      <w:r w:rsidRPr="008A0DCE">
        <w:rPr>
          <w:rStyle w:val="FootnoteReference"/>
        </w:rPr>
        <w:footnoteReference w:id="59"/>
      </w:r>
    </w:p>
    <w:p w:rsidR="00CC7F56" w:rsidRPr="008A0DCE" w:rsidRDefault="00CC7F56" w:rsidP="00CC7F56">
      <w:pPr>
        <w:pStyle w:val="Heading3"/>
        <w:ind w:hanging="567"/>
      </w:pPr>
      <w:r w:rsidRPr="008A0DCE">
        <w:t>Advances in Wi-Fi technology</w:t>
      </w:r>
    </w:p>
    <w:p w:rsidR="00CC7F56" w:rsidRPr="008A0DCE" w:rsidRDefault="00CC7F56" w:rsidP="00CC7F56">
      <w:r w:rsidRPr="008A0DCE">
        <w:t xml:space="preserve">Wi-Fi is a marketing term used to describe wireless local area network (WLAN) technology based on the 802.11 family of standards developed by the Institute of Electrical and Electronics Engineers (IEEE). </w:t>
      </w:r>
      <w:r w:rsidRPr="002D2F9B">
        <w:fldChar w:fldCharType="begin"/>
      </w:r>
      <w:r w:rsidRPr="002571CA">
        <w:instrText xml:space="preserve"> REF _Ref367976149 \h </w:instrText>
      </w:r>
      <w:r w:rsidRPr="002D2F9B">
        <w:fldChar w:fldCharType="separate"/>
      </w:r>
      <w:r w:rsidR="00A87B65" w:rsidRPr="008A0DCE">
        <w:t>Figure</w:t>
      </w:r>
      <w:r w:rsidR="00A87B65">
        <w:t> </w:t>
      </w:r>
      <w:r w:rsidR="00A87B65">
        <w:rPr>
          <w:noProof/>
        </w:rPr>
        <w:t>5</w:t>
      </w:r>
      <w:r w:rsidR="00A87B65" w:rsidRPr="008A0DCE">
        <w:t>.</w:t>
      </w:r>
      <w:r w:rsidR="00A87B65">
        <w:rPr>
          <w:noProof/>
        </w:rPr>
        <w:t>1</w:t>
      </w:r>
      <w:r w:rsidRPr="002D2F9B">
        <w:fldChar w:fldCharType="end"/>
      </w:r>
      <w:r w:rsidRPr="008A0DCE">
        <w:t xml:space="preserve"> summarises the Wi-Fi generations currently in use.</w:t>
      </w:r>
      <w:r>
        <w:t xml:space="preserve"> Virtually all Wi</w:t>
      </w:r>
      <w:r>
        <w:noBreakHyphen/>
        <w:t>Fi devices support the 2.4GHz band while some devices support 5GHz as well. There is more spectrum allocated for class-licensed use in the 5GHz band than in the 2.4GHz band. However, the effective range of Wi-Fi technologies at 5GHz is considerably less than at 2.4GHz.</w:t>
      </w:r>
    </w:p>
    <w:p w:rsidR="00CC7F56" w:rsidRPr="008A0DCE" w:rsidRDefault="00CC7F56" w:rsidP="00CC7F56">
      <w:pPr>
        <w:pStyle w:val="Caption"/>
        <w:spacing w:before="360" w:after="120" w:line="240" w:lineRule="atLeast"/>
      </w:pPr>
      <w:bookmarkStart w:id="225" w:name="_Ref367976149"/>
      <w:r w:rsidRPr="008A0DCE">
        <w:t>Figure</w:t>
      </w:r>
      <w:r>
        <w:t> </w:t>
      </w:r>
      <w:r w:rsidR="008B1006">
        <w:fldChar w:fldCharType="begin"/>
      </w:r>
      <w:r w:rsidR="008B1006">
        <w:instrText xml:space="preserve"> STYLEREF 1 \s \* MERGEFORMAT </w:instrText>
      </w:r>
      <w:r w:rsidR="008B1006">
        <w:fldChar w:fldCharType="separate"/>
      </w:r>
      <w:r w:rsidR="00A87B65">
        <w:rPr>
          <w:noProof/>
        </w:rPr>
        <w:t>5</w:t>
      </w:r>
      <w:r w:rsidR="008B1006">
        <w:rPr>
          <w:noProof/>
        </w:rPr>
        <w:fldChar w:fldCharType="end"/>
      </w:r>
      <w:r w:rsidRPr="008A0DCE">
        <w:t>.</w:t>
      </w:r>
      <w:r w:rsidR="008B1006">
        <w:fldChar w:fldCharType="begin"/>
      </w:r>
      <w:r w:rsidR="008B1006">
        <w:instrText xml:space="preserve"> SEQ Figure \* ARABIC \s 1 \* ME</w:instrText>
      </w:r>
      <w:r w:rsidR="008B1006">
        <w:instrText xml:space="preserve">RGEFORMAT </w:instrText>
      </w:r>
      <w:r w:rsidR="008B1006">
        <w:fldChar w:fldCharType="separate"/>
      </w:r>
      <w:r w:rsidR="00A87B65">
        <w:rPr>
          <w:noProof/>
        </w:rPr>
        <w:t>1</w:t>
      </w:r>
      <w:r w:rsidR="008B1006">
        <w:rPr>
          <w:noProof/>
        </w:rPr>
        <w:fldChar w:fldCharType="end"/>
      </w:r>
      <w:bookmarkEnd w:id="225"/>
      <w:r w:rsidRPr="008A0DCE">
        <w:t>: Generations of Wi-Fi technology and key technical specifications [Source: Wi-Fi Alliance, 2013]</w:t>
      </w:r>
      <w:r w:rsidRPr="00560B87">
        <w:rPr>
          <w:rStyle w:val="FootnoteReference"/>
          <w:i w:val="0"/>
        </w:rPr>
        <w:footnoteReference w:id="60"/>
      </w:r>
    </w:p>
    <w:tbl>
      <w:tblPr>
        <w:tblStyle w:val="MediumShading2-Accent1"/>
        <w:tblW w:w="8731" w:type="dxa"/>
        <w:tblInd w:w="108" w:type="dxa"/>
        <w:tblLook w:val="0420" w:firstRow="1" w:lastRow="0" w:firstColumn="0" w:lastColumn="0" w:noHBand="0" w:noVBand="1"/>
      </w:tblPr>
      <w:tblGrid>
        <w:gridCol w:w="2183"/>
        <w:gridCol w:w="2164"/>
        <w:gridCol w:w="2190"/>
        <w:gridCol w:w="2194"/>
      </w:tblGrid>
      <w:tr w:rsidR="00CC7F56" w:rsidRPr="005333FD" w:rsidTr="00EE4CCC">
        <w:trPr>
          <w:cnfStyle w:val="100000000000" w:firstRow="1" w:lastRow="0" w:firstColumn="0" w:lastColumn="0" w:oddVBand="0" w:evenVBand="0" w:oddHBand="0" w:evenHBand="0" w:firstRowFirstColumn="0" w:firstRowLastColumn="0" w:lastRowFirstColumn="0" w:lastRowLastColumn="0"/>
        </w:trPr>
        <w:tc>
          <w:tcPr>
            <w:tcW w:w="2183" w:type="dxa"/>
            <w:tcBorders>
              <w:top w:val="single" w:sz="18" w:space="0" w:color="221F72"/>
              <w:bottom w:val="single" w:sz="4" w:space="0" w:color="FFFFFF" w:themeColor="background1"/>
            </w:tcBorders>
            <w:shd w:val="solid" w:color="221F72" w:fill="221F72"/>
          </w:tcPr>
          <w:p w:rsidR="00CC7F56" w:rsidRPr="005333FD" w:rsidRDefault="00CC7F56" w:rsidP="00841EA0">
            <w:pPr>
              <w:pStyle w:val="Tableheading"/>
              <w:rPr>
                <w:b/>
                <w:i/>
              </w:rPr>
            </w:pPr>
            <w:r w:rsidRPr="005333FD">
              <w:rPr>
                <w:b/>
              </w:rPr>
              <w:t>Standard</w:t>
            </w:r>
          </w:p>
        </w:tc>
        <w:tc>
          <w:tcPr>
            <w:tcW w:w="2164" w:type="dxa"/>
            <w:tcBorders>
              <w:top w:val="single" w:sz="18" w:space="0" w:color="221F72"/>
              <w:bottom w:val="single" w:sz="4" w:space="0" w:color="FFFFFF" w:themeColor="background1"/>
            </w:tcBorders>
            <w:shd w:val="solid" w:color="221F72" w:fill="221F72"/>
          </w:tcPr>
          <w:p w:rsidR="00CC7F56" w:rsidRPr="005333FD" w:rsidRDefault="00CC7F56" w:rsidP="00841EA0">
            <w:pPr>
              <w:pStyle w:val="Tableheading"/>
              <w:jc w:val="right"/>
              <w:rPr>
                <w:b/>
                <w:i/>
              </w:rPr>
            </w:pPr>
            <w:r w:rsidRPr="005333FD">
              <w:rPr>
                <w:b/>
              </w:rPr>
              <w:t>Year of introduction</w:t>
            </w:r>
          </w:p>
        </w:tc>
        <w:tc>
          <w:tcPr>
            <w:tcW w:w="2190" w:type="dxa"/>
            <w:tcBorders>
              <w:top w:val="single" w:sz="18" w:space="0" w:color="221F72"/>
              <w:bottom w:val="single" w:sz="4" w:space="0" w:color="FFFFFF" w:themeColor="background1"/>
            </w:tcBorders>
            <w:shd w:val="solid" w:color="221F72" w:fill="221F72"/>
          </w:tcPr>
          <w:p w:rsidR="00CC7F56" w:rsidRPr="005333FD" w:rsidRDefault="00CC7F56" w:rsidP="00841EA0">
            <w:pPr>
              <w:pStyle w:val="Tableheading"/>
              <w:jc w:val="right"/>
              <w:rPr>
                <w:b/>
                <w:i/>
              </w:rPr>
            </w:pPr>
            <w:r w:rsidRPr="005333FD">
              <w:rPr>
                <w:b/>
              </w:rPr>
              <w:t>Frequency</w:t>
            </w:r>
          </w:p>
        </w:tc>
        <w:tc>
          <w:tcPr>
            <w:tcW w:w="2194" w:type="dxa"/>
            <w:tcBorders>
              <w:top w:val="single" w:sz="18" w:space="0" w:color="221F72"/>
              <w:bottom w:val="single" w:sz="4" w:space="0" w:color="FFFFFF" w:themeColor="background1"/>
            </w:tcBorders>
            <w:shd w:val="solid" w:color="221F72" w:fill="221F72"/>
          </w:tcPr>
          <w:p w:rsidR="00CC7F56" w:rsidRPr="005333FD" w:rsidRDefault="00EE4CCC" w:rsidP="00EE4CCC">
            <w:pPr>
              <w:pStyle w:val="Tableheading"/>
              <w:jc w:val="right"/>
              <w:rPr>
                <w:b/>
                <w:i/>
              </w:rPr>
            </w:pPr>
            <w:r>
              <w:rPr>
                <w:b/>
              </w:rPr>
              <w:t>Maximum c</w:t>
            </w:r>
            <w:r w:rsidR="00CC7F56" w:rsidRPr="005333FD">
              <w:rPr>
                <w:b/>
              </w:rPr>
              <w:t>onnection speed</w:t>
            </w:r>
          </w:p>
        </w:tc>
      </w:tr>
      <w:tr w:rsidR="00CC7F56" w:rsidRPr="008A0DCE" w:rsidTr="00EE4CCC">
        <w:trPr>
          <w:cnfStyle w:val="000000100000" w:firstRow="0" w:lastRow="0" w:firstColumn="0" w:lastColumn="0" w:oddVBand="0" w:evenVBand="0" w:oddHBand="1" w:evenHBand="0" w:firstRowFirstColumn="0" w:firstRowLastColumn="0" w:lastRowFirstColumn="0" w:lastRowLastColumn="0"/>
        </w:trPr>
        <w:tc>
          <w:tcPr>
            <w:tcW w:w="2183" w:type="dxa"/>
            <w:tcBorders>
              <w:top w:val="single" w:sz="4" w:space="0" w:color="FFFFFF" w:themeColor="background1"/>
            </w:tcBorders>
          </w:tcPr>
          <w:p w:rsidR="00CC7F56" w:rsidRPr="008A0DCE" w:rsidRDefault="00CC7F56" w:rsidP="00841EA0">
            <w:pPr>
              <w:pStyle w:val="Tablecells"/>
            </w:pPr>
            <w:r w:rsidRPr="008A0DCE">
              <w:t>802.11a</w:t>
            </w:r>
          </w:p>
        </w:tc>
        <w:tc>
          <w:tcPr>
            <w:tcW w:w="2164" w:type="dxa"/>
            <w:tcBorders>
              <w:top w:val="single" w:sz="4" w:space="0" w:color="FFFFFF" w:themeColor="background1"/>
            </w:tcBorders>
          </w:tcPr>
          <w:p w:rsidR="00CC7F56" w:rsidRPr="008A0DCE" w:rsidRDefault="00CC7F56" w:rsidP="00841EA0">
            <w:pPr>
              <w:pStyle w:val="Tablecells"/>
              <w:jc w:val="right"/>
            </w:pPr>
            <w:r w:rsidRPr="008A0DCE">
              <w:t>1999</w:t>
            </w:r>
          </w:p>
        </w:tc>
        <w:tc>
          <w:tcPr>
            <w:tcW w:w="2190" w:type="dxa"/>
            <w:tcBorders>
              <w:top w:val="single" w:sz="4" w:space="0" w:color="FFFFFF" w:themeColor="background1"/>
            </w:tcBorders>
          </w:tcPr>
          <w:p w:rsidR="00CC7F56" w:rsidRPr="008A0DCE" w:rsidRDefault="00CC7F56" w:rsidP="00841EA0">
            <w:pPr>
              <w:pStyle w:val="Tablecells"/>
              <w:jc w:val="right"/>
            </w:pPr>
            <w:r w:rsidRPr="008A0DCE">
              <w:t>5GHz</w:t>
            </w:r>
          </w:p>
        </w:tc>
        <w:tc>
          <w:tcPr>
            <w:tcW w:w="2194" w:type="dxa"/>
            <w:tcBorders>
              <w:top w:val="single" w:sz="4" w:space="0" w:color="FFFFFF" w:themeColor="background1"/>
            </w:tcBorders>
          </w:tcPr>
          <w:p w:rsidR="00CC7F56" w:rsidRPr="008A0DCE" w:rsidRDefault="00CC7F56" w:rsidP="00841EA0">
            <w:pPr>
              <w:pStyle w:val="Tablecells"/>
              <w:jc w:val="right"/>
            </w:pPr>
            <w:r w:rsidRPr="008A0DCE">
              <w:t>54Mb</w:t>
            </w:r>
            <w:r>
              <w:t>it/</w:t>
            </w:r>
            <w:r w:rsidRPr="008A0DCE">
              <w:t>s</w:t>
            </w:r>
          </w:p>
        </w:tc>
      </w:tr>
      <w:tr w:rsidR="00CC7F56" w:rsidRPr="008A0DCE" w:rsidTr="00841EA0">
        <w:tc>
          <w:tcPr>
            <w:tcW w:w="2183" w:type="dxa"/>
            <w:tcBorders>
              <w:bottom w:val="nil"/>
            </w:tcBorders>
          </w:tcPr>
          <w:p w:rsidR="00CC7F56" w:rsidRPr="008A0DCE" w:rsidRDefault="00CC7F56" w:rsidP="00841EA0">
            <w:pPr>
              <w:pStyle w:val="Tablecells"/>
            </w:pPr>
            <w:r w:rsidRPr="008A0DCE">
              <w:t>802.11b</w:t>
            </w:r>
          </w:p>
        </w:tc>
        <w:tc>
          <w:tcPr>
            <w:tcW w:w="2164" w:type="dxa"/>
            <w:tcBorders>
              <w:bottom w:val="nil"/>
            </w:tcBorders>
          </w:tcPr>
          <w:p w:rsidR="00CC7F56" w:rsidRPr="008A0DCE" w:rsidRDefault="00CC7F56" w:rsidP="00841EA0">
            <w:pPr>
              <w:pStyle w:val="Tablecells"/>
              <w:jc w:val="right"/>
            </w:pPr>
            <w:r w:rsidRPr="008A0DCE">
              <w:t>2000</w:t>
            </w:r>
          </w:p>
        </w:tc>
        <w:tc>
          <w:tcPr>
            <w:tcW w:w="2190" w:type="dxa"/>
            <w:tcBorders>
              <w:bottom w:val="nil"/>
            </w:tcBorders>
          </w:tcPr>
          <w:p w:rsidR="00CC7F56" w:rsidRPr="008A0DCE" w:rsidRDefault="00CC7F56" w:rsidP="00841EA0">
            <w:pPr>
              <w:pStyle w:val="Tablecells"/>
              <w:jc w:val="right"/>
            </w:pPr>
            <w:r w:rsidRPr="008A0DCE">
              <w:t>2.4GHz</w:t>
            </w:r>
          </w:p>
        </w:tc>
        <w:tc>
          <w:tcPr>
            <w:tcW w:w="2194" w:type="dxa"/>
            <w:tcBorders>
              <w:bottom w:val="nil"/>
            </w:tcBorders>
          </w:tcPr>
          <w:p w:rsidR="00CC7F56" w:rsidRPr="008A0DCE" w:rsidRDefault="00CC7F56" w:rsidP="00841EA0">
            <w:pPr>
              <w:pStyle w:val="Tablecells"/>
              <w:jc w:val="right"/>
            </w:pPr>
            <w:r w:rsidRPr="008A0DCE">
              <w:t>11Mb</w:t>
            </w:r>
            <w:r>
              <w:t>it/</w:t>
            </w:r>
            <w:r w:rsidRPr="008A0DCE">
              <w:t>s</w:t>
            </w:r>
          </w:p>
        </w:tc>
      </w:tr>
      <w:tr w:rsidR="00CC7F56" w:rsidRPr="008A0DCE" w:rsidTr="00841EA0">
        <w:trPr>
          <w:cnfStyle w:val="000000100000" w:firstRow="0" w:lastRow="0" w:firstColumn="0" w:lastColumn="0" w:oddVBand="0" w:evenVBand="0" w:oddHBand="1" w:evenHBand="0" w:firstRowFirstColumn="0" w:firstRowLastColumn="0" w:lastRowFirstColumn="0" w:lastRowLastColumn="0"/>
        </w:trPr>
        <w:tc>
          <w:tcPr>
            <w:tcW w:w="2183" w:type="dxa"/>
            <w:tcBorders>
              <w:top w:val="nil"/>
              <w:bottom w:val="nil"/>
            </w:tcBorders>
          </w:tcPr>
          <w:p w:rsidR="00CC7F56" w:rsidRPr="008A0DCE" w:rsidRDefault="00CC7F56" w:rsidP="00841EA0">
            <w:pPr>
              <w:pStyle w:val="Tablecells"/>
            </w:pPr>
            <w:r w:rsidRPr="008A0DCE">
              <w:t>802.11g</w:t>
            </w:r>
          </w:p>
        </w:tc>
        <w:tc>
          <w:tcPr>
            <w:tcW w:w="2164" w:type="dxa"/>
            <w:tcBorders>
              <w:top w:val="nil"/>
              <w:bottom w:val="nil"/>
            </w:tcBorders>
          </w:tcPr>
          <w:p w:rsidR="00CC7F56" w:rsidRPr="008A0DCE" w:rsidRDefault="00CC7F56" w:rsidP="00841EA0">
            <w:pPr>
              <w:pStyle w:val="Tablecells"/>
              <w:jc w:val="right"/>
            </w:pPr>
            <w:r w:rsidRPr="008A0DCE">
              <w:t>2003</w:t>
            </w:r>
          </w:p>
        </w:tc>
        <w:tc>
          <w:tcPr>
            <w:tcW w:w="2190" w:type="dxa"/>
            <w:tcBorders>
              <w:top w:val="nil"/>
              <w:bottom w:val="nil"/>
            </w:tcBorders>
          </w:tcPr>
          <w:p w:rsidR="00CC7F56" w:rsidRPr="008A0DCE" w:rsidRDefault="00CC7F56" w:rsidP="00841EA0">
            <w:pPr>
              <w:pStyle w:val="Tablecells"/>
              <w:jc w:val="right"/>
            </w:pPr>
            <w:r w:rsidRPr="008A0DCE">
              <w:t>2.4GHz</w:t>
            </w:r>
          </w:p>
        </w:tc>
        <w:tc>
          <w:tcPr>
            <w:tcW w:w="2194" w:type="dxa"/>
            <w:tcBorders>
              <w:top w:val="nil"/>
              <w:bottom w:val="nil"/>
            </w:tcBorders>
          </w:tcPr>
          <w:p w:rsidR="00CC7F56" w:rsidRPr="008A0DCE" w:rsidRDefault="00CC7F56" w:rsidP="00841EA0">
            <w:pPr>
              <w:pStyle w:val="Tablecells"/>
              <w:jc w:val="right"/>
            </w:pPr>
            <w:r w:rsidRPr="008A0DCE">
              <w:t>54Mb</w:t>
            </w:r>
            <w:r>
              <w:t>it/</w:t>
            </w:r>
            <w:r w:rsidRPr="008A0DCE">
              <w:t>s</w:t>
            </w:r>
          </w:p>
        </w:tc>
      </w:tr>
      <w:tr w:rsidR="00CC7F56" w:rsidRPr="008A0DCE" w:rsidTr="00643398">
        <w:tc>
          <w:tcPr>
            <w:tcW w:w="2183" w:type="dxa"/>
            <w:tcBorders>
              <w:top w:val="nil"/>
              <w:bottom w:val="nil"/>
            </w:tcBorders>
          </w:tcPr>
          <w:p w:rsidR="00CC7F56" w:rsidRPr="008A0DCE" w:rsidRDefault="00CC7F56" w:rsidP="00841EA0">
            <w:pPr>
              <w:pStyle w:val="Tablecells"/>
            </w:pPr>
            <w:r w:rsidRPr="008A0DCE">
              <w:t>802.11n</w:t>
            </w:r>
          </w:p>
        </w:tc>
        <w:tc>
          <w:tcPr>
            <w:tcW w:w="2164" w:type="dxa"/>
            <w:tcBorders>
              <w:top w:val="nil"/>
              <w:bottom w:val="nil"/>
            </w:tcBorders>
          </w:tcPr>
          <w:p w:rsidR="00CC7F56" w:rsidRPr="008A0DCE" w:rsidRDefault="00CC7F56" w:rsidP="00841EA0">
            <w:pPr>
              <w:pStyle w:val="Tablecells"/>
              <w:jc w:val="right"/>
            </w:pPr>
            <w:r w:rsidRPr="008A0DCE">
              <w:t>2007</w:t>
            </w:r>
          </w:p>
        </w:tc>
        <w:tc>
          <w:tcPr>
            <w:tcW w:w="2190" w:type="dxa"/>
            <w:tcBorders>
              <w:top w:val="nil"/>
              <w:bottom w:val="nil"/>
            </w:tcBorders>
          </w:tcPr>
          <w:p w:rsidR="00CC7F56" w:rsidRPr="008A0DCE" w:rsidRDefault="00CC7F56" w:rsidP="00841EA0">
            <w:pPr>
              <w:pStyle w:val="Tablecells"/>
              <w:jc w:val="right"/>
            </w:pPr>
            <w:r>
              <w:t>2.4/</w:t>
            </w:r>
            <w:r w:rsidRPr="008A0DCE">
              <w:t>5GHz</w:t>
            </w:r>
          </w:p>
        </w:tc>
        <w:tc>
          <w:tcPr>
            <w:tcW w:w="2194" w:type="dxa"/>
            <w:tcBorders>
              <w:top w:val="nil"/>
              <w:bottom w:val="nil"/>
            </w:tcBorders>
          </w:tcPr>
          <w:p w:rsidR="00CC7F56" w:rsidRPr="008A0DCE" w:rsidRDefault="00CC7F56" w:rsidP="00841EA0">
            <w:pPr>
              <w:pStyle w:val="Tablecells"/>
              <w:jc w:val="right"/>
            </w:pPr>
            <w:r w:rsidRPr="008A0DCE">
              <w:t>450Mb</w:t>
            </w:r>
            <w:r>
              <w:t>it/</w:t>
            </w:r>
            <w:r w:rsidRPr="008A0DCE">
              <w:t>s</w:t>
            </w:r>
          </w:p>
        </w:tc>
      </w:tr>
      <w:tr w:rsidR="00EE4CCC" w:rsidRPr="008A0DCE" w:rsidTr="00841EA0">
        <w:trPr>
          <w:cnfStyle w:val="000000100000" w:firstRow="0" w:lastRow="0" w:firstColumn="0" w:lastColumn="0" w:oddVBand="0" w:evenVBand="0" w:oddHBand="1" w:evenHBand="0" w:firstRowFirstColumn="0" w:firstRowLastColumn="0" w:lastRowFirstColumn="0" w:lastRowLastColumn="0"/>
        </w:trPr>
        <w:tc>
          <w:tcPr>
            <w:tcW w:w="2183" w:type="dxa"/>
            <w:tcBorders>
              <w:top w:val="nil"/>
              <w:bottom w:val="single" w:sz="4" w:space="0" w:color="auto"/>
            </w:tcBorders>
          </w:tcPr>
          <w:p w:rsidR="00EE4CCC" w:rsidRPr="008A0DCE" w:rsidRDefault="00EE4CCC" w:rsidP="00841EA0">
            <w:pPr>
              <w:pStyle w:val="Tablecells"/>
            </w:pPr>
            <w:r>
              <w:t>802.11ac</w:t>
            </w:r>
          </w:p>
        </w:tc>
        <w:tc>
          <w:tcPr>
            <w:tcW w:w="2164" w:type="dxa"/>
            <w:tcBorders>
              <w:top w:val="nil"/>
              <w:bottom w:val="single" w:sz="4" w:space="0" w:color="auto"/>
            </w:tcBorders>
          </w:tcPr>
          <w:p w:rsidR="00EE4CCC" w:rsidRPr="008A0DCE" w:rsidRDefault="00EE4CCC" w:rsidP="00841EA0">
            <w:pPr>
              <w:pStyle w:val="Tablecells"/>
              <w:jc w:val="right"/>
            </w:pPr>
            <w:r>
              <w:t>2014</w:t>
            </w:r>
          </w:p>
        </w:tc>
        <w:tc>
          <w:tcPr>
            <w:tcW w:w="2190" w:type="dxa"/>
            <w:tcBorders>
              <w:top w:val="nil"/>
              <w:bottom w:val="single" w:sz="4" w:space="0" w:color="auto"/>
            </w:tcBorders>
          </w:tcPr>
          <w:p w:rsidR="00EE4CCC" w:rsidRDefault="00EE4CCC" w:rsidP="00841EA0">
            <w:pPr>
              <w:pStyle w:val="Tablecells"/>
              <w:jc w:val="right"/>
            </w:pPr>
            <w:r>
              <w:t>5GHz</w:t>
            </w:r>
          </w:p>
        </w:tc>
        <w:tc>
          <w:tcPr>
            <w:tcW w:w="2194" w:type="dxa"/>
            <w:tcBorders>
              <w:top w:val="nil"/>
              <w:bottom w:val="single" w:sz="4" w:space="0" w:color="auto"/>
            </w:tcBorders>
          </w:tcPr>
          <w:p w:rsidR="00EE4CCC" w:rsidRPr="008A0DCE" w:rsidRDefault="00EE4CCC" w:rsidP="00841EA0">
            <w:pPr>
              <w:pStyle w:val="Tablecells"/>
              <w:jc w:val="right"/>
            </w:pPr>
            <w:r>
              <w:t>1.3Gbit/s</w:t>
            </w:r>
          </w:p>
        </w:tc>
      </w:tr>
    </w:tbl>
    <w:p w:rsidR="00CC7F56" w:rsidRDefault="00CC7F56" w:rsidP="00CC7F56"/>
    <w:p w:rsidR="00CC7F56" w:rsidRPr="004E1BCC" w:rsidRDefault="00CC7F56" w:rsidP="00CC7F56">
      <w:pPr>
        <w:rPr>
          <w:spacing w:val="-4"/>
        </w:rPr>
      </w:pPr>
      <w:r w:rsidRPr="004E1BCC">
        <w:rPr>
          <w:spacing w:val="-4"/>
        </w:rPr>
        <w:t xml:space="preserve">The latest development in Wi-Fi technology is the </w:t>
      </w:r>
      <w:r w:rsidRPr="004E1BCC">
        <w:rPr>
          <w:b/>
          <w:spacing w:val="-4"/>
        </w:rPr>
        <w:t>802.11ac</w:t>
      </w:r>
      <w:r w:rsidRPr="004E1BCC">
        <w:rPr>
          <w:spacing w:val="-4"/>
        </w:rPr>
        <w:t xml:space="preserve"> standard, which </w:t>
      </w:r>
      <w:r w:rsidR="00EE4CCC">
        <w:rPr>
          <w:spacing w:val="-4"/>
        </w:rPr>
        <w:t>was</w:t>
      </w:r>
      <w:r w:rsidRPr="004E1BCC">
        <w:rPr>
          <w:spacing w:val="-4"/>
        </w:rPr>
        <w:t xml:space="preserve"> ratified by the IEEE in early 2014.</w:t>
      </w:r>
      <w:r w:rsidRPr="004E1BCC">
        <w:rPr>
          <w:rStyle w:val="FootnoteReference"/>
          <w:spacing w:val="-4"/>
        </w:rPr>
        <w:footnoteReference w:id="61"/>
      </w:r>
      <w:r w:rsidRPr="004E1BCC">
        <w:rPr>
          <w:spacing w:val="-4"/>
        </w:rPr>
        <w:t xml:space="preserve"> 802.11ac </w:t>
      </w:r>
      <w:r w:rsidR="00EE4CCC">
        <w:rPr>
          <w:spacing w:val="-4"/>
        </w:rPr>
        <w:t>uses</w:t>
      </w:r>
      <w:r w:rsidRPr="004E1BCC">
        <w:rPr>
          <w:spacing w:val="-4"/>
        </w:rPr>
        <w:t xml:space="preserve"> the 5GHz band and </w:t>
      </w:r>
      <w:r w:rsidR="00EE4CCC">
        <w:rPr>
          <w:spacing w:val="-4"/>
        </w:rPr>
        <w:t xml:space="preserve">can </w:t>
      </w:r>
      <w:r w:rsidRPr="004E1BCC">
        <w:rPr>
          <w:spacing w:val="-4"/>
        </w:rPr>
        <w:t>reach a theoretical data transfer rate of up to 1.3Gbit/s. This speed is the result of three improvements. First, 802.11ac offers wider channels of 80/160MHz compared to 20/40MHz for 802.11n. Second, 802.11ac allows for up to eight simultaneous data streams between a Wi-Fi access point and a client device, whereas 802.11n can only accommodate four. Third, it uses more advanced beamforming technology to transmit data at denser modulations. Furthermore, Cisco believes that future iterations of 802.11ac will be able to achieve up to 3.5Gbit/s. Another improvement is that 802.11ac reduce</w:t>
      </w:r>
      <w:r w:rsidR="00EE4CCC">
        <w:rPr>
          <w:spacing w:val="-4"/>
        </w:rPr>
        <w:t>s</w:t>
      </w:r>
      <w:r w:rsidRPr="004E1BCC">
        <w:rPr>
          <w:spacing w:val="-4"/>
        </w:rPr>
        <w:t xml:space="preserve"> latency through multiple user MIMO technology, which enables the Wi-Fi transmitter to communicate with different client devices via multiple data streams simultaneously.</w:t>
      </w:r>
      <w:r w:rsidRPr="004E1BCC">
        <w:rPr>
          <w:rStyle w:val="FootnoteReference"/>
          <w:spacing w:val="-4"/>
        </w:rPr>
        <w:footnoteReference w:id="62"/>
      </w:r>
      <w:r w:rsidRPr="004E1BCC">
        <w:rPr>
          <w:spacing w:val="-4"/>
        </w:rPr>
        <w:t xml:space="preserve"> Finally, Cisco credits 802.11ac with decreasing battery strain for client devices.</w:t>
      </w:r>
      <w:r w:rsidRPr="004E1BCC">
        <w:rPr>
          <w:rStyle w:val="FootnoteReference"/>
          <w:spacing w:val="-4"/>
        </w:rPr>
        <w:footnoteReference w:id="63"/>
      </w:r>
      <w:r w:rsidRPr="004E1BCC">
        <w:rPr>
          <w:spacing w:val="-4"/>
        </w:rPr>
        <w:t xml:space="preserve"> Potential downsides of 802.11ac are that wireless signals at 5GHz degrade faster and often require a line-of-sight connection. Wider frequency channels are also generally more susceptible to interference.</w:t>
      </w:r>
      <w:r w:rsidRPr="004E1BCC">
        <w:rPr>
          <w:rStyle w:val="FootnoteReference"/>
          <w:spacing w:val="-4"/>
        </w:rPr>
        <w:footnoteReference w:id="64"/>
      </w:r>
    </w:p>
    <w:p w:rsidR="00CC7F56" w:rsidRPr="008A0DCE" w:rsidRDefault="00CC7F56" w:rsidP="00CC7F56">
      <w:r w:rsidRPr="008A0DCE">
        <w:t xml:space="preserve">A Wi-Fi standard called </w:t>
      </w:r>
      <w:r w:rsidRPr="00D81F41">
        <w:rPr>
          <w:b/>
        </w:rPr>
        <w:t>802.11ad (WiGig)</w:t>
      </w:r>
      <w:r w:rsidRPr="008A0DCE">
        <w:t xml:space="preserve"> was approved by the IEEE in January 2013 to allow for up to 7Gb</w:t>
      </w:r>
      <w:r>
        <w:t>it/</w:t>
      </w:r>
      <w:r w:rsidRPr="008A0DCE">
        <w:t xml:space="preserve">s line-of-sight data transfer rates using the </w:t>
      </w:r>
      <w:r>
        <w:t>class-licensed</w:t>
      </w:r>
      <w:r w:rsidRPr="008A0DCE">
        <w:t xml:space="preserve"> 60GHz frequency band. The IEEE expects this technology</w:t>
      </w:r>
      <w:r>
        <w:t xml:space="preserve"> to </w:t>
      </w:r>
      <w:r w:rsidRPr="008A0DCE">
        <w:t xml:space="preserve">be commercialised either in late 2013 or early 2014, </w:t>
      </w:r>
      <w:r>
        <w:t xml:space="preserve">and sees it </w:t>
      </w:r>
      <w:r w:rsidRPr="008A0DCE">
        <w:t xml:space="preserve">as complementary to 802.11ac and 802.11n. </w:t>
      </w:r>
      <w:r>
        <w:t>I</w:t>
      </w:r>
      <w:r w:rsidRPr="008A0DCE">
        <w:t>t believes</w:t>
      </w:r>
      <w:r>
        <w:t xml:space="preserve"> WiGig</w:t>
      </w:r>
      <w:r w:rsidRPr="008A0DCE">
        <w:t xml:space="preserve"> will be useful for providing wireless networ</w:t>
      </w:r>
      <w:r>
        <w:t>k connectivity in highly localised very-high-</w:t>
      </w:r>
      <w:r w:rsidRPr="008A0DCE">
        <w:t>capac</w:t>
      </w:r>
      <w:r>
        <w:t>ity areas or for dedicated high-</w:t>
      </w:r>
      <w:r w:rsidRPr="008A0DCE">
        <w:t>capacity activities such as device docking, display interconnection or video streaming. The IEEE envisages this will lead to “tri-band networking”, which would enable Wi-Fi users to use 802.11n (2.4GHz), 802.11ac (5GHz) or 802.11ad (60GHz) depending on their position relative to the Wi-Fi access point and the data intensity of their activities.</w:t>
      </w:r>
      <w:r w:rsidRPr="008A0DCE">
        <w:rPr>
          <w:rStyle w:val="FootnoteReference"/>
        </w:rPr>
        <w:footnoteReference w:id="65"/>
      </w:r>
    </w:p>
    <w:p w:rsidR="00CC7F56" w:rsidRPr="008A0DCE" w:rsidRDefault="00CC7F56" w:rsidP="00CC7F56">
      <w:r w:rsidRPr="008A0DCE">
        <w:t xml:space="preserve">Finally, there is a standard called </w:t>
      </w:r>
      <w:r w:rsidRPr="00D81F41">
        <w:rPr>
          <w:b/>
        </w:rPr>
        <w:t>802.11y</w:t>
      </w:r>
      <w:r w:rsidRPr="008A0DCE">
        <w:t xml:space="preserve"> which is a high-power version of the 802.11a standard operating in the 3.65</w:t>
      </w:r>
      <w:r>
        <w:t>–</w:t>
      </w:r>
      <w:r w:rsidRPr="008A0DCE">
        <w:t xml:space="preserve">3.70GHz band. The standard was approved by the IEEE in September 2008 but so far it is only authorised for use in the USA (away from </w:t>
      </w:r>
      <w:r>
        <w:t>pre-existing</w:t>
      </w:r>
      <w:r w:rsidRPr="008A0DCE">
        <w:t xml:space="preserve"> satellite earth stations). The FCC uses a ‘light licensing’ scheme for this band under which licensees pay a small fee for a nationwide non-exclusive licence and an additional fee for each base station deployed. Client devices are not required to be licensed but may only transmit after they have received a signal from an authorised based station. The 802.11y standard was drafted in a way that would enable similar use in other frequency bands and in other countries, but so far the 3.65GHz band in the USA is the only one to have been designated.</w:t>
      </w:r>
    </w:p>
    <w:p w:rsidR="00CC7F56" w:rsidRPr="008A0DCE" w:rsidRDefault="00CC7F56" w:rsidP="00CC7F56">
      <w:r w:rsidRPr="008A0DCE">
        <w:t xml:space="preserve">In conclusion, recent standardisation work on Wi-Fi has focused on improved performance and the use of bands other than the 2.4GHz band, which </w:t>
      </w:r>
      <w:r>
        <w:t>is recognised as becoming increasingly crowded. We foresee more devices offering support for Wi-Fi connectivity at 5GHz as well as 2.4GHz (for example, Apple has introduced 5GHz Wi-Fi on the iPhone 5, and Samsung introduced it on its high-end smartphones starting with Galaxy S3) which may ease some of the pressure on the 2.4GHz band. However, we expect that pressure will remain to designate additional bands for use by Wi-Fi devices, particularly for specialist applications such as backhaul.</w:t>
      </w:r>
    </w:p>
    <w:p w:rsidR="00CC7F56" w:rsidRDefault="00CC7F56" w:rsidP="00CC7F56">
      <w:pPr>
        <w:pStyle w:val="Heading3"/>
        <w:ind w:hanging="567"/>
      </w:pPr>
      <w:r>
        <w:t>White-</w:t>
      </w:r>
      <w:r w:rsidRPr="008A0DCE">
        <w:t>space devices</w:t>
      </w:r>
    </w:p>
    <w:p w:rsidR="00CC7F56" w:rsidRPr="00D17A84" w:rsidRDefault="00CC7F56" w:rsidP="00CC7F56">
      <w:pPr>
        <w:rPr>
          <w:spacing w:val="-4"/>
        </w:rPr>
      </w:pPr>
      <w:r w:rsidRPr="00D17A84">
        <w:rPr>
          <w:spacing w:val="-4"/>
        </w:rPr>
        <w:t>The term ‘white space’ refers to spectrum that is allocated for a particular purpose but not used locally. The term is most commonly associated with UHF spectrum used for TV broadcasting, which typically uses different parts of the broadcast band in different geographical areas, thus leaving part of the band unused in each area, but in practice white spaces exist in many spectrum bands. White-space devices are simply radio devices that operate on a secondary basis in white space.</w:t>
      </w:r>
    </w:p>
    <w:p w:rsidR="00CC7F56" w:rsidRDefault="00CC7F56" w:rsidP="00CC7F56">
      <w:r>
        <w:t>In recent years there has been considerable interest in the potential to use UHF white spaces to support data transmission. Originally it was envisaged that such white-space devices would sense primary use of spectrum and only transmit in parts of the band that were not being used. However, it is now expected that first-generation commercial white-space devices will instead interrogate a geographical database of spectrum use to determine which parts of the band can be used.</w:t>
      </w:r>
    </w:p>
    <w:p w:rsidR="00CC7F56" w:rsidRDefault="00CC7F56" w:rsidP="00CC7F56">
      <w:r>
        <w:t>In the USA, the FCC adopted rules under which UHF white-space devices can operate in September 2010, with the rules most recently updated in April 2012.</w:t>
      </w:r>
      <w:r>
        <w:rPr>
          <w:rStyle w:val="FootnoteReference"/>
        </w:rPr>
        <w:footnoteReference w:id="66"/>
      </w:r>
      <w:r>
        <w:t xml:space="preserve"> A number of trials and small-scale deployments have now taken place, with Carlson Wireless among the more active players in the market. In the UK, a company called Neul has pioneered the development of a standard called Weightless for M2M white-space devices and is expected to be one of the key participants in a pilot announced by the regulator Ofcom in October 2013, which it says could enable the technology to be fully rolled out in the UK during 2014.</w:t>
      </w:r>
      <w:r>
        <w:rPr>
          <w:rStyle w:val="FootnoteReference"/>
        </w:rPr>
        <w:footnoteReference w:id="67"/>
      </w:r>
      <w:r>
        <w:t xml:space="preserve"> Trials have also taken place in a number of other countries, including South Africa and Kenya.</w:t>
      </w:r>
    </w:p>
    <w:p w:rsidR="00CC7F56" w:rsidRDefault="00CC7F56" w:rsidP="00CC7F56">
      <w:r>
        <w:t xml:space="preserve">Although the evolution of white-space devices is at a fairly early stage, more extensive roll-outs in the USA and the UK may lead to increased interest in the development of a licensing framework for white-space devices in Australia. </w:t>
      </w:r>
    </w:p>
    <w:p w:rsidR="004D7C83" w:rsidRDefault="004D7C83" w:rsidP="00CC7F56"/>
    <w:p w:rsidR="00CC7F56" w:rsidRDefault="00CC7F56" w:rsidP="00CC7F56">
      <w:pPr>
        <w:pStyle w:val="Heading2"/>
      </w:pPr>
      <w:bookmarkStart w:id="226" w:name="_Toc373161418"/>
      <w:bookmarkStart w:id="227" w:name="_Toc399178504"/>
      <w:bookmarkStart w:id="228" w:name="_Toc402102971"/>
      <w:bookmarkStart w:id="229" w:name="_Toc409445595"/>
      <w:r w:rsidRPr="008A0DCE">
        <w:t>Opportunities for substitution</w:t>
      </w:r>
      <w:bookmarkEnd w:id="226"/>
      <w:bookmarkEnd w:id="227"/>
      <w:bookmarkEnd w:id="228"/>
      <w:bookmarkEnd w:id="229"/>
    </w:p>
    <w:p w:rsidR="00CC7F56" w:rsidRPr="009837A8" w:rsidRDefault="00CC7F56" w:rsidP="00CC7F56">
      <w:r>
        <w:t>In this section we discuss the likelihood of substitution between fixed and wireless services and between the various forms of wireless service.</w:t>
      </w:r>
    </w:p>
    <w:p w:rsidR="00CC7F56" w:rsidRPr="008A0DCE" w:rsidRDefault="00CC7F56" w:rsidP="00CC7F56">
      <w:pPr>
        <w:pStyle w:val="Heading3"/>
        <w:spacing w:after="120"/>
        <w:ind w:hanging="567"/>
      </w:pPr>
      <w:r w:rsidRPr="008A0DCE">
        <w:t>Substitution between fixed and wireless services</w:t>
      </w:r>
    </w:p>
    <w:p w:rsidR="00CC7F56" w:rsidRDefault="00CC7F56" w:rsidP="00CC7F56">
      <w:r>
        <w:t xml:space="preserve">At the end of 2012 we estimate that there were 5.6 million fixed broadband connections in Australia and around 3.7 million mobile broadband dongles (plus around one million mobile broadband connections on tablet devices). As </w:t>
      </w:r>
      <w:r w:rsidRPr="002D2F9B">
        <w:fldChar w:fldCharType="begin"/>
      </w:r>
      <w:r w:rsidRPr="002571CA">
        <w:instrText xml:space="preserve"> REF _Ref369177625 \h </w:instrText>
      </w:r>
      <w:r w:rsidRPr="002D2F9B">
        <w:fldChar w:fldCharType="separate"/>
      </w:r>
      <w:r w:rsidR="00A87B65">
        <w:t>Figure </w:t>
      </w:r>
      <w:r w:rsidR="00A87B65">
        <w:rPr>
          <w:noProof/>
        </w:rPr>
        <w:t>5</w:t>
      </w:r>
      <w:r w:rsidR="00A87B65">
        <w:t>.</w:t>
      </w:r>
      <w:r w:rsidR="00A87B65">
        <w:rPr>
          <w:noProof/>
        </w:rPr>
        <w:t>2</w:t>
      </w:r>
      <w:r w:rsidRPr="002D2F9B">
        <w:fldChar w:fldCharType="end"/>
      </w:r>
      <w:r>
        <w:t xml:space="preserve"> shows, the ratio of mobile to fixed broadband connections in Australia is relatively high compared to other developed countries (in our benchmark sample only Hong Kong and Singapore have similar ratios). This suggests that there is a currently fairly high degree of substitution between fixed and mobile broadband in Australia with many users opting to rely solely on a mobile connection. Although we do not have access to detailed data on the subject, it would seem reasonable to assume that residential users are more likely to rely solely on mobile broadband than business users. Clearly any users without a fixed line will also be relying on mobile for voice calls.</w:t>
      </w:r>
    </w:p>
    <w:tbl>
      <w:tblPr>
        <w:tblW w:w="8730" w:type="dxa"/>
        <w:tblLayout w:type="fixed"/>
        <w:tblCellMar>
          <w:left w:w="0" w:type="dxa"/>
          <w:right w:w="0" w:type="dxa"/>
        </w:tblCellMar>
        <w:tblLook w:val="0000" w:firstRow="0" w:lastRow="0" w:firstColumn="0" w:lastColumn="0" w:noHBand="0" w:noVBand="0"/>
      </w:tblPr>
      <w:tblGrid>
        <w:gridCol w:w="6576"/>
        <w:gridCol w:w="2154"/>
      </w:tblGrid>
      <w:tr w:rsidR="00CC7F56" w:rsidTr="00841EA0">
        <w:tc>
          <w:tcPr>
            <w:tcW w:w="6576" w:type="dxa"/>
            <w:tcBorders>
              <w:right w:val="single" w:sz="4" w:space="0" w:color="auto"/>
            </w:tcBorders>
            <w:shd w:val="clear" w:color="auto" w:fill="auto"/>
          </w:tcPr>
          <w:p w:rsidR="00CC7F56" w:rsidRDefault="00CC7F56" w:rsidP="00841EA0">
            <w:pPr>
              <w:pStyle w:val="Bordersmall"/>
            </w:pPr>
            <w:r>
              <w:rPr>
                <w:noProof/>
                <w:lang w:val="en-AU" w:eastAsia="en-AU"/>
              </w:rPr>
              <w:drawing>
                <wp:inline distT="0" distB="0" distL="0" distR="0" wp14:anchorId="0C24C0FC" wp14:editId="790C33B9">
                  <wp:extent cx="3752850" cy="3114675"/>
                  <wp:effectExtent l="0" t="0" r="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4" cstate="print">
                            <a:extLst>
                              <a:ext uri="{28A0092B-C50C-407E-A947-70E740481C1C}">
                                <a14:useLocalDpi xmlns:a14="http://schemas.microsoft.com/office/drawing/2010/main" val="0"/>
                              </a:ext>
                            </a:extLst>
                          </a:blip>
                          <a:srcRect/>
                          <a:stretch>
                            <a:fillRect/>
                          </a:stretch>
                        </pic:blipFill>
                        <pic:spPr bwMode="auto">
                          <a:xfrm>
                            <a:off x="0" y="0"/>
                            <a:ext cx="3752850" cy="3114675"/>
                          </a:xfrm>
                          <a:prstGeom prst="rect">
                            <a:avLst/>
                          </a:prstGeom>
                          <a:noFill/>
                          <a:ln>
                            <a:noFill/>
                          </a:ln>
                        </pic:spPr>
                      </pic:pic>
                    </a:graphicData>
                  </a:graphic>
                </wp:inline>
              </w:drawing>
            </w:r>
          </w:p>
        </w:tc>
        <w:tc>
          <w:tcPr>
            <w:tcW w:w="2154" w:type="dxa"/>
            <w:tcBorders>
              <w:left w:val="single" w:sz="4" w:space="0" w:color="auto"/>
            </w:tcBorders>
            <w:shd w:val="clear" w:color="auto" w:fill="auto"/>
          </w:tcPr>
          <w:p w:rsidR="00CC7F56" w:rsidRDefault="00CC7F56" w:rsidP="00841EA0">
            <w:pPr>
              <w:pStyle w:val="Captionsmall"/>
            </w:pPr>
            <w:bookmarkStart w:id="230" w:name="_Ref369177625"/>
            <w:r>
              <w:t>Figure </w:t>
            </w:r>
            <w:r w:rsidR="008B1006">
              <w:fldChar w:fldCharType="begin"/>
            </w:r>
            <w:r w:rsidR="008B1006">
              <w:instrText xml:space="preserve"> STYLEREF 1 \s \* MERGEFORMAT </w:instrText>
            </w:r>
            <w:r w:rsidR="008B1006">
              <w:fldChar w:fldCharType="separate"/>
            </w:r>
            <w:r w:rsidR="00A87B65">
              <w:rPr>
                <w:noProof/>
              </w:rPr>
              <w:t>5</w:t>
            </w:r>
            <w:r w:rsidR="008B1006">
              <w:rPr>
                <w:noProof/>
              </w:rPr>
              <w:fldChar w:fldCharType="end"/>
            </w:r>
            <w:r>
              <w:t>.</w:t>
            </w:r>
            <w:r w:rsidR="008B1006">
              <w:fldChar w:fldCharType="begin"/>
            </w:r>
            <w:r w:rsidR="008B1006">
              <w:instrText xml:space="preserve"> SEQ Figure \* ARABIC \s 1 \* MERGEFORMAT </w:instrText>
            </w:r>
            <w:r w:rsidR="008B1006">
              <w:fldChar w:fldCharType="separate"/>
            </w:r>
            <w:r w:rsidR="00A87B65">
              <w:rPr>
                <w:noProof/>
              </w:rPr>
              <w:t>2</w:t>
            </w:r>
            <w:r w:rsidR="008B1006">
              <w:rPr>
                <w:noProof/>
              </w:rPr>
              <w:fldChar w:fldCharType="end"/>
            </w:r>
            <w:bookmarkEnd w:id="230"/>
            <w:r>
              <w:t>: Comparison of fixed and mobile broadband subscriptions in Australia and other selected markets [Source: Analysys Mason, 2014]</w:t>
            </w:r>
          </w:p>
        </w:tc>
      </w:tr>
    </w:tbl>
    <w:p w:rsidR="00CC7F56" w:rsidRPr="00D17A84" w:rsidRDefault="00CC7F56" w:rsidP="00CC7F56">
      <w:pPr>
        <w:rPr>
          <w:spacing w:val="-4"/>
        </w:rPr>
      </w:pPr>
      <w:r>
        <w:rPr>
          <w:spacing w:val="-4"/>
        </w:rPr>
        <w:br/>
      </w:r>
      <w:r w:rsidRPr="00D17A84">
        <w:rPr>
          <w:spacing w:val="-4"/>
        </w:rPr>
        <w:t xml:space="preserve">Between 2012 and 2025 we believe that the level of mobile broadband substitution will reduce (i.e. a higher proportion of Australian households will opt to take a fixed broadband connection as their primary means of connecting to the Internet at home) due to improvements in the performance of fixed broadband brought about by the NBN programme. Consequently, in our forecasts the number of fixed broadband connections grows at a CAGR of 3.8% while the number of dongle connections grows at a CAGR of 1.3%. The relatively slow growth in mobile dongle connections will however, be offset by growth in the number of mobile </w:t>
      </w:r>
      <w:r>
        <w:rPr>
          <w:spacing w:val="-4"/>
        </w:rPr>
        <w:t>broadband</w:t>
      </w:r>
      <w:r w:rsidRPr="00D17A84">
        <w:rPr>
          <w:spacing w:val="-4"/>
        </w:rPr>
        <w:t xml:space="preserve"> connections on tablet devices (CAGR of 15.5%). We expect that these devices will be used primarily on Wi-Fi networks but their owners will value the ability to be able to connect via mobile networks while away from the home and work.</w:t>
      </w:r>
    </w:p>
    <w:p w:rsidR="00CC7F56" w:rsidRDefault="00CC7F56" w:rsidP="00CC7F56">
      <w:pPr>
        <w:pStyle w:val="Heading3"/>
        <w:ind w:hanging="567"/>
      </w:pPr>
      <w:r w:rsidRPr="008A0DCE">
        <w:t>Substitution between mobile and fixed wireless</w:t>
      </w:r>
    </w:p>
    <w:p w:rsidR="00CC7F56" w:rsidRDefault="00CC7F56" w:rsidP="00CC7F56">
      <w:r>
        <w:t>According to the Australian Bureau of Statistics, there were 49 000 fixed wireless access (FWA) broadband subscribers in Australia at the end of 2012, i.e. FWA accounts for less than 1% of total fixed broadband connections in Australia.</w:t>
      </w:r>
      <w:r>
        <w:rPr>
          <w:rStyle w:val="FootnoteReference"/>
        </w:rPr>
        <w:footnoteReference w:id="68"/>
      </w:r>
      <w:r>
        <w:t xml:space="preserve"> Looking forward, we believe that the majority of new FWA connections are likely to be provided as part of the NBN programme although, as discussed in Section </w:t>
      </w:r>
      <w:r w:rsidRPr="002D2F9B">
        <w:fldChar w:fldCharType="begin"/>
      </w:r>
      <w:r w:rsidRPr="002571CA">
        <w:instrText xml:space="preserve"> REF _Ref369174665 \r \h </w:instrText>
      </w:r>
      <w:r w:rsidRPr="002D2F9B">
        <w:fldChar w:fldCharType="separate"/>
      </w:r>
      <w:r w:rsidR="00A87B65">
        <w:t>1</w:t>
      </w:r>
      <w:r w:rsidRPr="002D2F9B">
        <w:fldChar w:fldCharType="end"/>
      </w:r>
      <w:r>
        <w:t xml:space="preserve"> above, it appears that NBN Co is only forecasting around 100 000 FWA subscribers by 2020, by which time we estimate that there will be around 6.7 million fixed broadband connections.</w:t>
      </w:r>
    </w:p>
    <w:p w:rsidR="00CC7F56" w:rsidRPr="00D17A84" w:rsidRDefault="00CC7F56" w:rsidP="00CC7F56">
      <w:pPr>
        <w:rPr>
          <w:spacing w:val="-4"/>
        </w:rPr>
      </w:pPr>
      <w:r w:rsidRPr="00D17A84">
        <w:rPr>
          <w:spacing w:val="-4"/>
        </w:rPr>
        <w:t>NBN Co is planning to deploy FWA in areas where it does not consider fibre to be economically viable</w:t>
      </w:r>
      <w:r>
        <w:rPr>
          <w:spacing w:val="-4"/>
        </w:rPr>
        <w:t xml:space="preserve"> (providing it has FWA licences in those areas)</w:t>
      </w:r>
      <w:r w:rsidRPr="00D17A84">
        <w:rPr>
          <w:spacing w:val="-4"/>
        </w:rPr>
        <w:t>. Although we do not have access to detailed data on the subject, it seems likely that these are areas where fixed broadband speeds are currently low and consequently where the market share of mobile broadband is higher than the national average. When FWA becomes available it seems quite likely that a proportion of existing mobile broadband users will switch, particularly if the monthly data caps on FWA are higher than on mobile broadband (as they are at present). Nevertheless, based on the forecasts that we have derived from NBN Co’s corporate plan the level of substitution will not be sufficient to make a serious impact on the level of mobile broadband traffic.</w:t>
      </w:r>
    </w:p>
    <w:p w:rsidR="00CC7F56" w:rsidRDefault="00CC7F56" w:rsidP="00CC7F56">
      <w:pPr>
        <w:pStyle w:val="Heading3"/>
        <w:ind w:hanging="567"/>
      </w:pPr>
      <w:r w:rsidRPr="008A0DCE">
        <w:t>Substitution between licensed and class-licensed spectrum</w:t>
      </w:r>
    </w:p>
    <w:p w:rsidR="00CC7F56" w:rsidRDefault="00CC7F56" w:rsidP="00CC7F56">
      <w:r>
        <w:t>As discussed in Section </w:t>
      </w:r>
      <w:r w:rsidRPr="002D2F9B">
        <w:fldChar w:fldCharType="begin"/>
      </w:r>
      <w:r w:rsidRPr="002571CA">
        <w:instrText xml:space="preserve"> REF _Ref369178295 \r \h </w:instrText>
      </w:r>
      <w:r w:rsidRPr="002D2F9B">
        <w:fldChar w:fldCharType="separate"/>
      </w:r>
      <w:r w:rsidR="00A87B65">
        <w:t>4.3.5</w:t>
      </w:r>
      <w:r w:rsidRPr="002D2F9B">
        <w:fldChar w:fldCharType="end"/>
      </w:r>
      <w:r>
        <w:t xml:space="preserve"> above, we estimated that the amount of traffic offloaded from smartphones and connected mid-screen devices (primarily tablets) onto Wi-Fi networks far exceeds the amount that is carried over mobile networks and we believe that the proportion of traffic offloaded will increase slightly over the next five years. However, we believe that the vast majority of this Wi-Fi traffic is passively offloaded by the users themselves at home and at work, as opposed to being actively offloaded by the mobile operators. The proportion of traffic that is offloaded by users could potentially increase if shared Wi-Fi networks (such as the FON networks in Japan, France and the UK) become prevalent in Australia on the back of the NBN programme.</w:t>
      </w:r>
    </w:p>
    <w:p w:rsidR="00CC7F56" w:rsidRDefault="00CC7F56" w:rsidP="00CC7F56">
      <w:r>
        <w:t>In our discussions with the mobile operators none has suggested that Wi-Fi offload forms a key part of their future data strategy in the way that it does for operators in some other countries such as China Mobile in China, AT&amp;T in the USA and Softbank in Japan. Consequently, we expect the level of active offloading in Australia to remain relatively low and thus to have little impact on the levels of mobile traffic (Wi-Fi offloading is assumed to have no impact on fixed wireless traffic since the fixed wireless connection is still used for backhaul in this case).</w:t>
      </w:r>
    </w:p>
    <w:p w:rsidR="004D7C83" w:rsidRDefault="004D7C83" w:rsidP="00CC7F56"/>
    <w:p w:rsidR="00CC7F56" w:rsidRPr="008A0DCE" w:rsidRDefault="00CC7F56" w:rsidP="00CC7F56">
      <w:pPr>
        <w:pStyle w:val="Heading3"/>
        <w:ind w:hanging="567"/>
      </w:pPr>
      <w:r w:rsidRPr="008A0DCE">
        <w:t>Substitution between satellite and terrestrial wireless services</w:t>
      </w:r>
    </w:p>
    <w:p w:rsidR="00CC7F56" w:rsidRDefault="00CC7F56" w:rsidP="00CC7F56">
      <w:r>
        <w:t>According to the Australian Bureau of Statistics, there were 92 000 satellite broadband subscribers in Australia at the end of 2012. We estimate that around 23 000 (25%) of these subscribers are using NBN Co’s interim satellite service but, as discussed in Section </w:t>
      </w:r>
      <w:r w:rsidRPr="002D2F9B">
        <w:fldChar w:fldCharType="begin"/>
      </w:r>
      <w:r w:rsidRPr="002571CA">
        <w:instrText xml:space="preserve"> REF _Ref369180962 \r \h </w:instrText>
      </w:r>
      <w:r w:rsidRPr="002D2F9B">
        <w:fldChar w:fldCharType="separate"/>
      </w:r>
      <w:r w:rsidR="00A87B65">
        <w:t>1</w:t>
      </w:r>
      <w:r w:rsidRPr="002D2F9B">
        <w:fldChar w:fldCharType="end"/>
      </w:r>
      <w:r>
        <w:t xml:space="preserve">, this number is set to rise to </w:t>
      </w:r>
      <w:r w:rsidRPr="008A0DCE">
        <w:t>178</w:t>
      </w:r>
      <w:r>
        <w:t> </w:t>
      </w:r>
      <w:r w:rsidRPr="008A0DCE">
        <w:t>000 by the end of 2020 and 245</w:t>
      </w:r>
      <w:r>
        <w:t> </w:t>
      </w:r>
      <w:r w:rsidRPr="008A0DCE">
        <w:t>000 by the end of 2025</w:t>
      </w:r>
      <w:r>
        <w:t>.</w:t>
      </w:r>
    </w:p>
    <w:p w:rsidR="00CC7F56" w:rsidRDefault="00CC7F56" w:rsidP="00CC7F56">
      <w:r>
        <w:t>Satellite broadband customers are typically located in the most remote parts of any given country where fixed and mobile broadband speeds are low if, indeed, the services are available at all. Consequently we believe that there is little substitution between satellite and terrestrial wireless services today.</w:t>
      </w:r>
    </w:p>
    <w:p w:rsidR="00CC7F56" w:rsidRPr="00F31D3D" w:rsidRDefault="00CC7F56" w:rsidP="00CC7F56">
      <w:pPr>
        <w:pStyle w:val="Emphasised"/>
        <w:keepLines w:val="0"/>
        <w:pBdr>
          <w:top w:val="none" w:sz="0" w:space="0" w:color="auto"/>
          <w:bottom w:val="none" w:sz="0" w:space="0" w:color="auto"/>
        </w:pBdr>
        <w:spacing w:after="360"/>
        <w:ind w:left="0" w:right="0"/>
      </w:pPr>
      <w:r>
        <w:t>NBN Co is not planning to offer satellite service in the areas where its own FWA service is available and consequently there should not be any substitution between these services, but the satellite service is likely to displace mobile broadband connections for some users. Despite this, the relative small number of satellite broadband connections relative to mobile broadband connections means that the growth in satellite broadband is unlikely to have much impact on the levels of mobile traffic.</w:t>
      </w:r>
    </w:p>
    <w:p w:rsidR="00686A81" w:rsidRDefault="00CC7F56" w:rsidP="004D7C83">
      <w:pPr>
        <w:pStyle w:val="Annex1"/>
        <w:tabs>
          <w:tab w:val="clear" w:pos="1021"/>
        </w:tabs>
        <w:ind w:left="284" w:hanging="568"/>
      </w:pPr>
      <w:bookmarkStart w:id="231" w:name="_Toc399571661"/>
      <w:bookmarkStart w:id="232" w:name="_Toc399571676"/>
      <w:bookmarkStart w:id="233" w:name="_Toc399575432"/>
      <w:bookmarkStart w:id="234" w:name="_Toc399578084"/>
      <w:bookmarkStart w:id="235" w:name="_Toc399838199"/>
      <w:bookmarkStart w:id="236" w:name="_Toc402102973"/>
      <w:bookmarkStart w:id="237" w:name="_Toc402430895"/>
      <w:bookmarkStart w:id="238" w:name="_Toc402431471"/>
      <w:bookmarkStart w:id="239" w:name="_Toc402431738"/>
      <w:bookmarkStart w:id="240" w:name="_Toc402433113"/>
      <w:bookmarkStart w:id="241" w:name="_Toc402433181"/>
      <w:bookmarkStart w:id="242" w:name="_Toc402433347"/>
      <w:bookmarkStart w:id="243" w:name="_Toc402433639"/>
      <w:bookmarkStart w:id="244" w:name="_Toc404154836"/>
      <w:bookmarkStart w:id="245" w:name="_Toc404155028"/>
      <w:bookmarkStart w:id="246" w:name="_Toc404155030"/>
      <w:bookmarkStart w:id="247" w:name="_Toc404155299"/>
      <w:bookmarkStart w:id="248" w:name="_Toc404156884"/>
      <w:bookmarkStart w:id="249" w:name="_Toc409008787"/>
      <w:bookmarkStart w:id="250" w:name="_Toc409422153"/>
      <w:bookmarkEnd w:id="5"/>
      <w:bookmarkEnd w:id="6"/>
      <w:bookmarkEnd w:id="7"/>
      <w:r>
        <w:t>Principal changes made to the model following the public consultation</w:t>
      </w:r>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p>
    <w:p w:rsidR="00CD63DE" w:rsidRDefault="00CC7F56">
      <w:bookmarkStart w:id="251" w:name="_Toc170555205"/>
      <w:bookmarkStart w:id="252" w:name="_Toc184809592"/>
      <w:r>
        <w:t>The main changes made to the model as a result of feedback from the public consultation are as follows:</w:t>
      </w:r>
    </w:p>
    <w:p w:rsidR="00CC7F56" w:rsidRDefault="00CC7F56" w:rsidP="004D7C83">
      <w:pPr>
        <w:pStyle w:val="ListNumber"/>
        <w:ind w:left="357" w:hanging="357"/>
        <w:contextualSpacing w:val="0"/>
      </w:pPr>
      <w:r>
        <w:t xml:space="preserve">In calculating </w:t>
      </w:r>
      <w:r w:rsidR="00B03CF5">
        <w:t xml:space="preserve">the </w:t>
      </w:r>
      <w:r>
        <w:t xml:space="preserve">number of 4G sites, </w:t>
      </w:r>
      <w:r w:rsidR="00627D04">
        <w:t xml:space="preserve">the </w:t>
      </w:r>
      <w:r>
        <w:t>model now assumes that from 2015 Telstra and Optus start using 700MHz for the 4G coverage layer in place of 1800MHz. This significantly reduces the number of 4G coverage sites, while increasing the number of 4G capacity sites. The number of physical macrocell sites now remains broadly constant over the modelling period.</w:t>
      </w:r>
    </w:p>
    <w:p w:rsidR="00CC7F56" w:rsidRDefault="00CC7F56" w:rsidP="004D7C83">
      <w:pPr>
        <w:pStyle w:val="ListNumber"/>
        <w:ind w:left="357" w:hanging="357"/>
        <w:contextualSpacing w:val="0"/>
      </w:pPr>
      <w:r>
        <w:t>The urban and suburban geotypes have been split into urban in metropolitan area</w:t>
      </w:r>
      <w:r w:rsidR="004C36CC">
        <w:t>s</w:t>
      </w:r>
      <w:r>
        <w:t>, urban in regional area</w:t>
      </w:r>
      <w:r w:rsidR="004C36CC">
        <w:t>s</w:t>
      </w:r>
      <w:r>
        <w:t>, suburban in metropolitan area</w:t>
      </w:r>
      <w:r w:rsidR="004C36CC">
        <w:t>s</w:t>
      </w:r>
      <w:r>
        <w:t xml:space="preserve"> and suburban in regional area</w:t>
      </w:r>
      <w:r w:rsidR="004C36CC">
        <w:t>s</w:t>
      </w:r>
      <w:r>
        <w:t xml:space="preserve"> so that the model can reflect differences in the amount of spectrum available in metropolitan and regional areas more accurately.</w:t>
      </w:r>
    </w:p>
    <w:p w:rsidR="00CC7F56" w:rsidRDefault="00CC7F56" w:rsidP="004D7C83">
      <w:pPr>
        <w:pStyle w:val="ListNumber"/>
        <w:ind w:left="357" w:hanging="357"/>
        <w:contextualSpacing w:val="0"/>
      </w:pPr>
      <w:r>
        <w:t>The modelling of rural and remote coverage has been made more granular by assuming that operators will not cover any Statistical Area Level 1 (SA1) that contains fewer than 10 inhabitants or any SA1 which has a population density below 10% of the population density of its parent SA2.</w:t>
      </w:r>
    </w:p>
    <w:p w:rsidR="00CC7F56" w:rsidRDefault="00CC7F56" w:rsidP="004D7C83">
      <w:pPr>
        <w:pStyle w:val="ListNumber"/>
        <w:ind w:left="357" w:hanging="357"/>
        <w:contextualSpacing w:val="0"/>
      </w:pPr>
      <w:r>
        <w:t>2G and 3G switch-off dates can now be set separately for each operator. 2G switch off has been set to the end of 2016 for Telstra and the end of 2018 for Optus and VHA. 3G switch-off is currently assumed to occur after 2025.</w:t>
      </w:r>
      <w:r w:rsidR="00BF6B7D">
        <w:t xml:space="preserve"> Except for Telstra’s 2G switch-off</w:t>
      </w:r>
      <w:r w:rsidR="00BF6B7D">
        <w:rPr>
          <w:rStyle w:val="FootnoteReference"/>
        </w:rPr>
        <w:footnoteReference w:id="69"/>
      </w:r>
      <w:r w:rsidR="00BF6B7D">
        <w:t>, these dates are Analysys Mason’s assumptions.</w:t>
      </w:r>
    </w:p>
    <w:p w:rsidR="00CC7F56" w:rsidRDefault="00CC7F56" w:rsidP="004D7C83">
      <w:pPr>
        <w:pStyle w:val="ListNumber"/>
        <w:ind w:left="357" w:hanging="357"/>
        <w:contextualSpacing w:val="0"/>
      </w:pPr>
      <w:r>
        <w:t>The model now enables 800MHz and 2100MHz spectrum to be refarmed for 4G, in addition to the refarming of 900MHz and 1800MHz (which was implemented in the previous version). Refarming of 900MHz and 1800MHz now impacts on the number of 4G capacity sites required as the 2G switch-off dates have been brought forward.</w:t>
      </w:r>
    </w:p>
    <w:p w:rsidR="00CC7F56" w:rsidRDefault="00CC7F56" w:rsidP="004D7C83">
      <w:pPr>
        <w:pStyle w:val="ListNumber"/>
        <w:ind w:left="357" w:hanging="357"/>
        <w:contextualSpacing w:val="0"/>
      </w:pPr>
      <w:r>
        <w:t xml:space="preserve">It is now possible to explore the impact of releasing additional spectrum in metropolitan areas and/or in regional areas </w:t>
      </w:r>
      <w:r w:rsidR="004C36CC">
        <w:t xml:space="preserve">and/or in remote areas </w:t>
      </w:r>
      <w:r>
        <w:t>as well as the impact of releasing additional spectrum nationally (though this report only shows the impact of national releases)</w:t>
      </w:r>
      <w:r w:rsidR="00627D04">
        <w:t>.</w:t>
      </w:r>
    </w:p>
    <w:p w:rsidR="00CC7F56" w:rsidRDefault="00CC7F56" w:rsidP="004D7C83">
      <w:pPr>
        <w:pStyle w:val="ListNumber"/>
        <w:ind w:left="357" w:hanging="357"/>
        <w:contextualSpacing w:val="0"/>
      </w:pPr>
      <w:r>
        <w:t>The busy hour parameters can now be set separately for 2011 and 2027, allowing for a sensitivity in which the proportion of traffic carried in the busy hour increases over time.</w:t>
      </w:r>
    </w:p>
    <w:p w:rsidR="00CC7F56" w:rsidRDefault="00CC7F56" w:rsidP="004D7C83">
      <w:pPr>
        <w:pStyle w:val="ListNumber"/>
        <w:ind w:left="357" w:hanging="357"/>
        <w:contextualSpacing w:val="0"/>
      </w:pPr>
      <w:r>
        <w:t>Highlighting has been added to the CTRL sheet to make it easier to see which combination of parameters has been used in the base case.</w:t>
      </w:r>
    </w:p>
    <w:p w:rsidR="003421C4" w:rsidRDefault="009A6B6C" w:rsidP="003C6417">
      <w:pPr>
        <w:pStyle w:val="Annex1"/>
        <w:numPr>
          <w:ilvl w:val="0"/>
          <w:numId w:val="0"/>
        </w:numPr>
      </w:pPr>
      <w:bookmarkStart w:id="253" w:name="_Toc409422154"/>
      <w:bookmarkStart w:id="254" w:name="_Toc402102974"/>
      <w:bookmarkStart w:id="255" w:name="_Toc402430896"/>
      <w:bookmarkStart w:id="256" w:name="_Toc402431472"/>
      <w:bookmarkStart w:id="257" w:name="_Toc402431739"/>
      <w:bookmarkStart w:id="258" w:name="_Ref402432274"/>
      <w:bookmarkStart w:id="259" w:name="_Toc402433114"/>
      <w:bookmarkStart w:id="260" w:name="_Toc402433182"/>
      <w:bookmarkStart w:id="261" w:name="_Toc402433348"/>
      <w:bookmarkStart w:id="262" w:name="_Toc402433640"/>
      <w:bookmarkStart w:id="263" w:name="_Toc404154837"/>
      <w:bookmarkStart w:id="264" w:name="_Toc404155029"/>
      <w:bookmarkStart w:id="265" w:name="_Toc404155031"/>
      <w:bookmarkStart w:id="266" w:name="_Toc404155300"/>
      <w:bookmarkStart w:id="267" w:name="_Toc404156885"/>
      <w:bookmarkStart w:id="268" w:name="_Toc409008788"/>
      <w:bookmarkEnd w:id="251"/>
      <w:bookmarkEnd w:id="252"/>
      <w:r w:rsidRPr="00A56FC9">
        <w:t>[</w:t>
      </w:r>
      <w:r w:rsidRPr="00A56FC9">
        <w:rPr>
          <w:rFonts w:ascii="Wingdings" w:hAnsi="Wingdings"/>
        </w:rPr>
        <w:t></w:t>
      </w:r>
      <w:r w:rsidRPr="00A56FC9">
        <w:t>]</w:t>
      </w:r>
      <w:bookmarkEnd w:id="253"/>
      <w:r>
        <w:t xml:space="preserve"> </w:t>
      </w:r>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p>
    <w:p w:rsidR="00504D9A" w:rsidRDefault="00504D9A"/>
    <w:sectPr w:rsidR="00504D9A" w:rsidSect="00B03CF5">
      <w:footerReference w:type="even" r:id="rId75"/>
      <w:footerReference w:type="default" r:id="rId76"/>
      <w:footerReference w:type="first" r:id="rId77"/>
      <w:type w:val="oddPage"/>
      <w:pgSz w:w="11906" w:h="16838" w:code="9"/>
      <w:pgMar w:top="1418" w:right="1588" w:bottom="1418" w:left="1588" w:header="567" w:footer="567" w:gutter="0"/>
      <w:paperSrc w:first="15" w:other="15"/>
      <w:cols w:space="720"/>
      <w:titlePg/>
      <w:docGrid w:linePitch="22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76772" w:rsidRDefault="00776772">
      <w:pPr>
        <w:spacing w:after="0" w:line="240" w:lineRule="auto"/>
      </w:pPr>
      <w:r>
        <w:separator/>
      </w:r>
    </w:p>
  </w:endnote>
  <w:endnote w:type="continuationSeparator" w:id="0">
    <w:p w:rsidR="00776772" w:rsidRDefault="007767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Bold">
    <w:panose1 w:val="00000000000000000000"/>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MS PGothic">
    <w:panose1 w:val="020B0600070205080204"/>
    <w:charset w:val="80"/>
    <w:family w:val="swiss"/>
    <w:pitch w:val="variable"/>
    <w:sig w:usb0="E00002FF" w:usb1="6AC7FDFB" w:usb2="00000012" w:usb3="00000000" w:csb0="0002009F"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5766B" w:rsidRDefault="0005766B">
    <w:pPr>
      <w:pStyle w:val="Footer"/>
    </w:pPr>
    <w: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5766B" w:rsidRPr="004F65AF" w:rsidRDefault="0005766B" w:rsidP="00841EA0">
    <w:pPr>
      <w:pStyle w:val="Footer"/>
      <w:spacing w:before="720"/>
      <w:ind w:firstLine="1939"/>
    </w:pPr>
    <w:r>
      <w:tab/>
    </w:r>
    <w:r>
      <w:tab/>
    </w:r>
    <w:r>
      <w:rPr>
        <w:noProof/>
        <w:lang w:val="en-AU" w:eastAsia="en-AU"/>
      </w:rPr>
      <w:drawing>
        <wp:anchor distT="0" distB="0" distL="114300" distR="114300" simplePos="0" relativeHeight="251689984" behindDoc="0" locked="0" layoutInCell="1" allowOverlap="1" wp14:anchorId="1137D13C" wp14:editId="256293EF">
          <wp:simplePos x="0" y="0"/>
          <wp:positionH relativeFrom="page">
            <wp:posOffset>493395</wp:posOffset>
          </wp:positionH>
          <wp:positionV relativeFrom="page">
            <wp:posOffset>9879330</wp:posOffset>
          </wp:positionV>
          <wp:extent cx="1436400" cy="486000"/>
          <wp:effectExtent l="0" t="0" r="0" b="9525"/>
          <wp:wrapNone/>
          <wp:docPr id="117" name="Picture 117" descr="P:\projects\EG011\WP\EG011040\New logos (2011)\Red and blue\1049-logo-2-Colou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projects\EG011\WP\EG011040\New logos (2011)\Red and blue\1049-logo-2-Colour.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436400" cy="4860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B1006">
      <w:fldChar w:fldCharType="begin"/>
    </w:r>
    <w:r w:rsidR="008B1006">
      <w:instrText xml:space="preserve"> Styleref "Title: RefNo" \* MERGEFORMAT </w:instrText>
    </w:r>
    <w:r w:rsidR="008B1006">
      <w:fldChar w:fldCharType="separate"/>
    </w:r>
    <w:r w:rsidR="008B1006">
      <w:rPr>
        <w:noProof/>
      </w:rPr>
      <w:t>Ref: 2001604-244</w:t>
    </w:r>
    <w:r w:rsidR="008B1006">
      <w:rPr>
        <w:noProof/>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5766B" w:rsidRPr="004F65AF" w:rsidRDefault="0005766B" w:rsidP="00841EA0">
    <w:pPr>
      <w:pStyle w:val="Footer"/>
      <w:spacing w:before="720"/>
    </w:pPr>
    <w:r>
      <w:rPr>
        <w:noProof/>
        <w:lang w:val="en-AU" w:eastAsia="en-AU"/>
      </w:rPr>
      <w:drawing>
        <wp:anchor distT="0" distB="0" distL="114300" distR="114300" simplePos="0" relativeHeight="251688960" behindDoc="0" locked="0" layoutInCell="1" allowOverlap="1" wp14:anchorId="51D206F3" wp14:editId="01616AED">
          <wp:simplePos x="0" y="0"/>
          <wp:positionH relativeFrom="page">
            <wp:posOffset>5544820</wp:posOffset>
          </wp:positionH>
          <wp:positionV relativeFrom="page">
            <wp:posOffset>9879330</wp:posOffset>
          </wp:positionV>
          <wp:extent cx="1436400" cy="486000"/>
          <wp:effectExtent l="0" t="0" r="0" b="9525"/>
          <wp:wrapNone/>
          <wp:docPr id="118" name="Picture 118" descr="P:\projects\EG011\WP\EG011040\New logos (2011)\Red and blue\1049-logo-2-Colou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projects\EG011\WP\EG011040\New logos (2011)\Red and blue\1049-logo-2-Colour.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436400" cy="4860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B1006">
      <w:fldChar w:fldCharType="begin"/>
    </w:r>
    <w:r w:rsidR="008B1006">
      <w:instrText xml:space="preserve"> Styleref "Title: RefNo" \* MERGEFORMAT </w:instrText>
    </w:r>
    <w:r w:rsidR="008B1006">
      <w:fldChar w:fldCharType="separate"/>
    </w:r>
    <w:r w:rsidR="00A87B65">
      <w:rPr>
        <w:noProof/>
      </w:rPr>
      <w:t>Ref: 2001604-63</w:t>
    </w:r>
    <w:r w:rsidR="008B1006">
      <w:rPr>
        <w:noProof/>
      </w:rPr>
      <w:fldChar w:fldCharType="end"/>
    </w:r>
    <w:r>
      <w:tab/>
    </w:r>
    <w:r>
      <w:rPr>
        <w:rStyle w:val="ConfidentialFooter"/>
      </w:rPr>
      <w:fldChar w:fldCharType="begin"/>
    </w:r>
    <w:r>
      <w:rPr>
        <w:rStyle w:val="ConfidentialFooter"/>
      </w:rPr>
      <w:instrText xml:space="preserve"> DOCPROPERTY "Descriptor" \* MERGEFORMAT </w:instrText>
    </w:r>
    <w:r>
      <w:rPr>
        <w:rStyle w:val="ConfidentialFooter"/>
      </w:rPr>
      <w:fldChar w:fldCharType="separate"/>
    </w:r>
    <w:r w:rsidR="00A87B65">
      <w:rPr>
        <w:rStyle w:val="ConfidentialFooter"/>
        <w:b/>
        <w:bCs/>
        <w:lang w:val="en-US"/>
      </w:rPr>
      <w:t>Error! Unknown document property name.</w:t>
    </w:r>
    <w:r>
      <w:rPr>
        <w:rStyle w:val="ConfidentialFooter"/>
      </w:rPr>
      <w:fldChar w:fldCharType="end"/>
    </w:r>
    <w:r>
      <w:t xml:space="preserve"> </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5766B" w:rsidRPr="004F65AF" w:rsidRDefault="0005766B" w:rsidP="00841EA0">
    <w:pPr>
      <w:pStyle w:val="Footer"/>
      <w:spacing w:before="720"/>
    </w:pPr>
    <w:r>
      <w:rPr>
        <w:noProof/>
        <w:lang w:val="en-AU" w:eastAsia="en-AU"/>
      </w:rPr>
      <w:drawing>
        <wp:anchor distT="0" distB="0" distL="114300" distR="114300" simplePos="0" relativeHeight="251687936" behindDoc="0" locked="0" layoutInCell="1" allowOverlap="1" wp14:anchorId="114FC6FD" wp14:editId="3C9196ED">
          <wp:simplePos x="0" y="0"/>
          <wp:positionH relativeFrom="page">
            <wp:posOffset>5544820</wp:posOffset>
          </wp:positionH>
          <wp:positionV relativeFrom="page">
            <wp:posOffset>9879330</wp:posOffset>
          </wp:positionV>
          <wp:extent cx="1436400" cy="486000"/>
          <wp:effectExtent l="0" t="0" r="0" b="9525"/>
          <wp:wrapNone/>
          <wp:docPr id="119" name="Picture 119" descr="P:\projects\EG011\WP\EG011040\New logos (2011)\Red and blue\1049-logo-2-Colou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projects\EG011\WP\EG011040\New logos (2011)\Red and blue\1049-logo-2-Colour.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436400" cy="4860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B1006">
      <w:fldChar w:fldCharType="begin"/>
    </w:r>
    <w:r w:rsidR="008B1006">
      <w:instrText xml:space="preserve"> Styleref "Title: RefNo" \* MERGEFORMAT </w:instrText>
    </w:r>
    <w:r w:rsidR="008B1006">
      <w:fldChar w:fldCharType="separate"/>
    </w:r>
    <w:r w:rsidR="008B1006">
      <w:rPr>
        <w:noProof/>
      </w:rPr>
      <w:t>Ref: 2001604-244</w:t>
    </w:r>
    <w:r w:rsidR="008B1006">
      <w:rPr>
        <w:noProof/>
      </w:rPr>
      <w:fldChar w:fldCharType="end"/>
    </w:r>
    <w:r>
      <w:tab/>
      <w:t xml:space="preserve"> </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5766B" w:rsidRPr="004F65AF" w:rsidRDefault="0005766B" w:rsidP="00841EA0">
    <w:pPr>
      <w:pStyle w:val="Footer"/>
      <w:spacing w:before="720"/>
      <w:ind w:firstLine="1939"/>
    </w:pPr>
    <w:r>
      <w:tab/>
    </w:r>
    <w:r>
      <w:tab/>
    </w:r>
    <w:r>
      <w:rPr>
        <w:noProof/>
        <w:lang w:val="en-AU" w:eastAsia="en-AU"/>
      </w:rPr>
      <w:drawing>
        <wp:anchor distT="0" distB="0" distL="114300" distR="114300" simplePos="0" relativeHeight="251682816" behindDoc="0" locked="0" layoutInCell="1" allowOverlap="1" wp14:anchorId="3857DE39" wp14:editId="1DF503F4">
          <wp:simplePos x="0" y="0"/>
          <wp:positionH relativeFrom="page">
            <wp:posOffset>493395</wp:posOffset>
          </wp:positionH>
          <wp:positionV relativeFrom="page">
            <wp:posOffset>9879330</wp:posOffset>
          </wp:positionV>
          <wp:extent cx="1436400" cy="486000"/>
          <wp:effectExtent l="0" t="0" r="0" b="9525"/>
          <wp:wrapNone/>
          <wp:docPr id="120" name="Picture 120" descr="P:\projects\EG011\WP\EG011040\New logos (2011)\Red and blue\1049-logo-2-Colou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projects\EG011\WP\EG011040\New logos (2011)\Red and blue\1049-logo-2-Colour.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436400" cy="4860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B1006">
      <w:fldChar w:fldCharType="begin"/>
    </w:r>
    <w:r w:rsidR="008B1006">
      <w:instrText xml:space="preserve"> Styleref "Title: RefNo" \* MERGEFORMAT </w:instrText>
    </w:r>
    <w:r w:rsidR="008B1006">
      <w:fldChar w:fldCharType="separate"/>
    </w:r>
    <w:r w:rsidR="00A87B65">
      <w:rPr>
        <w:noProof/>
      </w:rPr>
      <w:t>Ref: 2001604-63</w:t>
    </w:r>
    <w:r w:rsidR="008B1006">
      <w:rPr>
        <w:noProof/>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5766B" w:rsidRPr="004F65AF" w:rsidRDefault="0005766B" w:rsidP="00841EA0">
    <w:pPr>
      <w:pStyle w:val="Footer"/>
      <w:spacing w:before="720"/>
    </w:pPr>
    <w:r>
      <w:rPr>
        <w:noProof/>
        <w:lang w:val="en-AU" w:eastAsia="en-AU"/>
      </w:rPr>
      <w:drawing>
        <wp:anchor distT="0" distB="0" distL="114300" distR="114300" simplePos="0" relativeHeight="251681792" behindDoc="0" locked="0" layoutInCell="1" allowOverlap="1" wp14:anchorId="5BA579E9" wp14:editId="7642CA6A">
          <wp:simplePos x="0" y="0"/>
          <wp:positionH relativeFrom="page">
            <wp:posOffset>5544820</wp:posOffset>
          </wp:positionH>
          <wp:positionV relativeFrom="page">
            <wp:posOffset>9879330</wp:posOffset>
          </wp:positionV>
          <wp:extent cx="1436400" cy="486000"/>
          <wp:effectExtent l="0" t="0" r="0" b="9525"/>
          <wp:wrapNone/>
          <wp:docPr id="121" name="Picture 121" descr="P:\projects\EG011\WP\EG011040\New logos (2011)\Red and blue\1049-logo-2-Colou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projects\EG011\WP\EG011040\New logos (2011)\Red and blue\1049-logo-2-Colour.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436400" cy="4860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B1006">
      <w:fldChar w:fldCharType="begin"/>
    </w:r>
    <w:r w:rsidR="008B1006">
      <w:instrText xml:space="preserve"> Styleref "Title: RefNo" \* MERGEFORMAT </w:instrText>
    </w:r>
    <w:r w:rsidR="008B1006">
      <w:fldChar w:fldCharType="separate"/>
    </w:r>
    <w:r w:rsidR="00A87B65">
      <w:rPr>
        <w:noProof/>
      </w:rPr>
      <w:t>Ref: 2001604-63</w:t>
    </w:r>
    <w:r w:rsidR="008B1006">
      <w:rPr>
        <w:noProof/>
      </w:rPr>
      <w:fldChar w:fldCharType="end"/>
    </w:r>
    <w:r>
      <w:tab/>
      <w:t xml:space="preserve"> </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5766B" w:rsidRPr="004F65AF" w:rsidRDefault="0005766B" w:rsidP="00841EA0">
    <w:pPr>
      <w:pStyle w:val="Footer"/>
      <w:spacing w:before="720"/>
    </w:pPr>
    <w:r>
      <w:rPr>
        <w:noProof/>
        <w:lang w:val="en-AU" w:eastAsia="en-AU"/>
      </w:rPr>
      <w:drawing>
        <wp:anchor distT="0" distB="0" distL="114300" distR="114300" simplePos="0" relativeHeight="251680768" behindDoc="0" locked="0" layoutInCell="1" allowOverlap="1" wp14:anchorId="7B5C3E7D" wp14:editId="1CD63687">
          <wp:simplePos x="0" y="0"/>
          <wp:positionH relativeFrom="page">
            <wp:posOffset>5544820</wp:posOffset>
          </wp:positionH>
          <wp:positionV relativeFrom="page">
            <wp:posOffset>9879330</wp:posOffset>
          </wp:positionV>
          <wp:extent cx="1436400" cy="486000"/>
          <wp:effectExtent l="0" t="0" r="0" b="9525"/>
          <wp:wrapNone/>
          <wp:docPr id="122" name="Picture 122" descr="P:\projects\EG011\WP\EG011040\New logos (2011)\Red and blue\1049-logo-2-Colou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projects\EG011\WP\EG011040\New logos (2011)\Red and blue\1049-logo-2-Colour.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436400" cy="4860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B1006">
      <w:fldChar w:fldCharType="begin"/>
    </w:r>
    <w:r w:rsidR="008B1006">
      <w:instrText xml:space="preserve"> Styleref "Title: RefNo" \* MERGEFORMAT </w:instrText>
    </w:r>
    <w:r w:rsidR="008B1006">
      <w:fldChar w:fldCharType="separate"/>
    </w:r>
    <w:r w:rsidR="008B1006">
      <w:rPr>
        <w:noProof/>
      </w:rPr>
      <w:t>Ref: 2001604-244</w:t>
    </w:r>
    <w:r w:rsidR="008B1006">
      <w:rPr>
        <w:noProof/>
      </w:rPr>
      <w:fldChar w:fldCharType="end"/>
    </w:r>
    <w:r>
      <w:tab/>
      <w:t xml:space="preserve"> </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5766B" w:rsidRPr="004F65AF" w:rsidRDefault="0005766B" w:rsidP="00841EA0">
    <w:pPr>
      <w:pStyle w:val="Footer"/>
      <w:spacing w:before="720"/>
      <w:ind w:firstLine="1939"/>
    </w:pPr>
    <w:r>
      <w:tab/>
    </w:r>
    <w:r>
      <w:tab/>
    </w:r>
    <w:r>
      <w:rPr>
        <w:noProof/>
        <w:lang w:val="en-AU" w:eastAsia="en-AU"/>
      </w:rPr>
      <w:drawing>
        <wp:anchor distT="0" distB="0" distL="114300" distR="114300" simplePos="0" relativeHeight="251694080" behindDoc="0" locked="0" layoutInCell="1" allowOverlap="1" wp14:anchorId="60F688EC" wp14:editId="6CEFA232">
          <wp:simplePos x="0" y="0"/>
          <wp:positionH relativeFrom="page">
            <wp:posOffset>493395</wp:posOffset>
          </wp:positionH>
          <wp:positionV relativeFrom="page">
            <wp:posOffset>9879330</wp:posOffset>
          </wp:positionV>
          <wp:extent cx="1436400" cy="486000"/>
          <wp:effectExtent l="0" t="0" r="0" b="9525"/>
          <wp:wrapNone/>
          <wp:docPr id="13" name="Picture 13" descr="P:\projects\EG011\WP\EG011040\New logos (2011)\Red and blue\1049-logo-2-Colou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projects\EG011\WP\EG011040\New logos (2011)\Red and blue\1049-logo-2-Colour.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436400" cy="4860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B1006">
      <w:fldChar w:fldCharType="begin"/>
    </w:r>
    <w:r w:rsidR="008B1006">
      <w:instrText xml:space="preserve"> Styleref "Title: RefNo" \* MERGEFORMAT </w:instrText>
    </w:r>
    <w:r w:rsidR="008B1006">
      <w:fldChar w:fldCharType="separate"/>
    </w:r>
    <w:r w:rsidR="008B1006">
      <w:rPr>
        <w:noProof/>
      </w:rPr>
      <w:t>Ref: 2001604-244</w:t>
    </w:r>
    <w:r w:rsidR="008B1006">
      <w:rPr>
        <w:noProof/>
      </w:rPr>
      <w:fldChar w:fldCharType="end"/>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5766B" w:rsidRPr="004F65AF" w:rsidRDefault="0005766B" w:rsidP="005A106E">
    <w:pPr>
      <w:pStyle w:val="Footer"/>
      <w:spacing w:before="720"/>
    </w:pPr>
    <w:r>
      <w:rPr>
        <w:noProof/>
        <w:lang w:val="en-AU" w:eastAsia="en-AU"/>
      </w:rPr>
      <w:drawing>
        <wp:anchor distT="0" distB="0" distL="114300" distR="114300" simplePos="0" relativeHeight="251702272" behindDoc="0" locked="0" layoutInCell="1" allowOverlap="1" wp14:anchorId="402E378C" wp14:editId="4815D88A">
          <wp:simplePos x="0" y="0"/>
          <wp:positionH relativeFrom="page">
            <wp:posOffset>5544820</wp:posOffset>
          </wp:positionH>
          <wp:positionV relativeFrom="page">
            <wp:posOffset>9879330</wp:posOffset>
          </wp:positionV>
          <wp:extent cx="1436400" cy="486000"/>
          <wp:effectExtent l="0" t="0" r="0" b="9525"/>
          <wp:wrapNone/>
          <wp:docPr id="19" name="Picture 19" descr="P:\projects\EG011\WP\EG011040\New logos (2011)\Red and blue\1049-logo-2-Colou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projects\EG011\WP\EG011040\New logos (2011)\Red and blue\1049-logo-2-Colour.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436400" cy="4860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B1006">
      <w:fldChar w:fldCharType="begin"/>
    </w:r>
    <w:r w:rsidR="008B1006">
      <w:instrText xml:space="preserve"> Styleref "Title: RefNo" \* MERGEFORMAT </w:instrText>
    </w:r>
    <w:r w:rsidR="008B1006">
      <w:fldChar w:fldCharType="separate"/>
    </w:r>
    <w:r w:rsidR="008B1006">
      <w:rPr>
        <w:noProof/>
      </w:rPr>
      <w:t>Ref: 2001604-244</w:t>
    </w:r>
    <w:r w:rsidR="008B1006">
      <w:rPr>
        <w:noProof/>
      </w:rPr>
      <w:fldChar w:fldCharType="end"/>
    </w:r>
    <w:r>
      <w:tab/>
      <w:t xml:space="preserve"> </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5766B" w:rsidRPr="004F65AF" w:rsidRDefault="0005766B" w:rsidP="005A106E">
    <w:pPr>
      <w:pStyle w:val="Footer"/>
      <w:spacing w:before="720"/>
    </w:pPr>
    <w:r>
      <w:rPr>
        <w:noProof/>
        <w:lang w:val="en-AU" w:eastAsia="en-AU"/>
      </w:rPr>
      <w:drawing>
        <wp:anchor distT="0" distB="0" distL="114300" distR="114300" simplePos="0" relativeHeight="251700224" behindDoc="0" locked="0" layoutInCell="1" allowOverlap="1" wp14:anchorId="09210871" wp14:editId="534D9684">
          <wp:simplePos x="0" y="0"/>
          <wp:positionH relativeFrom="page">
            <wp:posOffset>5544820</wp:posOffset>
          </wp:positionH>
          <wp:positionV relativeFrom="page">
            <wp:posOffset>9879330</wp:posOffset>
          </wp:positionV>
          <wp:extent cx="1436400" cy="486000"/>
          <wp:effectExtent l="0" t="0" r="0" b="9525"/>
          <wp:wrapNone/>
          <wp:docPr id="20" name="Picture 20" descr="P:\projects\EG011\WP\EG011040\New logos (2011)\Red and blue\1049-logo-2-Colou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projects\EG011\WP\EG011040\New logos (2011)\Red and blue\1049-logo-2-Colour.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436400" cy="4860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B1006">
      <w:fldChar w:fldCharType="begin"/>
    </w:r>
    <w:r w:rsidR="008B1006">
      <w:instrText xml:space="preserve"> Styleref "Ti</w:instrText>
    </w:r>
    <w:r w:rsidR="008B1006">
      <w:instrText xml:space="preserve">tle: RefNo" \* MERGEFORMAT </w:instrText>
    </w:r>
    <w:r w:rsidR="008B1006">
      <w:fldChar w:fldCharType="separate"/>
    </w:r>
    <w:r w:rsidR="008B1006">
      <w:rPr>
        <w:noProof/>
      </w:rPr>
      <w:t>Ref: 2001604-244</w:t>
    </w:r>
    <w:r w:rsidR="008B1006">
      <w:rPr>
        <w:noProof/>
      </w:rPr>
      <w:fldChar w:fldCharType="end"/>
    </w:r>
    <w:r>
      <w:tab/>
      <w:t xml:space="preserve"> </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5766B" w:rsidRDefault="0005766B">
    <w:pPr>
      <w:pStyle w:val="Foote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5766B" w:rsidRDefault="0005766B">
    <w:pPr>
      <w:pStyle w:val="Foote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5766B" w:rsidRDefault="0005766B">
    <w:pPr>
      <w:pStyle w:val="Footer"/>
      <w:ind w:left="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76772" w:rsidRDefault="00776772">
      <w:pPr>
        <w:spacing w:after="180" w:line="180" w:lineRule="exact"/>
        <w:ind w:left="-499"/>
      </w:pPr>
      <w:r>
        <w:separator/>
      </w:r>
    </w:p>
  </w:footnote>
  <w:footnote w:type="continuationSeparator" w:id="0">
    <w:p w:rsidR="00776772" w:rsidRDefault="00776772">
      <w:pPr>
        <w:spacing w:after="180" w:line="180" w:lineRule="exact"/>
      </w:pPr>
      <w:r>
        <w:continuationSeparator/>
      </w:r>
    </w:p>
  </w:footnote>
  <w:footnote w:id="1">
    <w:p w:rsidR="0005766B" w:rsidRDefault="0005766B" w:rsidP="00B873A7">
      <w:pPr>
        <w:pStyle w:val="FootnoteText"/>
      </w:pPr>
      <w:r>
        <w:rPr>
          <w:rStyle w:val="FootnoteReference"/>
        </w:rPr>
        <w:footnoteRef/>
      </w:r>
      <w:r>
        <w:t xml:space="preserve"> </w:t>
      </w:r>
      <w:r>
        <w:tab/>
        <w:t>In this report we use the term mobile broadband to refer to mobile data on ‘large-screen’ devices such as laptops and ‘mid-screen’ devices such as tablets. We use mobile data as an all-encompassing term to refer to data on all types of mobile devices, including handsets.</w:t>
      </w:r>
    </w:p>
  </w:footnote>
  <w:footnote w:id="2">
    <w:p w:rsidR="0005766B" w:rsidRDefault="0005766B" w:rsidP="00B873A7">
      <w:pPr>
        <w:pStyle w:val="FootnoteText"/>
        <w:jc w:val="left"/>
      </w:pPr>
      <w:r>
        <w:rPr>
          <w:rStyle w:val="FootnoteReference"/>
        </w:rPr>
        <w:footnoteRef/>
      </w:r>
      <w:r>
        <w:t xml:space="preserve"> </w:t>
      </w:r>
      <w:r>
        <w:tab/>
        <w:t>Australian Bureau of Statistics, “</w:t>
      </w:r>
      <w:r w:rsidRPr="001363C4">
        <w:t>Projected population, components of change and summary sta</w:t>
      </w:r>
      <w:r>
        <w:t xml:space="preserve">tistics – Australia, </w:t>
      </w:r>
      <w:r w:rsidRPr="001363C4">
        <w:t>state/territory, capital city/balance of state, 2006–2101</w:t>
      </w:r>
      <w:r>
        <w:t xml:space="preserve">” (04.09.2008), available at </w:t>
      </w:r>
      <w:r w:rsidRPr="001363C4">
        <w:t>http://www.abs.gov.au/AUSSTATS/abs@.nsf/DetailsPage/3222.02006%20to%202101?OpenDocument</w:t>
      </w:r>
    </w:p>
  </w:footnote>
  <w:footnote w:id="3">
    <w:p w:rsidR="0005766B" w:rsidRDefault="0005766B" w:rsidP="00B873A7">
      <w:pPr>
        <w:pStyle w:val="FootnoteText"/>
        <w:spacing w:after="0"/>
        <w:jc w:val="left"/>
      </w:pPr>
      <w:r>
        <w:rPr>
          <w:rStyle w:val="FootnoteReference"/>
        </w:rPr>
        <w:footnoteRef/>
      </w:r>
      <w:r>
        <w:t xml:space="preserve"> </w:t>
      </w:r>
      <w:r>
        <w:tab/>
        <w:t xml:space="preserve">The key differences between these scenarios lie in the following drivers: net migration, life expectancy for males and females and the fertility rate. In each case, Series B represents the mid-ground between Series A and C. More details are available on the ABS website: </w:t>
      </w:r>
      <w:r w:rsidRPr="009A2A9B">
        <w:t>http://www.abs.gov.au/AUSSTATS/abs@.nsf/Lookup/3222.0Main+Features12006%20to%202101?OpenDocument</w:t>
      </w:r>
    </w:p>
  </w:footnote>
  <w:footnote w:id="4">
    <w:p w:rsidR="0005766B" w:rsidRDefault="0005766B" w:rsidP="00B873A7">
      <w:pPr>
        <w:pStyle w:val="FootnoteText"/>
        <w:jc w:val="left"/>
      </w:pPr>
      <w:r>
        <w:rPr>
          <w:rStyle w:val="FootnoteReference"/>
        </w:rPr>
        <w:footnoteRef/>
      </w:r>
      <w:r>
        <w:t xml:space="preserve"> </w:t>
      </w:r>
      <w:r>
        <w:tab/>
        <w:t xml:space="preserve">Australian Bureau of Statistics, “National Regional Profile (ASGS)”, available at </w:t>
      </w:r>
      <w:r w:rsidRPr="002C220C">
        <w:t>http://stat.abs.gov.au//Index.aspx?QueryId=541</w:t>
      </w:r>
    </w:p>
  </w:footnote>
  <w:footnote w:id="5">
    <w:p w:rsidR="0005766B" w:rsidRDefault="0005766B" w:rsidP="00B873A7">
      <w:pPr>
        <w:pStyle w:val="FootnoteText"/>
      </w:pPr>
      <w:r>
        <w:rPr>
          <w:rStyle w:val="FootnoteReference"/>
        </w:rPr>
        <w:footnoteRef/>
      </w:r>
      <w:r>
        <w:t xml:space="preserve"> </w:t>
      </w:r>
      <w:r>
        <w:tab/>
        <w:t xml:space="preserve">Australian Bureau of Statistics, “Projected number of households, Household type—2006 to 2031” (30 June 2006), available at </w:t>
      </w:r>
      <w:r w:rsidRPr="004A6D59">
        <w:t>http://www.abs.gov.au/AUSSTATS/abs@.nsf/DetailsPage/3236.02006%20to%202031?OpenDocument</w:t>
      </w:r>
    </w:p>
  </w:footnote>
  <w:footnote w:id="6">
    <w:p w:rsidR="0005766B" w:rsidRDefault="0005766B">
      <w:pPr>
        <w:pStyle w:val="FootnoteText"/>
      </w:pPr>
      <w:r>
        <w:rPr>
          <w:rStyle w:val="FootnoteReference"/>
        </w:rPr>
        <w:footnoteRef/>
      </w:r>
      <w:r>
        <w:t xml:space="preserve"> </w:t>
      </w:r>
      <w:r>
        <w:tab/>
        <w:t xml:space="preserve">Source: Euromonitor International Passport database (see </w:t>
      </w:r>
      <w:hyperlink r:id="rId1" w:history="1">
        <w:r w:rsidRPr="001E01A4">
          <w:rPr>
            <w:rStyle w:val="Hyperlink"/>
          </w:rPr>
          <w:t>http://www.euromonitor.com/passport</w:t>
        </w:r>
      </w:hyperlink>
      <w:r>
        <w:t>, subscription required to view data)</w:t>
      </w:r>
    </w:p>
  </w:footnote>
  <w:footnote w:id="7">
    <w:p w:rsidR="0005766B" w:rsidRDefault="0005766B" w:rsidP="00B873A7">
      <w:pPr>
        <w:pStyle w:val="FootnoteText"/>
      </w:pPr>
      <w:r>
        <w:rPr>
          <w:rStyle w:val="FootnoteReference"/>
        </w:rPr>
        <w:footnoteRef/>
      </w:r>
      <w:r>
        <w:t xml:space="preserve"> </w:t>
      </w:r>
      <w:r>
        <w:tab/>
        <w:t xml:space="preserve">Plum Consulting, </w:t>
      </w:r>
      <w:r w:rsidRPr="006429B7">
        <w:rPr>
          <w:i/>
        </w:rPr>
        <w:t>The economic benefits from deploying 1.4 GHz spectrum for a mobile broadband supplemental downlink in the MENA region</w:t>
      </w:r>
      <w:r>
        <w:rPr>
          <w:i/>
        </w:rPr>
        <w:t xml:space="preserve">, </w:t>
      </w:r>
      <w:r>
        <w:t>A report for Ericsson and Qualcomm, 12 October 2012</w:t>
      </w:r>
    </w:p>
    <w:p w:rsidR="0005766B" w:rsidRDefault="0005766B" w:rsidP="00B873A7">
      <w:pPr>
        <w:pStyle w:val="FootnoteText"/>
      </w:pPr>
      <w:r>
        <w:tab/>
        <w:t>The studies quoted in the table are sourced to their original authors in Figure C-9 of the Plum report</w:t>
      </w:r>
    </w:p>
  </w:footnote>
  <w:footnote w:id="8">
    <w:p w:rsidR="0005766B" w:rsidRDefault="0005766B" w:rsidP="00B873A7">
      <w:pPr>
        <w:pStyle w:val="FootnoteText"/>
      </w:pPr>
      <w:r>
        <w:rPr>
          <w:rStyle w:val="FootnoteReference"/>
        </w:rPr>
        <w:footnoteRef/>
      </w:r>
      <w:r>
        <w:t xml:space="preserve"> </w:t>
      </w:r>
      <w:r>
        <w:tab/>
      </w:r>
      <w:r>
        <w:rPr>
          <w:szCs w:val="16"/>
        </w:rPr>
        <w:t xml:space="preserve">Pratompong Srinuan, Chalita Srinuan and Erik Bohlin (2012). Fixed and mobile broadband substitution in Sweden. </w:t>
      </w:r>
      <w:r>
        <w:rPr>
          <w:i/>
          <w:iCs/>
          <w:szCs w:val="16"/>
        </w:rPr>
        <w:t>Telecommunications Policy</w:t>
      </w:r>
      <w:r>
        <w:rPr>
          <w:szCs w:val="16"/>
        </w:rPr>
        <w:t>, 36, 237-251.</w:t>
      </w:r>
    </w:p>
  </w:footnote>
  <w:footnote w:id="9">
    <w:p w:rsidR="0005766B" w:rsidRDefault="0005766B" w:rsidP="00B873A7">
      <w:pPr>
        <w:pStyle w:val="FootnoteText"/>
      </w:pPr>
      <w:r>
        <w:rPr>
          <w:rStyle w:val="FootnoteReference"/>
        </w:rPr>
        <w:footnoteRef/>
      </w:r>
      <w:r>
        <w:t xml:space="preserve"> </w:t>
      </w:r>
      <w:r>
        <w:tab/>
        <w:t>Also referred to as average revenue per connection</w:t>
      </w:r>
    </w:p>
  </w:footnote>
  <w:footnote w:id="10">
    <w:p w:rsidR="002533A7" w:rsidRDefault="002533A7" w:rsidP="002533A7">
      <w:pPr>
        <w:pStyle w:val="FootnoteText"/>
      </w:pPr>
      <w:r>
        <w:rPr>
          <w:rStyle w:val="FootnoteReference"/>
        </w:rPr>
        <w:footnoteRef/>
      </w:r>
      <w:r>
        <w:t xml:space="preserve"> </w:t>
      </w:r>
      <w:r>
        <w:tab/>
        <w:t>Note: more recent data was not available from the Optus website as of 18 September 2014</w:t>
      </w:r>
    </w:p>
  </w:footnote>
  <w:footnote w:id="11">
    <w:p w:rsidR="0005766B" w:rsidRPr="00AC04B0" w:rsidRDefault="0005766B">
      <w:pPr>
        <w:pStyle w:val="FootnoteText"/>
        <w:rPr>
          <w:sz w:val="15"/>
          <w:szCs w:val="15"/>
        </w:rPr>
      </w:pPr>
      <w:r>
        <w:rPr>
          <w:rStyle w:val="FootnoteReference"/>
        </w:rPr>
        <w:footnoteRef/>
      </w:r>
      <w:r>
        <w:t xml:space="preserve"> </w:t>
      </w:r>
      <w:r>
        <w:tab/>
      </w:r>
      <w:r w:rsidRPr="00AC04B0">
        <w:rPr>
          <w:sz w:val="15"/>
          <w:szCs w:val="15"/>
        </w:rPr>
        <w:t>These includes among others Analysys Mason’s mobile LRIC models for the regulatory authorities of France (</w:t>
      </w:r>
      <w:hyperlink r:id="rId2" w:history="1">
        <w:r w:rsidRPr="00AC04B0">
          <w:rPr>
            <w:rStyle w:val="Hyperlink"/>
            <w:sz w:val="15"/>
            <w:szCs w:val="15"/>
          </w:rPr>
          <w:t>http://arcep.fr/index.php?id=8571&amp;tx_gsactualite_pi1[uid]=1686&amp;tx_gsactualite_pi1[annee]=&amp;tx_gsactualite_pi1[theme]=&amp;tx_gsactualite_pi1[motscle]=&amp;tx_gsactualite_pi1[backID]=26&amp;cHash=ecd5376ef659ba70fcde1b5d7e09f8c0</w:t>
        </w:r>
      </w:hyperlink>
      <w:r w:rsidRPr="00AC04B0">
        <w:rPr>
          <w:sz w:val="15"/>
          <w:szCs w:val="15"/>
        </w:rPr>
        <w:t>), Sweden (</w:t>
      </w:r>
      <w:hyperlink r:id="rId3" w:history="1">
        <w:r w:rsidRPr="00AC04B0">
          <w:rPr>
            <w:rStyle w:val="Hyperlink"/>
            <w:sz w:val="15"/>
            <w:szCs w:val="15"/>
          </w:rPr>
          <w:t>http://www.pts.se/sv/Bransch/Telefoni/SMP---Prisreglering/Kalkylarbete-mobilnat/Gallande-prisreglering/</w:t>
        </w:r>
      </w:hyperlink>
      <w:r w:rsidRPr="00AC04B0">
        <w:rPr>
          <w:sz w:val="15"/>
          <w:szCs w:val="15"/>
        </w:rPr>
        <w:t>), the Netherlands (</w:t>
      </w:r>
      <w:hyperlink r:id="rId4" w:history="1">
        <w:r w:rsidRPr="00AC04B0">
          <w:rPr>
            <w:rStyle w:val="Hyperlink"/>
            <w:sz w:val="15"/>
            <w:szCs w:val="15"/>
          </w:rPr>
          <w:t>https://www.acm.nl/nl/publicaties/publicatie/11321/Ontwerpbesluit-marktanalyse-vaste-en-mobiele-gespreksafgifte-2013-2015/</w:t>
        </w:r>
      </w:hyperlink>
      <w:r w:rsidRPr="00AC04B0">
        <w:rPr>
          <w:sz w:val="15"/>
          <w:szCs w:val="15"/>
        </w:rPr>
        <w:t>)  and Norway (</w:t>
      </w:r>
      <w:hyperlink r:id="rId5" w:history="1">
        <w:r w:rsidRPr="00AC04B0">
          <w:rPr>
            <w:rStyle w:val="Hyperlink"/>
            <w:sz w:val="15"/>
            <w:szCs w:val="15"/>
          </w:rPr>
          <w:t>http://www.npt.no/marked/markedsregulering-smp/kostnadsmodeller/lric-mobilnett</w:t>
        </w:r>
      </w:hyperlink>
      <w:r w:rsidRPr="00AC04B0">
        <w:rPr>
          <w:sz w:val="15"/>
          <w:szCs w:val="15"/>
        </w:rPr>
        <w:t>)</w:t>
      </w:r>
    </w:p>
  </w:footnote>
  <w:footnote w:id="12">
    <w:p w:rsidR="0005766B" w:rsidRDefault="0005766B" w:rsidP="005A106E">
      <w:pPr>
        <w:pStyle w:val="FootnoteText"/>
        <w:spacing w:after="0"/>
      </w:pPr>
      <w:r>
        <w:rPr>
          <w:rStyle w:val="FootnoteReference"/>
        </w:rPr>
        <w:footnoteRef/>
      </w:r>
      <w:r>
        <w:t xml:space="preserve"> </w:t>
      </w:r>
      <w:r>
        <w:tab/>
        <w:t>For example, LTE coverage is first deployed in the 1800MHz band before the 700MHz spectrum is available, so the coverage grid is initially based on the 1800MHz coverage properties. Therefore, the capacity provided by these sites deployed for coverage in the 1800MHz band is accounted for as capacity provided by the low-frequency bands in this test. On the other hand, the capacity provided by equipment deployed in the 1800MHz band on a site initially deployed in the 700MHz band is accounted for as capacity provided by the high-frequency bands.</w:t>
      </w:r>
    </w:p>
  </w:footnote>
  <w:footnote w:id="13">
    <w:p w:rsidR="0005766B" w:rsidRDefault="0005766B">
      <w:pPr>
        <w:pStyle w:val="FootnoteText"/>
      </w:pPr>
      <w:r>
        <w:rPr>
          <w:rStyle w:val="FootnoteReference"/>
        </w:rPr>
        <w:footnoteRef/>
      </w:r>
      <w:r>
        <w:t xml:space="preserve"> </w:t>
      </w:r>
      <w:r>
        <w:tab/>
        <w:t>For more information see pp41-43 of Analysys Mason’s report for Ofcom “Assessment of the benefits</w:t>
      </w:r>
      <w:r>
        <w:br/>
        <w:t xml:space="preserve">of a change of use of the 700MHz band to mobile”, 27 October 2014, available from </w:t>
      </w:r>
      <w:r w:rsidRPr="009B0305">
        <w:t>http://stakeholders.ofcom.org.uk/consultations/700MHz/</w:t>
      </w:r>
    </w:p>
  </w:footnote>
  <w:footnote w:id="14">
    <w:p w:rsidR="0005766B" w:rsidRDefault="0005766B">
      <w:pPr>
        <w:pStyle w:val="FootnoteText"/>
      </w:pPr>
      <w:r>
        <w:rPr>
          <w:rStyle w:val="FootnoteReference"/>
        </w:rPr>
        <w:footnoteRef/>
      </w:r>
      <w:r>
        <w:t xml:space="preserve"> </w:t>
      </w:r>
      <w:r>
        <w:tab/>
      </w:r>
      <w:r w:rsidRPr="00196691">
        <w:t>"Population Estimates by Statistical Area Level 2, 2003 to 2013"</w:t>
      </w:r>
      <w:r>
        <w:t xml:space="preserve"> for the population, available</w:t>
      </w:r>
      <w:r w:rsidRPr="00196691">
        <w:t xml:space="preserve"> at http://www.abs.gov.au/AUSSTATS/abs@.nsf/DetailsPage/3218.02012-13?OpenDocument</w:t>
      </w:r>
    </w:p>
  </w:footnote>
  <w:footnote w:id="15">
    <w:p w:rsidR="0005766B" w:rsidRDefault="0005766B" w:rsidP="00196691">
      <w:pPr>
        <w:pStyle w:val="FootnoteText"/>
      </w:pPr>
      <w:r>
        <w:rPr>
          <w:rStyle w:val="FootnoteReference"/>
        </w:rPr>
        <w:footnoteRef/>
      </w:r>
      <w:r>
        <w:t xml:space="preserve"> </w:t>
      </w:r>
      <w:r>
        <w:tab/>
      </w:r>
      <w:r w:rsidRPr="00196691">
        <w:t xml:space="preserve">"Statistical Area Level 2 (SA2) ASGS Ed 2011 Digital Boundaires in ESRI Shapefile Format" </w:t>
      </w:r>
      <w:r>
        <w:t xml:space="preserve">for the size of SA2s, available </w:t>
      </w:r>
      <w:r w:rsidRPr="00196691">
        <w:t>at http://www.abs.gov.au/AUSSTATS/abs@.nsf/DetailsPage/1270.0.55.001July%202011</w:t>
      </w:r>
    </w:p>
  </w:footnote>
  <w:footnote w:id="16">
    <w:p w:rsidR="0005766B" w:rsidRDefault="0005766B" w:rsidP="00B873A7">
      <w:pPr>
        <w:pStyle w:val="FootnoteText"/>
      </w:pPr>
      <w:r>
        <w:rPr>
          <w:rStyle w:val="FootnoteReference"/>
        </w:rPr>
        <w:footnoteRef/>
      </w:r>
      <w:r>
        <w:t xml:space="preserve"> </w:t>
      </w:r>
      <w:r>
        <w:tab/>
        <w:t>Roy Morgan Single Source, Mobile Phone Market Share, April 2009 to March 2012.</w:t>
      </w:r>
    </w:p>
  </w:footnote>
  <w:footnote w:id="17">
    <w:p w:rsidR="0005766B" w:rsidRPr="004C1D0B" w:rsidRDefault="0005766B" w:rsidP="00B351CC">
      <w:pPr>
        <w:pStyle w:val="FootnoteText"/>
      </w:pPr>
      <w:r>
        <w:rPr>
          <w:rStyle w:val="FootnoteReference"/>
        </w:rPr>
        <w:footnoteRef/>
      </w:r>
      <w:r>
        <w:t xml:space="preserve"> </w:t>
      </w:r>
      <w:r>
        <w:tab/>
        <w:t xml:space="preserve">Optus </w:t>
      </w:r>
      <w:r w:rsidRPr="004C1D0B">
        <w:t>has 98MHz of 2.3GHz spectrum in Brisbane, Adelaide and Perth; 80MHz in Sydney and Melbourne and 70MHz in Canberra.</w:t>
      </w:r>
    </w:p>
  </w:footnote>
  <w:footnote w:id="18">
    <w:p w:rsidR="0005766B" w:rsidRDefault="0005766B" w:rsidP="00B351CC">
      <w:pPr>
        <w:pStyle w:val="FootnoteText"/>
      </w:pPr>
      <w:r>
        <w:rPr>
          <w:rStyle w:val="FootnoteReference"/>
        </w:rPr>
        <w:footnoteRef/>
      </w:r>
      <w:r>
        <w:t xml:space="preserve"> </w:t>
      </w:r>
      <w:r>
        <w:tab/>
      </w:r>
      <w:r w:rsidRPr="00201EC7">
        <w:t>Telstra has 2</w:t>
      </w:r>
      <w:r>
        <w:t>×</w:t>
      </w:r>
      <w:r w:rsidRPr="00201EC7">
        <w:t>10MHz of 800MHz spectrum in Sydney, Melbourne, Brisbane, Adelaide and Perth, and 2</w:t>
      </w:r>
      <w:r>
        <w:t>×</w:t>
      </w:r>
      <w:r w:rsidRPr="00201EC7">
        <w:t xml:space="preserve">15MHz of 800MHz spectrum </w:t>
      </w:r>
      <w:r>
        <w:t xml:space="preserve">in </w:t>
      </w:r>
      <w:r w:rsidRPr="00201EC7">
        <w:t>Hobart, Darwin and Canberra in metropolitan area</w:t>
      </w:r>
      <w:r>
        <w:t>s</w:t>
      </w:r>
      <w:r w:rsidRPr="00201EC7">
        <w:t>. As the largest cities have 2</w:t>
      </w:r>
      <w:r>
        <w:t>×</w:t>
      </w:r>
      <w:r w:rsidRPr="00201EC7">
        <w:t>10MHz, we assume an allocation of 2</w:t>
      </w:r>
      <w:r>
        <w:t>×</w:t>
      </w:r>
      <w:r w:rsidRPr="00201EC7">
        <w:t>10MHz in all metropolitan areas.</w:t>
      </w:r>
    </w:p>
  </w:footnote>
  <w:footnote w:id="19">
    <w:p w:rsidR="0005766B" w:rsidRDefault="0005766B" w:rsidP="00B351CC">
      <w:pPr>
        <w:pStyle w:val="FootnoteText"/>
      </w:pPr>
      <w:r>
        <w:rPr>
          <w:rStyle w:val="FootnoteReference"/>
        </w:rPr>
        <w:footnoteRef/>
      </w:r>
      <w:r>
        <w:t xml:space="preserve"> </w:t>
      </w:r>
      <w:r>
        <w:tab/>
      </w:r>
      <w:r w:rsidRPr="00201EC7">
        <w:t>Telstra has 2</w:t>
      </w:r>
      <w:r>
        <w:t>×</w:t>
      </w:r>
      <w:r w:rsidRPr="00201EC7">
        <w:t>15MHz of 1800MHz spectrum in Sydney and Melbourne, 2</w:t>
      </w:r>
      <w:r>
        <w:t>×</w:t>
      </w:r>
      <w:r w:rsidRPr="00201EC7">
        <w:t>20MHz in Brisbane, Perth and Adelaide and 2</w:t>
      </w:r>
      <w:r>
        <w:t>×</w:t>
      </w:r>
      <w:r w:rsidRPr="00201EC7">
        <w:t>10MHz in Hobart, Darwin and Canberra in metropolitan areas; as Sydney and Melbourne are the two largest cities, and also have the average allocation of Telstra in this band, we assume an allocation of 2</w:t>
      </w:r>
      <w:r>
        <w:t>×</w:t>
      </w:r>
      <w:r w:rsidRPr="00201EC7">
        <w:t>15MHz in all metropolitan areas.</w:t>
      </w:r>
    </w:p>
  </w:footnote>
  <w:footnote w:id="20">
    <w:p w:rsidR="0005766B" w:rsidRDefault="0005766B" w:rsidP="00B351CC">
      <w:pPr>
        <w:pStyle w:val="FootnoteText"/>
      </w:pPr>
      <w:r>
        <w:rPr>
          <w:rStyle w:val="FootnoteReference"/>
        </w:rPr>
        <w:footnoteRef/>
      </w:r>
      <w:r>
        <w:t xml:space="preserve"> </w:t>
      </w:r>
      <w:r>
        <w:tab/>
      </w:r>
      <w:r w:rsidRPr="00E85154">
        <w:t>VHA has 2</w:t>
      </w:r>
      <w:r>
        <w:t>×10MHz of 800</w:t>
      </w:r>
      <w:r w:rsidRPr="00E85154">
        <w:t>MHz spectrum in Sydney, Melbourne, Brisbane, Adelaide and Perth, and 2</w:t>
      </w:r>
      <w:r>
        <w:t>×5MHz of 800</w:t>
      </w:r>
      <w:r w:rsidRPr="00E85154">
        <w:t>MHz spectrum in Hobart, Darwin and Canberra in metropolitan area</w:t>
      </w:r>
      <w:r>
        <w:t>s</w:t>
      </w:r>
      <w:r w:rsidRPr="00E85154">
        <w:t>. As the largest cities have 2</w:t>
      </w:r>
      <w:r>
        <w:t>×</w:t>
      </w:r>
      <w:r w:rsidRPr="00E85154">
        <w:t>10MHz, we assume an allocation of 2</w:t>
      </w:r>
      <w:r>
        <w:t>×</w:t>
      </w:r>
      <w:r w:rsidRPr="00E85154">
        <w:t>10MHz in all metropolitan areas.</w:t>
      </w:r>
    </w:p>
  </w:footnote>
  <w:footnote w:id="21">
    <w:p w:rsidR="0005766B" w:rsidRDefault="0005766B" w:rsidP="00B351CC">
      <w:pPr>
        <w:pStyle w:val="FootnoteText"/>
      </w:pPr>
      <w:r>
        <w:rPr>
          <w:rStyle w:val="FootnoteReference"/>
        </w:rPr>
        <w:footnoteRef/>
      </w:r>
      <w:r>
        <w:t xml:space="preserve"> </w:t>
      </w:r>
      <w:r>
        <w:tab/>
      </w:r>
      <w:r w:rsidRPr="00E85154">
        <w:t>VHA has 2</w:t>
      </w:r>
      <w:r>
        <w:t>×30MHz of 1800</w:t>
      </w:r>
      <w:r w:rsidRPr="00E85154">
        <w:t>MHz spectrum in Sydney and Melbourne, 2</w:t>
      </w:r>
      <w:r>
        <w:t>×</w:t>
      </w:r>
      <w:r w:rsidRPr="00E85154">
        <w:t>25MHz in Brisbane, Perth and Adelaide, and 2</w:t>
      </w:r>
      <w:r>
        <w:t>×</w:t>
      </w:r>
      <w:r w:rsidRPr="00E85154">
        <w:t>5MHz in Hobart, Darwin and Canberra in metropolitan areas; for the model we assume an allocation of 2</w:t>
      </w:r>
      <w:r>
        <w:t>×</w:t>
      </w:r>
      <w:r w:rsidRPr="00E85154">
        <w:t>25MHz in all metropolitan areas.</w:t>
      </w:r>
    </w:p>
  </w:footnote>
  <w:footnote w:id="22">
    <w:p w:rsidR="0005766B" w:rsidRDefault="0005766B" w:rsidP="00B351CC">
      <w:pPr>
        <w:pStyle w:val="FootnoteText"/>
      </w:pPr>
      <w:r>
        <w:rPr>
          <w:rStyle w:val="FootnoteReference"/>
        </w:rPr>
        <w:footnoteRef/>
      </w:r>
      <w:r>
        <w:t xml:space="preserve"> </w:t>
      </w:r>
      <w:r>
        <w:tab/>
      </w:r>
      <w:r w:rsidRPr="00B567A7">
        <w:t>VHA has 2</w:t>
      </w:r>
      <w:r>
        <w:t>×</w:t>
      </w:r>
      <w:r w:rsidRPr="00B567A7">
        <w:t>25MHz of 2.1GHz spectrum in Sydney and Melbourne, 2</w:t>
      </w:r>
      <w:r>
        <w:t>×</w:t>
      </w:r>
      <w:r w:rsidRPr="00B567A7">
        <w:t>20MHz in Brisbane, Perth and Adelaide, and 2</w:t>
      </w:r>
      <w:r>
        <w:t>×</w:t>
      </w:r>
      <w:r w:rsidRPr="00B567A7">
        <w:t>10MHz Hobart, Darwin and Canberra in metropolitan areas; for the model we assume an allocation of 2</w:t>
      </w:r>
      <w:r>
        <w:t>×</w:t>
      </w:r>
      <w:r w:rsidRPr="00B567A7">
        <w:t>20MHz in all metropolitan areas</w:t>
      </w:r>
      <w:r>
        <w:t>.</w:t>
      </w:r>
    </w:p>
  </w:footnote>
  <w:footnote w:id="23">
    <w:p w:rsidR="0005766B" w:rsidRDefault="0005766B" w:rsidP="00194F8E">
      <w:pPr>
        <w:pStyle w:val="FootnoteText"/>
      </w:pPr>
      <w:r>
        <w:rPr>
          <w:rStyle w:val="FootnoteReference"/>
        </w:rPr>
        <w:footnoteRef/>
      </w:r>
      <w:r>
        <w:t xml:space="preserve"> </w:t>
      </w:r>
      <w:r>
        <w:tab/>
        <w:t>Optus</w:t>
      </w:r>
      <w:r w:rsidRPr="00201EC7">
        <w:t xml:space="preserve"> has a </w:t>
      </w:r>
      <w:r>
        <w:t>small</w:t>
      </w:r>
      <w:r w:rsidRPr="00201EC7">
        <w:t xml:space="preserve"> number of regional apparatus licences; for the model, we assume none.</w:t>
      </w:r>
    </w:p>
  </w:footnote>
  <w:footnote w:id="24">
    <w:p w:rsidR="0005766B" w:rsidRDefault="0005766B" w:rsidP="00194F8E">
      <w:pPr>
        <w:pStyle w:val="FootnoteText"/>
      </w:pPr>
      <w:r>
        <w:rPr>
          <w:rStyle w:val="FootnoteReference"/>
        </w:rPr>
        <w:footnoteRef/>
      </w:r>
      <w:r>
        <w:t xml:space="preserve"> </w:t>
      </w:r>
      <w:r>
        <w:tab/>
      </w:r>
      <w:r w:rsidRPr="00201EC7">
        <w:t>Combining spectrum and apparatus licences, Optus has 2</w:t>
      </w:r>
      <w:r>
        <w:t>×</w:t>
      </w:r>
      <w:r w:rsidRPr="00201EC7">
        <w:t>15MHz in the 2.1GHz band in regional areas and 2</w:t>
      </w:r>
      <w:r>
        <w:t>×</w:t>
      </w:r>
      <w:r w:rsidRPr="00201EC7">
        <w:t>10MHz in remote areas.</w:t>
      </w:r>
    </w:p>
  </w:footnote>
  <w:footnote w:id="25">
    <w:p w:rsidR="0005766B" w:rsidRDefault="0005766B" w:rsidP="00B873A7">
      <w:pPr>
        <w:pStyle w:val="FootnoteText"/>
      </w:pPr>
      <w:r>
        <w:rPr>
          <w:rStyle w:val="FootnoteReference"/>
        </w:rPr>
        <w:footnoteRef/>
      </w:r>
      <w:r>
        <w:t xml:space="preserve"> </w:t>
      </w:r>
      <w:r>
        <w:tab/>
      </w:r>
      <w:r w:rsidRPr="00AD0FCF">
        <w:t>Telstra has 2</w:t>
      </w:r>
      <w:r>
        <w:t>×</w:t>
      </w:r>
      <w:r w:rsidRPr="00AD0FCF">
        <w:t>12.5MHz to 2</w:t>
      </w:r>
      <w:r>
        <w:t>×</w:t>
      </w:r>
      <w:r w:rsidRPr="00AD0FCF">
        <w:t>15MHz of 1800MHz spectrum in regional areas; we assume 2</w:t>
      </w:r>
      <w:r>
        <w:t>×</w:t>
      </w:r>
      <w:r w:rsidRPr="00AD0FCF">
        <w:t>15MHz in all regional areas</w:t>
      </w:r>
      <w:r>
        <w:t>,</w:t>
      </w:r>
      <w:r w:rsidRPr="00AD0FCF">
        <w:t xml:space="preserve"> as this is the most common allocation.</w:t>
      </w:r>
    </w:p>
  </w:footnote>
  <w:footnote w:id="26">
    <w:p w:rsidR="0005766B" w:rsidRDefault="0005766B" w:rsidP="00B873A7">
      <w:pPr>
        <w:pStyle w:val="FootnoteText"/>
        <w:jc w:val="left"/>
      </w:pPr>
      <w:r>
        <w:rPr>
          <w:rStyle w:val="FootnoteReference"/>
        </w:rPr>
        <w:footnoteRef/>
      </w:r>
      <w:r>
        <w:t xml:space="preserve"> </w:t>
      </w:r>
      <w:r>
        <w:tab/>
      </w:r>
      <w:r w:rsidRPr="001D7F6E">
        <w:rPr>
          <w:i/>
        </w:rPr>
        <w:t>Digital dividend auction</w:t>
      </w:r>
      <w:r>
        <w:rPr>
          <w:i/>
        </w:rPr>
        <w:t xml:space="preserve"> – </w:t>
      </w:r>
      <w:r w:rsidRPr="001D7F6E">
        <w:rPr>
          <w:i/>
        </w:rPr>
        <w:t>results</w:t>
      </w:r>
      <w:r>
        <w:t xml:space="preserve">, </w:t>
      </w:r>
      <w:r w:rsidRPr="00577730">
        <w:t>ACMA media release 27/2013</w:t>
      </w:r>
      <w:r>
        <w:t xml:space="preserve">, </w:t>
      </w:r>
      <w:r w:rsidRPr="00577730">
        <w:t>7 May</w:t>
      </w:r>
      <w:r>
        <w:t xml:space="preserve"> 2013, ACMA, available at </w:t>
      </w:r>
      <w:r w:rsidRPr="00577730">
        <w:t>http://www.acma.gov.au/Industry/Spectrum/Digital-Dividend-700MHz-and-25Gz-Auction/Reallocation/digital-dividend-auction-results</w:t>
      </w:r>
    </w:p>
  </w:footnote>
  <w:footnote w:id="27">
    <w:p w:rsidR="0005766B" w:rsidRPr="00C472D6" w:rsidRDefault="0005766B" w:rsidP="00B873A7">
      <w:pPr>
        <w:pStyle w:val="FootnoteText"/>
        <w:jc w:val="left"/>
      </w:pPr>
      <w:r>
        <w:rPr>
          <w:rStyle w:val="FootnoteReference"/>
        </w:rPr>
        <w:footnoteRef/>
      </w:r>
      <w:r>
        <w:t xml:space="preserve"> </w:t>
      </w:r>
      <w:r>
        <w:tab/>
        <w:t xml:space="preserve">The split between active and passive offload for Australia is based on Analysys Mason Research, </w:t>
      </w:r>
      <w:r w:rsidRPr="0092265C">
        <w:rPr>
          <w:i/>
        </w:rPr>
        <w:t>Wireless network traffic worldwide: forecasts and analysis 2012–2017</w:t>
      </w:r>
      <w:r>
        <w:t xml:space="preserve"> (September 2012), available at </w:t>
      </w:r>
      <w:r w:rsidRPr="00A81DB9">
        <w:t>http://www.analysysmason.com/Research/Content/Reports/wirless-network-forecasts-Sep2012-RDRK0/#06%20September%202012</w:t>
      </w:r>
    </w:p>
  </w:footnote>
  <w:footnote w:id="28">
    <w:p w:rsidR="0005766B" w:rsidRPr="00803F2F" w:rsidRDefault="0005766B" w:rsidP="00B873A7">
      <w:pPr>
        <w:pStyle w:val="FootnoteText"/>
      </w:pPr>
      <w:r>
        <w:rPr>
          <w:rStyle w:val="FootnoteReference"/>
        </w:rPr>
        <w:footnoteRef/>
      </w:r>
      <w:r>
        <w:t xml:space="preserve"> </w:t>
      </w:r>
      <w:r>
        <w:tab/>
        <w:t xml:space="preserve">Unless otherwise specified, the source for all Australian Wi-Fi offload data forecasts is: Analysys Mason Research, </w:t>
      </w:r>
      <w:r w:rsidRPr="0092265C">
        <w:rPr>
          <w:i/>
        </w:rPr>
        <w:t>Wireless network traffic worldwide: forecasts and analysis 2012–2017</w:t>
      </w:r>
      <w:r>
        <w:t xml:space="preserve"> (September 2012), available in the Analysys Mason Knowledge Centre (see </w:t>
      </w:r>
      <w:r w:rsidRPr="000B4622">
        <w:t>http://www.analysysmason.com/</w:t>
      </w:r>
      <w:r>
        <w:t>).</w:t>
      </w:r>
    </w:p>
  </w:footnote>
  <w:footnote w:id="29">
    <w:p w:rsidR="0005766B" w:rsidRPr="00996F87" w:rsidRDefault="0005766B" w:rsidP="00B873A7">
      <w:pPr>
        <w:pStyle w:val="FootnoteText"/>
        <w:jc w:val="left"/>
      </w:pPr>
      <w:r>
        <w:rPr>
          <w:rStyle w:val="FootnoteReference"/>
        </w:rPr>
        <w:footnoteRef/>
      </w:r>
      <w:r>
        <w:t xml:space="preserve"> </w:t>
      </w:r>
      <w:r>
        <w:tab/>
        <w:t>The split between offloaded and cellular data traffic by location is based on the preliminary internal update (August 2013) of the report referenced in the previous footnote.</w:t>
      </w:r>
    </w:p>
  </w:footnote>
  <w:footnote w:id="30">
    <w:p w:rsidR="0005766B" w:rsidRDefault="0005766B" w:rsidP="00B873A7">
      <w:pPr>
        <w:pStyle w:val="FootnoteText"/>
        <w:jc w:val="left"/>
      </w:pPr>
      <w:r>
        <w:rPr>
          <w:rStyle w:val="FootnoteReference"/>
        </w:rPr>
        <w:footnoteRef/>
      </w:r>
      <w:r>
        <w:t xml:space="preserve"> </w:t>
      </w:r>
      <w:r>
        <w:tab/>
        <w:t xml:space="preserve">See </w:t>
      </w:r>
      <w:r w:rsidRPr="00EF29AC">
        <w:t>http://www.acma.gov.au/Industry/Spectrum/Five-Year-Spectrum-Outlook/Spectrum-demand-drivers/future-demand-for-mobile-broadband-five-year-spectrum-outlook-acma</w:t>
      </w:r>
    </w:p>
  </w:footnote>
  <w:footnote w:id="31">
    <w:p w:rsidR="0005766B" w:rsidRDefault="0005766B" w:rsidP="00B873A7">
      <w:pPr>
        <w:pStyle w:val="FootnoteText"/>
        <w:jc w:val="left"/>
      </w:pPr>
      <w:r>
        <w:rPr>
          <w:rStyle w:val="FootnoteReference"/>
        </w:rPr>
        <w:footnoteRef/>
      </w:r>
      <w:r>
        <w:t xml:space="preserve"> </w:t>
      </w:r>
      <w:r>
        <w:tab/>
        <w:t xml:space="preserve">See </w:t>
      </w:r>
      <w:hyperlink r:id="rId6" w:anchor="~Country" w:history="1">
        <w:r w:rsidRPr="00DD31AC">
          <w:rPr>
            <w:rStyle w:val="Hyperlink"/>
          </w:rPr>
          <w:t>http://www.cisco.com/web/solutions/sp/vni/vni_mobile_forecast_highlight/index.html#~Country</w:t>
        </w:r>
      </w:hyperlink>
      <w:r>
        <w:t xml:space="preserve"> and </w:t>
      </w:r>
      <w:r w:rsidRPr="00EF29AC">
        <w:t>http://www.cisco.com/en/US/netsol/ns827/networking_solutions_solution_category.html#~forecast</w:t>
      </w:r>
    </w:p>
  </w:footnote>
  <w:footnote w:id="32">
    <w:p w:rsidR="0005766B" w:rsidRDefault="0005766B" w:rsidP="00B873A7">
      <w:pPr>
        <w:pStyle w:val="FootnoteText"/>
      </w:pPr>
      <w:r>
        <w:rPr>
          <w:rStyle w:val="FootnoteReference"/>
        </w:rPr>
        <w:footnoteRef/>
      </w:r>
      <w:r>
        <w:t xml:space="preserve"> </w:t>
      </w:r>
      <w:r>
        <w:tab/>
        <w:t xml:space="preserve">See </w:t>
      </w:r>
      <w:r w:rsidRPr="0049403D">
        <w:t>http://tinyurl.com/ptkx5qf</w:t>
      </w:r>
    </w:p>
  </w:footnote>
  <w:footnote w:id="33">
    <w:p w:rsidR="0005766B" w:rsidRDefault="0005766B" w:rsidP="00B873A7">
      <w:pPr>
        <w:pStyle w:val="FootnoteText"/>
      </w:pPr>
      <w:r>
        <w:rPr>
          <w:rStyle w:val="FootnoteReference"/>
        </w:rPr>
        <w:footnoteRef/>
      </w:r>
      <w:r>
        <w:t xml:space="preserve"> </w:t>
      </w:r>
      <w:r>
        <w:tab/>
        <w:t>We understand that Cisco’s published forecasts are for the month of December each year. To facilitate comparison with other forecasts we have converted the figures to year averages by calculating month-by-month values assuming a constant percentage growth rate for each month in a given year.</w:t>
      </w:r>
      <w:r w:rsidRPr="00722C82">
        <w:t xml:space="preserve"> </w:t>
      </w:r>
      <w:r>
        <w:t>Each annual forecast starts with data for the previous year. This means that we cannot determine a figure for 2013 from the 2014 forecast (since it does not contain an estimate for the end of 2012). However, the 2014 estimate for December 2013 is around 6% lower than the 2013 estimate for December 2013.</w:t>
      </w:r>
    </w:p>
  </w:footnote>
  <w:footnote w:id="34">
    <w:p w:rsidR="000E20AB" w:rsidRDefault="000E20AB" w:rsidP="00B873A7">
      <w:pPr>
        <w:pStyle w:val="FootnoteText"/>
      </w:pPr>
      <w:r>
        <w:rPr>
          <w:rStyle w:val="FootnoteReference"/>
        </w:rPr>
        <w:footnoteRef/>
      </w:r>
      <w:r>
        <w:t xml:space="preserve"> </w:t>
      </w:r>
      <w:r>
        <w:tab/>
        <w:t>Ericsson figures are estimated from bar charts published in Ericsson’s Mobility Reports.</w:t>
      </w:r>
    </w:p>
  </w:footnote>
  <w:footnote w:id="35">
    <w:p w:rsidR="0005766B" w:rsidRDefault="0005766B" w:rsidP="00B873A7">
      <w:pPr>
        <w:pStyle w:val="FootnoteText"/>
      </w:pPr>
      <w:r>
        <w:rPr>
          <w:rStyle w:val="FootnoteReference"/>
        </w:rPr>
        <w:footnoteRef/>
      </w:r>
      <w:r>
        <w:t xml:space="preserve"> </w:t>
      </w:r>
      <w:r>
        <w:tab/>
        <w:t>Population growth, jobs growth and commuting flows in Perth (2010), Melbourne (2011), Sydney (2012), South East Queensland (2013).</w:t>
      </w:r>
    </w:p>
  </w:footnote>
  <w:footnote w:id="36">
    <w:p w:rsidR="0005766B" w:rsidRDefault="0005766B" w:rsidP="00B873A7">
      <w:pPr>
        <w:pStyle w:val="FootnoteText"/>
      </w:pPr>
      <w:r>
        <w:rPr>
          <w:rStyle w:val="FootnoteReference"/>
        </w:rPr>
        <w:footnoteRef/>
      </w:r>
      <w:r>
        <w:t xml:space="preserve"> </w:t>
      </w:r>
      <w:r>
        <w:tab/>
        <w:t xml:space="preserve">See </w:t>
      </w:r>
      <w:r w:rsidRPr="009F3046">
        <w:t>https://www.sandvine.com/trends/global-internet-phenomena/</w:t>
      </w:r>
    </w:p>
  </w:footnote>
  <w:footnote w:id="37">
    <w:p w:rsidR="0005766B" w:rsidRDefault="0005766B" w:rsidP="00CB339B">
      <w:pPr>
        <w:pStyle w:val="FootnoteText"/>
      </w:pPr>
      <w:r>
        <w:rPr>
          <w:rStyle w:val="FootnoteReference"/>
        </w:rPr>
        <w:footnoteRef/>
      </w:r>
      <w:r>
        <w:t xml:space="preserve"> </w:t>
      </w:r>
      <w:r>
        <w:tab/>
      </w:r>
      <w:r w:rsidR="00CB339B">
        <w:t xml:space="preserve">See </w:t>
      </w:r>
      <w:hyperlink r:id="rId7" w:history="1">
        <w:r w:rsidR="00CB339B" w:rsidRPr="00131114">
          <w:rPr>
            <w:rStyle w:val="Hyperlink"/>
          </w:rPr>
          <w:t>http://www.optus.com.au/shop/mobile/network/about</w:t>
        </w:r>
      </w:hyperlink>
      <w:r w:rsidR="00CB339B">
        <w:t xml:space="preserve">, </w:t>
      </w:r>
      <w:hyperlink r:id="rId8" w:history="1">
        <w:r w:rsidR="00CB339B" w:rsidRPr="00131114">
          <w:rPr>
            <w:rStyle w:val="Hyperlink"/>
          </w:rPr>
          <w:t>http://businesscentres.optus.com.au/sydney-cbd/network-coverage/</w:t>
        </w:r>
      </w:hyperlink>
      <w:r w:rsidR="00CB339B">
        <w:t xml:space="preserve"> and </w:t>
      </w:r>
      <w:r w:rsidR="00CB339B" w:rsidRPr="00CB339B">
        <w:t>https://media.optus.com.au/media-releases/2014/say-yes-to-getting-the-new-phone-you-want-now/</w:t>
      </w:r>
    </w:p>
  </w:footnote>
  <w:footnote w:id="38">
    <w:p w:rsidR="0005766B" w:rsidRDefault="0005766B" w:rsidP="00B873A7">
      <w:pPr>
        <w:pStyle w:val="FootnoteText"/>
      </w:pPr>
      <w:r>
        <w:rPr>
          <w:rStyle w:val="FootnoteReference"/>
        </w:rPr>
        <w:footnoteRef/>
      </w:r>
      <w:r>
        <w:t xml:space="preserve"> </w:t>
      </w:r>
      <w:r>
        <w:tab/>
        <w:t xml:space="preserve">See </w:t>
      </w:r>
      <w:r w:rsidRPr="00FD06F6">
        <w:t>http://www.telstra.com.au/mobile-phones/coverage-networks/networks/</w:t>
      </w:r>
    </w:p>
  </w:footnote>
  <w:footnote w:id="39">
    <w:p w:rsidR="0005766B" w:rsidRDefault="0005766B" w:rsidP="00B873A7">
      <w:pPr>
        <w:pStyle w:val="FootnoteText"/>
        <w:jc w:val="left"/>
      </w:pPr>
      <w:r>
        <w:rPr>
          <w:rStyle w:val="FootnoteReference"/>
        </w:rPr>
        <w:footnoteRef/>
      </w:r>
      <w:r>
        <w:t xml:space="preserve"> </w:t>
      </w:r>
      <w:r>
        <w:tab/>
        <w:t xml:space="preserve">See </w:t>
      </w:r>
      <w:r w:rsidRPr="00FD06F6">
        <w:t>http://www.vodafone.com.au/aboutvodafone/network/checker; http://www.telegeography.com/products/commsupdate/articles/2013/08/07/vodafone-enhances-regional-coverage-with-new-network-sites/; http://coapps.vodafone.com.au/coverage/</w:t>
      </w:r>
    </w:p>
  </w:footnote>
  <w:footnote w:id="40">
    <w:p w:rsidR="0005766B" w:rsidRPr="005A106E" w:rsidRDefault="0005766B" w:rsidP="00B873A7">
      <w:pPr>
        <w:pStyle w:val="FootnoteText"/>
        <w:rPr>
          <w:spacing w:val="-4"/>
        </w:rPr>
      </w:pPr>
      <w:r w:rsidRPr="005A106E">
        <w:rPr>
          <w:rStyle w:val="FootnoteReference"/>
          <w:spacing w:val="-4"/>
        </w:rPr>
        <w:footnoteRef/>
      </w:r>
      <w:r w:rsidRPr="005A106E">
        <w:rPr>
          <w:spacing w:val="-4"/>
        </w:rPr>
        <w:t xml:space="preserve"> </w:t>
      </w:r>
      <w:r w:rsidRPr="005A106E">
        <w:rPr>
          <w:spacing w:val="-4"/>
        </w:rPr>
        <w:tab/>
        <w:t>VHA has announced that it will also use the 800MHz band for 4G from 2014 (we assume that the roll-out will be restricted to Sydney, Melbourne, Brisbane, Adelaide and Perth where VHA has 2</w:t>
      </w:r>
      <w:r w:rsidRPr="005A106E">
        <w:rPr>
          <w:spacing w:val="-4"/>
        </w:rPr>
        <w:sym w:font="Symbol" w:char="F0B4"/>
      </w:r>
      <w:r w:rsidRPr="005A106E">
        <w:rPr>
          <w:spacing w:val="-4"/>
        </w:rPr>
        <w:t>10MHz of 800MHz of spectrum and is therefore able to split the band between 3G and 4G). We investigated whether this would allow VHA to use 800MHz as the coverage band in these locations but our model suggested that there is insufficient capacity in this band to provide a robust service (i.e. if the coverage grid is based on the achievable cell radius for 800MHz and 1800MHz is used to add more capacity in the centre of each cell, there will tend to be congestion at the cell edges which are beyond the reach of the 1800MHz capacity). Consequently, the base case assumes that VHA continues to use 1800MHz as the coverage band, although we have included a sensitivity in which VHA uses 800M</w:t>
      </w:r>
      <w:r>
        <w:rPr>
          <w:spacing w:val="-4"/>
        </w:rPr>
        <w:t>H</w:t>
      </w:r>
      <w:r w:rsidRPr="005A106E">
        <w:rPr>
          <w:spacing w:val="-4"/>
        </w:rPr>
        <w:t>z for coverage.</w:t>
      </w:r>
    </w:p>
  </w:footnote>
  <w:footnote w:id="41">
    <w:p w:rsidR="0005766B" w:rsidRDefault="0005766B">
      <w:pPr>
        <w:pStyle w:val="FootnoteText"/>
      </w:pPr>
      <w:r>
        <w:rPr>
          <w:rStyle w:val="FootnoteReference"/>
        </w:rPr>
        <w:footnoteRef/>
      </w:r>
      <w:r>
        <w:t xml:space="preserve"> </w:t>
      </w:r>
      <w:r>
        <w:tab/>
        <w:t>In the counterfactual sensitivity where we imagine that the 4G auction has not taken place, we assume that all three operators continue to use the 1800MHz band for 4G coverage.</w:t>
      </w:r>
    </w:p>
  </w:footnote>
  <w:footnote w:id="42">
    <w:p w:rsidR="0005766B" w:rsidRDefault="0005766B" w:rsidP="00B873A7">
      <w:pPr>
        <w:pStyle w:val="FootnoteText"/>
        <w:jc w:val="left"/>
      </w:pPr>
      <w:r>
        <w:rPr>
          <w:rStyle w:val="FootnoteReference"/>
        </w:rPr>
        <w:footnoteRef/>
      </w:r>
      <w:r>
        <w:t xml:space="preserve"> </w:t>
      </w:r>
      <w:r>
        <w:tab/>
      </w:r>
      <w:r w:rsidRPr="009F3046">
        <w:rPr>
          <w:i/>
        </w:rPr>
        <w:t>Study on the future UK spectrum demand for terrestrial mobile broadband applications</w:t>
      </w:r>
      <w:r>
        <w:rPr>
          <w:i/>
        </w:rPr>
        <w:t xml:space="preserve">, </w:t>
      </w:r>
      <w:r w:rsidRPr="009F3046">
        <w:t>Real Wireless, June 2013,</w:t>
      </w:r>
      <w:r>
        <w:rPr>
          <w:i/>
        </w:rPr>
        <w:t xml:space="preserve"> </w:t>
      </w:r>
      <w:r w:rsidRPr="009F3046">
        <w:t xml:space="preserve">see </w:t>
      </w:r>
      <w:hyperlink r:id="rId9" w:history="1">
        <w:r w:rsidRPr="009F3046">
          <w:rPr>
            <w:rStyle w:val="Hyperlink"/>
          </w:rPr>
          <w:t>http://stakeholders.ofcom.org.uk/binaries/consultations/cfi-mobile-bb/annexes/RW_report.pdf</w:t>
        </w:r>
      </w:hyperlink>
      <w:r w:rsidRPr="009F3046">
        <w:t xml:space="preserve"> and </w:t>
      </w:r>
      <w:hyperlink r:id="rId10" w:history="1">
        <w:r w:rsidRPr="009F3046">
          <w:rPr>
            <w:rStyle w:val="Hyperlink"/>
          </w:rPr>
          <w:t>http://stakeholders.ofcom.org.uk/binaries/consultations/cfi-mobile-bb/annexes/RW_appendices.pdf</w:t>
        </w:r>
      </w:hyperlink>
    </w:p>
  </w:footnote>
  <w:footnote w:id="43">
    <w:p w:rsidR="0005766B" w:rsidRDefault="0005766B" w:rsidP="00B873A7">
      <w:pPr>
        <w:pStyle w:val="FootnoteText"/>
      </w:pPr>
      <w:r>
        <w:rPr>
          <w:rStyle w:val="FootnoteReference"/>
        </w:rPr>
        <w:footnoteRef/>
      </w:r>
      <w:r>
        <w:t xml:space="preserve"> </w:t>
      </w:r>
      <w:r>
        <w:tab/>
        <w:t>Our analysis of the ACMA RadComms database suggests that there is an average of 1.26 operators per physical site in Australia with levels of site sharing highest in our suburban geotype (1.32 operators per physical site) and lowest in remote areas, where it is rare for more than one operator to be present.</w:t>
      </w:r>
    </w:p>
  </w:footnote>
  <w:footnote w:id="44">
    <w:p w:rsidR="0005766B" w:rsidRDefault="0005766B" w:rsidP="00B873A7">
      <w:pPr>
        <w:pStyle w:val="FootnoteText"/>
      </w:pPr>
      <w:r>
        <w:rPr>
          <w:rStyle w:val="FootnoteReference"/>
        </w:rPr>
        <w:footnoteRef/>
      </w:r>
      <w:r>
        <w:t xml:space="preserve"> </w:t>
      </w:r>
      <w:r>
        <w:tab/>
        <w:t>Sum of purely coverage sites and coverage sites with capacity upgrades.</w:t>
      </w:r>
    </w:p>
  </w:footnote>
  <w:footnote w:id="45">
    <w:p w:rsidR="0005766B" w:rsidRDefault="0005766B" w:rsidP="00B873A7">
      <w:pPr>
        <w:pStyle w:val="FootnoteText"/>
      </w:pPr>
      <w:r>
        <w:rPr>
          <w:rStyle w:val="FootnoteReference"/>
        </w:rPr>
        <w:footnoteRef/>
      </w:r>
      <w:r>
        <w:t xml:space="preserve"> </w:t>
      </w:r>
      <w:r>
        <w:tab/>
        <w:t>For example, LTE coverage is first deployed in the 1800MHz band before the 700MHz spectrum is available, so the coverage grid is initially based on the 1800MHz coverage properties. Therefore, the capacity provided by these sites deployed for coverage in the 1800MHz band should be considered as capacity provided by the low-frequency bands in this test. On the other hand, the capacity provided by equipment deployed in the 1800MHz band on a site initially deployed in the 700MHz band is accounted for as capacity provided by the high-frequency bands.</w:t>
      </w:r>
    </w:p>
  </w:footnote>
  <w:footnote w:id="46">
    <w:p w:rsidR="0005766B" w:rsidRDefault="0005766B" w:rsidP="00B873A7">
      <w:pPr>
        <w:pStyle w:val="FootnoteText"/>
      </w:pPr>
      <w:r>
        <w:rPr>
          <w:rStyle w:val="FootnoteReference"/>
        </w:rPr>
        <w:footnoteRef/>
      </w:r>
      <w:r>
        <w:t xml:space="preserve"> </w:t>
      </w:r>
      <w:r>
        <w:tab/>
      </w:r>
      <w:hyperlink r:id="rId11" w:history="1">
        <w:r>
          <w:rPr>
            <w:rStyle w:val="Hyperlink"/>
          </w:rPr>
          <w:t>http://stakeholders.ofcom.org.uk/consultations/cfi-mobile-bb/</w:t>
        </w:r>
      </w:hyperlink>
    </w:p>
  </w:footnote>
  <w:footnote w:id="47">
    <w:p w:rsidR="0005766B" w:rsidRDefault="0005766B" w:rsidP="00B873A7">
      <w:pPr>
        <w:pStyle w:val="FootnoteText"/>
      </w:pPr>
      <w:r>
        <w:rPr>
          <w:rStyle w:val="FootnoteReference"/>
        </w:rPr>
        <w:footnoteRef/>
      </w:r>
      <w:r>
        <w:t xml:space="preserve"> </w:t>
      </w:r>
      <w:r>
        <w:tab/>
        <w:t>For Vodafone this is the same deployment as in the base case.</w:t>
      </w:r>
    </w:p>
  </w:footnote>
  <w:footnote w:id="48">
    <w:p w:rsidR="0048075A" w:rsidRDefault="0048075A">
      <w:pPr>
        <w:pStyle w:val="FootnoteText"/>
      </w:pPr>
      <w:r>
        <w:rPr>
          <w:rStyle w:val="FootnoteReference"/>
        </w:rPr>
        <w:footnoteRef/>
      </w:r>
      <w:r>
        <w:t xml:space="preserve"> </w:t>
      </w:r>
      <w:r>
        <w:tab/>
        <w:t xml:space="preserve">See, for example, </w:t>
      </w:r>
      <w:r w:rsidRPr="00550C5F">
        <w:t>http://www.telegeography.com/products/commsupdate/articles/2014/07/30/vodafone-australia-to-refarm-850mhz-spectrum-for-4g/</w:t>
      </w:r>
    </w:p>
  </w:footnote>
  <w:footnote w:id="49">
    <w:p w:rsidR="0005766B" w:rsidRDefault="0005766B" w:rsidP="00B873A7">
      <w:pPr>
        <w:pStyle w:val="FootnoteText"/>
      </w:pPr>
      <w:r>
        <w:rPr>
          <w:rStyle w:val="FootnoteReference"/>
        </w:rPr>
        <w:footnoteRef/>
      </w:r>
      <w:r>
        <w:t xml:space="preserve"> </w:t>
      </w:r>
      <w:r>
        <w:tab/>
        <w:t>“Estimation of Spectrum Demand for Wireless Access Service and Cellular Service A Report to the Australian Communications and Media Authority”, Ovum and Aegis Systems, 3 September 2007.</w:t>
      </w:r>
    </w:p>
  </w:footnote>
  <w:footnote w:id="50">
    <w:p w:rsidR="0005766B" w:rsidRDefault="0005766B" w:rsidP="00B873A7">
      <w:pPr>
        <w:pStyle w:val="FootnoteText"/>
      </w:pPr>
      <w:r>
        <w:rPr>
          <w:rStyle w:val="FootnoteReference"/>
        </w:rPr>
        <w:footnoteRef/>
      </w:r>
      <w:r>
        <w:t xml:space="preserve"> </w:t>
      </w:r>
      <w:r>
        <w:tab/>
      </w:r>
      <w:r w:rsidRPr="009142AC">
        <w:t>“Towards 2020</w:t>
      </w:r>
      <w:r>
        <w:t xml:space="preserve"> – </w:t>
      </w:r>
      <w:r w:rsidRPr="009142AC">
        <w:t>Future spectrum requirements for mobile broadband”</w:t>
      </w:r>
      <w:r>
        <w:t>, ACMA, May 2011.</w:t>
      </w:r>
    </w:p>
  </w:footnote>
  <w:footnote w:id="51">
    <w:p w:rsidR="0005766B" w:rsidRDefault="0005766B" w:rsidP="00B873A7">
      <w:pPr>
        <w:pStyle w:val="FootnoteText"/>
      </w:pPr>
      <w:r>
        <w:rPr>
          <w:rStyle w:val="FootnoteReference"/>
        </w:rPr>
        <w:footnoteRef/>
      </w:r>
      <w:r>
        <w:t xml:space="preserve"> </w:t>
      </w:r>
      <w:r>
        <w:tab/>
        <w:t>The methodology is described in Recommendation ITU-R M.1768-1 (04/2013), “Methodology for calculation of spectrum requirements for the terrestrial component of International Mobile Telecommunications” and M.2078 “Estimated spectrum bandwidth requirements for the future development of IMT-2000 and IMT-Advanced”. Most forecasts that use this approach are based on the SPECULATOR modelling tool developed by WINNER II consortium for ITU-R study group 8F.</w:t>
      </w:r>
    </w:p>
  </w:footnote>
  <w:footnote w:id="52">
    <w:p w:rsidR="0005766B" w:rsidRDefault="0005766B" w:rsidP="00B873A7">
      <w:pPr>
        <w:pStyle w:val="FootnoteText"/>
      </w:pPr>
      <w:r>
        <w:rPr>
          <w:rStyle w:val="FootnoteReference"/>
        </w:rPr>
        <w:footnoteRef/>
      </w:r>
      <w:r>
        <w:t xml:space="preserve"> </w:t>
      </w:r>
      <w:r>
        <w:tab/>
        <w:t>“Mobile broadband: the benefits of additional spectrum”, FCC Technical Staff Paper, October 2010.</w:t>
      </w:r>
    </w:p>
  </w:footnote>
  <w:footnote w:id="53">
    <w:p w:rsidR="0005766B" w:rsidRDefault="0005766B">
      <w:pPr>
        <w:pStyle w:val="FootnoteText"/>
      </w:pPr>
      <w:r>
        <w:rPr>
          <w:rStyle w:val="FootnoteReference"/>
        </w:rPr>
        <w:footnoteRef/>
      </w:r>
      <w:r>
        <w:t xml:space="preserve"> </w:t>
      </w:r>
      <w:r>
        <w:tab/>
        <w:t>This curve considers the loading of the busiest site in each geotype and gives it a value of 1, and plots the relative loading of all other sites compared to this busiest site. This is based on actual network measurements for Australia, although the shape of the curve is very similar to that of equivalent curves for other developed markets.</w:t>
      </w:r>
    </w:p>
  </w:footnote>
  <w:footnote w:id="54">
    <w:p w:rsidR="0005766B" w:rsidRDefault="0005766B" w:rsidP="00B873A7">
      <w:pPr>
        <w:pStyle w:val="FootnoteText"/>
      </w:pPr>
      <w:r>
        <w:rPr>
          <w:rStyle w:val="FootnoteReference"/>
        </w:rPr>
        <w:footnoteRef/>
      </w:r>
      <w:r>
        <w:t xml:space="preserve"> </w:t>
      </w:r>
      <w:r>
        <w:tab/>
        <w:t>“Study on the future UK spectrum demand for terrestrial mobile broadband applications – Final report”, Real Wireless, 27 June 2013.</w:t>
      </w:r>
    </w:p>
  </w:footnote>
  <w:footnote w:id="55">
    <w:p w:rsidR="0005766B" w:rsidRPr="00FC4325" w:rsidRDefault="0005766B" w:rsidP="00CC7F56">
      <w:pPr>
        <w:pStyle w:val="FootnoteText"/>
      </w:pPr>
      <w:r>
        <w:rPr>
          <w:rStyle w:val="FootnoteReference"/>
        </w:rPr>
        <w:footnoteRef/>
      </w:r>
      <w:r>
        <w:t xml:space="preserve"> </w:t>
      </w:r>
      <w:r>
        <w:tab/>
        <w:t xml:space="preserve">This stands for “the </w:t>
      </w:r>
      <w:r w:rsidRPr="00D900DF">
        <w:t>Mobile and wireless communications Enablers for Twenty-twenty (2020) Information Society</w:t>
      </w:r>
      <w:r>
        <w:t xml:space="preserve">”; more information about METIS and its partners can be found at </w:t>
      </w:r>
      <w:r w:rsidRPr="00FC4325">
        <w:t>https://www.metis2020.com/about-metis/</w:t>
      </w:r>
    </w:p>
  </w:footnote>
  <w:footnote w:id="56">
    <w:p w:rsidR="0005766B" w:rsidRPr="00FC4325" w:rsidRDefault="0005766B" w:rsidP="00CC7F56">
      <w:pPr>
        <w:pStyle w:val="FootnoteText"/>
        <w:jc w:val="left"/>
      </w:pPr>
      <w:r>
        <w:rPr>
          <w:rStyle w:val="FootnoteReference"/>
        </w:rPr>
        <w:footnoteRef/>
      </w:r>
      <w:r>
        <w:t xml:space="preserve"> </w:t>
      </w:r>
      <w:r>
        <w:tab/>
        <w:t>METIS</w:t>
      </w:r>
      <w:r w:rsidRPr="00FC4325">
        <w:t xml:space="preserve">, </w:t>
      </w:r>
      <w:r w:rsidRPr="00570387">
        <w:rPr>
          <w:bCs/>
          <w:i/>
        </w:rPr>
        <w:t>The 5G future scenarios identified by METIS –The first step toward a 5G mobile and wireless communications system</w:t>
      </w:r>
      <w:r w:rsidRPr="00FC4325">
        <w:t xml:space="preserve"> (</w:t>
      </w:r>
      <w:r>
        <w:t xml:space="preserve">5 September 2013), available at </w:t>
      </w:r>
      <w:r w:rsidRPr="00FC4325">
        <w:t>https://www.metis2020.com/press-events/press/the-5g-future-scenarios-identified-by-metis/</w:t>
      </w:r>
    </w:p>
  </w:footnote>
  <w:footnote w:id="57">
    <w:p w:rsidR="0005766B" w:rsidRPr="00E262B5" w:rsidRDefault="0005766B" w:rsidP="00CC7F56">
      <w:pPr>
        <w:pStyle w:val="FootnoteText"/>
        <w:jc w:val="left"/>
      </w:pPr>
      <w:r>
        <w:rPr>
          <w:rStyle w:val="FootnoteReference"/>
        </w:rPr>
        <w:footnoteRef/>
      </w:r>
      <w:r>
        <w:t xml:space="preserve"> </w:t>
      </w:r>
      <w:r>
        <w:tab/>
        <w:t xml:space="preserve">Ericsson AB: “Ericsson White Paper – 284 23-3204” (June 2013), available at </w:t>
      </w:r>
      <w:r w:rsidRPr="00E262B5">
        <w:t>http://www.ericsson.com/res/docs/whitepapers/wp-5g.pdf</w:t>
      </w:r>
    </w:p>
  </w:footnote>
  <w:footnote w:id="58">
    <w:p w:rsidR="0005766B" w:rsidRPr="00217740" w:rsidRDefault="0005766B" w:rsidP="00CC7F56">
      <w:pPr>
        <w:pStyle w:val="FootnoteText"/>
      </w:pPr>
      <w:r>
        <w:rPr>
          <w:rStyle w:val="FootnoteReference"/>
        </w:rPr>
        <w:footnoteRef/>
      </w:r>
      <w:r>
        <w:t xml:space="preserve"> </w:t>
      </w:r>
      <w:r>
        <w:tab/>
        <w:t>Samsung Electronics Co, Ltd: “</w:t>
      </w:r>
      <w:r w:rsidRPr="00217740">
        <w:t>Samsung Announces World’s First 5G mmWave Mobile Technology”</w:t>
      </w:r>
      <w:r>
        <w:t xml:space="preserve"> (13 May 2013), available at </w:t>
      </w:r>
      <w:r w:rsidRPr="00217740">
        <w:t>http://global.samsungtomorrow.com/?p=24093</w:t>
      </w:r>
    </w:p>
  </w:footnote>
  <w:footnote w:id="59">
    <w:p w:rsidR="0005766B" w:rsidRDefault="0005766B" w:rsidP="00CC7F56">
      <w:pPr>
        <w:pStyle w:val="FootnoteText"/>
      </w:pPr>
      <w:r>
        <w:rPr>
          <w:rStyle w:val="FootnoteReference"/>
        </w:rPr>
        <w:footnoteRef/>
      </w:r>
      <w:r>
        <w:t xml:space="preserve"> </w:t>
      </w:r>
      <w:r>
        <w:tab/>
        <w:t xml:space="preserve">See </w:t>
      </w:r>
      <w:r w:rsidRPr="0085764E">
        <w:t>http://www.vtt.fi/news/2013/25042013_ASA.jsp?lang=en</w:t>
      </w:r>
    </w:p>
  </w:footnote>
  <w:footnote w:id="60">
    <w:p w:rsidR="0005766B" w:rsidRPr="00570387" w:rsidRDefault="0005766B" w:rsidP="00CC7F56">
      <w:pPr>
        <w:pStyle w:val="FootnoteText"/>
        <w:jc w:val="left"/>
      </w:pPr>
      <w:r>
        <w:rPr>
          <w:rStyle w:val="FootnoteReference"/>
        </w:rPr>
        <w:footnoteRef/>
      </w:r>
      <w:r w:rsidRPr="00AD6068">
        <w:rPr>
          <w:rStyle w:val="FootnoteReference"/>
        </w:rPr>
        <w:t xml:space="preserve"> </w:t>
      </w:r>
      <w:r w:rsidRPr="00AD6068">
        <w:rPr>
          <w:rStyle w:val="FootnoteReference"/>
        </w:rPr>
        <w:tab/>
      </w:r>
      <w:r w:rsidRPr="00AD6068">
        <w:t>Wi-Fi Alliance, “Discover and Learn”</w:t>
      </w:r>
      <w:r>
        <w:t xml:space="preserve"> (2013)</w:t>
      </w:r>
      <w:r w:rsidRPr="00AD6068">
        <w:t xml:space="preserve">, available at </w:t>
      </w:r>
      <w:hyperlink r:id="rId12" w:history="1">
        <w:r w:rsidRPr="00AD6068">
          <w:t>http://www.wi-fi.org/discover-and-learn</w:t>
        </w:r>
      </w:hyperlink>
      <w:r w:rsidRPr="00AD6068">
        <w:t>; dates taken from Wi-Fi Alliance, “The History of Wi-Fi” (2013), available at https://www.wi-fi.org/sites/default/files/History_of_Wi-Fi_201301.pdf</w:t>
      </w:r>
    </w:p>
  </w:footnote>
  <w:footnote w:id="61">
    <w:p w:rsidR="0005766B" w:rsidRPr="00BE6D8E" w:rsidRDefault="0005766B" w:rsidP="00CC7F56">
      <w:pPr>
        <w:pStyle w:val="FootnoteText"/>
        <w:jc w:val="left"/>
      </w:pPr>
      <w:r w:rsidRPr="00AD6068">
        <w:rPr>
          <w:rStyle w:val="FootnoteReference"/>
        </w:rPr>
        <w:footnoteRef/>
      </w:r>
      <w:r w:rsidRPr="00AD6068">
        <w:rPr>
          <w:rStyle w:val="FootnoteReference"/>
        </w:rPr>
        <w:t xml:space="preserve"> </w:t>
      </w:r>
      <w:r w:rsidRPr="00AD6068">
        <w:rPr>
          <w:rStyle w:val="FootnoteReference"/>
        </w:rPr>
        <w:tab/>
      </w:r>
      <w:r>
        <w:t xml:space="preserve">IEEE, </w:t>
      </w:r>
      <w:r w:rsidRPr="00D81F41">
        <w:rPr>
          <w:i/>
        </w:rPr>
        <w:t>Official IEEE 802.11 Project Group Working Timelines</w:t>
      </w:r>
      <w:r>
        <w:t xml:space="preserve">, 24 July 2013, available at </w:t>
      </w:r>
      <w:r w:rsidRPr="00AD6068">
        <w:t>http://grouper.ieee.org/groups/802/11/Reports/802.11_Timelines.htm</w:t>
      </w:r>
    </w:p>
  </w:footnote>
  <w:footnote w:id="62">
    <w:p w:rsidR="0005766B" w:rsidRDefault="0005766B" w:rsidP="00CC7F56">
      <w:pPr>
        <w:pStyle w:val="FootnoteText"/>
      </w:pPr>
      <w:r>
        <w:rPr>
          <w:rStyle w:val="FootnoteReference"/>
        </w:rPr>
        <w:footnoteRef/>
      </w:r>
      <w:r>
        <w:t xml:space="preserve"> </w:t>
      </w:r>
      <w:r>
        <w:tab/>
        <w:t>MIMO stands for multiple-inputs-multiple-outputs and refers to a Wi-Fi access point’s ability to communicate with a client device via multiple independent yet simultaneous data streams.</w:t>
      </w:r>
    </w:p>
  </w:footnote>
  <w:footnote w:id="63">
    <w:p w:rsidR="0005766B" w:rsidRDefault="0005766B" w:rsidP="00CC7F56">
      <w:pPr>
        <w:pStyle w:val="FootnoteText"/>
        <w:jc w:val="left"/>
      </w:pPr>
      <w:r>
        <w:rPr>
          <w:rStyle w:val="FootnoteReference"/>
        </w:rPr>
        <w:footnoteRef/>
      </w:r>
      <w:r>
        <w:t xml:space="preserve"> </w:t>
      </w:r>
      <w:r>
        <w:tab/>
        <w:t xml:space="preserve">Cisco, </w:t>
      </w:r>
      <w:r w:rsidRPr="00D81F41">
        <w:rPr>
          <w:i/>
        </w:rPr>
        <w:t>802.11ac: The Fifth Generation of Wi-Fi Technical White Paper</w:t>
      </w:r>
      <w:r>
        <w:t xml:space="preserve">, August 2012, available at </w:t>
      </w:r>
      <w:r w:rsidRPr="00B74DDC">
        <w:t>http://www.cisco.com/en/US/prod/collateral/wireless/ps5678/ps11983/white_paper_c11-713103.html</w:t>
      </w:r>
    </w:p>
  </w:footnote>
  <w:footnote w:id="64">
    <w:p w:rsidR="0005766B" w:rsidRDefault="0005766B" w:rsidP="00CC7F56">
      <w:pPr>
        <w:pStyle w:val="FootnoteText"/>
        <w:jc w:val="left"/>
      </w:pPr>
      <w:r>
        <w:rPr>
          <w:rStyle w:val="FootnoteReference"/>
        </w:rPr>
        <w:footnoteRef/>
      </w:r>
      <w:r>
        <w:t xml:space="preserve"> </w:t>
      </w:r>
      <w:r>
        <w:tab/>
        <w:t xml:space="preserve">Techrepublic.com, </w:t>
      </w:r>
      <w:r w:rsidRPr="00D81F41">
        <w:rPr>
          <w:i/>
        </w:rPr>
        <w:t>Cheat Sheet: What you need to know about 802.11ac</w:t>
      </w:r>
      <w:r>
        <w:t xml:space="preserve">, 26 June 2013, available at </w:t>
      </w:r>
      <w:r w:rsidRPr="00F2498D">
        <w:t>http://www.techrepublic.com/blog/networking/cheat-sheet-what-you-need-to-know-about-80211ac/6689</w:t>
      </w:r>
    </w:p>
  </w:footnote>
  <w:footnote w:id="65">
    <w:p w:rsidR="0005766B" w:rsidRDefault="0005766B" w:rsidP="00CC7F56">
      <w:pPr>
        <w:pStyle w:val="FootnoteText"/>
        <w:jc w:val="left"/>
      </w:pPr>
      <w:r>
        <w:rPr>
          <w:rStyle w:val="FootnoteReference"/>
        </w:rPr>
        <w:footnoteRef/>
      </w:r>
      <w:r>
        <w:t xml:space="preserve"> </w:t>
      </w:r>
      <w:r>
        <w:tab/>
        <w:t xml:space="preserve">IEEE, </w:t>
      </w:r>
      <w:r w:rsidRPr="00D81F41">
        <w:rPr>
          <w:i/>
        </w:rPr>
        <w:t>Amendments in IEEE 802.11ad – Enable multi-gigabit data throughput and ground breaking improvements in capacity</w:t>
      </w:r>
      <w:r>
        <w:t xml:space="preserve">, 8 January 2013, available at </w:t>
      </w:r>
      <w:hyperlink r:id="rId13" w:history="1">
        <w:r w:rsidRPr="00FD63D3">
          <w:rPr>
            <w:rStyle w:val="Hyperlink"/>
          </w:rPr>
          <w:t>http://standards.ieee.org/news/2013/802.11ad.html</w:t>
        </w:r>
      </w:hyperlink>
      <w:r>
        <w:t xml:space="preserve">; see also Phys.org, </w:t>
      </w:r>
      <w:r w:rsidRPr="00D81F41">
        <w:rPr>
          <w:i/>
        </w:rPr>
        <w:t>IEEE 802.11ad approval steps up marketplace WiGig</w:t>
      </w:r>
      <w:r>
        <w:t xml:space="preserve">, 2013, available at </w:t>
      </w:r>
      <w:r w:rsidRPr="00B95A45">
        <w:t>http://phys.org/news/2013-01-ieee-80211ad-marketplace-wigig.html</w:t>
      </w:r>
    </w:p>
  </w:footnote>
  <w:footnote w:id="66">
    <w:p w:rsidR="0005766B" w:rsidRDefault="0005766B" w:rsidP="00CC7F56">
      <w:pPr>
        <w:pStyle w:val="FootnoteText"/>
      </w:pPr>
      <w:r>
        <w:rPr>
          <w:rStyle w:val="FootnoteReference"/>
        </w:rPr>
        <w:footnoteRef/>
      </w:r>
      <w:r>
        <w:t xml:space="preserve"> </w:t>
      </w:r>
      <w:r>
        <w:tab/>
        <w:t>FCC third memorandum opinion and order in the matter of unlicensed operation in the TV broadcast bands (ET Docket No. 04-186) and additional spectrum for unlicensed devices below 900MHz and in the 3GHz band (ET Docket No. 02-380), adopted on 4 April 2012.</w:t>
      </w:r>
    </w:p>
  </w:footnote>
  <w:footnote w:id="67">
    <w:p w:rsidR="0005766B" w:rsidRDefault="0005766B" w:rsidP="00CC7F56">
      <w:pPr>
        <w:pStyle w:val="FootnoteText"/>
        <w:jc w:val="left"/>
      </w:pPr>
      <w:r>
        <w:rPr>
          <w:rStyle w:val="FootnoteReference"/>
        </w:rPr>
        <w:footnoteRef/>
      </w:r>
      <w:r>
        <w:t xml:space="preserve"> </w:t>
      </w:r>
      <w:r>
        <w:tab/>
      </w:r>
      <w:r w:rsidRPr="00F51AD5">
        <w:t>See</w:t>
      </w:r>
      <w:r>
        <w:rPr>
          <w:i/>
        </w:rPr>
        <w:t xml:space="preserve"> </w:t>
      </w:r>
      <w:r w:rsidRPr="00F51AD5">
        <w:t xml:space="preserve">Ofcom’s white spaces pilot page at </w:t>
      </w:r>
      <w:hyperlink r:id="rId14" w:history="1">
        <w:r>
          <w:rPr>
            <w:rStyle w:val="Hyperlink"/>
          </w:rPr>
          <w:t>http://stakeholders.ofcom.org.uk/spectrum/tv-white-spaces/white-spaces-pilot/</w:t>
        </w:r>
      </w:hyperlink>
    </w:p>
  </w:footnote>
  <w:footnote w:id="68">
    <w:p w:rsidR="0005766B" w:rsidRDefault="0005766B" w:rsidP="00CC7F56">
      <w:pPr>
        <w:pStyle w:val="FootnoteText"/>
      </w:pPr>
      <w:r>
        <w:rPr>
          <w:rStyle w:val="FootnoteReference"/>
        </w:rPr>
        <w:footnoteRef/>
      </w:r>
      <w:r>
        <w:t xml:space="preserve"> </w:t>
      </w:r>
      <w:r>
        <w:tab/>
        <w:t>Australian Bureau of Statistics report 8153.0 – Internet Activity, Australia, June 2013.</w:t>
      </w:r>
    </w:p>
  </w:footnote>
  <w:footnote w:id="69">
    <w:p w:rsidR="00BF6B7D" w:rsidRDefault="00BF6B7D">
      <w:pPr>
        <w:pStyle w:val="FootnoteText"/>
      </w:pPr>
      <w:r>
        <w:rPr>
          <w:rStyle w:val="FootnoteReference"/>
        </w:rPr>
        <w:footnoteRef/>
      </w:r>
      <w:r>
        <w:t xml:space="preserve"> </w:t>
      </w:r>
      <w:r>
        <w:tab/>
        <w:t xml:space="preserve">See </w:t>
      </w:r>
      <w:r w:rsidRPr="00BF6B7D">
        <w:t>https://exchange.telstra.com.au/2014/07/23/its-time-to-say-goodbye-old-friend/</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5766B" w:rsidRDefault="008B1006">
    <w:pPr>
      <w:pStyle w:val="Header"/>
    </w:pPr>
    <w:r>
      <w:fldChar w:fldCharType="begin"/>
    </w:r>
    <w:r>
      <w:instrText xml:space="preserve"> STYLEREF “Title: Main” </w:instrText>
    </w:r>
    <w:r>
      <w:fldChar w:fldCharType="separate"/>
    </w:r>
    <w:r>
      <w:rPr>
        <w:noProof/>
      </w:rPr>
      <w:t>Mobile Network Infrastructure Forecasts (Contracts 13ACMA013 and 14ACMA149)</w:t>
    </w:r>
    <w:r>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5766B" w:rsidRDefault="008B1006">
    <w:pPr>
      <w:pStyle w:val="Header"/>
    </w:pPr>
    <w:r>
      <w:fldChar w:fldCharType="begin"/>
    </w:r>
    <w:r>
      <w:instrText xml:space="preserve"> STYLEREF “Title: Main” </w:instrText>
    </w:r>
    <w:r>
      <w:fldChar w:fldCharType="separate"/>
    </w:r>
    <w:r w:rsidR="00A87B65">
      <w:rPr>
        <w:noProof/>
      </w:rPr>
      <w:t>Mobile Network Infrastructure Forecasts (Contracts 13ACMA013 and 14ACMA149)</w:t>
    </w:r>
    <w:r>
      <w:rPr>
        <w:noProof/>
      </w:rPr>
      <w:fldChar w:fldCharType="end"/>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5766B" w:rsidRDefault="0005766B">
    <w:pPr>
      <w:pStyle w:val="Header"/>
    </w:pPr>
    <w: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5766B" w:rsidRDefault="008B1006">
    <w:pPr>
      <w:pStyle w:val="Header"/>
    </w:pPr>
    <w:r>
      <w:fldChar w:fldCharType="begin"/>
    </w:r>
    <w:r>
      <w:instrText xml:space="preserve"> STYLEREF “Title: Main” </w:instrText>
    </w:r>
    <w:r>
      <w:fldChar w:fldCharType="separate"/>
    </w:r>
    <w:r w:rsidR="00A87B65">
      <w:rPr>
        <w:noProof/>
      </w:rPr>
      <w:t>Mobile Network Infrastructure Forecasts (Contracts 13ACMA013 and 14ACMA149)</w:t>
    </w:r>
    <w:r>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5766B" w:rsidRDefault="008B1006" w:rsidP="00687310">
    <w:pPr>
      <w:pStyle w:val="Header"/>
    </w:pPr>
    <w:r>
      <w:fldChar w:fldCharType="begin"/>
    </w:r>
    <w:r>
      <w:instrText xml:space="preserve"> STYLEREF “Title: Main” </w:instrText>
    </w:r>
    <w:r>
      <w:fldChar w:fldCharType="separate"/>
    </w:r>
    <w:r>
      <w:rPr>
        <w:noProof/>
      </w:rPr>
      <w:t>Mobile Network Infrastructure Forecasts (Contracts 13ACMA013 and 14ACMA149)</w:t>
    </w:r>
    <w:r>
      <w:rPr>
        <w:noProof/>
      </w:rPr>
      <w:fldChar w:fldCharType="end"/>
    </w:r>
    <w:r w:rsidR="0005766B">
      <w:t xml:space="preserve">  |  </w:t>
    </w:r>
    <w:r w:rsidR="0005766B">
      <w:rPr>
        <w:rStyle w:val="PageNumber"/>
      </w:rPr>
      <w:fldChar w:fldCharType="begin"/>
    </w:r>
    <w:r w:rsidR="0005766B">
      <w:rPr>
        <w:rStyle w:val="PageNumber"/>
      </w:rPr>
      <w:instrText xml:space="preserve"> PAGE </w:instrText>
    </w:r>
    <w:r w:rsidR="0005766B">
      <w:rPr>
        <w:rStyle w:val="PageNumber"/>
      </w:rPr>
      <w:fldChar w:fldCharType="separate"/>
    </w:r>
    <w:r>
      <w:rPr>
        <w:rStyle w:val="PageNumber"/>
        <w:noProof/>
      </w:rPr>
      <w:t>17</w:t>
    </w:r>
    <w:r w:rsidR="0005766B">
      <w:rPr>
        <w:rStyle w:val="PageNumber"/>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5766B" w:rsidRDefault="0005766B">
    <w:pPr>
      <w:pStyle w:val="Header"/>
    </w:pPr>
    <w: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5766B" w:rsidRDefault="0005766B" w:rsidP="00D62E74">
    <w:pPr>
      <w:pStyle w:val="Header"/>
      <w:jc w:val="left"/>
    </w:pPr>
    <w:r>
      <w:rPr>
        <w:rStyle w:val="PageNumber"/>
      </w:rPr>
      <w:fldChar w:fldCharType="begin"/>
    </w:r>
    <w:r>
      <w:rPr>
        <w:rStyle w:val="PageNumber"/>
      </w:rPr>
      <w:instrText xml:space="preserve"> PAGE </w:instrText>
    </w:r>
    <w:r>
      <w:rPr>
        <w:rStyle w:val="PageNumber"/>
      </w:rPr>
      <w:fldChar w:fldCharType="separate"/>
    </w:r>
    <w:r w:rsidR="008B1006">
      <w:rPr>
        <w:rStyle w:val="PageNumber"/>
        <w:noProof/>
      </w:rPr>
      <w:t>16</w:t>
    </w:r>
    <w:r>
      <w:rPr>
        <w:rStyle w:val="PageNumber"/>
      </w:rPr>
      <w:fldChar w:fldCharType="end"/>
    </w:r>
    <w:r>
      <w:rPr>
        <w:rStyle w:val="PageNumber"/>
      </w:rPr>
      <w:t xml:space="preserve">  |  </w:t>
    </w:r>
    <w:fldSimple w:instr=" STYLEREF “Title: Main” ">
      <w:r w:rsidR="008B1006">
        <w:rPr>
          <w:noProof/>
        </w:rPr>
        <w:t>Mobile Network Infrastructure Forecasts (Contracts 13ACMA013 and 14ACMA149)</w:t>
      </w:r>
    </w:fldSimple>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5766B" w:rsidRDefault="008B1006" w:rsidP="005A106E">
    <w:pPr>
      <w:pStyle w:val="Header"/>
    </w:pPr>
    <w:r>
      <w:fldChar w:fldCharType="begin"/>
    </w:r>
    <w:r>
      <w:instrText xml:space="preserve"> STYLEREF “Title: Main” </w:instrText>
    </w:r>
    <w:r>
      <w:fldChar w:fldCharType="separate"/>
    </w:r>
    <w:r>
      <w:rPr>
        <w:noProof/>
      </w:rPr>
      <w:t>Mobile Network Infrastructure Forecasts (Contracts 13ACMA013 and 14ACMA149)</w:t>
    </w:r>
    <w:r>
      <w:rPr>
        <w:noProof/>
      </w:rPr>
      <w:fldChar w:fldCharType="end"/>
    </w:r>
    <w:r w:rsidR="0005766B">
      <w:t xml:space="preserve">  |  </w:t>
    </w:r>
    <w:r w:rsidR="0005766B">
      <w:rPr>
        <w:rStyle w:val="PageNumber"/>
      </w:rPr>
      <w:fldChar w:fldCharType="begin"/>
    </w:r>
    <w:r w:rsidR="0005766B">
      <w:rPr>
        <w:rStyle w:val="PageNumber"/>
      </w:rPr>
      <w:instrText xml:space="preserve"> PAGE </w:instrText>
    </w:r>
    <w:r w:rsidR="0005766B">
      <w:rPr>
        <w:rStyle w:val="PageNumber"/>
      </w:rPr>
      <w:fldChar w:fldCharType="separate"/>
    </w:r>
    <w:r>
      <w:rPr>
        <w:rStyle w:val="PageNumber"/>
        <w:noProof/>
      </w:rPr>
      <w:t>2</w:t>
    </w:r>
    <w:r w:rsidR="0005766B">
      <w:rPr>
        <w:rStyle w:val="PageNumber"/>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8F82FCC8"/>
    <w:lvl w:ilvl="0">
      <w:start w:val="1"/>
      <w:numFmt w:val="decimal"/>
      <w:lvlText w:val="%1."/>
      <w:lvlJc w:val="left"/>
      <w:pPr>
        <w:tabs>
          <w:tab w:val="num" w:pos="1492"/>
        </w:tabs>
        <w:ind w:left="1492" w:hanging="360"/>
      </w:pPr>
    </w:lvl>
  </w:abstractNum>
  <w:abstractNum w:abstractNumId="1">
    <w:nsid w:val="FFFFFF7D"/>
    <w:multiLevelType w:val="singleLevel"/>
    <w:tmpl w:val="B680C746"/>
    <w:lvl w:ilvl="0">
      <w:start w:val="1"/>
      <w:numFmt w:val="decimal"/>
      <w:lvlText w:val="%1."/>
      <w:lvlJc w:val="left"/>
      <w:pPr>
        <w:tabs>
          <w:tab w:val="num" w:pos="1209"/>
        </w:tabs>
        <w:ind w:left="1209" w:hanging="360"/>
      </w:pPr>
    </w:lvl>
  </w:abstractNum>
  <w:abstractNum w:abstractNumId="2">
    <w:nsid w:val="FFFFFF7E"/>
    <w:multiLevelType w:val="singleLevel"/>
    <w:tmpl w:val="6E74F164"/>
    <w:lvl w:ilvl="0">
      <w:start w:val="1"/>
      <w:numFmt w:val="decimal"/>
      <w:lvlText w:val="%1."/>
      <w:lvlJc w:val="left"/>
      <w:pPr>
        <w:tabs>
          <w:tab w:val="num" w:pos="926"/>
        </w:tabs>
        <w:ind w:left="926" w:hanging="360"/>
      </w:pPr>
    </w:lvl>
  </w:abstractNum>
  <w:abstractNum w:abstractNumId="3">
    <w:nsid w:val="FFFFFF7F"/>
    <w:multiLevelType w:val="singleLevel"/>
    <w:tmpl w:val="A1E67EBA"/>
    <w:lvl w:ilvl="0">
      <w:start w:val="1"/>
      <w:numFmt w:val="decimal"/>
      <w:lvlText w:val="%1."/>
      <w:lvlJc w:val="left"/>
      <w:pPr>
        <w:tabs>
          <w:tab w:val="num" w:pos="643"/>
        </w:tabs>
        <w:ind w:left="643" w:hanging="360"/>
      </w:pPr>
    </w:lvl>
  </w:abstractNum>
  <w:abstractNum w:abstractNumId="4">
    <w:nsid w:val="FFFFFF80"/>
    <w:multiLevelType w:val="singleLevel"/>
    <w:tmpl w:val="DB061074"/>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2E5C01FE"/>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8FB0E82A"/>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51A0F4A0"/>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1F00BBA8"/>
    <w:lvl w:ilvl="0">
      <w:start w:val="1"/>
      <w:numFmt w:val="decimal"/>
      <w:pStyle w:val="ListNumber"/>
      <w:lvlText w:val="%1."/>
      <w:lvlJc w:val="left"/>
      <w:pPr>
        <w:tabs>
          <w:tab w:val="num" w:pos="360"/>
        </w:tabs>
        <w:ind w:left="360" w:hanging="360"/>
      </w:pPr>
    </w:lvl>
  </w:abstractNum>
  <w:abstractNum w:abstractNumId="9">
    <w:nsid w:val="FFFFFF89"/>
    <w:multiLevelType w:val="singleLevel"/>
    <w:tmpl w:val="7F64B16A"/>
    <w:lvl w:ilvl="0">
      <w:start w:val="1"/>
      <w:numFmt w:val="bullet"/>
      <w:pStyle w:val="ListBullet"/>
      <w:lvlText w:val=""/>
      <w:lvlJc w:val="left"/>
      <w:pPr>
        <w:ind w:left="360" w:hanging="360"/>
      </w:pPr>
      <w:rPr>
        <w:rFonts w:ascii="Symbol" w:hAnsi="Symbol" w:hint="default"/>
        <w:b w:val="0"/>
        <w:i w:val="0"/>
        <w:sz w:val="20"/>
      </w:rPr>
    </w:lvl>
  </w:abstractNum>
  <w:abstractNum w:abstractNumId="10">
    <w:nsid w:val="00C7044E"/>
    <w:multiLevelType w:val="singleLevel"/>
    <w:tmpl w:val="17240298"/>
    <w:lvl w:ilvl="0">
      <w:start w:val="1"/>
      <w:numFmt w:val="bullet"/>
      <w:lvlText w:val=""/>
      <w:lvlJc w:val="left"/>
      <w:pPr>
        <w:tabs>
          <w:tab w:val="num" w:pos="360"/>
        </w:tabs>
        <w:ind w:left="360" w:hanging="360"/>
      </w:pPr>
      <w:rPr>
        <w:rFonts w:ascii="Symbol" w:hAnsi="Symbol" w:hint="default"/>
        <w:sz w:val="20"/>
      </w:rPr>
    </w:lvl>
  </w:abstractNum>
  <w:abstractNum w:abstractNumId="11">
    <w:nsid w:val="05AF3F72"/>
    <w:multiLevelType w:val="hybridMultilevel"/>
    <w:tmpl w:val="70DC20D2"/>
    <w:lvl w:ilvl="0" w:tplc="9DCADD66">
      <w:start w:val="1"/>
      <w:numFmt w:val="bullet"/>
      <w:pStyle w:val="I2"/>
      <w:lvlText w:val=""/>
      <w:lvlJc w:val="left"/>
      <w:pPr>
        <w:tabs>
          <w:tab w:val="num" w:pos="2761"/>
        </w:tabs>
        <w:ind w:left="2761" w:hanging="360"/>
      </w:pPr>
      <w:rPr>
        <w:rFonts w:ascii="Symbol" w:hAnsi="Symbol" w:hint="default"/>
      </w:rPr>
    </w:lvl>
    <w:lvl w:ilvl="1" w:tplc="04090003" w:tentative="1">
      <w:start w:val="1"/>
      <w:numFmt w:val="bullet"/>
      <w:lvlText w:val="o"/>
      <w:lvlJc w:val="left"/>
      <w:pPr>
        <w:tabs>
          <w:tab w:val="num" w:pos="3481"/>
        </w:tabs>
        <w:ind w:left="3481" w:hanging="360"/>
      </w:pPr>
      <w:rPr>
        <w:rFonts w:ascii="Courier New" w:hAnsi="Courier New" w:hint="default"/>
      </w:rPr>
    </w:lvl>
    <w:lvl w:ilvl="2" w:tplc="04090005" w:tentative="1">
      <w:start w:val="1"/>
      <w:numFmt w:val="bullet"/>
      <w:lvlText w:val=""/>
      <w:lvlJc w:val="left"/>
      <w:pPr>
        <w:tabs>
          <w:tab w:val="num" w:pos="4201"/>
        </w:tabs>
        <w:ind w:left="4201" w:hanging="360"/>
      </w:pPr>
      <w:rPr>
        <w:rFonts w:ascii="Wingdings" w:hAnsi="Wingdings" w:hint="default"/>
      </w:rPr>
    </w:lvl>
    <w:lvl w:ilvl="3" w:tplc="04090001" w:tentative="1">
      <w:start w:val="1"/>
      <w:numFmt w:val="bullet"/>
      <w:lvlText w:val=""/>
      <w:lvlJc w:val="left"/>
      <w:pPr>
        <w:tabs>
          <w:tab w:val="num" w:pos="4921"/>
        </w:tabs>
        <w:ind w:left="4921" w:hanging="360"/>
      </w:pPr>
      <w:rPr>
        <w:rFonts w:ascii="Symbol" w:hAnsi="Symbol" w:hint="default"/>
      </w:rPr>
    </w:lvl>
    <w:lvl w:ilvl="4" w:tplc="04090003" w:tentative="1">
      <w:start w:val="1"/>
      <w:numFmt w:val="bullet"/>
      <w:lvlText w:val="o"/>
      <w:lvlJc w:val="left"/>
      <w:pPr>
        <w:tabs>
          <w:tab w:val="num" w:pos="5641"/>
        </w:tabs>
        <w:ind w:left="5641" w:hanging="360"/>
      </w:pPr>
      <w:rPr>
        <w:rFonts w:ascii="Courier New" w:hAnsi="Courier New" w:hint="default"/>
      </w:rPr>
    </w:lvl>
    <w:lvl w:ilvl="5" w:tplc="04090005" w:tentative="1">
      <w:start w:val="1"/>
      <w:numFmt w:val="bullet"/>
      <w:lvlText w:val=""/>
      <w:lvlJc w:val="left"/>
      <w:pPr>
        <w:tabs>
          <w:tab w:val="num" w:pos="6361"/>
        </w:tabs>
        <w:ind w:left="6361" w:hanging="360"/>
      </w:pPr>
      <w:rPr>
        <w:rFonts w:ascii="Wingdings" w:hAnsi="Wingdings" w:hint="default"/>
      </w:rPr>
    </w:lvl>
    <w:lvl w:ilvl="6" w:tplc="04090001" w:tentative="1">
      <w:start w:val="1"/>
      <w:numFmt w:val="bullet"/>
      <w:lvlText w:val=""/>
      <w:lvlJc w:val="left"/>
      <w:pPr>
        <w:tabs>
          <w:tab w:val="num" w:pos="7081"/>
        </w:tabs>
        <w:ind w:left="7081" w:hanging="360"/>
      </w:pPr>
      <w:rPr>
        <w:rFonts w:ascii="Symbol" w:hAnsi="Symbol" w:hint="default"/>
      </w:rPr>
    </w:lvl>
    <w:lvl w:ilvl="7" w:tplc="04090003" w:tentative="1">
      <w:start w:val="1"/>
      <w:numFmt w:val="bullet"/>
      <w:lvlText w:val="o"/>
      <w:lvlJc w:val="left"/>
      <w:pPr>
        <w:tabs>
          <w:tab w:val="num" w:pos="7801"/>
        </w:tabs>
        <w:ind w:left="7801" w:hanging="360"/>
      </w:pPr>
      <w:rPr>
        <w:rFonts w:ascii="Courier New" w:hAnsi="Courier New" w:hint="default"/>
      </w:rPr>
    </w:lvl>
    <w:lvl w:ilvl="8" w:tplc="04090005" w:tentative="1">
      <w:start w:val="1"/>
      <w:numFmt w:val="bullet"/>
      <w:lvlText w:val=""/>
      <w:lvlJc w:val="left"/>
      <w:pPr>
        <w:tabs>
          <w:tab w:val="num" w:pos="8521"/>
        </w:tabs>
        <w:ind w:left="8521" w:hanging="360"/>
      </w:pPr>
      <w:rPr>
        <w:rFonts w:ascii="Wingdings" w:hAnsi="Wingdings" w:hint="default"/>
      </w:rPr>
    </w:lvl>
  </w:abstractNum>
  <w:abstractNum w:abstractNumId="12">
    <w:nsid w:val="0C5F5BA6"/>
    <w:multiLevelType w:val="hybridMultilevel"/>
    <w:tmpl w:val="6C1AB622"/>
    <w:lvl w:ilvl="0" w:tplc="3F08632C">
      <w:start w:val="1"/>
      <w:numFmt w:val="bullet"/>
      <w:lvlText w:val="-"/>
      <w:lvlJc w:val="left"/>
      <w:pPr>
        <w:ind w:left="720" w:hanging="360"/>
      </w:pPr>
      <w:rPr>
        <w:rFonts w:ascii="Calibri" w:hAnsi="Calibri" w:hint="default"/>
      </w:rPr>
    </w:lvl>
    <w:lvl w:ilvl="1" w:tplc="3F08632C">
      <w:start w:val="1"/>
      <w:numFmt w:val="bullet"/>
      <w:lvlText w:val="-"/>
      <w:lvlJc w:val="left"/>
      <w:pPr>
        <w:ind w:left="1440" w:hanging="360"/>
      </w:pPr>
      <w:rPr>
        <w:rFonts w:ascii="Calibri" w:hAnsi="Calibri"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0DB6421E"/>
    <w:multiLevelType w:val="hybridMultilevel"/>
    <w:tmpl w:val="3ECC6E2E"/>
    <w:lvl w:ilvl="0" w:tplc="5C802E30">
      <w:start w:val="1"/>
      <w:numFmt w:val="bullet"/>
      <w:pStyle w:val="ListBullet2"/>
      <w:lvlText w:val="–"/>
      <w:lvlJc w:val="left"/>
      <w:pPr>
        <w:ind w:left="717" w:hanging="360"/>
      </w:pPr>
      <w:rPr>
        <w:rFonts w:ascii="Times New Roman" w:hAnsi="Times New Roman" w:cs="Times New Roman" w:hint="default"/>
        <w:b w:val="0"/>
        <w:i w:val="0"/>
        <w:sz w:val="22"/>
      </w:rPr>
    </w:lvl>
    <w:lvl w:ilvl="1" w:tplc="08090003" w:tentative="1">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14">
    <w:nsid w:val="0F4E6687"/>
    <w:multiLevelType w:val="hybridMultilevel"/>
    <w:tmpl w:val="23EECEE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nsid w:val="19DE0C11"/>
    <w:multiLevelType w:val="hybridMultilevel"/>
    <w:tmpl w:val="0EA88E2C"/>
    <w:lvl w:ilvl="0" w:tplc="5414EF9E">
      <w:start w:val="1"/>
      <w:numFmt w:val="bullet"/>
      <w:lvlText w:val="–"/>
      <w:lvlJc w:val="left"/>
      <w:pPr>
        <w:tabs>
          <w:tab w:val="num" w:pos="1074"/>
        </w:tabs>
        <w:ind w:left="1074" w:hanging="360"/>
      </w:pPr>
      <w:rPr>
        <w:rFonts w:ascii="Times New Roman" w:hAnsi="Times New Roman" w:cs="Times New Roman" w:hint="default"/>
        <w:sz w:val="24"/>
      </w:rPr>
    </w:lvl>
    <w:lvl w:ilvl="1" w:tplc="04090003" w:tentative="1">
      <w:start w:val="1"/>
      <w:numFmt w:val="bullet"/>
      <w:lvlText w:val="o"/>
      <w:lvlJc w:val="left"/>
      <w:pPr>
        <w:tabs>
          <w:tab w:val="num" w:pos="1797"/>
        </w:tabs>
        <w:ind w:left="1797" w:hanging="360"/>
      </w:pPr>
      <w:rPr>
        <w:rFonts w:ascii="Courier New" w:hAnsi="Courier New" w:hint="default"/>
      </w:rPr>
    </w:lvl>
    <w:lvl w:ilvl="2" w:tplc="04090005" w:tentative="1">
      <w:start w:val="1"/>
      <w:numFmt w:val="bullet"/>
      <w:lvlText w:val=""/>
      <w:lvlJc w:val="left"/>
      <w:pPr>
        <w:tabs>
          <w:tab w:val="num" w:pos="2517"/>
        </w:tabs>
        <w:ind w:left="2517" w:hanging="360"/>
      </w:pPr>
      <w:rPr>
        <w:rFonts w:ascii="Wingdings" w:hAnsi="Wingdings" w:hint="default"/>
      </w:rPr>
    </w:lvl>
    <w:lvl w:ilvl="3" w:tplc="04090001" w:tentative="1">
      <w:start w:val="1"/>
      <w:numFmt w:val="bullet"/>
      <w:lvlText w:val=""/>
      <w:lvlJc w:val="left"/>
      <w:pPr>
        <w:tabs>
          <w:tab w:val="num" w:pos="3237"/>
        </w:tabs>
        <w:ind w:left="3237" w:hanging="360"/>
      </w:pPr>
      <w:rPr>
        <w:rFonts w:ascii="Symbol" w:hAnsi="Symbol" w:hint="default"/>
      </w:rPr>
    </w:lvl>
    <w:lvl w:ilvl="4" w:tplc="04090003" w:tentative="1">
      <w:start w:val="1"/>
      <w:numFmt w:val="bullet"/>
      <w:lvlText w:val="o"/>
      <w:lvlJc w:val="left"/>
      <w:pPr>
        <w:tabs>
          <w:tab w:val="num" w:pos="3957"/>
        </w:tabs>
        <w:ind w:left="3957" w:hanging="360"/>
      </w:pPr>
      <w:rPr>
        <w:rFonts w:ascii="Courier New" w:hAnsi="Courier New" w:hint="default"/>
      </w:rPr>
    </w:lvl>
    <w:lvl w:ilvl="5" w:tplc="04090005" w:tentative="1">
      <w:start w:val="1"/>
      <w:numFmt w:val="bullet"/>
      <w:lvlText w:val=""/>
      <w:lvlJc w:val="left"/>
      <w:pPr>
        <w:tabs>
          <w:tab w:val="num" w:pos="4677"/>
        </w:tabs>
        <w:ind w:left="4677" w:hanging="360"/>
      </w:pPr>
      <w:rPr>
        <w:rFonts w:ascii="Wingdings" w:hAnsi="Wingdings" w:hint="default"/>
      </w:rPr>
    </w:lvl>
    <w:lvl w:ilvl="6" w:tplc="04090001" w:tentative="1">
      <w:start w:val="1"/>
      <w:numFmt w:val="bullet"/>
      <w:lvlText w:val=""/>
      <w:lvlJc w:val="left"/>
      <w:pPr>
        <w:tabs>
          <w:tab w:val="num" w:pos="5397"/>
        </w:tabs>
        <w:ind w:left="5397" w:hanging="360"/>
      </w:pPr>
      <w:rPr>
        <w:rFonts w:ascii="Symbol" w:hAnsi="Symbol" w:hint="default"/>
      </w:rPr>
    </w:lvl>
    <w:lvl w:ilvl="7" w:tplc="04090003" w:tentative="1">
      <w:start w:val="1"/>
      <w:numFmt w:val="bullet"/>
      <w:lvlText w:val="o"/>
      <w:lvlJc w:val="left"/>
      <w:pPr>
        <w:tabs>
          <w:tab w:val="num" w:pos="6117"/>
        </w:tabs>
        <w:ind w:left="6117" w:hanging="360"/>
      </w:pPr>
      <w:rPr>
        <w:rFonts w:ascii="Courier New" w:hAnsi="Courier New" w:hint="default"/>
      </w:rPr>
    </w:lvl>
    <w:lvl w:ilvl="8" w:tplc="04090005" w:tentative="1">
      <w:start w:val="1"/>
      <w:numFmt w:val="bullet"/>
      <w:lvlText w:val=""/>
      <w:lvlJc w:val="left"/>
      <w:pPr>
        <w:tabs>
          <w:tab w:val="num" w:pos="6837"/>
        </w:tabs>
        <w:ind w:left="6837" w:hanging="360"/>
      </w:pPr>
      <w:rPr>
        <w:rFonts w:ascii="Wingdings" w:hAnsi="Wingdings" w:hint="default"/>
      </w:rPr>
    </w:lvl>
  </w:abstractNum>
  <w:abstractNum w:abstractNumId="16">
    <w:nsid w:val="1A362D84"/>
    <w:multiLevelType w:val="hybridMultilevel"/>
    <w:tmpl w:val="8AC4234A"/>
    <w:lvl w:ilvl="0" w:tplc="3CA842C0">
      <w:start w:val="1"/>
      <w:numFmt w:val="bullet"/>
      <w:pStyle w:val="Table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1D29695B"/>
    <w:multiLevelType w:val="multilevel"/>
    <w:tmpl w:val="5B6CC796"/>
    <w:lvl w:ilvl="0">
      <w:start w:val="1"/>
      <w:numFmt w:val="upperLetter"/>
      <w:pStyle w:val="Annex1"/>
      <w:lvlText w:val="Annex %1"/>
      <w:lvlJc w:val="left"/>
      <w:pPr>
        <w:tabs>
          <w:tab w:val="num" w:pos="1633"/>
        </w:tabs>
        <w:ind w:left="499" w:hanging="499"/>
      </w:pPr>
      <w:rPr>
        <w:rFonts w:ascii="Times New Roman" w:hAnsi="Times New Roman" w:hint="default"/>
        <w:b w:val="0"/>
        <w:i w:val="0"/>
        <w:sz w:val="36"/>
      </w:rPr>
    </w:lvl>
    <w:lvl w:ilvl="1">
      <w:start w:val="1"/>
      <w:numFmt w:val="decimal"/>
      <w:pStyle w:val="Annex2"/>
      <w:lvlText w:val="%1.%2"/>
      <w:lvlJc w:val="left"/>
      <w:pPr>
        <w:tabs>
          <w:tab w:val="num" w:pos="1134"/>
        </w:tabs>
        <w:ind w:left="0" w:hanging="499"/>
      </w:pPr>
      <w:rPr>
        <w:rFonts w:ascii="Times New Roman Bold" w:hAnsi="Times New Roman Bold" w:hint="default"/>
        <w:b/>
        <w:i w:val="0"/>
        <w:sz w:val="24"/>
      </w:rPr>
    </w:lvl>
    <w:lvl w:ilvl="2">
      <w:start w:val="1"/>
      <w:numFmt w:val="decimal"/>
      <w:pStyle w:val="Annex3"/>
      <w:suff w:val="space"/>
      <w:lvlText w:val="%1.%2.%3"/>
      <w:lvlJc w:val="left"/>
      <w:pPr>
        <w:ind w:left="0" w:hanging="499"/>
      </w:pPr>
      <w:rPr>
        <w:rFonts w:hint="default"/>
      </w:rPr>
    </w:lvl>
    <w:lvl w:ilvl="3">
      <w:start w:val="1"/>
      <w:numFmt w:val="none"/>
      <w:pStyle w:val="Annex4"/>
      <w:suff w:val="nothing"/>
      <w:lvlText w:val=""/>
      <w:lvlJc w:val="left"/>
      <w:pPr>
        <w:ind w:left="0" w:firstLine="0"/>
      </w:pPr>
      <w:rPr>
        <w:rFonts w:hint="default"/>
      </w:rPr>
    </w:lvl>
    <w:lvl w:ilvl="4">
      <w:start w:val="1"/>
      <w:numFmt w:val="lowerLetter"/>
      <w:lvlText w:val="(%5)"/>
      <w:lvlJc w:val="left"/>
      <w:pPr>
        <w:tabs>
          <w:tab w:val="num" w:pos="1134"/>
        </w:tabs>
        <w:ind w:left="0" w:hanging="499"/>
      </w:pPr>
      <w:rPr>
        <w:rFonts w:hint="default"/>
      </w:rPr>
    </w:lvl>
    <w:lvl w:ilvl="5">
      <w:start w:val="1"/>
      <w:numFmt w:val="lowerRoman"/>
      <w:lvlText w:val="(%6)"/>
      <w:lvlJc w:val="left"/>
      <w:pPr>
        <w:tabs>
          <w:tab w:val="num" w:pos="1134"/>
        </w:tabs>
        <w:ind w:left="0" w:hanging="499"/>
      </w:pPr>
      <w:rPr>
        <w:rFonts w:hint="default"/>
      </w:rPr>
    </w:lvl>
    <w:lvl w:ilvl="6">
      <w:start w:val="1"/>
      <w:numFmt w:val="decimal"/>
      <w:lvlText w:val="%7."/>
      <w:lvlJc w:val="left"/>
      <w:pPr>
        <w:tabs>
          <w:tab w:val="num" w:pos="1134"/>
        </w:tabs>
        <w:ind w:left="0" w:hanging="499"/>
      </w:pPr>
      <w:rPr>
        <w:rFonts w:hint="default"/>
      </w:rPr>
    </w:lvl>
    <w:lvl w:ilvl="7">
      <w:start w:val="1"/>
      <w:numFmt w:val="lowerLetter"/>
      <w:lvlText w:val="%8."/>
      <w:lvlJc w:val="left"/>
      <w:pPr>
        <w:tabs>
          <w:tab w:val="num" w:pos="1134"/>
        </w:tabs>
        <w:ind w:left="0" w:hanging="499"/>
      </w:pPr>
      <w:rPr>
        <w:rFonts w:hint="default"/>
      </w:rPr>
    </w:lvl>
    <w:lvl w:ilvl="8">
      <w:start w:val="1"/>
      <w:numFmt w:val="lowerRoman"/>
      <w:lvlText w:val="%9."/>
      <w:lvlJc w:val="left"/>
      <w:pPr>
        <w:tabs>
          <w:tab w:val="num" w:pos="1134"/>
        </w:tabs>
        <w:ind w:left="0" w:hanging="499"/>
      </w:pPr>
      <w:rPr>
        <w:rFonts w:hint="default"/>
      </w:rPr>
    </w:lvl>
  </w:abstractNum>
  <w:abstractNum w:abstractNumId="18">
    <w:nsid w:val="1DA57927"/>
    <w:multiLevelType w:val="multilevel"/>
    <w:tmpl w:val="918AD0BC"/>
    <w:lvl w:ilvl="0">
      <w:start w:val="1"/>
      <w:numFmt w:val="upperLetter"/>
      <w:suff w:val="space"/>
      <w:lvlText w:val="Annex %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suff w:val="space"/>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nsid w:val="2046634B"/>
    <w:multiLevelType w:val="hybridMultilevel"/>
    <w:tmpl w:val="0B6CB03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nsid w:val="268C11BD"/>
    <w:multiLevelType w:val="hybridMultilevel"/>
    <w:tmpl w:val="D73E1932"/>
    <w:lvl w:ilvl="0" w:tplc="64D0F7E6">
      <w:start w:val="61"/>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2E3735F4"/>
    <w:multiLevelType w:val="multilevel"/>
    <w:tmpl w:val="72CEA188"/>
    <w:lvl w:ilvl="0">
      <w:start w:val="1"/>
      <w:numFmt w:val="decimal"/>
      <w:pStyle w:val="Heading1"/>
      <w:lvlText w:val="%1"/>
      <w:lvlJc w:val="left"/>
      <w:pPr>
        <w:ind w:left="0" w:hanging="499"/>
      </w:pPr>
      <w:rPr>
        <w:rFonts w:ascii="Times New Roman" w:hAnsi="Times New Roman" w:hint="default"/>
        <w:b w:val="0"/>
        <w:i w:val="0"/>
        <w:sz w:val="36"/>
      </w:rPr>
    </w:lvl>
    <w:lvl w:ilvl="1">
      <w:start w:val="1"/>
      <w:numFmt w:val="decimal"/>
      <w:pStyle w:val="Heading2"/>
      <w:lvlText w:val="%1.%2"/>
      <w:lvlJc w:val="left"/>
      <w:pPr>
        <w:ind w:left="0" w:hanging="499"/>
      </w:pPr>
      <w:rPr>
        <w:rFonts w:ascii="Times New Roman Bold" w:hAnsi="Times New Roman Bold" w:hint="default"/>
        <w:b/>
        <w:i w:val="0"/>
        <w:sz w:val="24"/>
      </w:rPr>
    </w:lvl>
    <w:lvl w:ilvl="2">
      <w:start w:val="1"/>
      <w:numFmt w:val="decimal"/>
      <w:pStyle w:val="Heading3"/>
      <w:lvlText w:val="%1.%2.%3"/>
      <w:lvlJc w:val="left"/>
      <w:pPr>
        <w:ind w:left="0" w:hanging="499"/>
      </w:pPr>
      <w:rPr>
        <w:rFonts w:ascii="Times New Roman Bold" w:hAnsi="Times New Roman Bold" w:hint="default"/>
        <w:b/>
        <w:i w:val="0"/>
        <w:sz w:val="22"/>
      </w:rPr>
    </w:lvl>
    <w:lvl w:ilvl="3">
      <w:start w:val="1"/>
      <w:numFmt w:val="none"/>
      <w:pStyle w:val="Heading4"/>
      <w:suff w:val="nothing"/>
      <w:lvlText w:val=""/>
      <w:lvlJc w:val="left"/>
      <w:pPr>
        <w:ind w:left="0" w:firstLine="0"/>
      </w:pPr>
      <w:rPr>
        <w:rFonts w:ascii="Times New Roman" w:hAnsi="Times New Roman" w:hint="default"/>
        <w:b w:val="0"/>
        <w:i/>
        <w:sz w:val="22"/>
      </w:rPr>
    </w:lvl>
    <w:lvl w:ilvl="4">
      <w:start w:val="1"/>
      <w:numFmt w:val="none"/>
      <w:lvlText w:val=""/>
      <w:lvlJc w:val="left"/>
      <w:pPr>
        <w:ind w:left="0" w:hanging="499"/>
      </w:pPr>
      <w:rPr>
        <w:rFonts w:hint="default"/>
      </w:rPr>
    </w:lvl>
    <w:lvl w:ilvl="5">
      <w:start w:val="1"/>
      <w:numFmt w:val="none"/>
      <w:lvlText w:val=""/>
      <w:lvlJc w:val="left"/>
      <w:pPr>
        <w:ind w:left="0" w:hanging="499"/>
      </w:pPr>
      <w:rPr>
        <w:rFonts w:hint="default"/>
      </w:rPr>
    </w:lvl>
    <w:lvl w:ilvl="6">
      <w:start w:val="1"/>
      <w:numFmt w:val="none"/>
      <w:lvlText w:val=""/>
      <w:lvlJc w:val="left"/>
      <w:pPr>
        <w:ind w:left="0" w:hanging="499"/>
      </w:pPr>
      <w:rPr>
        <w:rFonts w:hint="default"/>
      </w:rPr>
    </w:lvl>
    <w:lvl w:ilvl="7">
      <w:start w:val="1"/>
      <w:numFmt w:val="none"/>
      <w:lvlText w:val=""/>
      <w:lvlJc w:val="left"/>
      <w:pPr>
        <w:ind w:left="0" w:hanging="499"/>
      </w:pPr>
      <w:rPr>
        <w:rFonts w:hint="default"/>
      </w:rPr>
    </w:lvl>
    <w:lvl w:ilvl="8">
      <w:start w:val="1"/>
      <w:numFmt w:val="none"/>
      <w:lvlText w:val=""/>
      <w:lvlJc w:val="left"/>
      <w:pPr>
        <w:ind w:left="0" w:hanging="499"/>
      </w:pPr>
      <w:rPr>
        <w:rFonts w:hint="default"/>
      </w:rPr>
    </w:lvl>
  </w:abstractNum>
  <w:abstractNum w:abstractNumId="22">
    <w:nsid w:val="2EBD436F"/>
    <w:multiLevelType w:val="hybridMultilevel"/>
    <w:tmpl w:val="8910CB68"/>
    <w:lvl w:ilvl="0" w:tplc="FFA28EC0">
      <w:start w:val="1"/>
      <w:numFmt w:val="bullet"/>
      <w:lvlText w:val="•"/>
      <w:lvlJc w:val="left"/>
      <w:pPr>
        <w:tabs>
          <w:tab w:val="num" w:pos="720"/>
        </w:tabs>
        <w:ind w:left="720" w:hanging="360"/>
      </w:pPr>
      <w:rPr>
        <w:rFonts w:ascii="Arial" w:hAnsi="Arial" w:hint="default"/>
      </w:rPr>
    </w:lvl>
    <w:lvl w:ilvl="1" w:tplc="DC5E8E44" w:tentative="1">
      <w:start w:val="1"/>
      <w:numFmt w:val="bullet"/>
      <w:lvlText w:val="•"/>
      <w:lvlJc w:val="left"/>
      <w:pPr>
        <w:tabs>
          <w:tab w:val="num" w:pos="1440"/>
        </w:tabs>
        <w:ind w:left="1440" w:hanging="360"/>
      </w:pPr>
      <w:rPr>
        <w:rFonts w:ascii="Arial" w:hAnsi="Arial" w:hint="default"/>
      </w:rPr>
    </w:lvl>
    <w:lvl w:ilvl="2" w:tplc="40AA0342" w:tentative="1">
      <w:start w:val="1"/>
      <w:numFmt w:val="bullet"/>
      <w:lvlText w:val="•"/>
      <w:lvlJc w:val="left"/>
      <w:pPr>
        <w:tabs>
          <w:tab w:val="num" w:pos="2160"/>
        </w:tabs>
        <w:ind w:left="2160" w:hanging="360"/>
      </w:pPr>
      <w:rPr>
        <w:rFonts w:ascii="Arial" w:hAnsi="Arial" w:hint="default"/>
      </w:rPr>
    </w:lvl>
    <w:lvl w:ilvl="3" w:tplc="6554C3E4" w:tentative="1">
      <w:start w:val="1"/>
      <w:numFmt w:val="bullet"/>
      <w:lvlText w:val="•"/>
      <w:lvlJc w:val="left"/>
      <w:pPr>
        <w:tabs>
          <w:tab w:val="num" w:pos="2880"/>
        </w:tabs>
        <w:ind w:left="2880" w:hanging="360"/>
      </w:pPr>
      <w:rPr>
        <w:rFonts w:ascii="Arial" w:hAnsi="Arial" w:hint="default"/>
      </w:rPr>
    </w:lvl>
    <w:lvl w:ilvl="4" w:tplc="773EF782" w:tentative="1">
      <w:start w:val="1"/>
      <w:numFmt w:val="bullet"/>
      <w:lvlText w:val="•"/>
      <w:lvlJc w:val="left"/>
      <w:pPr>
        <w:tabs>
          <w:tab w:val="num" w:pos="3600"/>
        </w:tabs>
        <w:ind w:left="3600" w:hanging="360"/>
      </w:pPr>
      <w:rPr>
        <w:rFonts w:ascii="Arial" w:hAnsi="Arial" w:hint="default"/>
      </w:rPr>
    </w:lvl>
    <w:lvl w:ilvl="5" w:tplc="C1A8D1C4" w:tentative="1">
      <w:start w:val="1"/>
      <w:numFmt w:val="bullet"/>
      <w:lvlText w:val="•"/>
      <w:lvlJc w:val="left"/>
      <w:pPr>
        <w:tabs>
          <w:tab w:val="num" w:pos="4320"/>
        </w:tabs>
        <w:ind w:left="4320" w:hanging="360"/>
      </w:pPr>
      <w:rPr>
        <w:rFonts w:ascii="Arial" w:hAnsi="Arial" w:hint="default"/>
      </w:rPr>
    </w:lvl>
    <w:lvl w:ilvl="6" w:tplc="052CC4F8" w:tentative="1">
      <w:start w:val="1"/>
      <w:numFmt w:val="bullet"/>
      <w:lvlText w:val="•"/>
      <w:lvlJc w:val="left"/>
      <w:pPr>
        <w:tabs>
          <w:tab w:val="num" w:pos="5040"/>
        </w:tabs>
        <w:ind w:left="5040" w:hanging="360"/>
      </w:pPr>
      <w:rPr>
        <w:rFonts w:ascii="Arial" w:hAnsi="Arial" w:hint="default"/>
      </w:rPr>
    </w:lvl>
    <w:lvl w:ilvl="7" w:tplc="DFFE9A6A" w:tentative="1">
      <w:start w:val="1"/>
      <w:numFmt w:val="bullet"/>
      <w:lvlText w:val="•"/>
      <w:lvlJc w:val="left"/>
      <w:pPr>
        <w:tabs>
          <w:tab w:val="num" w:pos="5760"/>
        </w:tabs>
        <w:ind w:left="5760" w:hanging="360"/>
      </w:pPr>
      <w:rPr>
        <w:rFonts w:ascii="Arial" w:hAnsi="Arial" w:hint="default"/>
      </w:rPr>
    </w:lvl>
    <w:lvl w:ilvl="8" w:tplc="75DC14BA" w:tentative="1">
      <w:start w:val="1"/>
      <w:numFmt w:val="bullet"/>
      <w:lvlText w:val="•"/>
      <w:lvlJc w:val="left"/>
      <w:pPr>
        <w:tabs>
          <w:tab w:val="num" w:pos="6480"/>
        </w:tabs>
        <w:ind w:left="6480" w:hanging="360"/>
      </w:pPr>
      <w:rPr>
        <w:rFonts w:ascii="Arial" w:hAnsi="Arial" w:hint="default"/>
      </w:rPr>
    </w:lvl>
  </w:abstractNum>
  <w:abstractNum w:abstractNumId="23">
    <w:nsid w:val="30E035C0"/>
    <w:multiLevelType w:val="multilevel"/>
    <w:tmpl w:val="006465E8"/>
    <w:lvl w:ilvl="0">
      <w:start w:val="1"/>
      <w:numFmt w:val="decimal"/>
      <w:lvlText w:val="%1"/>
      <w:lvlJc w:val="left"/>
      <w:pPr>
        <w:ind w:left="0" w:hanging="499"/>
      </w:pPr>
      <w:rPr>
        <w:rFonts w:ascii="Times New Roman" w:hAnsi="Times New Roman" w:hint="default"/>
        <w:b w:val="0"/>
        <w:i w:val="0"/>
        <w:sz w:val="36"/>
      </w:rPr>
    </w:lvl>
    <w:lvl w:ilvl="1">
      <w:start w:val="1"/>
      <w:numFmt w:val="decimal"/>
      <w:lvlText w:val="%1.%2"/>
      <w:lvlJc w:val="left"/>
      <w:pPr>
        <w:ind w:left="0" w:hanging="499"/>
      </w:pPr>
      <w:rPr>
        <w:rFonts w:ascii="Times New Roman Bold" w:hAnsi="Times New Roman Bold" w:hint="default"/>
        <w:b/>
        <w:i w:val="0"/>
        <w:sz w:val="24"/>
      </w:rPr>
    </w:lvl>
    <w:lvl w:ilvl="2">
      <w:start w:val="1"/>
      <w:numFmt w:val="decimal"/>
      <w:lvlText w:val="%1.%2.%3"/>
      <w:lvlJc w:val="left"/>
      <w:pPr>
        <w:ind w:left="0" w:hanging="499"/>
      </w:pPr>
      <w:rPr>
        <w:rFonts w:ascii="Times New Roman Bold" w:hAnsi="Times New Roman Bold" w:hint="default"/>
        <w:b/>
        <w:i w:val="0"/>
        <w:sz w:val="22"/>
      </w:rPr>
    </w:lvl>
    <w:lvl w:ilvl="3">
      <w:start w:val="1"/>
      <w:numFmt w:val="none"/>
      <w:suff w:val="nothing"/>
      <w:lvlText w:val=""/>
      <w:lvlJc w:val="left"/>
      <w:pPr>
        <w:ind w:left="0" w:firstLine="0"/>
      </w:pPr>
      <w:rPr>
        <w:rFonts w:ascii="Times New Roman" w:hAnsi="Times New Roman" w:hint="default"/>
        <w:b w:val="0"/>
        <w:i/>
        <w:sz w:val="22"/>
      </w:rPr>
    </w:lvl>
    <w:lvl w:ilvl="4">
      <w:start w:val="1"/>
      <w:numFmt w:val="none"/>
      <w:lvlText w:val=""/>
      <w:lvlJc w:val="left"/>
      <w:pPr>
        <w:ind w:left="0" w:hanging="499"/>
      </w:pPr>
      <w:rPr>
        <w:rFonts w:hint="default"/>
      </w:rPr>
    </w:lvl>
    <w:lvl w:ilvl="5">
      <w:start w:val="1"/>
      <w:numFmt w:val="none"/>
      <w:lvlText w:val=""/>
      <w:lvlJc w:val="left"/>
      <w:pPr>
        <w:ind w:left="0" w:hanging="499"/>
      </w:pPr>
      <w:rPr>
        <w:rFonts w:hint="default"/>
      </w:rPr>
    </w:lvl>
    <w:lvl w:ilvl="6">
      <w:start w:val="1"/>
      <w:numFmt w:val="none"/>
      <w:lvlText w:val=""/>
      <w:lvlJc w:val="left"/>
      <w:pPr>
        <w:ind w:left="0" w:hanging="499"/>
      </w:pPr>
      <w:rPr>
        <w:rFonts w:hint="default"/>
      </w:rPr>
    </w:lvl>
    <w:lvl w:ilvl="7">
      <w:start w:val="1"/>
      <w:numFmt w:val="none"/>
      <w:lvlText w:val=""/>
      <w:lvlJc w:val="left"/>
      <w:pPr>
        <w:ind w:left="0" w:hanging="499"/>
      </w:pPr>
      <w:rPr>
        <w:rFonts w:hint="default"/>
      </w:rPr>
    </w:lvl>
    <w:lvl w:ilvl="8">
      <w:start w:val="1"/>
      <w:numFmt w:val="none"/>
      <w:lvlText w:val=""/>
      <w:lvlJc w:val="left"/>
      <w:pPr>
        <w:ind w:left="0" w:hanging="499"/>
      </w:pPr>
      <w:rPr>
        <w:rFonts w:hint="default"/>
      </w:rPr>
    </w:lvl>
  </w:abstractNum>
  <w:abstractNum w:abstractNumId="24">
    <w:nsid w:val="3EF73F02"/>
    <w:multiLevelType w:val="hybridMultilevel"/>
    <w:tmpl w:val="E286DB98"/>
    <w:lvl w:ilvl="0" w:tplc="6C3CB410">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nsid w:val="3FC07CDE"/>
    <w:multiLevelType w:val="multilevel"/>
    <w:tmpl w:val="0809001D"/>
    <w:styleLink w:val="1ai"/>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6">
    <w:nsid w:val="41535386"/>
    <w:multiLevelType w:val="multilevel"/>
    <w:tmpl w:val="8C8656A2"/>
    <w:styleLink w:val="TableListNumbers"/>
    <w:lvl w:ilvl="0">
      <w:start w:val="1"/>
      <w:numFmt w:val="decimal"/>
      <w:lvlText w:val="%1"/>
      <w:lvlJc w:val="left"/>
      <w:pPr>
        <w:tabs>
          <w:tab w:val="num" w:pos="170"/>
        </w:tabs>
        <w:ind w:left="170" w:hanging="170"/>
      </w:pPr>
      <w:rPr>
        <w:rFonts w:ascii="Franklin Gothic Book" w:hAnsi="Franklin Gothic Book" w:hint="default"/>
      </w:rPr>
    </w:lvl>
    <w:lvl w:ilvl="1">
      <w:start w:val="1"/>
      <w:numFmt w:val="lowerLetter"/>
      <w:lvlText w:val="%2)"/>
      <w:lvlJc w:val="left"/>
      <w:pPr>
        <w:tabs>
          <w:tab w:val="num" w:pos="340"/>
        </w:tabs>
        <w:ind w:left="340" w:hanging="17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27">
    <w:nsid w:val="444D0715"/>
    <w:multiLevelType w:val="hybridMultilevel"/>
    <w:tmpl w:val="D936AC78"/>
    <w:lvl w:ilvl="0" w:tplc="F7DA2562">
      <w:start w:val="1"/>
      <w:numFmt w:val="bullet"/>
      <w:pStyle w:val="ListBullet2Compact"/>
      <w:lvlText w:val="–"/>
      <w:lvlJc w:val="left"/>
      <w:pPr>
        <w:ind w:left="1077" w:hanging="360"/>
      </w:pPr>
      <w:rPr>
        <w:rFonts w:ascii="Times New Roman" w:hAnsi="Times New Roman" w:cs="Times New Roman" w:hint="default"/>
        <w:b w:val="0"/>
        <w:i w:val="0"/>
        <w:sz w:val="22"/>
      </w:rPr>
    </w:lvl>
    <w:lvl w:ilvl="1" w:tplc="08090003" w:tentative="1">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28">
    <w:nsid w:val="453D79E0"/>
    <w:multiLevelType w:val="hybridMultilevel"/>
    <w:tmpl w:val="43429B84"/>
    <w:lvl w:ilvl="0" w:tplc="0C090001">
      <w:start w:val="1"/>
      <w:numFmt w:val="bullet"/>
      <w:lvlText w:val=""/>
      <w:lvlJc w:val="left"/>
      <w:pPr>
        <w:ind w:left="720" w:hanging="360"/>
      </w:pPr>
      <w:rPr>
        <w:rFonts w:ascii="Symbol" w:hAnsi="Symbol" w:hint="default"/>
      </w:rPr>
    </w:lvl>
    <w:lvl w:ilvl="1" w:tplc="3F08632C">
      <w:start w:val="1"/>
      <w:numFmt w:val="bullet"/>
      <w:lvlText w:val="-"/>
      <w:lvlJc w:val="left"/>
      <w:pPr>
        <w:ind w:left="1440" w:hanging="360"/>
      </w:pPr>
      <w:rPr>
        <w:rFonts w:ascii="Calibri" w:hAnsi="Calibri"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nsid w:val="45CC7645"/>
    <w:multiLevelType w:val="hybridMultilevel"/>
    <w:tmpl w:val="29F64A64"/>
    <w:lvl w:ilvl="0" w:tplc="406E0BDA">
      <w:start w:val="1"/>
      <w:numFmt w:val="bullet"/>
      <w:lvlText w:val="•"/>
      <w:lvlJc w:val="left"/>
      <w:pPr>
        <w:tabs>
          <w:tab w:val="num" w:pos="720"/>
        </w:tabs>
        <w:ind w:left="720" w:hanging="360"/>
      </w:pPr>
      <w:rPr>
        <w:rFonts w:ascii="Arial" w:hAnsi="Arial" w:hint="default"/>
      </w:rPr>
    </w:lvl>
    <w:lvl w:ilvl="1" w:tplc="FB4C4E92" w:tentative="1">
      <w:start w:val="1"/>
      <w:numFmt w:val="bullet"/>
      <w:lvlText w:val="•"/>
      <w:lvlJc w:val="left"/>
      <w:pPr>
        <w:tabs>
          <w:tab w:val="num" w:pos="1440"/>
        </w:tabs>
        <w:ind w:left="1440" w:hanging="360"/>
      </w:pPr>
      <w:rPr>
        <w:rFonts w:ascii="Arial" w:hAnsi="Arial" w:hint="default"/>
      </w:rPr>
    </w:lvl>
    <w:lvl w:ilvl="2" w:tplc="8EA6DEB2" w:tentative="1">
      <w:start w:val="1"/>
      <w:numFmt w:val="bullet"/>
      <w:lvlText w:val="•"/>
      <w:lvlJc w:val="left"/>
      <w:pPr>
        <w:tabs>
          <w:tab w:val="num" w:pos="2160"/>
        </w:tabs>
        <w:ind w:left="2160" w:hanging="360"/>
      </w:pPr>
      <w:rPr>
        <w:rFonts w:ascii="Arial" w:hAnsi="Arial" w:hint="default"/>
      </w:rPr>
    </w:lvl>
    <w:lvl w:ilvl="3" w:tplc="E3DE617E" w:tentative="1">
      <w:start w:val="1"/>
      <w:numFmt w:val="bullet"/>
      <w:lvlText w:val="•"/>
      <w:lvlJc w:val="left"/>
      <w:pPr>
        <w:tabs>
          <w:tab w:val="num" w:pos="2880"/>
        </w:tabs>
        <w:ind w:left="2880" w:hanging="360"/>
      </w:pPr>
      <w:rPr>
        <w:rFonts w:ascii="Arial" w:hAnsi="Arial" w:hint="default"/>
      </w:rPr>
    </w:lvl>
    <w:lvl w:ilvl="4" w:tplc="7C9E1A50" w:tentative="1">
      <w:start w:val="1"/>
      <w:numFmt w:val="bullet"/>
      <w:lvlText w:val="•"/>
      <w:lvlJc w:val="left"/>
      <w:pPr>
        <w:tabs>
          <w:tab w:val="num" w:pos="3600"/>
        </w:tabs>
        <w:ind w:left="3600" w:hanging="360"/>
      </w:pPr>
      <w:rPr>
        <w:rFonts w:ascii="Arial" w:hAnsi="Arial" w:hint="default"/>
      </w:rPr>
    </w:lvl>
    <w:lvl w:ilvl="5" w:tplc="DF94EAC4" w:tentative="1">
      <w:start w:val="1"/>
      <w:numFmt w:val="bullet"/>
      <w:lvlText w:val="•"/>
      <w:lvlJc w:val="left"/>
      <w:pPr>
        <w:tabs>
          <w:tab w:val="num" w:pos="4320"/>
        </w:tabs>
        <w:ind w:left="4320" w:hanging="360"/>
      </w:pPr>
      <w:rPr>
        <w:rFonts w:ascii="Arial" w:hAnsi="Arial" w:hint="default"/>
      </w:rPr>
    </w:lvl>
    <w:lvl w:ilvl="6" w:tplc="0112891E" w:tentative="1">
      <w:start w:val="1"/>
      <w:numFmt w:val="bullet"/>
      <w:lvlText w:val="•"/>
      <w:lvlJc w:val="left"/>
      <w:pPr>
        <w:tabs>
          <w:tab w:val="num" w:pos="5040"/>
        </w:tabs>
        <w:ind w:left="5040" w:hanging="360"/>
      </w:pPr>
      <w:rPr>
        <w:rFonts w:ascii="Arial" w:hAnsi="Arial" w:hint="default"/>
      </w:rPr>
    </w:lvl>
    <w:lvl w:ilvl="7" w:tplc="DF4E429C" w:tentative="1">
      <w:start w:val="1"/>
      <w:numFmt w:val="bullet"/>
      <w:lvlText w:val="•"/>
      <w:lvlJc w:val="left"/>
      <w:pPr>
        <w:tabs>
          <w:tab w:val="num" w:pos="5760"/>
        </w:tabs>
        <w:ind w:left="5760" w:hanging="360"/>
      </w:pPr>
      <w:rPr>
        <w:rFonts w:ascii="Arial" w:hAnsi="Arial" w:hint="default"/>
      </w:rPr>
    </w:lvl>
    <w:lvl w:ilvl="8" w:tplc="BA9C7842" w:tentative="1">
      <w:start w:val="1"/>
      <w:numFmt w:val="bullet"/>
      <w:lvlText w:val="•"/>
      <w:lvlJc w:val="left"/>
      <w:pPr>
        <w:tabs>
          <w:tab w:val="num" w:pos="6480"/>
        </w:tabs>
        <w:ind w:left="6480" w:hanging="360"/>
      </w:pPr>
      <w:rPr>
        <w:rFonts w:ascii="Arial" w:hAnsi="Arial" w:hint="default"/>
      </w:rPr>
    </w:lvl>
  </w:abstractNum>
  <w:abstractNum w:abstractNumId="30">
    <w:nsid w:val="486B7B52"/>
    <w:multiLevelType w:val="hybridMultilevel"/>
    <w:tmpl w:val="8C4242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nsid w:val="513A72DF"/>
    <w:multiLevelType w:val="singleLevel"/>
    <w:tmpl w:val="CF36FE2A"/>
    <w:lvl w:ilvl="0">
      <w:start w:val="1"/>
      <w:numFmt w:val="bullet"/>
      <w:lvlText w:val="►"/>
      <w:lvlJc w:val="left"/>
      <w:pPr>
        <w:tabs>
          <w:tab w:val="num" w:pos="360"/>
        </w:tabs>
        <w:ind w:left="360" w:hanging="360"/>
      </w:pPr>
      <w:rPr>
        <w:rFonts w:ascii="Times New Roman" w:hAnsi="Times New Roman" w:cs="Times New Roman" w:hint="default"/>
        <w:sz w:val="20"/>
      </w:rPr>
    </w:lvl>
  </w:abstractNum>
  <w:abstractNum w:abstractNumId="32">
    <w:nsid w:val="5CF74542"/>
    <w:multiLevelType w:val="hybridMultilevel"/>
    <w:tmpl w:val="5BD2D9A8"/>
    <w:lvl w:ilvl="0" w:tplc="95DCC1AE">
      <w:start w:val="1"/>
      <w:numFmt w:val="bullet"/>
      <w:pStyle w:val="H5"/>
      <w:lvlText w:val="►"/>
      <w:lvlJc w:val="left"/>
      <w:pPr>
        <w:ind w:left="720" w:hanging="360"/>
      </w:pPr>
      <w:rPr>
        <w:rFonts w:ascii="Times New Roman" w:hAnsi="Times New Roman" w:cs="Times New Roman" w:hint="default"/>
        <w:b w:val="0"/>
        <w:i w:val="0"/>
        <w:color w:val="auto"/>
        <w:sz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nsid w:val="69E83BBE"/>
    <w:multiLevelType w:val="hybridMultilevel"/>
    <w:tmpl w:val="D7464418"/>
    <w:lvl w:ilvl="0" w:tplc="5ABC7098">
      <w:start w:val="1"/>
      <w:numFmt w:val="bullet"/>
      <w:pStyle w:val="MCLBullet1"/>
      <w:lvlText w:val=""/>
      <w:lvlJc w:val="left"/>
      <w:pPr>
        <w:tabs>
          <w:tab w:val="num" w:pos="720"/>
        </w:tabs>
        <w:ind w:left="720" w:hanging="360"/>
      </w:pPr>
      <w:rPr>
        <w:rFonts w:ascii="Symbol" w:hAnsi="Symbol" w:hint="default"/>
        <w:sz w:val="24"/>
      </w:rPr>
    </w:lvl>
    <w:lvl w:ilvl="1" w:tplc="F9D86360" w:tentative="1">
      <w:start w:val="1"/>
      <w:numFmt w:val="bullet"/>
      <w:lvlText w:val="o"/>
      <w:lvlJc w:val="left"/>
      <w:pPr>
        <w:tabs>
          <w:tab w:val="num" w:pos="1440"/>
        </w:tabs>
        <w:ind w:left="1440" w:hanging="360"/>
      </w:pPr>
      <w:rPr>
        <w:rFonts w:ascii="Courier New" w:hAnsi="Courier New" w:hint="default"/>
      </w:rPr>
    </w:lvl>
    <w:lvl w:ilvl="2" w:tplc="D0AE4038" w:tentative="1">
      <w:start w:val="1"/>
      <w:numFmt w:val="bullet"/>
      <w:lvlText w:val=""/>
      <w:lvlJc w:val="left"/>
      <w:pPr>
        <w:tabs>
          <w:tab w:val="num" w:pos="2160"/>
        </w:tabs>
        <w:ind w:left="2160" w:hanging="360"/>
      </w:pPr>
      <w:rPr>
        <w:rFonts w:ascii="Wingdings" w:hAnsi="Wingdings" w:hint="default"/>
      </w:rPr>
    </w:lvl>
    <w:lvl w:ilvl="3" w:tplc="08D64D4C" w:tentative="1">
      <w:start w:val="1"/>
      <w:numFmt w:val="bullet"/>
      <w:lvlText w:val=""/>
      <w:lvlJc w:val="left"/>
      <w:pPr>
        <w:tabs>
          <w:tab w:val="num" w:pos="2880"/>
        </w:tabs>
        <w:ind w:left="2880" w:hanging="360"/>
      </w:pPr>
      <w:rPr>
        <w:rFonts w:ascii="Symbol" w:hAnsi="Symbol" w:hint="default"/>
      </w:rPr>
    </w:lvl>
    <w:lvl w:ilvl="4" w:tplc="CB7AC07C" w:tentative="1">
      <w:start w:val="1"/>
      <w:numFmt w:val="bullet"/>
      <w:lvlText w:val="o"/>
      <w:lvlJc w:val="left"/>
      <w:pPr>
        <w:tabs>
          <w:tab w:val="num" w:pos="3600"/>
        </w:tabs>
        <w:ind w:left="3600" w:hanging="360"/>
      </w:pPr>
      <w:rPr>
        <w:rFonts w:ascii="Courier New" w:hAnsi="Courier New" w:hint="default"/>
      </w:rPr>
    </w:lvl>
    <w:lvl w:ilvl="5" w:tplc="DE30862A" w:tentative="1">
      <w:start w:val="1"/>
      <w:numFmt w:val="bullet"/>
      <w:lvlText w:val=""/>
      <w:lvlJc w:val="left"/>
      <w:pPr>
        <w:tabs>
          <w:tab w:val="num" w:pos="4320"/>
        </w:tabs>
        <w:ind w:left="4320" w:hanging="360"/>
      </w:pPr>
      <w:rPr>
        <w:rFonts w:ascii="Wingdings" w:hAnsi="Wingdings" w:hint="default"/>
      </w:rPr>
    </w:lvl>
    <w:lvl w:ilvl="6" w:tplc="592C7D92" w:tentative="1">
      <w:start w:val="1"/>
      <w:numFmt w:val="bullet"/>
      <w:lvlText w:val=""/>
      <w:lvlJc w:val="left"/>
      <w:pPr>
        <w:tabs>
          <w:tab w:val="num" w:pos="5040"/>
        </w:tabs>
        <w:ind w:left="5040" w:hanging="360"/>
      </w:pPr>
      <w:rPr>
        <w:rFonts w:ascii="Symbol" w:hAnsi="Symbol" w:hint="default"/>
      </w:rPr>
    </w:lvl>
    <w:lvl w:ilvl="7" w:tplc="D0B8A1A0" w:tentative="1">
      <w:start w:val="1"/>
      <w:numFmt w:val="bullet"/>
      <w:lvlText w:val="o"/>
      <w:lvlJc w:val="left"/>
      <w:pPr>
        <w:tabs>
          <w:tab w:val="num" w:pos="5760"/>
        </w:tabs>
        <w:ind w:left="5760" w:hanging="360"/>
      </w:pPr>
      <w:rPr>
        <w:rFonts w:ascii="Courier New" w:hAnsi="Courier New" w:hint="default"/>
      </w:rPr>
    </w:lvl>
    <w:lvl w:ilvl="8" w:tplc="EB862884" w:tentative="1">
      <w:start w:val="1"/>
      <w:numFmt w:val="bullet"/>
      <w:lvlText w:val=""/>
      <w:lvlJc w:val="left"/>
      <w:pPr>
        <w:tabs>
          <w:tab w:val="num" w:pos="6480"/>
        </w:tabs>
        <w:ind w:left="6480" w:hanging="360"/>
      </w:pPr>
      <w:rPr>
        <w:rFonts w:ascii="Wingdings" w:hAnsi="Wingdings" w:hint="default"/>
      </w:rPr>
    </w:lvl>
  </w:abstractNum>
  <w:abstractNum w:abstractNumId="34">
    <w:nsid w:val="715F1F3A"/>
    <w:multiLevelType w:val="multilevel"/>
    <w:tmpl w:val="4686F136"/>
    <w:lvl w:ilvl="0">
      <w:start w:val="1"/>
      <w:numFmt w:val="decimal"/>
      <w:lvlText w:val="%1"/>
      <w:lvlJc w:val="left"/>
      <w:pPr>
        <w:tabs>
          <w:tab w:val="num" w:pos="-67"/>
        </w:tabs>
        <w:ind w:left="-67" w:hanging="432"/>
      </w:pPr>
    </w:lvl>
    <w:lvl w:ilvl="1">
      <w:start w:val="1"/>
      <w:numFmt w:val="decimal"/>
      <w:lvlText w:val="%1.%2"/>
      <w:lvlJc w:val="left"/>
      <w:pPr>
        <w:tabs>
          <w:tab w:val="num" w:pos="77"/>
        </w:tabs>
        <w:ind w:left="77" w:hanging="576"/>
      </w:pPr>
    </w:lvl>
    <w:lvl w:ilvl="2">
      <w:start w:val="1"/>
      <w:numFmt w:val="decimal"/>
      <w:lvlText w:val="%1.%2.%3"/>
      <w:lvlJc w:val="left"/>
      <w:pPr>
        <w:tabs>
          <w:tab w:val="num" w:pos="221"/>
        </w:tabs>
        <w:ind w:left="221" w:hanging="720"/>
      </w:pPr>
    </w:lvl>
    <w:lvl w:ilvl="3">
      <w:start w:val="1"/>
      <w:numFmt w:val="decimal"/>
      <w:lvlText w:val="%1.%2.%3.%4"/>
      <w:lvlJc w:val="left"/>
      <w:pPr>
        <w:tabs>
          <w:tab w:val="num" w:pos="365"/>
        </w:tabs>
        <w:ind w:left="365" w:hanging="864"/>
      </w:pPr>
    </w:lvl>
    <w:lvl w:ilvl="4">
      <w:start w:val="1"/>
      <w:numFmt w:val="decimal"/>
      <w:pStyle w:val="Heading5"/>
      <w:lvlText w:val="%1.%2.%3.%4.%5"/>
      <w:lvlJc w:val="left"/>
      <w:pPr>
        <w:tabs>
          <w:tab w:val="num" w:pos="509"/>
        </w:tabs>
        <w:ind w:left="509" w:hanging="1008"/>
      </w:pPr>
    </w:lvl>
    <w:lvl w:ilvl="5">
      <w:start w:val="1"/>
      <w:numFmt w:val="decimal"/>
      <w:pStyle w:val="Heading6"/>
      <w:lvlText w:val="%1.%2.%3.%4.%5.%6"/>
      <w:lvlJc w:val="left"/>
      <w:pPr>
        <w:tabs>
          <w:tab w:val="num" w:pos="653"/>
        </w:tabs>
        <w:ind w:left="653" w:hanging="1152"/>
      </w:pPr>
    </w:lvl>
    <w:lvl w:ilvl="6">
      <w:start w:val="1"/>
      <w:numFmt w:val="decimal"/>
      <w:pStyle w:val="Heading7"/>
      <w:lvlText w:val="%1.%2.%3.%4.%5.%6.%7"/>
      <w:lvlJc w:val="left"/>
      <w:pPr>
        <w:tabs>
          <w:tab w:val="num" w:pos="797"/>
        </w:tabs>
        <w:ind w:left="797" w:hanging="1296"/>
      </w:pPr>
    </w:lvl>
    <w:lvl w:ilvl="7">
      <w:start w:val="1"/>
      <w:numFmt w:val="decimal"/>
      <w:pStyle w:val="Heading8"/>
      <w:lvlText w:val="%1.%2.%3.%4.%5.%6.%7.%8"/>
      <w:lvlJc w:val="left"/>
      <w:pPr>
        <w:tabs>
          <w:tab w:val="num" w:pos="941"/>
        </w:tabs>
        <w:ind w:left="941" w:hanging="1440"/>
      </w:pPr>
    </w:lvl>
    <w:lvl w:ilvl="8">
      <w:start w:val="1"/>
      <w:numFmt w:val="decimal"/>
      <w:pStyle w:val="Heading9"/>
      <w:lvlText w:val="%1.%2.%3.%4.%5.%6.%7.%8.%9"/>
      <w:lvlJc w:val="left"/>
      <w:pPr>
        <w:tabs>
          <w:tab w:val="num" w:pos="1085"/>
        </w:tabs>
        <w:ind w:left="1085" w:hanging="1584"/>
      </w:pPr>
    </w:lvl>
  </w:abstractNum>
  <w:abstractNum w:abstractNumId="35">
    <w:nsid w:val="72FE58BD"/>
    <w:multiLevelType w:val="hybridMultilevel"/>
    <w:tmpl w:val="073268CA"/>
    <w:lvl w:ilvl="0" w:tplc="DA4AF94E">
      <w:start w:val="1"/>
      <w:numFmt w:val="bullet"/>
      <w:lvlText w:val=""/>
      <w:lvlJc w:val="left"/>
      <w:pPr>
        <w:tabs>
          <w:tab w:val="num" w:pos="360"/>
        </w:tabs>
        <w:ind w:left="360" w:hanging="360"/>
      </w:pPr>
      <w:rPr>
        <w:rFonts w:ascii="Symbol" w:hAnsi="Symbol" w:hint="default"/>
        <w:color w:val="auto"/>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nsid w:val="7C3A0DF8"/>
    <w:multiLevelType w:val="multilevel"/>
    <w:tmpl w:val="E6863C72"/>
    <w:lvl w:ilvl="0">
      <w:start w:val="1"/>
      <w:numFmt w:val="none"/>
      <w:lvlRestart w:val="0"/>
      <w:suff w:val="nothing"/>
      <w:lvlText w:val="%1"/>
      <w:lvlJc w:val="left"/>
      <w:pPr>
        <w:ind w:left="0" w:firstLine="0"/>
      </w:pPr>
      <w:rPr>
        <w:rFonts w:ascii="Calibri" w:hAnsi="Calibri" w:cs="Calibri" w:hint="default"/>
        <w:b/>
        <w:i w:val="0"/>
        <w:color w:val="9BBB59" w:themeColor="accent3"/>
        <w:position w:val="4"/>
      </w:rPr>
    </w:lvl>
    <w:lvl w:ilvl="1">
      <w:start w:val="1"/>
      <w:numFmt w:val="lowerLetter"/>
      <w:lvlText w:val="%1%2"/>
      <w:lvlJc w:val="left"/>
      <w:pPr>
        <w:tabs>
          <w:tab w:val="num" w:pos="170"/>
        </w:tabs>
        <w:ind w:left="170" w:hanging="170"/>
      </w:pPr>
      <w:rPr>
        <w:rFonts w:hint="default"/>
        <w:b/>
        <w:i w:val="0"/>
        <w:color w:val="9BBB59" w:themeColor="accent3"/>
        <w:position w:val="4"/>
      </w:rPr>
    </w:lvl>
    <w:lvl w:ilvl="2">
      <w:start w:val="1"/>
      <w:numFmt w:val="none"/>
      <w:lvlRestart w:val="0"/>
      <w:suff w:val="nothing"/>
      <w:lvlText w:val="%1"/>
      <w:lvlJc w:val="left"/>
      <w:pPr>
        <w:ind w:left="1224" w:hanging="504"/>
      </w:pPr>
      <w:rPr>
        <w:rFonts w:hint="default"/>
      </w:rPr>
    </w:lvl>
    <w:lvl w:ilvl="3">
      <w:start w:val="1"/>
      <w:numFmt w:val="none"/>
      <w:lvlRestart w:val="0"/>
      <w:suff w:val="nothing"/>
      <w:lvlText w:val="%1"/>
      <w:lvlJc w:val="left"/>
      <w:pPr>
        <w:ind w:left="1728" w:hanging="648"/>
      </w:pPr>
      <w:rPr>
        <w:rFonts w:hint="default"/>
      </w:rPr>
    </w:lvl>
    <w:lvl w:ilvl="4">
      <w:start w:val="1"/>
      <w:numFmt w:val="none"/>
      <w:lvlRestart w:val="0"/>
      <w:suff w:val="nothing"/>
      <w:lvlText w:val="%1"/>
      <w:lvlJc w:val="left"/>
      <w:pPr>
        <w:ind w:left="2232" w:hanging="792"/>
      </w:pPr>
      <w:rPr>
        <w:rFonts w:hint="default"/>
      </w:rPr>
    </w:lvl>
    <w:lvl w:ilvl="5">
      <w:start w:val="1"/>
      <w:numFmt w:val="none"/>
      <w:lvlRestart w:val="0"/>
      <w:suff w:val="nothing"/>
      <w:lvlText w:val="%1"/>
      <w:lvlJc w:val="left"/>
      <w:pPr>
        <w:ind w:left="2736" w:hanging="936"/>
      </w:pPr>
      <w:rPr>
        <w:rFonts w:hint="default"/>
      </w:rPr>
    </w:lvl>
    <w:lvl w:ilvl="6">
      <w:start w:val="1"/>
      <w:numFmt w:val="none"/>
      <w:lvlRestart w:val="0"/>
      <w:suff w:val="nothing"/>
      <w:lvlText w:val="%1"/>
      <w:lvlJc w:val="left"/>
      <w:pPr>
        <w:ind w:left="3240" w:hanging="1080"/>
      </w:pPr>
      <w:rPr>
        <w:rFonts w:hint="default"/>
      </w:rPr>
    </w:lvl>
    <w:lvl w:ilvl="7">
      <w:start w:val="1"/>
      <w:numFmt w:val="none"/>
      <w:lvlRestart w:val="0"/>
      <w:suff w:val="nothing"/>
      <w:lvlText w:val="%1"/>
      <w:lvlJc w:val="left"/>
      <w:pPr>
        <w:ind w:left="3744" w:hanging="1224"/>
      </w:pPr>
      <w:rPr>
        <w:rFonts w:hint="default"/>
      </w:rPr>
    </w:lvl>
    <w:lvl w:ilvl="8">
      <w:start w:val="1"/>
      <w:numFmt w:val="none"/>
      <w:lvlRestart w:val="0"/>
      <w:suff w:val="nothing"/>
      <w:lvlText w:val="%1"/>
      <w:lvlJc w:val="left"/>
      <w:pPr>
        <w:ind w:left="4320" w:hanging="1440"/>
      </w:pPr>
      <w:rPr>
        <w:rFonts w:hint="default"/>
      </w:rPr>
    </w:lvl>
  </w:abstractNum>
  <w:num w:numId="1">
    <w:abstractNumId w:val="31"/>
  </w:num>
  <w:num w:numId="2">
    <w:abstractNumId w:val="11"/>
  </w:num>
  <w:num w:numId="3">
    <w:abstractNumId w:val="34"/>
  </w:num>
  <w:num w:numId="4">
    <w:abstractNumId w:val="10"/>
  </w:num>
  <w:num w:numId="5">
    <w:abstractNumId w:val="35"/>
  </w:num>
  <w:num w:numId="6">
    <w:abstractNumId w:val="15"/>
  </w:num>
  <w:num w:numId="7">
    <w:abstractNumId w:val="24"/>
  </w:num>
  <w:num w:numId="8">
    <w:abstractNumId w:val="18"/>
  </w:num>
  <w:num w:numId="9">
    <w:abstractNumId w:val="33"/>
  </w:num>
  <w:num w:numId="10">
    <w:abstractNumId w:val="9"/>
  </w:num>
  <w:num w:numId="11">
    <w:abstractNumId w:val="7"/>
  </w:num>
  <w:num w:numId="12">
    <w:abstractNumId w:val="13"/>
  </w:num>
  <w:num w:numId="13">
    <w:abstractNumId w:val="8"/>
  </w:num>
  <w:num w:numId="14">
    <w:abstractNumId w:val="17"/>
  </w:num>
  <w:num w:numId="15">
    <w:abstractNumId w:val="25"/>
  </w:num>
  <w:num w:numId="16">
    <w:abstractNumId w:val="16"/>
  </w:num>
  <w:num w:numId="17">
    <w:abstractNumId w:val="21"/>
  </w:num>
  <w:num w:numId="18">
    <w:abstractNumId w:val="32"/>
  </w:num>
  <w:num w:numId="19">
    <w:abstractNumId w:val="27"/>
  </w:num>
  <w:num w:numId="20">
    <w:abstractNumId w:val="6"/>
  </w:num>
  <w:num w:numId="21">
    <w:abstractNumId w:val="5"/>
  </w:num>
  <w:num w:numId="22">
    <w:abstractNumId w:val="4"/>
  </w:num>
  <w:num w:numId="23">
    <w:abstractNumId w:val="3"/>
  </w:num>
  <w:num w:numId="24">
    <w:abstractNumId w:val="2"/>
  </w:num>
  <w:num w:numId="25">
    <w:abstractNumId w:val="1"/>
  </w:num>
  <w:num w:numId="26">
    <w:abstractNumId w:val="0"/>
  </w:num>
  <w:num w:numId="27">
    <w:abstractNumId w:val="17"/>
  </w:num>
  <w:num w:numId="28">
    <w:abstractNumId w:val="17"/>
  </w:num>
  <w:num w:numId="29">
    <w:abstractNumId w:val="17"/>
  </w:num>
  <w:num w:numId="30">
    <w:abstractNumId w:val="23"/>
  </w:num>
  <w:num w:numId="31">
    <w:abstractNumId w:val="26"/>
  </w:num>
  <w:num w:numId="32">
    <w:abstractNumId w:val="36"/>
  </w:num>
  <w:num w:numId="33">
    <w:abstractNumId w:val="19"/>
  </w:num>
  <w:num w:numId="34">
    <w:abstractNumId w:val="30"/>
  </w:num>
  <w:num w:numId="35">
    <w:abstractNumId w:val="14"/>
  </w:num>
  <w:num w:numId="36">
    <w:abstractNumId w:val="12"/>
  </w:num>
  <w:num w:numId="37">
    <w:abstractNumId w:val="28"/>
  </w:num>
  <w:num w:numId="38">
    <w:abstractNumId w:val="22"/>
  </w:num>
  <w:num w:numId="39">
    <w:abstractNumId w:val="29"/>
  </w:num>
  <w:num w:numId="40">
    <w:abstractNumId w:val="20"/>
  </w:num>
  <w:num w:numId="41">
    <w:abstractNumId w:val="17"/>
  </w:num>
  <w:num w:numId="42">
    <w:abstractNumId w:val="17"/>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0"/>
  <w:printFractionalCharacterWidth/>
  <w:hideGrammaticalErrors/>
  <w:activeWritingStyle w:appName="MSWord" w:lang="en-GB" w:vendorID="8" w:dllVersion="513" w:checkStyle="1"/>
  <w:attachedTemplate r:id="rId1"/>
  <w:defaultTabStop w:val="720"/>
  <w:doNotHyphenateCaps/>
  <w:evenAndOddHeaders/>
  <w:drawingGridHorizontalSpacing w:val="165"/>
  <w:drawingGridVerticalSpacing w:val="112"/>
  <w:displayHorizontalDrawingGridEvery w:val="0"/>
  <w:displayVerticalDrawingGridEvery w:val="0"/>
  <w:doNotShadeFormData/>
  <w:noPunctuationKerning/>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7F56"/>
    <w:rsid w:val="000024D7"/>
    <w:rsid w:val="00011646"/>
    <w:rsid w:val="00036DE5"/>
    <w:rsid w:val="00051692"/>
    <w:rsid w:val="00052DC3"/>
    <w:rsid w:val="0005766B"/>
    <w:rsid w:val="00070312"/>
    <w:rsid w:val="00072644"/>
    <w:rsid w:val="00083335"/>
    <w:rsid w:val="00095685"/>
    <w:rsid w:val="000A257C"/>
    <w:rsid w:val="000B78CC"/>
    <w:rsid w:val="000C032F"/>
    <w:rsid w:val="000C22A2"/>
    <w:rsid w:val="000E20AB"/>
    <w:rsid w:val="000E52A3"/>
    <w:rsid w:val="00103173"/>
    <w:rsid w:val="00103A85"/>
    <w:rsid w:val="001050A1"/>
    <w:rsid w:val="0011572B"/>
    <w:rsid w:val="00133710"/>
    <w:rsid w:val="001343C6"/>
    <w:rsid w:val="00134F74"/>
    <w:rsid w:val="0014155F"/>
    <w:rsid w:val="00150A1E"/>
    <w:rsid w:val="00152633"/>
    <w:rsid w:val="00155381"/>
    <w:rsid w:val="00162304"/>
    <w:rsid w:val="00174999"/>
    <w:rsid w:val="00177B5C"/>
    <w:rsid w:val="00181901"/>
    <w:rsid w:val="00181FAD"/>
    <w:rsid w:val="00194F8E"/>
    <w:rsid w:val="00196691"/>
    <w:rsid w:val="001A5313"/>
    <w:rsid w:val="001D045A"/>
    <w:rsid w:val="001F0E2F"/>
    <w:rsid w:val="00210B21"/>
    <w:rsid w:val="00217670"/>
    <w:rsid w:val="00221FDE"/>
    <w:rsid w:val="00225C54"/>
    <w:rsid w:val="0023094B"/>
    <w:rsid w:val="00243D10"/>
    <w:rsid w:val="002533A7"/>
    <w:rsid w:val="002571CA"/>
    <w:rsid w:val="00265976"/>
    <w:rsid w:val="002962A3"/>
    <w:rsid w:val="002B4DC6"/>
    <w:rsid w:val="002C2D3F"/>
    <w:rsid w:val="002C5B33"/>
    <w:rsid w:val="002D2BAA"/>
    <w:rsid w:val="002D2F9B"/>
    <w:rsid w:val="002D51A9"/>
    <w:rsid w:val="002E12D5"/>
    <w:rsid w:val="002F1B81"/>
    <w:rsid w:val="00300BC7"/>
    <w:rsid w:val="003042C7"/>
    <w:rsid w:val="00306178"/>
    <w:rsid w:val="003102D5"/>
    <w:rsid w:val="0031133F"/>
    <w:rsid w:val="00326421"/>
    <w:rsid w:val="003421C4"/>
    <w:rsid w:val="00377AAA"/>
    <w:rsid w:val="003B1698"/>
    <w:rsid w:val="003C3FF9"/>
    <w:rsid w:val="003C4A7D"/>
    <w:rsid w:val="003C6417"/>
    <w:rsid w:val="003F1224"/>
    <w:rsid w:val="003F1EA1"/>
    <w:rsid w:val="004055FF"/>
    <w:rsid w:val="004105F7"/>
    <w:rsid w:val="0044194A"/>
    <w:rsid w:val="0044304B"/>
    <w:rsid w:val="00443312"/>
    <w:rsid w:val="00461AB9"/>
    <w:rsid w:val="004709D9"/>
    <w:rsid w:val="004747EA"/>
    <w:rsid w:val="0048075A"/>
    <w:rsid w:val="004811C7"/>
    <w:rsid w:val="004846DC"/>
    <w:rsid w:val="00492D42"/>
    <w:rsid w:val="004A4051"/>
    <w:rsid w:val="004B05B1"/>
    <w:rsid w:val="004B1770"/>
    <w:rsid w:val="004B594C"/>
    <w:rsid w:val="004C36CC"/>
    <w:rsid w:val="004D731B"/>
    <w:rsid w:val="004D7C83"/>
    <w:rsid w:val="004E36AB"/>
    <w:rsid w:val="004E4FD9"/>
    <w:rsid w:val="004F6F93"/>
    <w:rsid w:val="00504D9A"/>
    <w:rsid w:val="00550C5F"/>
    <w:rsid w:val="00557979"/>
    <w:rsid w:val="00577827"/>
    <w:rsid w:val="0058217A"/>
    <w:rsid w:val="005829AA"/>
    <w:rsid w:val="0058443D"/>
    <w:rsid w:val="00596128"/>
    <w:rsid w:val="00596887"/>
    <w:rsid w:val="005970F4"/>
    <w:rsid w:val="005A106E"/>
    <w:rsid w:val="005B197D"/>
    <w:rsid w:val="005C5516"/>
    <w:rsid w:val="005D518C"/>
    <w:rsid w:val="005D6750"/>
    <w:rsid w:val="005E17D7"/>
    <w:rsid w:val="005E196C"/>
    <w:rsid w:val="005F35B3"/>
    <w:rsid w:val="005F6766"/>
    <w:rsid w:val="00603B6C"/>
    <w:rsid w:val="00627D04"/>
    <w:rsid w:val="00631BF5"/>
    <w:rsid w:val="00643398"/>
    <w:rsid w:val="00645EF9"/>
    <w:rsid w:val="00655AF5"/>
    <w:rsid w:val="006730EA"/>
    <w:rsid w:val="00681D8B"/>
    <w:rsid w:val="00686A81"/>
    <w:rsid w:val="00687310"/>
    <w:rsid w:val="00687BEB"/>
    <w:rsid w:val="00690FE4"/>
    <w:rsid w:val="006967DE"/>
    <w:rsid w:val="006A1479"/>
    <w:rsid w:val="006B2402"/>
    <w:rsid w:val="006B3765"/>
    <w:rsid w:val="006B4A54"/>
    <w:rsid w:val="006F64DF"/>
    <w:rsid w:val="007039BA"/>
    <w:rsid w:val="00704CE5"/>
    <w:rsid w:val="00731868"/>
    <w:rsid w:val="00776772"/>
    <w:rsid w:val="0078360F"/>
    <w:rsid w:val="00783A1F"/>
    <w:rsid w:val="007B3DF8"/>
    <w:rsid w:val="007B4F68"/>
    <w:rsid w:val="007C5E0C"/>
    <w:rsid w:val="007D7AA3"/>
    <w:rsid w:val="007E0913"/>
    <w:rsid w:val="007E7F40"/>
    <w:rsid w:val="007F3F24"/>
    <w:rsid w:val="007F7A9E"/>
    <w:rsid w:val="008179C6"/>
    <w:rsid w:val="0082489C"/>
    <w:rsid w:val="00830FE9"/>
    <w:rsid w:val="00834A70"/>
    <w:rsid w:val="00841EA0"/>
    <w:rsid w:val="008739CA"/>
    <w:rsid w:val="008865C1"/>
    <w:rsid w:val="008A0EFC"/>
    <w:rsid w:val="008A7CA8"/>
    <w:rsid w:val="008B1006"/>
    <w:rsid w:val="008B7859"/>
    <w:rsid w:val="008B7D0E"/>
    <w:rsid w:val="008D3ABC"/>
    <w:rsid w:val="008D6BE8"/>
    <w:rsid w:val="008D7896"/>
    <w:rsid w:val="008F1136"/>
    <w:rsid w:val="008F392E"/>
    <w:rsid w:val="008F70D7"/>
    <w:rsid w:val="00903864"/>
    <w:rsid w:val="0091513F"/>
    <w:rsid w:val="009171ED"/>
    <w:rsid w:val="0093227E"/>
    <w:rsid w:val="00934CFF"/>
    <w:rsid w:val="00965B37"/>
    <w:rsid w:val="00983A7E"/>
    <w:rsid w:val="009961FA"/>
    <w:rsid w:val="009A6B6C"/>
    <w:rsid w:val="009B0305"/>
    <w:rsid w:val="009C4D39"/>
    <w:rsid w:val="009C5EEB"/>
    <w:rsid w:val="009F4BD8"/>
    <w:rsid w:val="009F6E5D"/>
    <w:rsid w:val="009F7830"/>
    <w:rsid w:val="00A45C91"/>
    <w:rsid w:val="00A529A1"/>
    <w:rsid w:val="00A56FC9"/>
    <w:rsid w:val="00A87B65"/>
    <w:rsid w:val="00A965A1"/>
    <w:rsid w:val="00AA0071"/>
    <w:rsid w:val="00AA1070"/>
    <w:rsid w:val="00AB588A"/>
    <w:rsid w:val="00AC04B0"/>
    <w:rsid w:val="00AD651A"/>
    <w:rsid w:val="00AE0AC1"/>
    <w:rsid w:val="00AE14E3"/>
    <w:rsid w:val="00AE44BE"/>
    <w:rsid w:val="00AF70C0"/>
    <w:rsid w:val="00B03CF5"/>
    <w:rsid w:val="00B218B3"/>
    <w:rsid w:val="00B34C29"/>
    <w:rsid w:val="00B351CC"/>
    <w:rsid w:val="00B37914"/>
    <w:rsid w:val="00B42ED2"/>
    <w:rsid w:val="00B51A44"/>
    <w:rsid w:val="00B609D5"/>
    <w:rsid w:val="00B628BA"/>
    <w:rsid w:val="00B707A1"/>
    <w:rsid w:val="00B83582"/>
    <w:rsid w:val="00B873A7"/>
    <w:rsid w:val="00B8748B"/>
    <w:rsid w:val="00BA5D25"/>
    <w:rsid w:val="00BD0E8C"/>
    <w:rsid w:val="00BD1837"/>
    <w:rsid w:val="00BD57E2"/>
    <w:rsid w:val="00BE1931"/>
    <w:rsid w:val="00BF5DAC"/>
    <w:rsid w:val="00BF6B7D"/>
    <w:rsid w:val="00BF79B3"/>
    <w:rsid w:val="00C0134D"/>
    <w:rsid w:val="00C026C9"/>
    <w:rsid w:val="00C41ABD"/>
    <w:rsid w:val="00C422E7"/>
    <w:rsid w:val="00C42CC4"/>
    <w:rsid w:val="00C51FAF"/>
    <w:rsid w:val="00C72AD1"/>
    <w:rsid w:val="00C81B0D"/>
    <w:rsid w:val="00C86830"/>
    <w:rsid w:val="00C91E60"/>
    <w:rsid w:val="00C9298C"/>
    <w:rsid w:val="00C93FFD"/>
    <w:rsid w:val="00C95187"/>
    <w:rsid w:val="00CA282A"/>
    <w:rsid w:val="00CB3145"/>
    <w:rsid w:val="00CB339B"/>
    <w:rsid w:val="00CB5122"/>
    <w:rsid w:val="00CB607A"/>
    <w:rsid w:val="00CC7F56"/>
    <w:rsid w:val="00CD28A9"/>
    <w:rsid w:val="00CD63DE"/>
    <w:rsid w:val="00CF0264"/>
    <w:rsid w:val="00D57F06"/>
    <w:rsid w:val="00D62E74"/>
    <w:rsid w:val="00D63728"/>
    <w:rsid w:val="00D673BA"/>
    <w:rsid w:val="00D716E5"/>
    <w:rsid w:val="00D72A4D"/>
    <w:rsid w:val="00DA12CB"/>
    <w:rsid w:val="00DB5BC5"/>
    <w:rsid w:val="00DB7A05"/>
    <w:rsid w:val="00DD51B2"/>
    <w:rsid w:val="00DD56DE"/>
    <w:rsid w:val="00DF50EF"/>
    <w:rsid w:val="00E00CB2"/>
    <w:rsid w:val="00E05D55"/>
    <w:rsid w:val="00E13B9E"/>
    <w:rsid w:val="00E15C32"/>
    <w:rsid w:val="00E21C8B"/>
    <w:rsid w:val="00E27E8A"/>
    <w:rsid w:val="00E36E08"/>
    <w:rsid w:val="00E539FF"/>
    <w:rsid w:val="00E541C9"/>
    <w:rsid w:val="00E55B6E"/>
    <w:rsid w:val="00E56D75"/>
    <w:rsid w:val="00E727B9"/>
    <w:rsid w:val="00E74180"/>
    <w:rsid w:val="00EB1041"/>
    <w:rsid w:val="00EE4CCC"/>
    <w:rsid w:val="00EF22F4"/>
    <w:rsid w:val="00EF3C56"/>
    <w:rsid w:val="00F0637E"/>
    <w:rsid w:val="00F13239"/>
    <w:rsid w:val="00F132E3"/>
    <w:rsid w:val="00F1524E"/>
    <w:rsid w:val="00F21A0A"/>
    <w:rsid w:val="00F35B25"/>
    <w:rsid w:val="00F67A8F"/>
    <w:rsid w:val="00F70981"/>
    <w:rsid w:val="00F721F5"/>
    <w:rsid w:val="00F729D9"/>
    <w:rsid w:val="00FA3502"/>
    <w:rsid w:val="00FB236B"/>
    <w:rsid w:val="00FB3D90"/>
    <w:rsid w:val="00FB7AAE"/>
    <w:rsid w:val="00FC4996"/>
    <w:rsid w:val="00FD608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7"/>
    <o:shapelayout v:ext="edit">
      <o:idmap v:ext="edit" data="1"/>
    </o:shapelayout>
  </w:shapeDefaults>
  <w:decimalSymbol w:val="."/>
  <w:listSeparator w:val=","/>
  <w15:docId w15:val="{7E18BD1F-6C50-4F50-A181-E1F4E90FBD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n"/>
    <w:qFormat/>
    <w:rsid w:val="005C5516"/>
    <w:pPr>
      <w:spacing w:after="240" w:line="320" w:lineRule="atLeast"/>
      <w:jc w:val="both"/>
    </w:pPr>
    <w:rPr>
      <w:rFonts w:eastAsia="Calibri"/>
      <w:sz w:val="22"/>
      <w:szCs w:val="22"/>
      <w:lang w:eastAsia="en-US"/>
    </w:rPr>
  </w:style>
  <w:style w:type="paragraph" w:styleId="Heading1">
    <w:name w:val="heading 1"/>
    <w:aliases w:val="h1"/>
    <w:next w:val="Normal"/>
    <w:link w:val="Heading1Char"/>
    <w:uiPriority w:val="9"/>
    <w:qFormat/>
    <w:rsid w:val="005C5516"/>
    <w:pPr>
      <w:keepNext/>
      <w:keepLines/>
      <w:pageBreakBefore/>
      <w:numPr>
        <w:numId w:val="17"/>
      </w:numPr>
      <w:spacing w:after="600" w:line="560" w:lineRule="exact"/>
      <w:outlineLvl w:val="0"/>
    </w:pPr>
    <w:rPr>
      <w:bCs/>
      <w:sz w:val="36"/>
      <w:szCs w:val="28"/>
      <w:lang w:eastAsia="en-US"/>
    </w:rPr>
  </w:style>
  <w:style w:type="paragraph" w:styleId="Heading2">
    <w:name w:val="heading 2"/>
    <w:aliases w:val="h2"/>
    <w:basedOn w:val="Normal"/>
    <w:next w:val="Normal"/>
    <w:link w:val="Heading2Char"/>
    <w:uiPriority w:val="9"/>
    <w:unhideWhenUsed/>
    <w:qFormat/>
    <w:rsid w:val="005C5516"/>
    <w:pPr>
      <w:keepNext/>
      <w:keepLines/>
      <w:numPr>
        <w:ilvl w:val="1"/>
        <w:numId w:val="17"/>
      </w:numPr>
      <w:spacing w:before="360"/>
      <w:outlineLvl w:val="1"/>
    </w:pPr>
    <w:rPr>
      <w:rFonts w:eastAsia="Times New Roman"/>
      <w:b/>
      <w:bCs/>
      <w:sz w:val="24"/>
      <w:szCs w:val="26"/>
    </w:rPr>
  </w:style>
  <w:style w:type="paragraph" w:styleId="Heading3">
    <w:name w:val="heading 3"/>
    <w:aliases w:val="h3"/>
    <w:basedOn w:val="Normal"/>
    <w:next w:val="Normal"/>
    <w:link w:val="Heading3Char"/>
    <w:uiPriority w:val="9"/>
    <w:unhideWhenUsed/>
    <w:qFormat/>
    <w:rsid w:val="005C5516"/>
    <w:pPr>
      <w:keepNext/>
      <w:keepLines/>
      <w:numPr>
        <w:ilvl w:val="2"/>
        <w:numId w:val="17"/>
      </w:numPr>
      <w:spacing w:before="360"/>
      <w:outlineLvl w:val="2"/>
    </w:pPr>
    <w:rPr>
      <w:rFonts w:eastAsia="Times New Roman"/>
      <w:b/>
      <w:bCs/>
    </w:rPr>
  </w:style>
  <w:style w:type="paragraph" w:styleId="Heading4">
    <w:name w:val="heading 4"/>
    <w:aliases w:val="h4"/>
    <w:basedOn w:val="Normal"/>
    <w:next w:val="Normal"/>
    <w:link w:val="Heading4Char"/>
    <w:uiPriority w:val="9"/>
    <w:unhideWhenUsed/>
    <w:qFormat/>
    <w:rsid w:val="005C5516"/>
    <w:pPr>
      <w:keepNext/>
      <w:keepLines/>
      <w:numPr>
        <w:ilvl w:val="3"/>
        <w:numId w:val="17"/>
      </w:numPr>
      <w:spacing w:before="360"/>
      <w:outlineLvl w:val="3"/>
    </w:pPr>
    <w:rPr>
      <w:rFonts w:eastAsia="Times New Roman"/>
      <w:bCs/>
      <w:i/>
      <w:iCs/>
    </w:rPr>
  </w:style>
  <w:style w:type="paragraph" w:styleId="Heading5">
    <w:name w:val="heading 5"/>
    <w:basedOn w:val="Heading4"/>
    <w:next w:val="Normal"/>
    <w:link w:val="Heading5Char"/>
    <w:qFormat/>
    <w:pPr>
      <w:numPr>
        <w:ilvl w:val="4"/>
        <w:numId w:val="3"/>
      </w:numPr>
      <w:spacing w:before="80"/>
      <w:outlineLvl w:val="4"/>
    </w:pPr>
  </w:style>
  <w:style w:type="paragraph" w:styleId="Heading6">
    <w:name w:val="heading 6"/>
    <w:basedOn w:val="Normal"/>
    <w:next w:val="Normal"/>
    <w:link w:val="Heading6Char"/>
    <w:qFormat/>
    <w:pPr>
      <w:numPr>
        <w:ilvl w:val="5"/>
        <w:numId w:val="3"/>
      </w:numPr>
      <w:spacing w:before="240" w:after="60"/>
      <w:outlineLvl w:val="5"/>
    </w:pPr>
    <w:rPr>
      <w:i/>
    </w:rPr>
  </w:style>
  <w:style w:type="paragraph" w:styleId="Heading7">
    <w:name w:val="heading 7"/>
    <w:basedOn w:val="Normal"/>
    <w:next w:val="Normal"/>
    <w:link w:val="Heading7Char"/>
    <w:qFormat/>
    <w:pPr>
      <w:numPr>
        <w:ilvl w:val="6"/>
        <w:numId w:val="3"/>
      </w:numPr>
      <w:spacing w:before="240" w:after="60"/>
      <w:outlineLvl w:val="6"/>
    </w:pPr>
    <w:rPr>
      <w:rFonts w:ascii="Arial" w:hAnsi="Arial"/>
      <w:sz w:val="20"/>
    </w:rPr>
  </w:style>
  <w:style w:type="paragraph" w:styleId="Heading8">
    <w:name w:val="heading 8"/>
    <w:basedOn w:val="Normal"/>
    <w:next w:val="Normal"/>
    <w:link w:val="Heading8Char"/>
    <w:qFormat/>
    <w:pPr>
      <w:numPr>
        <w:ilvl w:val="7"/>
        <w:numId w:val="3"/>
      </w:numPr>
      <w:spacing w:before="240" w:after="60"/>
      <w:outlineLvl w:val="7"/>
    </w:pPr>
    <w:rPr>
      <w:rFonts w:ascii="Arial" w:hAnsi="Arial"/>
      <w:i/>
      <w:sz w:val="20"/>
    </w:rPr>
  </w:style>
  <w:style w:type="paragraph" w:styleId="Heading9">
    <w:name w:val="heading 9"/>
    <w:basedOn w:val="Normal"/>
    <w:next w:val="Normal"/>
    <w:link w:val="Heading9Char"/>
    <w:qFormat/>
    <w:pPr>
      <w:numPr>
        <w:ilvl w:val="8"/>
        <w:numId w:val="3"/>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link w:val="FooterChar1"/>
    <w:unhideWhenUsed/>
    <w:rsid w:val="005C5516"/>
    <w:pPr>
      <w:tabs>
        <w:tab w:val="center" w:pos="4394"/>
        <w:tab w:val="right" w:pos="9214"/>
      </w:tabs>
      <w:spacing w:line="260" w:lineRule="atLeast"/>
      <w:ind w:left="-499" w:right="-499"/>
    </w:pPr>
    <w:rPr>
      <w:rFonts w:ascii="Arial" w:eastAsia="Calibri" w:hAnsi="Arial"/>
      <w:sz w:val="16"/>
      <w:szCs w:val="22"/>
      <w:lang w:eastAsia="en-US"/>
    </w:rPr>
  </w:style>
  <w:style w:type="paragraph" w:styleId="Header">
    <w:name w:val="header"/>
    <w:link w:val="HeaderChar1"/>
    <w:unhideWhenUsed/>
    <w:rsid w:val="005C5516"/>
    <w:pPr>
      <w:tabs>
        <w:tab w:val="right" w:pos="9214"/>
      </w:tabs>
      <w:spacing w:line="260" w:lineRule="atLeast"/>
      <w:ind w:left="-499" w:right="-499"/>
      <w:jc w:val="right"/>
    </w:pPr>
    <w:rPr>
      <w:rFonts w:ascii="Arial" w:eastAsia="Calibri" w:hAnsi="Arial"/>
      <w:sz w:val="16"/>
      <w:szCs w:val="22"/>
      <w:lang w:eastAsia="en-US"/>
    </w:rPr>
  </w:style>
  <w:style w:type="paragraph" w:styleId="FootnoteText">
    <w:name w:val="footnote text"/>
    <w:link w:val="FootnoteTextChar"/>
    <w:uiPriority w:val="99"/>
    <w:unhideWhenUsed/>
    <w:rsid w:val="005C5516"/>
    <w:pPr>
      <w:spacing w:after="100"/>
      <w:ind w:left="499" w:hanging="499"/>
      <w:jc w:val="both"/>
    </w:pPr>
    <w:rPr>
      <w:rFonts w:ascii="Arial" w:eastAsia="Calibri" w:hAnsi="Arial"/>
      <w:sz w:val="16"/>
      <w:lang w:eastAsia="en-US"/>
    </w:rPr>
  </w:style>
  <w:style w:type="paragraph" w:customStyle="1" w:styleId="I1">
    <w:name w:val="I1"/>
    <w:basedOn w:val="ListBullet"/>
    <w:rsid w:val="005C5516"/>
  </w:style>
  <w:style w:type="paragraph" w:customStyle="1" w:styleId="B1">
    <w:name w:val="B1"/>
    <w:basedOn w:val="Emphasised"/>
    <w:qFormat/>
    <w:rsid w:val="005C5516"/>
  </w:style>
  <w:style w:type="paragraph" w:customStyle="1" w:styleId="E1">
    <w:name w:val="E1"/>
    <w:basedOn w:val="Normal"/>
    <w:next w:val="Border"/>
    <w:pPr>
      <w:keepNext/>
      <w:tabs>
        <w:tab w:val="left" w:pos="2160"/>
      </w:tabs>
      <w:spacing w:before="300" w:after="120"/>
      <w:ind w:left="2160" w:hanging="2160"/>
      <w:jc w:val="left"/>
    </w:pPr>
    <w:rPr>
      <w:i/>
    </w:rPr>
  </w:style>
  <w:style w:type="paragraph" w:customStyle="1" w:styleId="Border">
    <w:name w:val="Border"/>
    <w:next w:val="Caption"/>
    <w:qFormat/>
    <w:rsid w:val="005C5516"/>
    <w:pPr>
      <w:spacing w:after="600" w:line="320" w:lineRule="atLeast"/>
      <w:jc w:val="center"/>
    </w:pPr>
    <w:rPr>
      <w:rFonts w:eastAsia="Calibri"/>
      <w:sz w:val="22"/>
      <w:szCs w:val="22"/>
      <w:lang w:eastAsia="en-US"/>
    </w:rPr>
  </w:style>
  <w:style w:type="paragraph" w:styleId="Caption">
    <w:name w:val="caption"/>
    <w:next w:val="Normal"/>
    <w:uiPriority w:val="35"/>
    <w:qFormat/>
    <w:rsid w:val="005C5516"/>
    <w:pPr>
      <w:keepNext/>
      <w:tabs>
        <w:tab w:val="left" w:pos="2041"/>
      </w:tabs>
      <w:spacing w:after="160" w:line="280" w:lineRule="atLeast"/>
    </w:pPr>
    <w:rPr>
      <w:rFonts w:ascii="Arial" w:eastAsia="Calibri" w:hAnsi="Arial" w:cs="Arial"/>
      <w:bCs/>
      <w:i/>
      <w:sz w:val="18"/>
      <w:szCs w:val="18"/>
      <w:lang w:eastAsia="en-US"/>
    </w:rPr>
  </w:style>
  <w:style w:type="paragraph" w:customStyle="1" w:styleId="01">
    <w:name w:val="01"/>
    <w:basedOn w:val="Normal"/>
    <w:qFormat/>
    <w:rsid w:val="005C5516"/>
    <w:pPr>
      <w:spacing w:after="0"/>
    </w:pPr>
  </w:style>
  <w:style w:type="character" w:styleId="FootnoteReference">
    <w:name w:val="footnote reference"/>
    <w:uiPriority w:val="99"/>
    <w:unhideWhenUsed/>
    <w:rsid w:val="005C5516"/>
    <w:rPr>
      <w:rFonts w:ascii="Arial" w:hAnsi="Arial"/>
      <w:b w:val="0"/>
      <w:i w:val="0"/>
      <w:sz w:val="20"/>
      <w:vertAlign w:val="superscript"/>
    </w:rPr>
  </w:style>
  <w:style w:type="paragraph" w:customStyle="1" w:styleId="I">
    <w:name w:val="I"/>
    <w:basedOn w:val="Normal"/>
    <w:pPr>
      <w:jc w:val="left"/>
    </w:pPr>
    <w:rPr>
      <w:i/>
    </w:rPr>
  </w:style>
  <w:style w:type="paragraph" w:customStyle="1" w:styleId="E2">
    <w:name w:val="E2"/>
    <w:basedOn w:val="Normal"/>
    <w:next w:val="Border"/>
    <w:pPr>
      <w:keepNext/>
      <w:widowControl w:val="0"/>
      <w:tabs>
        <w:tab w:val="left" w:pos="2160"/>
      </w:tabs>
      <w:spacing w:before="300" w:after="120"/>
      <w:ind w:left="4320" w:hanging="2160"/>
    </w:pPr>
    <w:rPr>
      <w:i/>
    </w:rPr>
  </w:style>
  <w:style w:type="paragraph" w:customStyle="1" w:styleId="L1">
    <w:name w:val="L1"/>
    <w:basedOn w:val="ListBulletCompact"/>
    <w:qFormat/>
    <w:rsid w:val="005C5516"/>
  </w:style>
  <w:style w:type="paragraph" w:customStyle="1" w:styleId="B2">
    <w:name w:val="B2"/>
    <w:basedOn w:val="B1"/>
    <w:pPr>
      <w:tabs>
        <w:tab w:val="right" w:pos="8280"/>
      </w:tabs>
      <w:ind w:left="2275"/>
    </w:pPr>
  </w:style>
  <w:style w:type="paragraph" w:customStyle="1" w:styleId="P2">
    <w:name w:val="P2"/>
    <w:basedOn w:val="Normal"/>
    <w:pPr>
      <w:tabs>
        <w:tab w:val="left" w:pos="2160"/>
      </w:tabs>
      <w:ind w:left="2041"/>
    </w:pPr>
  </w:style>
  <w:style w:type="character" w:styleId="Hyperlink">
    <w:name w:val="Hyperlink"/>
    <w:uiPriority w:val="99"/>
    <w:unhideWhenUsed/>
    <w:rsid w:val="005C5516"/>
    <w:rPr>
      <w:color w:val="auto"/>
      <w:u w:val="none"/>
    </w:rPr>
  </w:style>
  <w:style w:type="paragraph" w:customStyle="1" w:styleId="L2">
    <w:name w:val="L2"/>
    <w:basedOn w:val="L1"/>
    <w:pPr>
      <w:tabs>
        <w:tab w:val="left" w:pos="2398"/>
      </w:tabs>
      <w:ind w:left="2398"/>
    </w:pPr>
  </w:style>
  <w:style w:type="character" w:styleId="PageNumber">
    <w:name w:val="page number"/>
    <w:unhideWhenUsed/>
    <w:rsid w:val="005C5516"/>
  </w:style>
  <w:style w:type="paragraph" w:customStyle="1" w:styleId="E">
    <w:name w:val="E"/>
    <w:basedOn w:val="Normal"/>
    <w:next w:val="Normal"/>
    <w:pPr>
      <w:spacing w:after="150" w:line="240" w:lineRule="auto"/>
      <w:jc w:val="center"/>
    </w:pPr>
  </w:style>
  <w:style w:type="paragraph" w:styleId="TOC1">
    <w:name w:val="toc 1"/>
    <w:basedOn w:val="Normal"/>
    <w:next w:val="Normal"/>
    <w:autoRedefine/>
    <w:uiPriority w:val="39"/>
    <w:unhideWhenUsed/>
    <w:rsid w:val="005C5516"/>
    <w:pPr>
      <w:keepNext/>
      <w:tabs>
        <w:tab w:val="left" w:pos="635"/>
        <w:tab w:val="right" w:pos="8789"/>
      </w:tabs>
      <w:spacing w:before="240" w:after="0"/>
    </w:pPr>
    <w:rPr>
      <w:b/>
    </w:rPr>
  </w:style>
  <w:style w:type="paragraph" w:styleId="TOC2">
    <w:name w:val="toc 2"/>
    <w:basedOn w:val="TOC1"/>
    <w:next w:val="Normal"/>
    <w:autoRedefine/>
    <w:uiPriority w:val="39"/>
    <w:unhideWhenUsed/>
    <w:rsid w:val="005C5516"/>
    <w:pPr>
      <w:keepNext w:val="0"/>
      <w:spacing w:before="0"/>
    </w:pPr>
    <w:rPr>
      <w:b w:val="0"/>
      <w:noProof/>
    </w:rPr>
  </w:style>
  <w:style w:type="paragraph" w:styleId="TOC3">
    <w:name w:val="toc 3"/>
    <w:basedOn w:val="TOC2"/>
    <w:next w:val="Normal"/>
    <w:autoRedefine/>
    <w:uiPriority w:val="39"/>
    <w:unhideWhenUsed/>
    <w:rsid w:val="005C5516"/>
    <w:rPr>
      <w:sz w:val="20"/>
    </w:rPr>
  </w:style>
  <w:style w:type="paragraph" w:styleId="TOC4">
    <w:name w:val="toc 4"/>
    <w:basedOn w:val="TOC3"/>
    <w:next w:val="Normal"/>
    <w:autoRedefine/>
    <w:uiPriority w:val="39"/>
    <w:unhideWhenUsed/>
    <w:rsid w:val="005C5516"/>
  </w:style>
  <w:style w:type="paragraph" w:customStyle="1" w:styleId="LL">
    <w:name w:val="LL"/>
    <w:basedOn w:val="ListBullet2Compact"/>
    <w:rsid w:val="005C5516"/>
  </w:style>
  <w:style w:type="paragraph" w:customStyle="1" w:styleId="II">
    <w:name w:val="II"/>
    <w:basedOn w:val="ListBullet2"/>
    <w:link w:val="IIChar"/>
    <w:qFormat/>
    <w:rsid w:val="005C5516"/>
  </w:style>
  <w:style w:type="character" w:styleId="LineNumber">
    <w:name w:val="line number"/>
    <w:basedOn w:val="DefaultParagraphFont"/>
    <w:semiHidden/>
  </w:style>
  <w:style w:type="paragraph" w:customStyle="1" w:styleId="sig">
    <w:name w:val="sig"/>
    <w:basedOn w:val="Normal"/>
    <w:pPr>
      <w:spacing w:line="240" w:lineRule="auto"/>
    </w:pPr>
  </w:style>
  <w:style w:type="paragraph" w:styleId="DocumentMap">
    <w:name w:val="Document Map"/>
    <w:basedOn w:val="Normal"/>
    <w:semiHidden/>
    <w:pPr>
      <w:shd w:val="clear" w:color="auto" w:fill="000080"/>
    </w:pPr>
    <w:rPr>
      <w:rFonts w:ascii="Tahoma" w:hAnsi="Tahoma"/>
      <w:sz w:val="18"/>
    </w:rPr>
  </w:style>
  <w:style w:type="character" w:styleId="CommentReference">
    <w:name w:val="annotation reference"/>
    <w:uiPriority w:val="99"/>
    <w:semiHidden/>
    <w:rPr>
      <w:sz w:val="16"/>
    </w:rPr>
  </w:style>
  <w:style w:type="paragraph" w:styleId="CommentText">
    <w:name w:val="annotation text"/>
    <w:basedOn w:val="Normal"/>
    <w:link w:val="CommentTextChar"/>
    <w:uiPriority w:val="99"/>
    <w:semiHidden/>
    <w:unhideWhenUsed/>
    <w:rsid w:val="005C5516"/>
    <w:pPr>
      <w:spacing w:line="240" w:lineRule="auto"/>
    </w:pPr>
    <w:rPr>
      <w:sz w:val="20"/>
      <w:szCs w:val="20"/>
    </w:rPr>
  </w:style>
  <w:style w:type="paragraph" w:customStyle="1" w:styleId="Annex1">
    <w:name w:val="Annex 1"/>
    <w:next w:val="Normal"/>
    <w:qFormat/>
    <w:rsid w:val="005E196C"/>
    <w:pPr>
      <w:keepNext/>
      <w:pageBreakBefore/>
      <w:numPr>
        <w:numId w:val="29"/>
      </w:numPr>
      <w:tabs>
        <w:tab w:val="clear" w:pos="1633"/>
        <w:tab w:val="num" w:pos="1021"/>
      </w:tabs>
      <w:spacing w:after="600" w:line="560" w:lineRule="exact"/>
      <w:ind w:left="0"/>
      <w:outlineLvl w:val="0"/>
    </w:pPr>
    <w:rPr>
      <w:rFonts w:eastAsiaTheme="minorHAnsi" w:cstheme="minorBidi"/>
      <w:sz w:val="36"/>
      <w:szCs w:val="22"/>
      <w:lang w:eastAsia="en-US"/>
    </w:rPr>
  </w:style>
  <w:style w:type="paragraph" w:customStyle="1" w:styleId="cvhead">
    <w:name w:val="cvhead"/>
    <w:basedOn w:val="Normal"/>
    <w:next w:val="Normal"/>
    <w:qFormat/>
    <w:rsid w:val="005C5516"/>
    <w:pPr>
      <w:keepNext/>
      <w:spacing w:after="400" w:line="400" w:lineRule="exact"/>
      <w:ind w:left="-499"/>
    </w:pPr>
    <w:rPr>
      <w:b/>
      <w:sz w:val="30"/>
    </w:rPr>
  </w:style>
  <w:style w:type="paragraph" w:customStyle="1" w:styleId="cvsec">
    <w:name w:val="cvsec"/>
    <w:basedOn w:val="Normal"/>
    <w:next w:val="Normal"/>
    <w:qFormat/>
    <w:rsid w:val="005C5516"/>
    <w:pPr>
      <w:keepNext/>
      <w:spacing w:before="240"/>
      <w:ind w:left="-499"/>
    </w:pPr>
    <w:rPr>
      <w:b/>
    </w:rPr>
  </w:style>
  <w:style w:type="paragraph" w:styleId="Signature">
    <w:name w:val="Signature"/>
    <w:basedOn w:val="Normal"/>
    <w:semiHidden/>
    <w:pPr>
      <w:ind w:left="4252"/>
    </w:pPr>
  </w:style>
  <w:style w:type="paragraph" w:customStyle="1" w:styleId="cvcont">
    <w:name w:val="cvcont"/>
    <w:basedOn w:val="Normal"/>
    <w:next w:val="Normal"/>
    <w:qFormat/>
    <w:rsid w:val="005C5516"/>
    <w:pPr>
      <w:spacing w:before="300" w:line="240" w:lineRule="exact"/>
      <w:ind w:left="-499" w:right="-499"/>
      <w:jc w:val="left"/>
    </w:pPr>
    <w:rPr>
      <w:b/>
      <w:sz w:val="18"/>
    </w:rPr>
  </w:style>
  <w:style w:type="paragraph" w:customStyle="1" w:styleId="Annex2">
    <w:name w:val="Annex 2"/>
    <w:basedOn w:val="Heading2"/>
    <w:next w:val="Normal"/>
    <w:qFormat/>
    <w:rsid w:val="005E196C"/>
    <w:pPr>
      <w:numPr>
        <w:numId w:val="29"/>
      </w:numPr>
    </w:pPr>
    <w:rPr>
      <w:rFonts w:eastAsiaTheme="majorEastAsia" w:cstheme="majorBidi"/>
    </w:rPr>
  </w:style>
  <w:style w:type="paragraph" w:customStyle="1" w:styleId="Annex3">
    <w:name w:val="Annex 3"/>
    <w:basedOn w:val="Heading3"/>
    <w:next w:val="Normal"/>
    <w:qFormat/>
    <w:rsid w:val="005E196C"/>
    <w:pPr>
      <w:numPr>
        <w:numId w:val="29"/>
      </w:numPr>
    </w:pPr>
    <w:rPr>
      <w:rFonts w:eastAsiaTheme="majorEastAsia" w:cstheme="majorBidi"/>
    </w:rPr>
  </w:style>
  <w:style w:type="paragraph" w:customStyle="1" w:styleId="Annex4">
    <w:name w:val="Annex 4"/>
    <w:next w:val="Normal"/>
    <w:qFormat/>
    <w:rsid w:val="005C5516"/>
    <w:pPr>
      <w:keepNext/>
      <w:numPr>
        <w:ilvl w:val="3"/>
        <w:numId w:val="29"/>
      </w:numPr>
      <w:spacing w:before="360" w:after="240" w:line="320" w:lineRule="atLeast"/>
    </w:pPr>
    <w:rPr>
      <w:rFonts w:eastAsia="Calibri"/>
      <w:i/>
      <w:sz w:val="22"/>
      <w:szCs w:val="22"/>
      <w:lang w:eastAsia="en-US"/>
    </w:rPr>
  </w:style>
  <w:style w:type="paragraph" w:customStyle="1" w:styleId="Tablenote">
    <w:name w:val="Table: note"/>
    <w:basedOn w:val="Tablecells"/>
    <w:qFormat/>
    <w:rsid w:val="005C5516"/>
    <w:pPr>
      <w:pBdr>
        <w:bottom w:val="single" w:sz="4" w:space="9" w:color="auto"/>
      </w:pBdr>
      <w:spacing w:before="100" w:after="0"/>
      <w:ind w:left="357" w:right="0" w:hanging="357"/>
    </w:pPr>
  </w:style>
  <w:style w:type="paragraph" w:customStyle="1" w:styleId="SBSheader">
    <w:name w:val="SBS: header"/>
    <w:basedOn w:val="Normal"/>
    <w:qFormat/>
    <w:rsid w:val="005C5516"/>
    <w:pPr>
      <w:jc w:val="left"/>
    </w:pPr>
    <w:rPr>
      <w:i/>
    </w:rPr>
  </w:style>
  <w:style w:type="paragraph" w:customStyle="1" w:styleId="I2">
    <w:name w:val="I2"/>
    <w:basedOn w:val="I1"/>
    <w:pPr>
      <w:numPr>
        <w:numId w:val="2"/>
      </w:numPr>
      <w:tabs>
        <w:tab w:val="left" w:pos="2398"/>
      </w:tabs>
      <w:ind w:left="2398" w:hanging="357"/>
    </w:pPr>
  </w:style>
  <w:style w:type="paragraph" w:customStyle="1" w:styleId="Bordersmall">
    <w:name w:val="Border: small"/>
    <w:basedOn w:val="Border"/>
    <w:qFormat/>
    <w:rsid w:val="005C5516"/>
    <w:pPr>
      <w:spacing w:after="0"/>
    </w:pPr>
  </w:style>
  <w:style w:type="paragraph" w:customStyle="1" w:styleId="Titleaddress">
    <w:name w:val="Title: address"/>
    <w:basedOn w:val="01"/>
    <w:qFormat/>
    <w:rsid w:val="005C5516"/>
    <w:pPr>
      <w:ind w:left="567"/>
    </w:pPr>
  </w:style>
  <w:style w:type="paragraph" w:customStyle="1" w:styleId="TitleID">
    <w:name w:val="Title: ID"/>
    <w:basedOn w:val="Normal"/>
    <w:pPr>
      <w:spacing w:after="0" w:line="280" w:lineRule="exact"/>
      <w:ind w:left="-567"/>
      <w:jc w:val="center"/>
    </w:pPr>
  </w:style>
  <w:style w:type="paragraph" w:customStyle="1" w:styleId="Titlelogo">
    <w:name w:val="Title: logo"/>
    <w:basedOn w:val="Normal"/>
    <w:pPr>
      <w:spacing w:after="0" w:line="240" w:lineRule="atLeast"/>
      <w:jc w:val="center"/>
    </w:pPr>
    <w:rPr>
      <w:sz w:val="24"/>
    </w:rPr>
  </w:style>
  <w:style w:type="paragraph" w:customStyle="1" w:styleId="Titlemain">
    <w:name w:val="Title: main"/>
    <w:next w:val="Titleauthor"/>
    <w:qFormat/>
    <w:rsid w:val="005C5516"/>
    <w:pPr>
      <w:spacing w:after="40" w:line="510" w:lineRule="exact"/>
      <w:ind w:left="5103" w:right="-397"/>
    </w:pPr>
    <w:rPr>
      <w:rFonts w:ascii="Arial" w:hAnsi="Arial"/>
      <w:bCs/>
      <w:spacing w:val="8"/>
      <w:sz w:val="34"/>
      <w:szCs w:val="34"/>
      <w:lang w:eastAsia="en-US"/>
    </w:rPr>
  </w:style>
  <w:style w:type="paragraph" w:customStyle="1" w:styleId="TitleRefNo">
    <w:name w:val="Title: RefNo"/>
    <w:basedOn w:val="Titledate"/>
    <w:next w:val="Normal"/>
    <w:qFormat/>
    <w:rsid w:val="005C5516"/>
    <w:rPr>
      <w:b/>
      <w:i w:val="0"/>
      <w:sz w:val="18"/>
      <w:szCs w:val="18"/>
    </w:rPr>
  </w:style>
  <w:style w:type="paragraph" w:customStyle="1" w:styleId="Contentstitle">
    <w:name w:val="Contents: title"/>
    <w:basedOn w:val="Normal"/>
    <w:pPr>
      <w:spacing w:before="200" w:after="0" w:line="600" w:lineRule="exact"/>
      <w:ind w:left="567" w:right="567"/>
      <w:jc w:val="center"/>
    </w:pPr>
    <w:rPr>
      <w:sz w:val="38"/>
    </w:rPr>
  </w:style>
  <w:style w:type="paragraph" w:customStyle="1" w:styleId="Contentssubtitle">
    <w:name w:val="Contents: subtitle"/>
    <w:basedOn w:val="Contentstitle"/>
    <w:pPr>
      <w:pBdr>
        <w:bottom w:val="single" w:sz="2" w:space="0" w:color="auto"/>
      </w:pBdr>
      <w:spacing w:before="280" w:line="320" w:lineRule="exact"/>
      <w:ind w:left="0" w:right="0"/>
    </w:pPr>
    <w:rPr>
      <w:sz w:val="26"/>
    </w:rPr>
  </w:style>
  <w:style w:type="paragraph" w:customStyle="1" w:styleId="Contentsheading">
    <w:name w:val="Contents: heading"/>
    <w:basedOn w:val="Normal"/>
    <w:next w:val="TOC1"/>
    <w:qFormat/>
    <w:rsid w:val="005C5516"/>
    <w:pPr>
      <w:spacing w:after="560" w:line="720" w:lineRule="exact"/>
    </w:pPr>
    <w:rPr>
      <w:sz w:val="40"/>
    </w:rPr>
  </w:style>
  <w:style w:type="paragraph" w:customStyle="1" w:styleId="Contentssubsection">
    <w:name w:val="Contents: subsection"/>
    <w:basedOn w:val="Normal"/>
    <w:next w:val="TOC1"/>
    <w:qFormat/>
    <w:rsid w:val="005C5516"/>
    <w:pPr>
      <w:spacing w:before="360" w:after="0"/>
    </w:pPr>
    <w:rPr>
      <w:b/>
      <w:sz w:val="26"/>
    </w:rPr>
  </w:style>
  <w:style w:type="paragraph" w:customStyle="1" w:styleId="Captionsmall">
    <w:name w:val="Caption: small"/>
    <w:basedOn w:val="Caption"/>
    <w:next w:val="Normal"/>
    <w:qFormat/>
    <w:rsid w:val="005C5516"/>
    <w:pPr>
      <w:spacing w:after="0"/>
      <w:ind w:left="113" w:right="113"/>
    </w:pPr>
  </w:style>
  <w:style w:type="paragraph" w:customStyle="1" w:styleId="Tableheading">
    <w:name w:val="Table: heading"/>
    <w:basedOn w:val="Tablecells"/>
    <w:next w:val="Tablecells"/>
    <w:qFormat/>
    <w:rsid w:val="005C5516"/>
    <w:pPr>
      <w:keepNext/>
    </w:pPr>
    <w:rPr>
      <w:b/>
      <w:color w:val="FFFFFF"/>
    </w:rPr>
  </w:style>
  <w:style w:type="paragraph" w:customStyle="1" w:styleId="Tablecells">
    <w:name w:val="Table: cells"/>
    <w:link w:val="TablecellsChar"/>
    <w:qFormat/>
    <w:rsid w:val="005C5516"/>
    <w:pPr>
      <w:spacing w:before="40" w:after="40" w:line="240" w:lineRule="exact"/>
      <w:ind w:right="113"/>
    </w:pPr>
    <w:rPr>
      <w:rFonts w:ascii="Arial" w:eastAsia="Calibri" w:hAnsi="Arial"/>
      <w:sz w:val="18"/>
      <w:szCs w:val="22"/>
      <w:lang w:eastAsia="en-US"/>
    </w:rPr>
  </w:style>
  <w:style w:type="paragraph" w:customStyle="1" w:styleId="01-address">
    <w:name w:val="01-address"/>
    <w:basedOn w:val="01"/>
    <w:pPr>
      <w:spacing w:line="300" w:lineRule="atLeast"/>
    </w:pPr>
  </w:style>
  <w:style w:type="paragraph" w:customStyle="1" w:styleId="Titlesubtitle">
    <w:name w:val="Title: subtitle"/>
    <w:basedOn w:val="Normal"/>
    <w:pPr>
      <w:spacing w:before="600"/>
      <w:ind w:left="-567"/>
      <w:jc w:val="center"/>
    </w:pPr>
    <w:rPr>
      <w:spacing w:val="8"/>
      <w:sz w:val="24"/>
    </w:rPr>
  </w:style>
  <w:style w:type="paragraph" w:customStyle="1" w:styleId="H5">
    <w:name w:val="H5"/>
    <w:basedOn w:val="Normal"/>
    <w:next w:val="Normal"/>
    <w:link w:val="H5Char"/>
    <w:qFormat/>
    <w:rsid w:val="005C5516"/>
    <w:pPr>
      <w:keepNext/>
      <w:numPr>
        <w:numId w:val="18"/>
      </w:numPr>
      <w:spacing w:after="200"/>
      <w:ind w:left="357" w:hanging="357"/>
    </w:pPr>
    <w:rPr>
      <w:i/>
    </w:rPr>
  </w:style>
  <w:style w:type="paragraph" w:customStyle="1" w:styleId="Titletype">
    <w:name w:val="Title: type"/>
    <w:next w:val="Titlemain"/>
    <w:qFormat/>
    <w:rsid w:val="005C5516"/>
    <w:pPr>
      <w:spacing w:before="2240" w:after="240" w:line="510" w:lineRule="exact"/>
      <w:ind w:left="5103" w:right="-340"/>
    </w:pPr>
    <w:rPr>
      <w:rFonts w:ascii="Arial" w:hAnsi="Arial"/>
      <w:b/>
      <w:bCs/>
      <w:color w:val="003352"/>
      <w:spacing w:val="8"/>
      <w:sz w:val="24"/>
      <w:szCs w:val="24"/>
      <w:lang w:eastAsia="en-US"/>
    </w:rPr>
  </w:style>
  <w:style w:type="paragraph" w:customStyle="1" w:styleId="Titleversion">
    <w:name w:val="Title: version"/>
    <w:basedOn w:val="Normal"/>
    <w:pPr>
      <w:jc w:val="center"/>
    </w:pPr>
  </w:style>
  <w:style w:type="paragraph" w:customStyle="1" w:styleId="Title-Amain">
    <w:name w:val="Title-A: main"/>
    <w:basedOn w:val="Titlemain"/>
  </w:style>
  <w:style w:type="paragraph" w:customStyle="1" w:styleId="Title-Atype">
    <w:name w:val="Title-A: type"/>
    <w:basedOn w:val="Titletype"/>
  </w:style>
  <w:style w:type="paragraph" w:customStyle="1" w:styleId="Titledate">
    <w:name w:val="Title: date"/>
    <w:basedOn w:val="Titlemain"/>
    <w:next w:val="TitleRefNo"/>
    <w:qFormat/>
    <w:rsid w:val="005C5516"/>
    <w:pPr>
      <w:spacing w:after="160"/>
    </w:pPr>
    <w:rPr>
      <w:i/>
      <w:color w:val="003352"/>
      <w:sz w:val="24"/>
      <w:szCs w:val="24"/>
    </w:rPr>
  </w:style>
  <w:style w:type="paragraph" w:customStyle="1" w:styleId="Title-ARefNo">
    <w:name w:val="Title-A: RefNo"/>
    <w:basedOn w:val="TitleRefNo"/>
  </w:style>
  <w:style w:type="paragraph" w:customStyle="1" w:styleId="Confidential">
    <w:name w:val="Confidential"/>
    <w:basedOn w:val="Normal"/>
    <w:pPr>
      <w:jc w:val="center"/>
    </w:pPr>
    <w:rPr>
      <w:sz w:val="20"/>
    </w:rPr>
  </w:style>
  <w:style w:type="paragraph" w:customStyle="1" w:styleId="Tablebullet">
    <w:name w:val="Table: bullet"/>
    <w:basedOn w:val="Tablecells"/>
    <w:qFormat/>
    <w:rsid w:val="005C5516"/>
    <w:pPr>
      <w:numPr>
        <w:numId w:val="16"/>
      </w:numPr>
      <w:ind w:left="227" w:hanging="227"/>
    </w:pPr>
  </w:style>
  <w:style w:type="paragraph" w:customStyle="1" w:styleId="01-reference">
    <w:name w:val="01-reference"/>
    <w:basedOn w:val="TitleRefNo"/>
    <w:pPr>
      <w:jc w:val="right"/>
    </w:pPr>
    <w:rPr>
      <w:rFonts w:ascii="Times New Roman" w:hAnsi="Times New Roman"/>
    </w:rPr>
  </w:style>
  <w:style w:type="paragraph" w:customStyle="1" w:styleId="01-date">
    <w:name w:val="01-date"/>
    <w:basedOn w:val="01-address"/>
    <w:pPr>
      <w:jc w:val="center"/>
    </w:pPr>
  </w:style>
  <w:style w:type="paragraph" w:customStyle="1" w:styleId="MCLBullet1">
    <w:name w:val="MCL Bullet 1"/>
    <w:basedOn w:val="Normal"/>
    <w:pPr>
      <w:numPr>
        <w:numId w:val="9"/>
      </w:numPr>
      <w:overflowPunct w:val="0"/>
      <w:autoSpaceDE w:val="0"/>
      <w:autoSpaceDN w:val="0"/>
      <w:adjustRightInd w:val="0"/>
      <w:spacing w:line="360" w:lineRule="atLeast"/>
      <w:ind w:left="1426" w:hanging="432"/>
      <w:textAlignment w:val="baseline"/>
    </w:pPr>
    <w:rPr>
      <w:color w:val="000000"/>
    </w:rPr>
  </w:style>
  <w:style w:type="paragraph" w:customStyle="1" w:styleId="MCLNormal">
    <w:name w:val="MCL Normal"/>
    <w:basedOn w:val="Normal"/>
    <w:pPr>
      <w:overflowPunct w:val="0"/>
      <w:autoSpaceDE w:val="0"/>
      <w:autoSpaceDN w:val="0"/>
      <w:adjustRightInd w:val="0"/>
      <w:spacing w:after="0" w:line="240" w:lineRule="auto"/>
      <w:jc w:val="left"/>
      <w:textAlignment w:val="baseline"/>
    </w:pPr>
    <w:rPr>
      <w:rFonts w:eastAsia="Arial Unicode MS"/>
      <w:sz w:val="24"/>
    </w:rPr>
  </w:style>
  <w:style w:type="paragraph" w:customStyle="1" w:styleId="Titleauthor">
    <w:name w:val="Title: author"/>
    <w:basedOn w:val="Titletype"/>
    <w:next w:val="Titledate"/>
    <w:qFormat/>
    <w:rsid w:val="005C5516"/>
    <w:pPr>
      <w:spacing w:before="0" w:after="40" w:line="280" w:lineRule="exact"/>
    </w:pPr>
    <w:rPr>
      <w:b w:val="0"/>
      <w:sz w:val="19"/>
      <w:szCs w:val="19"/>
    </w:rPr>
  </w:style>
  <w:style w:type="paragraph" w:customStyle="1" w:styleId="Part">
    <w:name w:val="Part"/>
    <w:pPr>
      <w:spacing w:before="4800" w:after="240"/>
      <w:jc w:val="center"/>
    </w:pPr>
    <w:rPr>
      <w:b/>
      <w:sz w:val="36"/>
      <w:lang w:eastAsia="en-US"/>
    </w:rPr>
  </w:style>
  <w:style w:type="paragraph" w:styleId="ListBullet2">
    <w:name w:val="List Bullet 2"/>
    <w:basedOn w:val="ListBullet"/>
    <w:next w:val="ListBullet"/>
    <w:link w:val="ListBullet2Char"/>
    <w:uiPriority w:val="99"/>
    <w:unhideWhenUsed/>
    <w:qFormat/>
    <w:rsid w:val="005C5516"/>
    <w:pPr>
      <w:keepLines/>
      <w:numPr>
        <w:numId w:val="12"/>
      </w:numPr>
    </w:pPr>
  </w:style>
  <w:style w:type="character" w:customStyle="1" w:styleId="HeaderChar1">
    <w:name w:val="Header Char1"/>
    <w:link w:val="Header"/>
    <w:rsid w:val="005C5516"/>
    <w:rPr>
      <w:rFonts w:ascii="Arial" w:eastAsia="Calibri" w:hAnsi="Arial"/>
      <w:sz w:val="16"/>
      <w:szCs w:val="22"/>
      <w:lang w:eastAsia="en-US"/>
    </w:rPr>
  </w:style>
  <w:style w:type="paragraph" w:customStyle="1" w:styleId="Emphasised">
    <w:name w:val="Emphasised"/>
    <w:basedOn w:val="Normal"/>
    <w:qFormat/>
    <w:rsid w:val="005C5516"/>
    <w:pPr>
      <w:keepLines/>
      <w:pBdr>
        <w:top w:val="single" w:sz="2" w:space="2" w:color="auto"/>
        <w:bottom w:val="single" w:sz="2" w:space="5" w:color="auto"/>
      </w:pBdr>
      <w:ind w:left="284" w:right="284"/>
    </w:pPr>
  </w:style>
  <w:style w:type="character" w:customStyle="1" w:styleId="HeaderChar">
    <w:name w:val="Header Char"/>
    <w:uiPriority w:val="99"/>
    <w:semiHidden/>
    <w:rsid w:val="005C5516"/>
    <w:rPr>
      <w:rFonts w:ascii="Arial" w:hAnsi="Arial"/>
      <w:sz w:val="16"/>
    </w:rPr>
  </w:style>
  <w:style w:type="character" w:customStyle="1" w:styleId="ListBullet2Char">
    <w:name w:val="List Bullet 2 Char"/>
    <w:link w:val="ListBullet2"/>
    <w:uiPriority w:val="99"/>
    <w:rsid w:val="005C5516"/>
    <w:rPr>
      <w:rFonts w:eastAsia="Calibri"/>
      <w:sz w:val="22"/>
      <w:szCs w:val="22"/>
      <w:lang w:eastAsia="en-US"/>
    </w:rPr>
  </w:style>
  <w:style w:type="character" w:customStyle="1" w:styleId="FooterChar">
    <w:name w:val="Footer Char"/>
    <w:uiPriority w:val="99"/>
    <w:rsid w:val="005C5516"/>
    <w:rPr>
      <w:rFonts w:ascii="Arial" w:hAnsi="Arial"/>
      <w:sz w:val="16"/>
    </w:rPr>
  </w:style>
  <w:style w:type="character" w:styleId="FollowedHyperlink">
    <w:name w:val="FollowedHyperlink"/>
    <w:uiPriority w:val="99"/>
    <w:semiHidden/>
    <w:unhideWhenUsed/>
    <w:rsid w:val="005C5516"/>
    <w:rPr>
      <w:color w:val="800080"/>
      <w:u w:val="single"/>
    </w:rPr>
  </w:style>
  <w:style w:type="paragraph" w:styleId="ListBullet">
    <w:name w:val="List Bullet"/>
    <w:basedOn w:val="Normal"/>
    <w:uiPriority w:val="99"/>
    <w:unhideWhenUsed/>
    <w:qFormat/>
    <w:rsid w:val="005C5516"/>
    <w:pPr>
      <w:numPr>
        <w:numId w:val="10"/>
      </w:numPr>
    </w:pPr>
  </w:style>
  <w:style w:type="paragraph" w:customStyle="1" w:styleId="ListBulletCompact">
    <w:name w:val="List Bullet Compact"/>
    <w:basedOn w:val="ListBullet"/>
    <w:qFormat/>
    <w:rsid w:val="005C5516"/>
    <w:pPr>
      <w:spacing w:after="0"/>
    </w:pPr>
  </w:style>
  <w:style w:type="paragraph" w:customStyle="1" w:styleId="ListBullet2Compact">
    <w:name w:val="List Bullet 2 Compact"/>
    <w:basedOn w:val="ListBullet2"/>
    <w:qFormat/>
    <w:rsid w:val="005C5516"/>
    <w:pPr>
      <w:numPr>
        <w:numId w:val="19"/>
      </w:numPr>
      <w:spacing w:after="0"/>
      <w:ind w:left="714" w:hanging="357"/>
    </w:pPr>
  </w:style>
  <w:style w:type="paragraph" w:styleId="ListNumber">
    <w:name w:val="List Number"/>
    <w:basedOn w:val="Normal"/>
    <w:uiPriority w:val="99"/>
    <w:unhideWhenUsed/>
    <w:rsid w:val="005C5516"/>
    <w:pPr>
      <w:numPr>
        <w:numId w:val="13"/>
      </w:numPr>
      <w:contextualSpacing/>
    </w:pPr>
  </w:style>
  <w:style w:type="paragraph" w:styleId="BodyTextIndent">
    <w:name w:val="Body Text Indent"/>
    <w:basedOn w:val="Normal"/>
    <w:link w:val="BodyTextIndentChar"/>
    <w:uiPriority w:val="99"/>
    <w:semiHidden/>
    <w:unhideWhenUsed/>
    <w:rsid w:val="005C5516"/>
    <w:pPr>
      <w:spacing w:after="120"/>
      <w:ind w:left="283"/>
    </w:pPr>
  </w:style>
  <w:style w:type="character" w:customStyle="1" w:styleId="BodyTextIndentChar">
    <w:name w:val="Body Text Indent Char"/>
    <w:link w:val="BodyTextIndent"/>
    <w:uiPriority w:val="99"/>
    <w:semiHidden/>
    <w:rsid w:val="005C5516"/>
    <w:rPr>
      <w:rFonts w:eastAsia="Calibri"/>
      <w:sz w:val="22"/>
      <w:szCs w:val="22"/>
      <w:lang w:eastAsia="en-US"/>
    </w:rPr>
  </w:style>
  <w:style w:type="character" w:customStyle="1" w:styleId="Heading1Char">
    <w:name w:val="Heading 1 Char"/>
    <w:aliases w:val="h1 Char"/>
    <w:link w:val="Heading1"/>
    <w:uiPriority w:val="9"/>
    <w:rsid w:val="005C5516"/>
    <w:rPr>
      <w:bCs/>
      <w:sz w:val="36"/>
      <w:szCs w:val="28"/>
      <w:lang w:eastAsia="en-US"/>
    </w:rPr>
  </w:style>
  <w:style w:type="character" w:customStyle="1" w:styleId="Heading2Char">
    <w:name w:val="Heading 2 Char"/>
    <w:aliases w:val="h2 Char"/>
    <w:link w:val="Heading2"/>
    <w:uiPriority w:val="9"/>
    <w:rsid w:val="005C5516"/>
    <w:rPr>
      <w:b/>
      <w:bCs/>
      <w:sz w:val="24"/>
      <w:szCs w:val="26"/>
      <w:lang w:eastAsia="en-US"/>
    </w:rPr>
  </w:style>
  <w:style w:type="character" w:customStyle="1" w:styleId="Heading3Char">
    <w:name w:val="Heading 3 Char"/>
    <w:aliases w:val="h3 Char"/>
    <w:link w:val="Heading3"/>
    <w:uiPriority w:val="9"/>
    <w:rsid w:val="005C5516"/>
    <w:rPr>
      <w:b/>
      <w:bCs/>
      <w:sz w:val="22"/>
      <w:szCs w:val="22"/>
      <w:lang w:eastAsia="en-US"/>
    </w:rPr>
  </w:style>
  <w:style w:type="numbering" w:styleId="1ai">
    <w:name w:val="Outline List 1"/>
    <w:basedOn w:val="NoList"/>
    <w:uiPriority w:val="99"/>
    <w:semiHidden/>
    <w:unhideWhenUsed/>
    <w:rsid w:val="005C5516"/>
    <w:pPr>
      <w:numPr>
        <w:numId w:val="15"/>
      </w:numPr>
    </w:pPr>
  </w:style>
  <w:style w:type="character" w:customStyle="1" w:styleId="FootnoteTextChar">
    <w:name w:val="Footnote Text Char"/>
    <w:link w:val="FootnoteText"/>
    <w:uiPriority w:val="99"/>
    <w:rsid w:val="005C5516"/>
    <w:rPr>
      <w:rFonts w:ascii="Arial" w:eastAsia="Calibri" w:hAnsi="Arial"/>
      <w:sz w:val="16"/>
      <w:lang w:eastAsia="en-US"/>
    </w:rPr>
  </w:style>
  <w:style w:type="character" w:customStyle="1" w:styleId="FooterChar1">
    <w:name w:val="Footer Char1"/>
    <w:link w:val="Footer"/>
    <w:rsid w:val="005C5516"/>
    <w:rPr>
      <w:rFonts w:ascii="Arial" w:eastAsia="Calibri" w:hAnsi="Arial"/>
      <w:sz w:val="16"/>
      <w:szCs w:val="22"/>
      <w:lang w:eastAsia="en-US"/>
    </w:rPr>
  </w:style>
  <w:style w:type="character" w:customStyle="1" w:styleId="IIChar">
    <w:name w:val="II Char"/>
    <w:link w:val="II"/>
    <w:rsid w:val="005C5516"/>
    <w:rPr>
      <w:rFonts w:eastAsia="Calibri"/>
      <w:sz w:val="22"/>
      <w:szCs w:val="22"/>
      <w:lang w:eastAsia="en-US"/>
    </w:rPr>
  </w:style>
  <w:style w:type="character" w:customStyle="1" w:styleId="CommentTextChar">
    <w:name w:val="Comment Text Char"/>
    <w:link w:val="CommentText"/>
    <w:uiPriority w:val="99"/>
    <w:semiHidden/>
    <w:rsid w:val="005C5516"/>
    <w:rPr>
      <w:rFonts w:eastAsia="Calibri"/>
      <w:lang w:eastAsia="en-US"/>
    </w:rPr>
  </w:style>
  <w:style w:type="character" w:customStyle="1" w:styleId="ConfidentialFooter">
    <w:name w:val="ConfidentialFooter"/>
    <w:rsid w:val="005C5516"/>
    <w:rPr>
      <w:color w:val="FFFFFF"/>
      <w:sz w:val="2"/>
    </w:rPr>
  </w:style>
  <w:style w:type="paragraph" w:customStyle="1" w:styleId="ConfidentialFront">
    <w:name w:val="ConfidentialFront"/>
    <w:basedOn w:val="Normal"/>
    <w:qFormat/>
    <w:rsid w:val="005C5516"/>
    <w:pPr>
      <w:spacing w:before="960"/>
      <w:ind w:left="-227"/>
    </w:pPr>
    <w:rPr>
      <w:rFonts w:ascii="Arial" w:hAnsi="Arial"/>
      <w:color w:val="FFFFFF"/>
      <w:sz w:val="2"/>
    </w:rPr>
  </w:style>
  <w:style w:type="character" w:customStyle="1" w:styleId="H5Char">
    <w:name w:val="H5 Char"/>
    <w:link w:val="H5"/>
    <w:rsid w:val="005C5516"/>
    <w:rPr>
      <w:rFonts w:eastAsia="Calibri"/>
      <w:i/>
      <w:sz w:val="22"/>
      <w:szCs w:val="22"/>
      <w:lang w:eastAsia="en-US"/>
    </w:rPr>
  </w:style>
  <w:style w:type="character" w:customStyle="1" w:styleId="Heading4Char">
    <w:name w:val="Heading 4 Char"/>
    <w:aliases w:val="h4 Char"/>
    <w:link w:val="Heading4"/>
    <w:uiPriority w:val="9"/>
    <w:rsid w:val="005C5516"/>
    <w:rPr>
      <w:bCs/>
      <w:i/>
      <w:iCs/>
      <w:sz w:val="22"/>
      <w:szCs w:val="22"/>
      <w:lang w:eastAsia="en-US"/>
    </w:rPr>
  </w:style>
  <w:style w:type="table" w:styleId="TableGrid">
    <w:name w:val="Table Grid"/>
    <w:basedOn w:val="TableNormal"/>
    <w:uiPriority w:val="59"/>
    <w:rsid w:val="005C551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Shading2-Accent1">
    <w:name w:val="Medium Shading 2 Accent 1"/>
    <w:basedOn w:val="TableNormal"/>
    <w:uiPriority w:val="64"/>
    <w:rsid w:val="005C5516"/>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paragraph" w:customStyle="1" w:styleId="I10">
    <w:name w:val="I1"/>
    <w:basedOn w:val="ListBullet"/>
    <w:next w:val="I1"/>
    <w:rsid w:val="005C5516"/>
  </w:style>
  <w:style w:type="paragraph" w:styleId="BalloonText">
    <w:name w:val="Balloon Text"/>
    <w:basedOn w:val="Normal"/>
    <w:link w:val="BalloonTextChar"/>
    <w:uiPriority w:val="99"/>
    <w:semiHidden/>
    <w:unhideWhenUsed/>
    <w:rsid w:val="00CC7F56"/>
    <w:pPr>
      <w:spacing w:after="0" w:line="240" w:lineRule="auto"/>
    </w:pPr>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CC7F56"/>
    <w:rPr>
      <w:rFonts w:ascii="Tahoma" w:eastAsiaTheme="minorHAnsi" w:hAnsi="Tahoma" w:cs="Tahoma"/>
      <w:sz w:val="16"/>
      <w:szCs w:val="16"/>
      <w:lang w:eastAsia="en-US"/>
    </w:rPr>
  </w:style>
  <w:style w:type="paragraph" w:styleId="CommentSubject">
    <w:name w:val="annotation subject"/>
    <w:basedOn w:val="CommentText"/>
    <w:next w:val="CommentText"/>
    <w:link w:val="CommentSubjectChar"/>
    <w:uiPriority w:val="99"/>
    <w:semiHidden/>
    <w:unhideWhenUsed/>
    <w:rsid w:val="00CC7F56"/>
    <w:rPr>
      <w:rFonts w:eastAsiaTheme="minorHAnsi" w:cstheme="minorBidi"/>
      <w:b/>
      <w:bCs/>
    </w:rPr>
  </w:style>
  <w:style w:type="character" w:customStyle="1" w:styleId="CommentSubjectChar">
    <w:name w:val="Comment Subject Char"/>
    <w:basedOn w:val="CommentTextChar"/>
    <w:link w:val="CommentSubject"/>
    <w:uiPriority w:val="99"/>
    <w:semiHidden/>
    <w:rsid w:val="00CC7F56"/>
    <w:rPr>
      <w:rFonts w:eastAsiaTheme="minorHAnsi" w:cstheme="minorBidi"/>
      <w:b/>
      <w:bCs/>
      <w:lang w:eastAsia="en-US"/>
    </w:rPr>
  </w:style>
  <w:style w:type="numbering" w:customStyle="1" w:styleId="TableListNumbers">
    <w:name w:val="TableListNumbers"/>
    <w:uiPriority w:val="99"/>
    <w:rsid w:val="00CC7F56"/>
    <w:pPr>
      <w:numPr>
        <w:numId w:val="31"/>
      </w:numPr>
    </w:pPr>
  </w:style>
  <w:style w:type="paragraph" w:styleId="NormalWeb">
    <w:name w:val="Normal (Web)"/>
    <w:basedOn w:val="Normal"/>
    <w:uiPriority w:val="99"/>
    <w:unhideWhenUsed/>
    <w:rsid w:val="00CC7F56"/>
    <w:pPr>
      <w:spacing w:before="100" w:beforeAutospacing="1" w:after="100" w:afterAutospacing="1" w:line="240" w:lineRule="auto"/>
      <w:jc w:val="left"/>
    </w:pPr>
    <w:rPr>
      <w:rFonts w:eastAsia="Times New Roman"/>
      <w:sz w:val="24"/>
      <w:szCs w:val="24"/>
      <w:lang w:eastAsia="en-GB"/>
    </w:rPr>
  </w:style>
  <w:style w:type="paragraph" w:styleId="BodyText">
    <w:name w:val="Body Text"/>
    <w:basedOn w:val="Normal"/>
    <w:link w:val="BodyTextChar"/>
    <w:uiPriority w:val="2"/>
    <w:qFormat/>
    <w:rsid w:val="00CC7F56"/>
    <w:pPr>
      <w:spacing w:before="140" w:after="0" w:line="280" w:lineRule="atLeast"/>
      <w:jc w:val="left"/>
    </w:pPr>
    <w:rPr>
      <w:rFonts w:asciiTheme="minorHAnsi" w:eastAsia="Times New Roman" w:hAnsiTheme="minorHAnsi"/>
      <w:sz w:val="21"/>
      <w:szCs w:val="21"/>
      <w:lang w:val="en-AU" w:eastAsia="en-AU"/>
    </w:rPr>
  </w:style>
  <w:style w:type="character" w:customStyle="1" w:styleId="BodyTextChar">
    <w:name w:val="Body Text Char"/>
    <w:basedOn w:val="DefaultParagraphFont"/>
    <w:link w:val="BodyText"/>
    <w:uiPriority w:val="2"/>
    <w:rsid w:val="00CC7F56"/>
    <w:rPr>
      <w:rFonts w:asciiTheme="minorHAnsi" w:hAnsiTheme="minorHAnsi"/>
      <w:sz w:val="21"/>
      <w:szCs w:val="21"/>
      <w:lang w:val="en-AU" w:eastAsia="en-AU"/>
    </w:rPr>
  </w:style>
  <w:style w:type="character" w:customStyle="1" w:styleId="TablecellsChar">
    <w:name w:val="Table: cells Char"/>
    <w:link w:val="Tablecells"/>
    <w:rsid w:val="00CC7F56"/>
    <w:rPr>
      <w:rFonts w:ascii="Arial" w:eastAsia="Calibri" w:hAnsi="Arial"/>
      <w:sz w:val="18"/>
      <w:szCs w:val="22"/>
      <w:lang w:eastAsia="en-US"/>
    </w:rPr>
  </w:style>
  <w:style w:type="paragraph" w:styleId="ListParagraph">
    <w:name w:val="List Paragraph"/>
    <w:basedOn w:val="Normal"/>
    <w:uiPriority w:val="34"/>
    <w:qFormat/>
    <w:rsid w:val="00CC7F56"/>
    <w:pPr>
      <w:ind w:left="720"/>
      <w:contextualSpacing/>
    </w:pPr>
    <w:rPr>
      <w:rFonts w:eastAsiaTheme="minorHAnsi" w:cstheme="minorBidi"/>
    </w:rPr>
  </w:style>
  <w:style w:type="character" w:customStyle="1" w:styleId="Heading5Char">
    <w:name w:val="Heading 5 Char"/>
    <w:basedOn w:val="DefaultParagraphFont"/>
    <w:link w:val="Heading5"/>
    <w:rsid w:val="00CC7F56"/>
    <w:rPr>
      <w:bCs/>
      <w:i/>
      <w:iCs/>
      <w:sz w:val="22"/>
      <w:szCs w:val="22"/>
      <w:lang w:eastAsia="en-US"/>
    </w:rPr>
  </w:style>
  <w:style w:type="character" w:customStyle="1" w:styleId="Heading6Char">
    <w:name w:val="Heading 6 Char"/>
    <w:basedOn w:val="DefaultParagraphFont"/>
    <w:link w:val="Heading6"/>
    <w:rsid w:val="00CC7F56"/>
    <w:rPr>
      <w:rFonts w:eastAsia="Calibri"/>
      <w:i/>
      <w:sz w:val="22"/>
      <w:szCs w:val="22"/>
      <w:lang w:eastAsia="en-US"/>
    </w:rPr>
  </w:style>
  <w:style w:type="character" w:customStyle="1" w:styleId="Heading7Char">
    <w:name w:val="Heading 7 Char"/>
    <w:basedOn w:val="DefaultParagraphFont"/>
    <w:link w:val="Heading7"/>
    <w:rsid w:val="00CC7F56"/>
    <w:rPr>
      <w:rFonts w:ascii="Arial" w:eastAsia="Calibri" w:hAnsi="Arial"/>
      <w:szCs w:val="22"/>
      <w:lang w:eastAsia="en-US"/>
    </w:rPr>
  </w:style>
  <w:style w:type="character" w:customStyle="1" w:styleId="Heading8Char">
    <w:name w:val="Heading 8 Char"/>
    <w:basedOn w:val="DefaultParagraphFont"/>
    <w:link w:val="Heading8"/>
    <w:rsid w:val="00CC7F56"/>
    <w:rPr>
      <w:rFonts w:ascii="Arial" w:eastAsia="Calibri" w:hAnsi="Arial"/>
      <w:i/>
      <w:szCs w:val="22"/>
      <w:lang w:eastAsia="en-US"/>
    </w:rPr>
  </w:style>
  <w:style w:type="character" w:customStyle="1" w:styleId="Heading9Char">
    <w:name w:val="Heading 9 Char"/>
    <w:basedOn w:val="DefaultParagraphFont"/>
    <w:link w:val="Heading9"/>
    <w:rsid w:val="00CC7F56"/>
    <w:rPr>
      <w:rFonts w:ascii="Arial" w:eastAsia="Calibri" w:hAnsi="Arial"/>
      <w:b/>
      <w:i/>
      <w:sz w:val="18"/>
      <w:szCs w:val="22"/>
      <w:lang w:eastAsia="en-US"/>
    </w:rPr>
  </w:style>
  <w:style w:type="character" w:styleId="PlaceholderText">
    <w:name w:val="Placeholder Text"/>
    <w:basedOn w:val="DefaultParagraphFont"/>
    <w:uiPriority w:val="99"/>
    <w:semiHidden/>
    <w:rsid w:val="00CC7F56"/>
    <w:rPr>
      <w:color w:val="808080"/>
    </w:rPr>
  </w:style>
  <w:style w:type="paragraph" w:styleId="Revision">
    <w:name w:val="Revision"/>
    <w:hidden/>
    <w:uiPriority w:val="99"/>
    <w:semiHidden/>
    <w:rsid w:val="00CC7F56"/>
    <w:rPr>
      <w:rFonts w:eastAsia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03765602">
      <w:bodyDiv w:val="1"/>
      <w:marLeft w:val="0"/>
      <w:marRight w:val="0"/>
      <w:marTop w:val="0"/>
      <w:marBottom w:val="0"/>
      <w:divBdr>
        <w:top w:val="none" w:sz="0" w:space="0" w:color="auto"/>
        <w:left w:val="none" w:sz="0" w:space="0" w:color="auto"/>
        <w:bottom w:val="none" w:sz="0" w:space="0" w:color="auto"/>
        <w:right w:val="none" w:sz="0" w:space="0" w:color="auto"/>
      </w:divBdr>
    </w:div>
    <w:div w:id="1359818376">
      <w:bodyDiv w:val="1"/>
      <w:marLeft w:val="0"/>
      <w:marRight w:val="0"/>
      <w:marTop w:val="0"/>
      <w:marBottom w:val="0"/>
      <w:divBdr>
        <w:top w:val="none" w:sz="0" w:space="0" w:color="auto"/>
        <w:left w:val="none" w:sz="0" w:space="0" w:color="auto"/>
        <w:bottom w:val="none" w:sz="0" w:space="0" w:color="auto"/>
        <w:right w:val="none" w:sz="0" w:space="0" w:color="auto"/>
      </w:divBdr>
    </w:div>
    <w:div w:id="1503666921">
      <w:bodyDiv w:val="1"/>
      <w:marLeft w:val="0"/>
      <w:marRight w:val="0"/>
      <w:marTop w:val="0"/>
      <w:marBottom w:val="0"/>
      <w:divBdr>
        <w:top w:val="none" w:sz="0" w:space="0" w:color="auto"/>
        <w:left w:val="none" w:sz="0" w:space="0" w:color="auto"/>
        <w:bottom w:val="none" w:sz="0" w:space="0" w:color="auto"/>
        <w:right w:val="none" w:sz="0" w:space="0" w:color="auto"/>
      </w:divBdr>
    </w:div>
    <w:div w:id="2039891447">
      <w:bodyDiv w:val="1"/>
      <w:marLeft w:val="0"/>
      <w:marRight w:val="0"/>
      <w:marTop w:val="0"/>
      <w:marBottom w:val="0"/>
      <w:divBdr>
        <w:top w:val="none" w:sz="0" w:space="0" w:color="auto"/>
        <w:left w:val="none" w:sz="0" w:space="0" w:color="auto"/>
        <w:bottom w:val="none" w:sz="0" w:space="0" w:color="auto"/>
        <w:right w:val="none" w:sz="0" w:space="0" w:color="auto"/>
      </w:divBdr>
    </w:div>
    <w:div w:id="20873418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header" Target="header5.xml"/><Relationship Id="rId26" Type="http://schemas.openxmlformats.org/officeDocument/2006/relationships/image" Target="media/image6.wmf"/><Relationship Id="rId39" Type="http://schemas.openxmlformats.org/officeDocument/2006/relationships/image" Target="media/image14.png"/><Relationship Id="rId21" Type="http://schemas.openxmlformats.org/officeDocument/2006/relationships/header" Target="header6.xml"/><Relationship Id="rId34" Type="http://schemas.openxmlformats.org/officeDocument/2006/relationships/footer" Target="footer9.xml"/><Relationship Id="rId42" Type="http://schemas.openxmlformats.org/officeDocument/2006/relationships/image" Target="media/image17.emf"/><Relationship Id="rId47" Type="http://schemas.openxmlformats.org/officeDocument/2006/relationships/image" Target="media/image22.wmf"/><Relationship Id="rId50" Type="http://schemas.openxmlformats.org/officeDocument/2006/relationships/image" Target="media/image25.wmf"/><Relationship Id="rId55" Type="http://schemas.openxmlformats.org/officeDocument/2006/relationships/image" Target="media/image30.wmf"/><Relationship Id="rId63" Type="http://schemas.openxmlformats.org/officeDocument/2006/relationships/image" Target="media/image38.wmf"/><Relationship Id="rId68" Type="http://schemas.openxmlformats.org/officeDocument/2006/relationships/image" Target="media/image43.wmf"/><Relationship Id="rId76" Type="http://schemas.openxmlformats.org/officeDocument/2006/relationships/footer" Target="footer12.xml"/><Relationship Id="rId7" Type="http://schemas.openxmlformats.org/officeDocument/2006/relationships/footnotes" Target="footnotes.xml"/><Relationship Id="rId71" Type="http://schemas.openxmlformats.org/officeDocument/2006/relationships/image" Target="media/image46.wmf"/><Relationship Id="rId2" Type="http://schemas.openxmlformats.org/officeDocument/2006/relationships/customXml" Target="../customXml/item2.xml"/><Relationship Id="rId16" Type="http://schemas.openxmlformats.org/officeDocument/2006/relationships/footer" Target="footer4.xml"/><Relationship Id="rId29" Type="http://schemas.openxmlformats.org/officeDocument/2006/relationships/image" Target="media/image9.wmf"/><Relationship Id="rId11" Type="http://schemas.openxmlformats.org/officeDocument/2006/relationships/header" Target="header1.xml"/><Relationship Id="rId24" Type="http://schemas.openxmlformats.org/officeDocument/2006/relationships/image" Target="media/image4.wmf"/><Relationship Id="rId32" Type="http://schemas.openxmlformats.org/officeDocument/2006/relationships/header" Target="header7.xml"/><Relationship Id="rId37" Type="http://schemas.openxmlformats.org/officeDocument/2006/relationships/image" Target="media/image12.wmf"/><Relationship Id="rId40" Type="http://schemas.openxmlformats.org/officeDocument/2006/relationships/image" Target="media/image15.emf"/><Relationship Id="rId45" Type="http://schemas.openxmlformats.org/officeDocument/2006/relationships/image" Target="media/image20.emf"/><Relationship Id="rId53" Type="http://schemas.openxmlformats.org/officeDocument/2006/relationships/image" Target="media/image28.wmf"/><Relationship Id="rId58" Type="http://schemas.openxmlformats.org/officeDocument/2006/relationships/image" Target="media/image33.wmf"/><Relationship Id="rId66" Type="http://schemas.openxmlformats.org/officeDocument/2006/relationships/image" Target="media/image41.wmf"/><Relationship Id="rId74" Type="http://schemas.openxmlformats.org/officeDocument/2006/relationships/image" Target="media/image49.wmf"/><Relationship Id="rId79" Type="http://schemas.openxmlformats.org/officeDocument/2006/relationships/theme" Target="theme/theme1.xml"/><Relationship Id="rId5" Type="http://schemas.openxmlformats.org/officeDocument/2006/relationships/settings" Target="settings.xml"/><Relationship Id="rId61" Type="http://schemas.openxmlformats.org/officeDocument/2006/relationships/image" Target="media/image36.wmf"/><Relationship Id="rId10" Type="http://schemas.openxmlformats.org/officeDocument/2006/relationships/footer" Target="footer1.xml"/><Relationship Id="rId19" Type="http://schemas.openxmlformats.org/officeDocument/2006/relationships/footer" Target="footer5.xml"/><Relationship Id="rId31" Type="http://schemas.openxmlformats.org/officeDocument/2006/relationships/image" Target="media/image11.wmf"/><Relationship Id="rId44" Type="http://schemas.openxmlformats.org/officeDocument/2006/relationships/image" Target="media/image19.emf"/><Relationship Id="rId52" Type="http://schemas.openxmlformats.org/officeDocument/2006/relationships/image" Target="media/image27.wmf"/><Relationship Id="rId60" Type="http://schemas.openxmlformats.org/officeDocument/2006/relationships/image" Target="media/image35.wmf"/><Relationship Id="rId65" Type="http://schemas.openxmlformats.org/officeDocument/2006/relationships/image" Target="media/image40.wmf"/><Relationship Id="rId73" Type="http://schemas.openxmlformats.org/officeDocument/2006/relationships/image" Target="media/image48.wmf"/><Relationship Id="rId78"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footer" Target="footer3.xml"/><Relationship Id="rId22" Type="http://schemas.openxmlformats.org/officeDocument/2006/relationships/footer" Target="footer7.xml"/><Relationship Id="rId27" Type="http://schemas.openxmlformats.org/officeDocument/2006/relationships/image" Target="media/image7.wmf"/><Relationship Id="rId30" Type="http://schemas.openxmlformats.org/officeDocument/2006/relationships/image" Target="media/image10.wmf"/><Relationship Id="rId35" Type="http://schemas.openxmlformats.org/officeDocument/2006/relationships/header" Target="header8.xml"/><Relationship Id="rId43" Type="http://schemas.openxmlformats.org/officeDocument/2006/relationships/image" Target="media/image18.emf"/><Relationship Id="rId48" Type="http://schemas.openxmlformats.org/officeDocument/2006/relationships/image" Target="media/image23.wmf"/><Relationship Id="rId56" Type="http://schemas.openxmlformats.org/officeDocument/2006/relationships/image" Target="media/image31.wmf"/><Relationship Id="rId64" Type="http://schemas.openxmlformats.org/officeDocument/2006/relationships/image" Target="media/image39.wmf"/><Relationship Id="rId69" Type="http://schemas.openxmlformats.org/officeDocument/2006/relationships/image" Target="media/image44.wmf"/><Relationship Id="rId77" Type="http://schemas.openxmlformats.org/officeDocument/2006/relationships/footer" Target="footer13.xml"/><Relationship Id="rId8" Type="http://schemas.openxmlformats.org/officeDocument/2006/relationships/endnotes" Target="endnotes.xml"/><Relationship Id="rId51" Type="http://schemas.openxmlformats.org/officeDocument/2006/relationships/image" Target="media/image26.wmf"/><Relationship Id="rId72" Type="http://schemas.openxmlformats.org/officeDocument/2006/relationships/image" Target="media/image47.wmf"/><Relationship Id="rId3" Type="http://schemas.openxmlformats.org/officeDocument/2006/relationships/numbering" Target="numbering.xml"/><Relationship Id="rId12" Type="http://schemas.openxmlformats.org/officeDocument/2006/relationships/header" Target="header2.xml"/><Relationship Id="rId17" Type="http://schemas.openxmlformats.org/officeDocument/2006/relationships/header" Target="header4.xml"/><Relationship Id="rId25" Type="http://schemas.openxmlformats.org/officeDocument/2006/relationships/image" Target="media/image5.wmf"/><Relationship Id="rId33" Type="http://schemas.openxmlformats.org/officeDocument/2006/relationships/footer" Target="footer8.xml"/><Relationship Id="rId38" Type="http://schemas.openxmlformats.org/officeDocument/2006/relationships/image" Target="media/image13.png"/><Relationship Id="rId46" Type="http://schemas.openxmlformats.org/officeDocument/2006/relationships/image" Target="media/image21.emf"/><Relationship Id="rId59" Type="http://schemas.openxmlformats.org/officeDocument/2006/relationships/image" Target="media/image34.wmf"/><Relationship Id="rId67" Type="http://schemas.openxmlformats.org/officeDocument/2006/relationships/image" Target="media/image42.wmf"/><Relationship Id="rId20" Type="http://schemas.openxmlformats.org/officeDocument/2006/relationships/footer" Target="footer6.xml"/><Relationship Id="rId41" Type="http://schemas.openxmlformats.org/officeDocument/2006/relationships/image" Target="media/image16.emf"/><Relationship Id="rId54" Type="http://schemas.openxmlformats.org/officeDocument/2006/relationships/image" Target="media/image29.wmf"/><Relationship Id="rId62" Type="http://schemas.openxmlformats.org/officeDocument/2006/relationships/image" Target="media/image37.wmf"/><Relationship Id="rId70" Type="http://schemas.openxmlformats.org/officeDocument/2006/relationships/image" Target="media/image45.wmf"/><Relationship Id="rId75" Type="http://schemas.openxmlformats.org/officeDocument/2006/relationships/footer" Target="footer1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image" Target="media/image3.wmf"/><Relationship Id="rId28" Type="http://schemas.openxmlformats.org/officeDocument/2006/relationships/image" Target="media/image8.wmf"/><Relationship Id="rId36" Type="http://schemas.openxmlformats.org/officeDocument/2006/relationships/footer" Target="footer10.xml"/><Relationship Id="rId49" Type="http://schemas.openxmlformats.org/officeDocument/2006/relationships/image" Target="media/image24.wmf"/><Relationship Id="rId57" Type="http://schemas.openxmlformats.org/officeDocument/2006/relationships/image" Target="media/image32.wmf"/></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_rels/footer4.xml.rels><?xml version="1.0" encoding="UTF-8" standalone="yes"?>
<Relationships xmlns="http://schemas.openxmlformats.org/package/2006/relationships"><Relationship Id="rId1" Type="http://schemas.openxmlformats.org/officeDocument/2006/relationships/image" Target="media/image2.png"/></Relationships>
</file>

<file path=word/_rels/footer5.xml.rels><?xml version="1.0" encoding="UTF-8" standalone="yes"?>
<Relationships xmlns="http://schemas.openxmlformats.org/package/2006/relationships"><Relationship Id="rId1" Type="http://schemas.openxmlformats.org/officeDocument/2006/relationships/image" Target="media/image2.png"/></Relationships>
</file>

<file path=word/_rels/footer6.xml.rels><?xml version="1.0" encoding="UTF-8" standalone="yes"?>
<Relationships xmlns="http://schemas.openxmlformats.org/package/2006/relationships"><Relationship Id="rId1" Type="http://schemas.openxmlformats.org/officeDocument/2006/relationships/image" Target="media/image2.png"/></Relationships>
</file>

<file path=word/_rels/footer7.xml.rels><?xml version="1.0" encoding="UTF-8" standalone="yes"?>
<Relationships xmlns="http://schemas.openxmlformats.org/package/2006/relationships"><Relationship Id="rId1" Type="http://schemas.openxmlformats.org/officeDocument/2006/relationships/image" Target="media/image2.png"/></Relationships>
</file>

<file path=word/_rels/footer8.xml.rels><?xml version="1.0" encoding="UTF-8" standalone="yes"?>
<Relationships xmlns="http://schemas.openxmlformats.org/package/2006/relationships"><Relationship Id="rId1" Type="http://schemas.openxmlformats.org/officeDocument/2006/relationships/image" Target="media/image2.png"/></Relationships>
</file>

<file path=word/_rels/footer9.xml.rels><?xml version="1.0" encoding="UTF-8" standalone="yes"?>
<Relationships xmlns="http://schemas.openxmlformats.org/package/2006/relationships"><Relationship Id="rId1" Type="http://schemas.openxmlformats.org/officeDocument/2006/relationships/image" Target="media/image2.png"/></Relationships>
</file>

<file path=word/_rels/footer10.xml.rels><?xml version="1.0" encoding="UTF-8" standalone="yes"?>
<Relationships xmlns="http://schemas.openxmlformats.org/package/2006/relationships"><Relationship Id="rId1" Type="http://schemas.openxmlformats.org/officeDocument/2006/relationships/image" Target="media/image2.png"/></Relationships>
</file>

<file path=word/_rels/footnotes.xml.rels><?xml version="1.0" encoding="UTF-8" standalone="yes"?>
<Relationships xmlns="http://schemas.openxmlformats.org/package/2006/relationships"><Relationship Id="rId8" Type="http://schemas.openxmlformats.org/officeDocument/2006/relationships/hyperlink" Target="http://businesscentres.optus.com.au/sydney-cbd/network-coverage/" TargetMode="External"/><Relationship Id="rId13" Type="http://schemas.openxmlformats.org/officeDocument/2006/relationships/hyperlink" Target="http://standards.ieee.org/news/2013/802.11ad.html" TargetMode="External"/><Relationship Id="rId3" Type="http://schemas.openxmlformats.org/officeDocument/2006/relationships/hyperlink" Target="http://www.pts.se/sv/Bransch/Telefoni/SMP---Prisreglering/Kalkylarbete-mobilnat/Gallande-prisreglering/" TargetMode="External"/><Relationship Id="rId7" Type="http://schemas.openxmlformats.org/officeDocument/2006/relationships/hyperlink" Target="http://www.optus.com.au/shop/mobile/network/about" TargetMode="External"/><Relationship Id="rId12" Type="http://schemas.openxmlformats.org/officeDocument/2006/relationships/hyperlink" Target="http://www.wi-fi.org/discover-and-learn" TargetMode="External"/><Relationship Id="rId2" Type="http://schemas.openxmlformats.org/officeDocument/2006/relationships/hyperlink" Target="http://arcep.fr/index.php?id=8571&amp;tx_gsactualite_pi1%5buid%5d=1686&amp;tx_gsactualite_pi1%5bannee%5d=&amp;tx_gsactualite_pi1%5btheme%5d=&amp;tx_gsactualite_pi1%5bmotscle%5d=&amp;tx_gsactualite_pi1%5bbackID%5d=26&amp;cHash=ecd5376ef659ba70fcde1b5d7e09f8c0" TargetMode="External"/><Relationship Id="rId1" Type="http://schemas.openxmlformats.org/officeDocument/2006/relationships/hyperlink" Target="http://www.euromonitor.com/passport" TargetMode="External"/><Relationship Id="rId6" Type="http://schemas.openxmlformats.org/officeDocument/2006/relationships/hyperlink" Target="http://www.cisco.com/web/solutions/sp/vni/vni_mobile_forecast_highlight/index.html" TargetMode="External"/><Relationship Id="rId11" Type="http://schemas.openxmlformats.org/officeDocument/2006/relationships/hyperlink" Target="http://stakeholders.ofcom.org.uk/consultations/cfi-mobile-bb/" TargetMode="External"/><Relationship Id="rId5" Type="http://schemas.openxmlformats.org/officeDocument/2006/relationships/hyperlink" Target="http://www.npt.no/marked/markedsregulering-smp/kostnadsmodeller/lric-mobilnett" TargetMode="External"/><Relationship Id="rId10" Type="http://schemas.openxmlformats.org/officeDocument/2006/relationships/hyperlink" Target="http://stakeholders.ofcom.org.uk/binaries/consultations/cfi-mobile-bb/annexes/RW_appendices.pdf" TargetMode="External"/><Relationship Id="rId4" Type="http://schemas.openxmlformats.org/officeDocument/2006/relationships/hyperlink" Target="https://www.acm.nl/nl/publicaties/publicatie/11321/Ontwerpbesluit-marktanalyse-vaste-en-mobiele-gespreksafgifte-2013-2015/" TargetMode="External"/><Relationship Id="rId9" Type="http://schemas.openxmlformats.org/officeDocument/2006/relationships/hyperlink" Target="http://stakeholders.ofcom.org.uk/binaries/consultations/cfi-mobile-bb/annexes/RW_report.pdf" TargetMode="External"/><Relationship Id="rId14" Type="http://schemas.openxmlformats.org/officeDocument/2006/relationships/hyperlink" Target="http://stakeholders.ofcom.org.uk/spectrum/tv-white-spaces/white-spaces-pilo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AnalysysMason\Templates\ReportLargeA4.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300AE39-E6A1-48C5-825A-826BE2BE5338}">
  <ds:schemaRefs>
    <ds:schemaRef ds:uri="http://schemas.openxmlformats.org/officeDocument/2006/bibliography"/>
  </ds:schemaRefs>
</ds:datastoreItem>
</file>

<file path=customXml/itemProps2.xml><?xml version="1.0" encoding="utf-8"?>
<ds:datastoreItem xmlns:ds="http://schemas.openxmlformats.org/officeDocument/2006/customXml" ds:itemID="{CFD29670-9959-412C-B7A9-C800CD0972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ReportLargeA4</Template>
  <TotalTime>0</TotalTime>
  <Pages>81</Pages>
  <Words>21625</Words>
  <Characters>123266</Characters>
  <Application>Microsoft Office Word</Application>
  <DocSecurity>4</DocSecurity>
  <Lines>1027</Lines>
  <Paragraphs>289</Paragraphs>
  <ScaleCrop>false</ScaleCrop>
  <HeadingPairs>
    <vt:vector size="2" baseType="variant">
      <vt:variant>
        <vt:lpstr>Title</vt:lpstr>
      </vt:variant>
      <vt:variant>
        <vt:i4>1</vt:i4>
      </vt:variant>
    </vt:vector>
  </HeadingPairs>
  <TitlesOfParts>
    <vt:vector size="1" baseType="lpstr">
      <vt:lpstr>Analysys Mason document</vt:lpstr>
    </vt:vector>
  </TitlesOfParts>
  <Manager>-</Manager>
  <Company>Analysys Mason</Company>
  <LinksUpToDate>false</LinksUpToDate>
  <CharactersWithSpaces>144602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Analysys Mason document</dc:title>
  <dc:subject>-</dc:subject>
  <dc:creator>-</dc:creator>
  <cp:lastModifiedBy>Bronwyn Duhigg</cp:lastModifiedBy>
  <cp:revision>2</cp:revision>
  <cp:lastPrinted>2015-02-03T15:03:00Z</cp:lastPrinted>
  <dcterms:created xsi:type="dcterms:W3CDTF">2015-06-15T03:51:00Z</dcterms:created>
  <dcterms:modified xsi:type="dcterms:W3CDTF">2015-06-15T03:51:00Z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