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BFC368B" w14:textId="77777777" w:rsidR="00F06E14" w:rsidRPr="00A51D1A" w:rsidRDefault="0083756D" w:rsidP="00A51D1A">
      <w:pPr>
        <w:pStyle w:val="ACMAReportTitle"/>
      </w:pPr>
      <w:bookmarkStart w:id="0" w:name="_GoBack"/>
      <w:bookmarkEnd w:id="0"/>
      <w:r w:rsidRPr="0083756D">
        <w:t>Addendum 1</w:t>
      </w:r>
      <w:r>
        <w:t xml:space="preserve"> to the </w:t>
      </w:r>
      <w:r w:rsidRPr="008E5FB0">
        <w:rPr>
          <w:rFonts w:cs="Arial"/>
          <w:sz w:val="48"/>
        </w:rPr>
        <w:t>Cost Recovery Implementation Statement</w:t>
      </w:r>
      <w:r>
        <w:rPr>
          <w:rFonts w:cs="Arial"/>
          <w:sz w:val="48"/>
        </w:rPr>
        <w:t xml:space="preserve"> 2014–15</w:t>
      </w:r>
    </w:p>
    <w:p w14:paraId="65C52DC3" w14:textId="77777777" w:rsidR="00F06E14" w:rsidRDefault="0083756D" w:rsidP="00F06E14">
      <w:pPr>
        <w:pStyle w:val="ACMAReportSubTitle"/>
      </w:pPr>
      <w:r w:rsidRPr="0083756D">
        <w:t>Changes to telecommunications number allocation and registration charges</w:t>
      </w:r>
    </w:p>
    <w:p w14:paraId="587985AE" w14:textId="2F062CE1" w:rsidR="00F06E14" w:rsidRDefault="00337FD0" w:rsidP="00D47AEB">
      <w:pPr>
        <w:pStyle w:val="ACMAReportDate"/>
        <w:spacing w:after="720"/>
      </w:pPr>
      <w:r>
        <w:t>July</w:t>
      </w:r>
      <w:r w:rsidR="0083756D">
        <w:t xml:space="preserve"> 2015 </w:t>
      </w:r>
    </w:p>
    <w:p w14:paraId="490A3702" w14:textId="77777777" w:rsidR="00C97736" w:rsidRDefault="00C97736" w:rsidP="0041071D">
      <w:pPr>
        <w:rPr>
          <w:rFonts w:cs="Arial"/>
        </w:rPr>
      </w:pPr>
    </w:p>
    <w:p w14:paraId="27ED168E" w14:textId="77777777" w:rsidR="0083756D" w:rsidRPr="000D76E0" w:rsidRDefault="0083756D" w:rsidP="0041071D">
      <w:pPr>
        <w:rPr>
          <w:rFonts w:cs="Arial"/>
        </w:rPr>
      </w:pPr>
    </w:p>
    <w:p w14:paraId="4D86FC5C" w14:textId="77777777" w:rsidR="00C97736" w:rsidRPr="000D76E0" w:rsidRDefault="00C97736" w:rsidP="0041071D">
      <w:pPr>
        <w:rPr>
          <w:rFonts w:cs="Arial"/>
        </w:rPr>
        <w:sectPr w:rsidR="00C97736" w:rsidRPr="000D76E0" w:rsidSect="004F556E">
          <w:headerReference w:type="default" r:id="rId8"/>
          <w:footerReference w:type="default" r:id="rId9"/>
          <w:headerReference w:type="first" r:id="rId10"/>
          <w:pgSz w:w="11906" w:h="16838" w:code="9"/>
          <w:pgMar w:top="3924" w:right="1797" w:bottom="1440" w:left="1134" w:header="709" w:footer="454" w:gutter="0"/>
          <w:cols w:space="708"/>
          <w:docGrid w:linePitch="360"/>
        </w:sectPr>
      </w:pPr>
    </w:p>
    <w:p w14:paraId="4E8C26CB" w14:textId="77777777" w:rsidR="0005011A" w:rsidRPr="00F44F3A" w:rsidRDefault="0005011A" w:rsidP="00FC07B9">
      <w:pPr>
        <w:pStyle w:val="ACMACorporateAddressHeader"/>
      </w:pPr>
      <w:r w:rsidRPr="00F44F3A">
        <w:lastRenderedPageBreak/>
        <w:t>Canberra</w:t>
      </w:r>
    </w:p>
    <w:p w14:paraId="71B91D9F"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65B261D5" w14:textId="77777777" w:rsidR="0005011A" w:rsidRPr="00FC07B9" w:rsidRDefault="0005011A" w:rsidP="00FC07B9">
      <w:pPr>
        <w:pStyle w:val="ACMACorporateAddresses"/>
      </w:pPr>
      <w:r w:rsidRPr="00FC07B9">
        <w:t>PO Box 78</w:t>
      </w:r>
      <w:r w:rsidRPr="00FC07B9">
        <w:br/>
        <w:t>Belconnen ACT 2616</w:t>
      </w:r>
    </w:p>
    <w:p w14:paraId="07601900"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0CABC8B4" w14:textId="77777777" w:rsidR="0005011A" w:rsidRPr="00F44F3A" w:rsidRDefault="0005011A" w:rsidP="00FC07B9">
      <w:pPr>
        <w:pStyle w:val="ACMACorporateAddressHeader"/>
      </w:pPr>
      <w:r w:rsidRPr="00F44F3A">
        <w:t>Melbourne</w:t>
      </w:r>
    </w:p>
    <w:p w14:paraId="353F619B"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5B904455"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489A6697"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665E9668" w14:textId="77777777" w:rsidR="0005011A" w:rsidRPr="00F44F3A" w:rsidRDefault="0005011A" w:rsidP="00FC07B9">
      <w:pPr>
        <w:pStyle w:val="ACMACorporateAddressHeader"/>
      </w:pPr>
      <w:r w:rsidRPr="00F44F3A">
        <w:t>Sydney</w:t>
      </w:r>
    </w:p>
    <w:p w14:paraId="55BCEEAB" w14:textId="77777777" w:rsidR="0005011A" w:rsidRPr="00F44F3A" w:rsidRDefault="0005011A" w:rsidP="00FC07B9">
      <w:pPr>
        <w:pStyle w:val="ACMACorporateAddresses"/>
      </w:pPr>
      <w:r w:rsidRPr="00F44F3A">
        <w:t xml:space="preserve">Level 5 </w:t>
      </w:r>
      <w:r w:rsidRPr="00F44F3A">
        <w:br/>
      </w:r>
      <w:proofErr w:type="gramStart"/>
      <w:r w:rsidRPr="00F44F3A">
        <w:t>The</w:t>
      </w:r>
      <w:proofErr w:type="gramEnd"/>
      <w:r w:rsidRPr="00F44F3A">
        <w:t xml:space="preserve"> Bay Centre</w:t>
      </w:r>
      <w:r w:rsidRPr="00F44F3A">
        <w:br/>
        <w:t xml:space="preserve">65 Pirrama Road </w:t>
      </w:r>
      <w:r w:rsidRPr="00F44F3A">
        <w:br/>
        <w:t>Pyrmont NSW</w:t>
      </w:r>
    </w:p>
    <w:p w14:paraId="4C1CFC9F"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0F144C30"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18BB7A8C" w14:textId="77777777" w:rsidR="00140318" w:rsidRPr="006D46E5" w:rsidRDefault="00140318" w:rsidP="00FC07B9">
      <w:pPr>
        <w:pStyle w:val="ACMACopyrightHeader"/>
      </w:pPr>
      <w:r w:rsidRPr="00140318">
        <w:t>Copyright notice</w:t>
      </w:r>
    </w:p>
    <w:p w14:paraId="6B590DAC" w14:textId="77777777" w:rsidR="00140318" w:rsidRPr="006D46E5" w:rsidRDefault="00623FF9" w:rsidP="00623FF9">
      <w:pPr>
        <w:pStyle w:val="ACMACClogo"/>
      </w:pPr>
      <w:r w:rsidRPr="00623FF9">
        <w:rPr>
          <w:noProof/>
        </w:rPr>
        <w:drawing>
          <wp:inline distT="0" distB="0" distL="0" distR="0" wp14:anchorId="10C8F87B" wp14:editId="08F14208">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526E5DE5" w14:textId="77777777" w:rsidR="00140318" w:rsidRPr="00431792" w:rsidRDefault="000F459C" w:rsidP="00FC07B9">
      <w:pPr>
        <w:pStyle w:val="ACMACorporateAddresses"/>
        <w:rPr>
          <w:rStyle w:val="Hyperlink"/>
        </w:rPr>
      </w:pPr>
      <w:hyperlink r:id="rId13" w:tooltip="Creative Commons Licenses" w:history="1">
        <w:r w:rsidR="00140318" w:rsidRPr="00431792">
          <w:rPr>
            <w:rStyle w:val="Hyperlink"/>
          </w:rPr>
          <w:t>http://creativecommons.org/licenses/by/3.0/au/</w:t>
        </w:r>
      </w:hyperlink>
    </w:p>
    <w:p w14:paraId="6F14EEEF" w14:textId="77777777" w:rsidR="00140318" w:rsidRPr="006D46E5" w:rsidRDefault="00140318" w:rsidP="00FC07B9">
      <w:pPr>
        <w:pStyle w:val="ACMACorporateAddresses"/>
      </w:pPr>
      <w:r w:rsidRPr="006D46E5">
        <w:t xml:space="preserve">With the exception of coats of arms, logos, emblems, images, other third-party material or devices protected by a trademark, this content is licensed under the Creative Commons Australia Attribution 3.0 Licence. </w:t>
      </w:r>
    </w:p>
    <w:p w14:paraId="111F3160" w14:textId="77777777" w:rsidR="00140318" w:rsidRPr="006D46E5" w:rsidRDefault="00140318" w:rsidP="00FC07B9">
      <w:pPr>
        <w:pStyle w:val="ACMACorporateAddresses"/>
      </w:pPr>
      <w:r w:rsidRPr="006D46E5">
        <w:t>We request attribution as: © Commonwealth of Australia (Australian Communic</w:t>
      </w:r>
      <w:r w:rsidR="008408FF">
        <w:t>ations and Media Authority) 2015</w:t>
      </w:r>
      <w:r w:rsidRPr="006D46E5">
        <w:t>.</w:t>
      </w:r>
    </w:p>
    <w:p w14:paraId="74B5EEBD" w14:textId="77777777" w:rsidR="00140318" w:rsidRPr="006D46E5" w:rsidRDefault="00140318" w:rsidP="00FC07B9">
      <w:pPr>
        <w:pStyle w:val="ACMACorporateAddresses"/>
      </w:pPr>
      <w:r>
        <w:t>All other rights are reserved.</w:t>
      </w:r>
    </w:p>
    <w:p w14:paraId="0294B1B7" w14:textId="77777777" w:rsidR="00140318" w:rsidRPr="006D46E5" w:rsidRDefault="00140318" w:rsidP="00FC07B9">
      <w:pPr>
        <w:pStyle w:val="ACMACorporateAddresses"/>
      </w:pPr>
      <w:r w:rsidRPr="006D46E5">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1D726012" w14:textId="77777777" w:rsidR="00140318" w:rsidRPr="006D46E5" w:rsidRDefault="00140318" w:rsidP="00FC07B9">
      <w:pPr>
        <w:pStyle w:val="ACMACorporateAddresses"/>
      </w:pPr>
      <w:r w:rsidRPr="006D46E5">
        <w:t>Written enquiries may be sent to:</w:t>
      </w:r>
    </w:p>
    <w:p w14:paraId="47DC5AEC" w14:textId="77777777" w:rsidR="00D16FE3" w:rsidRDefault="00140318" w:rsidP="00D16FE3">
      <w:pPr>
        <w:pStyle w:val="ACMACorporateAddresses"/>
        <w:rPr>
          <w:rStyle w:val="Hyperlink"/>
        </w:rPr>
      </w:pPr>
      <w:r w:rsidRPr="006D46E5">
        <w:t>Manager, Editorial and Design</w:t>
      </w:r>
      <w:r w:rsidR="00623FF9">
        <w:br/>
      </w:r>
      <w:r w:rsidRPr="006D46E5">
        <w:t>PO Box 13112</w:t>
      </w:r>
      <w:r w:rsidR="00623FF9">
        <w:br/>
      </w:r>
      <w:r w:rsidRPr="006D46E5">
        <w:t>Law Courts</w:t>
      </w:r>
      <w:r w:rsidR="00623FF9">
        <w:br/>
      </w:r>
      <w:r w:rsidRPr="006D46E5">
        <w:t>Melbourne VIC 8010</w:t>
      </w:r>
      <w:r w:rsidR="00623FF9">
        <w:br/>
      </w:r>
      <w:r w:rsidRPr="006D46E5">
        <w:t>Tel: 03 9963 6968</w:t>
      </w:r>
      <w:r w:rsidR="00623FF9">
        <w:br/>
      </w:r>
      <w:r w:rsidRPr="006D46E5">
        <w:t xml:space="preserve">Email: </w:t>
      </w:r>
      <w:hyperlink r:id="rId14" w:history="1">
        <w:r w:rsidRPr="00431792">
          <w:rPr>
            <w:rStyle w:val="Hyperlink"/>
          </w:rPr>
          <w:t>candinfo@acma.gov.au</w:t>
        </w:r>
      </w:hyperlink>
    </w:p>
    <w:p w14:paraId="6B98EC0B" w14:textId="77777777" w:rsidR="00D16FE3" w:rsidRDefault="00D16FE3" w:rsidP="00D16FE3">
      <w:pPr>
        <w:pStyle w:val="ACMACorporateAddresses"/>
        <w:rPr>
          <w:rStyle w:val="Hyperlink"/>
        </w:rPr>
      </w:pPr>
    </w:p>
    <w:p w14:paraId="64A459CE"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10161EC3" w14:textId="77777777" w:rsidR="00CA2EC3" w:rsidRDefault="007A6CC0">
      <w:pPr>
        <w:pStyle w:val="TOC1"/>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"1-3" \t "ACMA_ExecSummaryHeading,1" </w:instrText>
      </w:r>
      <w:r>
        <w:rPr>
          <w:rFonts w:cs="Arial"/>
          <w:b w:val="0"/>
        </w:rPr>
        <w:fldChar w:fldCharType="separate"/>
      </w:r>
      <w:r w:rsidR="00CA2EC3">
        <w:t>Purpose</w:t>
      </w:r>
      <w:r w:rsidR="00CA2EC3">
        <w:tab/>
      </w:r>
      <w:r w:rsidR="00CA2EC3">
        <w:fldChar w:fldCharType="begin"/>
      </w:r>
      <w:r w:rsidR="00CA2EC3">
        <w:instrText xml:space="preserve"> PAGEREF _Toc424828634 \h </w:instrText>
      </w:r>
      <w:r w:rsidR="00CA2EC3">
        <w:fldChar w:fldCharType="separate"/>
      </w:r>
      <w:r w:rsidR="00CA2EC3">
        <w:t>1</w:t>
      </w:r>
      <w:r w:rsidR="00CA2EC3">
        <w:fldChar w:fldCharType="end"/>
      </w:r>
    </w:p>
    <w:p w14:paraId="3BA6DA09" w14:textId="77777777" w:rsidR="00CA2EC3" w:rsidRDefault="00CA2EC3">
      <w:pPr>
        <w:pStyle w:val="TOC1"/>
        <w:rPr>
          <w:rFonts w:asciiTheme="minorHAnsi" w:eastAsiaTheme="minorEastAsia" w:hAnsiTheme="minorHAnsi" w:cstheme="minorBidi"/>
          <w:b w:val="0"/>
          <w:spacing w:val="0"/>
          <w:sz w:val="22"/>
          <w:szCs w:val="22"/>
        </w:rPr>
      </w:pPr>
      <w:r>
        <w:t>Background</w:t>
      </w:r>
      <w:r>
        <w:tab/>
      </w:r>
      <w:r>
        <w:fldChar w:fldCharType="begin"/>
      </w:r>
      <w:r>
        <w:instrText xml:space="preserve"> PAGEREF _Toc424828635 \h </w:instrText>
      </w:r>
      <w:r>
        <w:fldChar w:fldCharType="separate"/>
      </w:r>
      <w:r>
        <w:t>2</w:t>
      </w:r>
      <w:r>
        <w:fldChar w:fldCharType="end"/>
      </w:r>
    </w:p>
    <w:p w14:paraId="0B0751C8" w14:textId="77777777" w:rsidR="00CA2EC3" w:rsidRDefault="00CA2EC3">
      <w:pPr>
        <w:pStyle w:val="TOC2"/>
        <w:rPr>
          <w:rFonts w:asciiTheme="minorHAnsi" w:eastAsiaTheme="minorEastAsia" w:hAnsiTheme="minorHAnsi" w:cstheme="minorBidi"/>
          <w:spacing w:val="0"/>
          <w:sz w:val="22"/>
          <w:szCs w:val="22"/>
        </w:rPr>
      </w:pPr>
      <w:r w:rsidRPr="00070969">
        <w:t>Legislation</w:t>
      </w:r>
      <w:r>
        <w:tab/>
      </w:r>
      <w:r>
        <w:fldChar w:fldCharType="begin"/>
      </w:r>
      <w:r>
        <w:instrText xml:space="preserve"> PAGEREF _Toc424828636 \h </w:instrText>
      </w:r>
      <w:r>
        <w:fldChar w:fldCharType="separate"/>
      </w:r>
      <w:r>
        <w:t>2</w:t>
      </w:r>
      <w:r>
        <w:fldChar w:fldCharType="end"/>
      </w:r>
    </w:p>
    <w:p w14:paraId="32D91636" w14:textId="77777777" w:rsidR="00CA2EC3" w:rsidRDefault="00CA2EC3" w:rsidP="00CA2EC3">
      <w:pPr>
        <w:pStyle w:val="TOC2"/>
        <w:ind w:left="0" w:firstLine="0"/>
        <w:rPr>
          <w:rFonts w:asciiTheme="minorHAnsi" w:eastAsiaTheme="minorEastAsia" w:hAnsiTheme="minorHAnsi" w:cstheme="minorBidi"/>
          <w:spacing w:val="0"/>
          <w:sz w:val="22"/>
          <w:szCs w:val="22"/>
        </w:rPr>
      </w:pPr>
      <w:r>
        <w:t>Changes to the process for the allocation of numbers and registration of CSPs and EROU applicants</w:t>
      </w:r>
      <w:r>
        <w:tab/>
      </w:r>
      <w:r>
        <w:fldChar w:fldCharType="begin"/>
      </w:r>
      <w:r>
        <w:instrText xml:space="preserve"> PAGEREF _Toc424828637 \h </w:instrText>
      </w:r>
      <w:r>
        <w:fldChar w:fldCharType="separate"/>
      </w:r>
      <w:r>
        <w:t>3</w:t>
      </w:r>
      <w:r>
        <w:fldChar w:fldCharType="end"/>
      </w:r>
    </w:p>
    <w:p w14:paraId="4D35E411" w14:textId="77777777" w:rsidR="00CA2EC3" w:rsidRDefault="00CA2EC3">
      <w:pPr>
        <w:pStyle w:val="TOC2"/>
        <w:rPr>
          <w:rFonts w:asciiTheme="minorHAnsi" w:eastAsiaTheme="minorEastAsia" w:hAnsiTheme="minorHAnsi" w:cstheme="minorBidi"/>
          <w:spacing w:val="0"/>
          <w:sz w:val="22"/>
          <w:szCs w:val="22"/>
        </w:rPr>
      </w:pPr>
      <w:r>
        <w:t>Cost recovery model</w:t>
      </w:r>
      <w:r>
        <w:tab/>
      </w:r>
      <w:r>
        <w:fldChar w:fldCharType="begin"/>
      </w:r>
      <w:r>
        <w:instrText xml:space="preserve"> PAGEREF _Toc424828638 \h </w:instrText>
      </w:r>
      <w:r>
        <w:fldChar w:fldCharType="separate"/>
      </w:r>
      <w:r>
        <w:t>4</w:t>
      </w:r>
      <w:r>
        <w:fldChar w:fldCharType="end"/>
      </w:r>
    </w:p>
    <w:p w14:paraId="277B40D6" w14:textId="77777777" w:rsidR="00CA2EC3" w:rsidRDefault="00CA2EC3">
      <w:pPr>
        <w:pStyle w:val="TOC3"/>
        <w:rPr>
          <w:rFonts w:asciiTheme="minorHAnsi" w:eastAsiaTheme="minorEastAsia" w:hAnsiTheme="minorHAnsi" w:cstheme="minorBidi"/>
        </w:rPr>
      </w:pPr>
      <w:r>
        <w:t>Number allocation—geographic numbers</w:t>
      </w:r>
      <w:r>
        <w:tab/>
      </w:r>
      <w:r>
        <w:fldChar w:fldCharType="begin"/>
      </w:r>
      <w:r>
        <w:instrText xml:space="preserve"> PAGEREF _Toc424828639 \h </w:instrText>
      </w:r>
      <w:r>
        <w:fldChar w:fldCharType="separate"/>
      </w:r>
      <w:r>
        <w:t>4</w:t>
      </w:r>
      <w:r>
        <w:fldChar w:fldCharType="end"/>
      </w:r>
    </w:p>
    <w:p w14:paraId="3E73115B" w14:textId="77777777" w:rsidR="00CA2EC3" w:rsidRDefault="00CA2EC3">
      <w:pPr>
        <w:pStyle w:val="TOC3"/>
        <w:rPr>
          <w:rFonts w:asciiTheme="minorHAnsi" w:eastAsiaTheme="minorEastAsia" w:hAnsiTheme="minorHAnsi" w:cstheme="minorBidi"/>
        </w:rPr>
      </w:pPr>
      <w:r>
        <w:t>Smartnumber (EROU applicant) registration</w:t>
      </w:r>
      <w:r>
        <w:tab/>
      </w:r>
      <w:r>
        <w:fldChar w:fldCharType="begin"/>
      </w:r>
      <w:r>
        <w:instrText xml:space="preserve"> PAGEREF _Toc424828640 \h </w:instrText>
      </w:r>
      <w:r>
        <w:fldChar w:fldCharType="separate"/>
      </w:r>
      <w:r>
        <w:t>5</w:t>
      </w:r>
      <w:r>
        <w:fldChar w:fldCharType="end"/>
      </w:r>
    </w:p>
    <w:p w14:paraId="5F6DB210" w14:textId="77777777" w:rsidR="00CA2EC3" w:rsidRDefault="00CA2EC3">
      <w:pPr>
        <w:pStyle w:val="TOC3"/>
        <w:rPr>
          <w:rFonts w:asciiTheme="minorHAnsi" w:eastAsiaTheme="minorEastAsia" w:hAnsiTheme="minorHAnsi" w:cstheme="minorBidi"/>
        </w:rPr>
      </w:pPr>
      <w:r>
        <w:t>CSP registration</w:t>
      </w:r>
      <w:r>
        <w:tab/>
      </w:r>
      <w:r>
        <w:fldChar w:fldCharType="begin"/>
      </w:r>
      <w:r>
        <w:instrText xml:space="preserve"> PAGEREF _Toc424828641 \h </w:instrText>
      </w:r>
      <w:r>
        <w:fldChar w:fldCharType="separate"/>
      </w:r>
      <w:r>
        <w:t>5</w:t>
      </w:r>
      <w:r>
        <w:fldChar w:fldCharType="end"/>
      </w:r>
    </w:p>
    <w:p w14:paraId="0E550022" w14:textId="77777777" w:rsidR="00CA2EC3" w:rsidRDefault="00CA2EC3">
      <w:pPr>
        <w:pStyle w:val="TOC2"/>
        <w:rPr>
          <w:rFonts w:asciiTheme="minorHAnsi" w:eastAsiaTheme="minorEastAsia" w:hAnsiTheme="minorHAnsi" w:cstheme="minorBidi"/>
          <w:spacing w:val="0"/>
          <w:sz w:val="22"/>
          <w:szCs w:val="22"/>
        </w:rPr>
      </w:pPr>
      <w:r>
        <w:t>Financial impact</w:t>
      </w:r>
      <w:r>
        <w:tab/>
      </w:r>
      <w:r>
        <w:fldChar w:fldCharType="begin"/>
      </w:r>
      <w:r>
        <w:instrText xml:space="preserve"> PAGEREF _Toc424828642 \h </w:instrText>
      </w:r>
      <w:r>
        <w:fldChar w:fldCharType="separate"/>
      </w:r>
      <w:r>
        <w:t>6</w:t>
      </w:r>
      <w:r>
        <w:fldChar w:fldCharType="end"/>
      </w:r>
    </w:p>
    <w:p w14:paraId="6DF2D68A" w14:textId="77777777" w:rsidR="00CA2EC3" w:rsidRDefault="00CA2EC3">
      <w:pPr>
        <w:pStyle w:val="TOC2"/>
        <w:rPr>
          <w:rFonts w:asciiTheme="minorHAnsi" w:eastAsiaTheme="minorEastAsia" w:hAnsiTheme="minorHAnsi" w:cstheme="minorBidi"/>
          <w:spacing w:val="0"/>
          <w:sz w:val="22"/>
          <w:szCs w:val="22"/>
        </w:rPr>
      </w:pPr>
      <w:r>
        <w:t>Risk assessment</w:t>
      </w:r>
      <w:r>
        <w:tab/>
      </w:r>
      <w:r>
        <w:fldChar w:fldCharType="begin"/>
      </w:r>
      <w:r>
        <w:instrText xml:space="preserve"> PAGEREF _Toc424828643 \h </w:instrText>
      </w:r>
      <w:r>
        <w:fldChar w:fldCharType="separate"/>
      </w:r>
      <w:r>
        <w:t>6</w:t>
      </w:r>
      <w:r>
        <w:fldChar w:fldCharType="end"/>
      </w:r>
    </w:p>
    <w:p w14:paraId="181D6332" w14:textId="77777777" w:rsidR="00CA2EC3" w:rsidRDefault="00CA2EC3">
      <w:pPr>
        <w:pStyle w:val="TOC2"/>
        <w:rPr>
          <w:rFonts w:asciiTheme="minorHAnsi" w:eastAsiaTheme="minorEastAsia" w:hAnsiTheme="minorHAnsi" w:cstheme="minorBidi"/>
          <w:spacing w:val="0"/>
          <w:sz w:val="22"/>
          <w:szCs w:val="22"/>
        </w:rPr>
      </w:pPr>
      <w:r>
        <w:t>Stakeholder engagement</w:t>
      </w:r>
      <w:r>
        <w:tab/>
      </w:r>
      <w:r>
        <w:fldChar w:fldCharType="begin"/>
      </w:r>
      <w:r>
        <w:instrText xml:space="preserve"> PAGEREF _Toc424828644 \h </w:instrText>
      </w:r>
      <w:r>
        <w:fldChar w:fldCharType="separate"/>
      </w:r>
      <w:r>
        <w:t>6</w:t>
      </w:r>
      <w:r>
        <w:fldChar w:fldCharType="end"/>
      </w:r>
    </w:p>
    <w:p w14:paraId="3A7340C4" w14:textId="77777777" w:rsidR="00CA2EC3" w:rsidRDefault="00CA2EC3">
      <w:pPr>
        <w:pStyle w:val="TOC2"/>
        <w:rPr>
          <w:rFonts w:asciiTheme="minorHAnsi" w:eastAsiaTheme="minorEastAsia" w:hAnsiTheme="minorHAnsi" w:cstheme="minorBidi"/>
          <w:spacing w:val="0"/>
          <w:sz w:val="22"/>
          <w:szCs w:val="22"/>
        </w:rPr>
      </w:pPr>
      <w:r>
        <w:t>Financial estimates</w:t>
      </w:r>
      <w:r>
        <w:tab/>
      </w:r>
      <w:r>
        <w:fldChar w:fldCharType="begin"/>
      </w:r>
      <w:r>
        <w:instrText xml:space="preserve"> PAGEREF _Toc424828645 \h </w:instrText>
      </w:r>
      <w:r>
        <w:fldChar w:fldCharType="separate"/>
      </w:r>
      <w:r>
        <w:t>7</w:t>
      </w:r>
      <w:r>
        <w:fldChar w:fldCharType="end"/>
      </w:r>
    </w:p>
    <w:p w14:paraId="7288839B" w14:textId="77777777" w:rsidR="000A4A51" w:rsidRPr="000D76E0" w:rsidRDefault="007A6CC0">
      <w:pPr>
        <w:rPr>
          <w:rFonts w:cs="Arial"/>
        </w:rPr>
      </w:pPr>
      <w:r>
        <w:rPr>
          <w:rFonts w:cs="Arial"/>
          <w:b/>
          <w:noProof/>
          <w:spacing w:val="-14"/>
          <w:sz w:val="28"/>
        </w:rPr>
        <w:fldChar w:fldCharType="end"/>
      </w:r>
    </w:p>
    <w:p w14:paraId="7A2DBA6E" w14:textId="77777777" w:rsidR="004D56FF" w:rsidRPr="000D76E0" w:rsidRDefault="004D56FF">
      <w:pPr>
        <w:rPr>
          <w:rFonts w:cs="Arial"/>
        </w:rPr>
        <w:sectPr w:rsidR="004D56FF" w:rsidRPr="000D76E0"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p>
    <w:p w14:paraId="4756082B" w14:textId="77777777" w:rsidR="009D6C71" w:rsidRPr="009174F3" w:rsidRDefault="0083756D" w:rsidP="0083756D">
      <w:pPr>
        <w:pStyle w:val="Heading1"/>
      </w:pPr>
      <w:bookmarkStart w:id="1" w:name="_Toc424828634"/>
      <w:r>
        <w:lastRenderedPageBreak/>
        <w:t>Purpose</w:t>
      </w:r>
      <w:bookmarkEnd w:id="1"/>
      <w:r w:rsidR="009D6C71" w:rsidRPr="009174F3">
        <w:t xml:space="preserve"> </w:t>
      </w:r>
    </w:p>
    <w:p w14:paraId="4A843D5A" w14:textId="77777777" w:rsidR="0083756D" w:rsidRDefault="0083756D" w:rsidP="0083756D">
      <w:pPr>
        <w:spacing w:after="80"/>
      </w:pPr>
      <w:bookmarkStart w:id="2" w:name="_Toc348105631"/>
      <w:r>
        <w:t xml:space="preserve">This Addendum documents the changes to be made to the Australian Communications and Media Authority’s (ACMA) charges in relation to the following telecommunications activities, determined in accordance with section 60 of the </w:t>
      </w:r>
      <w:r w:rsidRPr="00E87BC4">
        <w:rPr>
          <w:i/>
        </w:rPr>
        <w:t>Australian Communications and Media Authority Act 2005</w:t>
      </w:r>
      <w:r>
        <w:t xml:space="preserve"> (the ACMA Act) under the cost recovery arrangements:</w:t>
      </w:r>
    </w:p>
    <w:p w14:paraId="4E327678" w14:textId="77777777" w:rsidR="0083756D" w:rsidRDefault="0083756D" w:rsidP="0083756D">
      <w:pPr>
        <w:pStyle w:val="ListBullet"/>
      </w:pPr>
      <w:r>
        <w:t>Number allocation – geographic numbers</w:t>
      </w:r>
    </w:p>
    <w:p w14:paraId="00F7AC18" w14:textId="77777777" w:rsidR="0083756D" w:rsidRDefault="0083756D" w:rsidP="0083756D">
      <w:pPr>
        <w:pStyle w:val="ListBullet"/>
      </w:pPr>
      <w:r>
        <w:t>Smartnumber enhanced rights of user registration</w:t>
      </w:r>
    </w:p>
    <w:p w14:paraId="3891C7AC" w14:textId="77777777" w:rsidR="0083756D" w:rsidRDefault="0083756D" w:rsidP="0083756D">
      <w:pPr>
        <w:pStyle w:val="ListBulletLast"/>
      </w:pPr>
      <w:r>
        <w:t>Carriage service provider (CSP) registration</w:t>
      </w:r>
    </w:p>
    <w:p w14:paraId="4BA5D8BE" w14:textId="77777777" w:rsidR="0083756D" w:rsidRDefault="0083756D" w:rsidP="0083756D">
      <w:pPr>
        <w:pStyle w:val="Heading1"/>
      </w:pPr>
      <w:bookmarkStart w:id="3" w:name="_Toc424828635"/>
      <w:r>
        <w:lastRenderedPageBreak/>
        <w:t>Background</w:t>
      </w:r>
      <w:bookmarkEnd w:id="3"/>
    </w:p>
    <w:p w14:paraId="3478CC5D" w14:textId="77777777" w:rsidR="0083756D" w:rsidRPr="0083756D" w:rsidRDefault="0083756D" w:rsidP="0083756D">
      <w:pPr>
        <w:pStyle w:val="Heading2"/>
        <w:rPr>
          <w:rStyle w:val="Strong"/>
        </w:rPr>
      </w:pPr>
      <w:bookmarkStart w:id="4" w:name="_Toc424828636"/>
      <w:bookmarkEnd w:id="2"/>
      <w:r w:rsidRPr="0083756D">
        <w:rPr>
          <w:rStyle w:val="Strong"/>
        </w:rPr>
        <w:t>Legislation</w:t>
      </w:r>
      <w:bookmarkEnd w:id="4"/>
    </w:p>
    <w:p w14:paraId="1944CF60" w14:textId="29D30476" w:rsidR="0083756D" w:rsidRPr="0083756D" w:rsidRDefault="0083756D" w:rsidP="0083756D">
      <w:pPr>
        <w:rPr>
          <w:rStyle w:val="Strong"/>
          <w:b w:val="0"/>
        </w:rPr>
      </w:pPr>
      <w:r w:rsidRPr="0083756D">
        <w:rPr>
          <w:rStyle w:val="Strong"/>
          <w:b w:val="0"/>
        </w:rPr>
        <w:t xml:space="preserve">Under section 455 of the </w:t>
      </w:r>
      <w:r w:rsidRPr="002774EB">
        <w:rPr>
          <w:rStyle w:val="Strong"/>
          <w:b w:val="0"/>
          <w:i/>
        </w:rPr>
        <w:t>Telecommunications Act 1997</w:t>
      </w:r>
      <w:r w:rsidRPr="0083756D">
        <w:rPr>
          <w:rStyle w:val="Strong"/>
          <w:b w:val="0"/>
        </w:rPr>
        <w:t xml:space="preserve"> (Telecommunications Act), the ACMA must make a plan for the numbering of carriage services in Australia. This plan may set out rules about the allocation of numbers to CSPs. In March 2015, the ACMA made the </w:t>
      </w:r>
      <w:r w:rsidRPr="00337FD0">
        <w:rPr>
          <w:rStyle w:val="Strong"/>
          <w:b w:val="0"/>
          <w:i/>
        </w:rPr>
        <w:t>Telecommunications Numbering Plan 2015</w:t>
      </w:r>
      <w:r w:rsidRPr="0083756D">
        <w:rPr>
          <w:rStyle w:val="Strong"/>
          <w:b w:val="0"/>
        </w:rPr>
        <w:t xml:space="preserve"> (Numbering Plan) under section 455 of the Telecommunications Act.</w:t>
      </w:r>
      <w:r w:rsidR="002774EB">
        <w:rPr>
          <w:rStyle w:val="FootnoteReference"/>
          <w:bCs/>
        </w:rPr>
        <w:footnoteReference w:id="1"/>
      </w:r>
      <w:r w:rsidRPr="0083756D">
        <w:rPr>
          <w:rStyle w:val="Strong"/>
          <w:b w:val="0"/>
        </w:rPr>
        <w:t xml:space="preserve"> The Numbering Plan will commence in the second half of 2015. The Numbering Plan sets out rules about the allocation of all numbers to CSPs, including geographic numbers, digital mobile numbers, local rate numbers, </w:t>
      </w:r>
      <w:proofErr w:type="spellStart"/>
      <w:r w:rsidRPr="0083756D">
        <w:rPr>
          <w:rStyle w:val="Strong"/>
          <w:b w:val="0"/>
        </w:rPr>
        <w:t>freephone</w:t>
      </w:r>
      <w:proofErr w:type="spellEnd"/>
      <w:r w:rsidRPr="0083756D">
        <w:rPr>
          <w:rStyle w:val="Strong"/>
          <w:b w:val="0"/>
        </w:rPr>
        <w:t xml:space="preserve"> rate numbers, and premium rate numbers.</w:t>
      </w:r>
    </w:p>
    <w:p w14:paraId="7FD44334" w14:textId="7AE4D7FF" w:rsidR="0083756D" w:rsidRPr="0083756D" w:rsidRDefault="0083756D" w:rsidP="0083756D">
      <w:pPr>
        <w:rPr>
          <w:rStyle w:val="Strong"/>
          <w:b w:val="0"/>
        </w:rPr>
      </w:pPr>
      <w:r w:rsidRPr="0083756D">
        <w:rPr>
          <w:rStyle w:val="Strong"/>
          <w:b w:val="0"/>
        </w:rPr>
        <w:t>Section 463 of the Telecommunications Act allows the ACMA to determine an allocation system for allocating specified numbers to CSPs. The Telecommunications (</w:t>
      </w:r>
      <w:proofErr w:type="spellStart"/>
      <w:r w:rsidRPr="0083756D">
        <w:rPr>
          <w:rStyle w:val="Strong"/>
          <w:b w:val="0"/>
        </w:rPr>
        <w:t>Freephone</w:t>
      </w:r>
      <w:proofErr w:type="spellEnd"/>
      <w:r w:rsidRPr="0083756D">
        <w:rPr>
          <w:rStyle w:val="Strong"/>
          <w:b w:val="0"/>
        </w:rPr>
        <w:t xml:space="preserve"> and Local Rate Numbers) Allocation Determination 2007 (No. 1) sets out such an allocation system for a subset of </w:t>
      </w:r>
      <w:proofErr w:type="spellStart"/>
      <w:r w:rsidRPr="0083756D">
        <w:rPr>
          <w:rStyle w:val="Strong"/>
          <w:b w:val="0"/>
        </w:rPr>
        <w:t>freephone</w:t>
      </w:r>
      <w:proofErr w:type="spellEnd"/>
      <w:r w:rsidRPr="0083756D">
        <w:rPr>
          <w:rStyle w:val="Strong"/>
          <w:b w:val="0"/>
        </w:rPr>
        <w:t xml:space="preserve"> and local rate numbers known as ‘smartnumbers’. However, when the Numbering Plan commences, this determination will be revoked and all numbers will be allocated under the Numbering Plan. Although smartnumbers will be allocated under the Numbering Plan rather than a determination made under section 463, given their nature, they will still be subject to separate, special rules for allocation (see Chapter 7 of the Numbering Plan), which will require registration of end users who wish to be issued smartnumbers by CSPs and who will obtain the ‘enhanced rights of use’ of a smartnumber (EROU applicants).</w:t>
      </w:r>
    </w:p>
    <w:p w14:paraId="0D231DFA" w14:textId="77777777" w:rsidR="0083756D" w:rsidRPr="0083756D" w:rsidRDefault="0083756D" w:rsidP="00337FD0">
      <w:pPr>
        <w:spacing w:after="80"/>
        <w:rPr>
          <w:rStyle w:val="Strong"/>
          <w:b w:val="0"/>
        </w:rPr>
      </w:pPr>
      <w:r w:rsidRPr="0083756D">
        <w:rPr>
          <w:rStyle w:val="Strong"/>
          <w:b w:val="0"/>
        </w:rPr>
        <w:t>Section 457 of the Telecommunications Act provides that the Numbering Plan must impose the following requirements in relation to an application for the allocation of a number otherwise than in accordance with an allocation system determined under section 463:</w:t>
      </w:r>
    </w:p>
    <w:p w14:paraId="1741AB82" w14:textId="383F57FC" w:rsidR="0083756D" w:rsidRPr="0083756D" w:rsidRDefault="0083756D" w:rsidP="00337FD0">
      <w:pPr>
        <w:pStyle w:val="ListBullet"/>
        <w:rPr>
          <w:rStyle w:val="Strong"/>
          <w:b w:val="0"/>
        </w:rPr>
      </w:pPr>
      <w:r w:rsidRPr="0083756D">
        <w:rPr>
          <w:rStyle w:val="Strong"/>
          <w:b w:val="0"/>
        </w:rPr>
        <w:t>a requirement that the application must be accompanied by the charge (if any) fixed by a determination under section 60 of the ACMA Act; and</w:t>
      </w:r>
    </w:p>
    <w:p w14:paraId="4D5D49BB" w14:textId="711F2C3F" w:rsidR="0083756D" w:rsidRPr="0083756D" w:rsidRDefault="0083756D" w:rsidP="00337FD0">
      <w:pPr>
        <w:pStyle w:val="ListBulletLast"/>
        <w:rPr>
          <w:rStyle w:val="Strong"/>
          <w:b w:val="0"/>
        </w:rPr>
      </w:pPr>
      <w:proofErr w:type="gramStart"/>
      <w:r w:rsidRPr="0083756D">
        <w:rPr>
          <w:rStyle w:val="Strong"/>
          <w:b w:val="0"/>
        </w:rPr>
        <w:t>a</w:t>
      </w:r>
      <w:proofErr w:type="gramEnd"/>
      <w:r w:rsidRPr="0083756D">
        <w:rPr>
          <w:rStyle w:val="Strong"/>
          <w:b w:val="0"/>
        </w:rPr>
        <w:t xml:space="preserve"> requirement that the applicant must tender the amount of charge (if any) imposed on the allocation by the Telecommunications (Numbering Charges) Act 1997 (Numbering Charges Act).</w:t>
      </w:r>
    </w:p>
    <w:p w14:paraId="0EE26AEC" w14:textId="53F15496" w:rsidR="0083756D" w:rsidRPr="0083756D" w:rsidRDefault="0083756D" w:rsidP="0083756D">
      <w:pPr>
        <w:rPr>
          <w:rStyle w:val="Strong"/>
          <w:b w:val="0"/>
        </w:rPr>
      </w:pPr>
      <w:r w:rsidRPr="0083756D">
        <w:rPr>
          <w:rStyle w:val="Strong"/>
          <w:b w:val="0"/>
        </w:rPr>
        <w:t>Subject to section 15 (see below), section 11 of the Numbering Charges Act imposes charge on the allocation of every number under the Numbering Plan to a CSP (Allocation Charge). That is, subject to section 15, Parliament has imposed the Allocation Charge on the allocation of every number, and limited the ACMA’s role only to setting the amount of the Allocation Charge. As Parliament has made it clear that, subject to section 15, there is to be an Allocation Charge on the allocation of every number, the ACMA will give effect to that intention by setting the amount of Allocation Charge for the allocation of numbers. However, since the registration of CSPs and smartnumber users is not the allocation of a number, charges for these activities are not imposed by or authorised under the Numbering Charges Act. As a result, the ACMA uses the ACMA Act for charging these activities. The Numbering Plan generally requires CSPs to tender the amount of Allocation Charge upon application for allocation of a number (see, for example, subsection 58(7) of the Numbering Plan).</w:t>
      </w:r>
    </w:p>
    <w:p w14:paraId="1F2C8700" w14:textId="77777777" w:rsidR="0083756D" w:rsidRPr="0083756D" w:rsidRDefault="0083756D" w:rsidP="0083756D">
      <w:pPr>
        <w:rPr>
          <w:rStyle w:val="Strong"/>
          <w:b w:val="0"/>
        </w:rPr>
      </w:pPr>
      <w:r w:rsidRPr="0083756D">
        <w:rPr>
          <w:rStyle w:val="Strong"/>
          <w:b w:val="0"/>
        </w:rPr>
        <w:t xml:space="preserve">The amount of the Allocation Charge is ascertained in accordance with a written determination made by the ACMA under section 13 of the Numbering Charges Act. Allocation Charges are not required to comply with Commonwealth Cost Recovery </w:t>
      </w:r>
      <w:r w:rsidRPr="0083756D">
        <w:rPr>
          <w:rStyle w:val="Strong"/>
          <w:b w:val="0"/>
        </w:rPr>
        <w:lastRenderedPageBreak/>
        <w:t>Policy and are considered as a general taxation charge (see, for example, the Explanatory Memorandum to the Telecommunications Bill 1997). The maximum Allocation Charge that can be imposed on the allocation of a number is $100,000 (section 14 of the Numbering Charges Act).</w:t>
      </w:r>
    </w:p>
    <w:p w14:paraId="0A43C55F" w14:textId="7724ECAF" w:rsidR="0083756D" w:rsidRPr="0083756D" w:rsidRDefault="0083756D" w:rsidP="0083756D">
      <w:pPr>
        <w:rPr>
          <w:rStyle w:val="Strong"/>
          <w:b w:val="0"/>
        </w:rPr>
      </w:pPr>
      <w:r w:rsidRPr="0083756D">
        <w:rPr>
          <w:rStyle w:val="Strong"/>
          <w:b w:val="0"/>
        </w:rPr>
        <w:t>The ACMA is proposing to set amounts of Allocation Charge for the allocation of most types of numbers under this Act, except for the allocation of geographic numbers. Section 15 of the Numbering Charges Act exempts from Allocation Charge for the allocation of a geographic number to a CSP for the purposes of providing a standard telephone service to a customer. Section 15 also allows the ACMA to exempt specified numbers from the Allocation Charge, but the ACMA is not proposing to exempt any numbers other than geographic numbers.</w:t>
      </w:r>
    </w:p>
    <w:p w14:paraId="64F79418" w14:textId="5E98E2E5" w:rsidR="0083756D" w:rsidRDefault="0083756D" w:rsidP="0083756D">
      <w:pPr>
        <w:rPr>
          <w:rStyle w:val="Strong"/>
          <w:b w:val="0"/>
        </w:rPr>
      </w:pPr>
      <w:r w:rsidRPr="0083756D">
        <w:rPr>
          <w:rStyle w:val="Strong"/>
          <w:b w:val="0"/>
        </w:rPr>
        <w:t>Separately from the imposition of Allocation Charge on the allocation of numbers by the Numbering Charges Act, the ACMA Act provides that the ACMA may, by written instrument, fix charges (Cost Recovery Charges) for services provided by the ACMA and any matter in relation to which expenses are incurred under a range of legislation, including the Telecommunications Act and instruments made under that Act, including the Numbering Plan. Any such</w:t>
      </w:r>
      <w:r w:rsidR="002774EB">
        <w:rPr>
          <w:rStyle w:val="Strong"/>
          <w:b w:val="0"/>
        </w:rPr>
        <w:t>,</w:t>
      </w:r>
      <w:r w:rsidRPr="0083756D">
        <w:rPr>
          <w:rStyle w:val="Strong"/>
          <w:b w:val="0"/>
        </w:rPr>
        <w:t xml:space="preserve"> Cost Recovery Charge must not be such as to amount to taxation. The Numbering Plan generally requires CSPs to pay the amount of charge upon application for allocation of numbers (see, for example, subsection 58(6) of the Numbering Plan).</w:t>
      </w:r>
    </w:p>
    <w:p w14:paraId="08F93A9C" w14:textId="77777777" w:rsidR="0083756D" w:rsidRPr="00377417" w:rsidRDefault="0083756D" w:rsidP="0083756D">
      <w:pPr>
        <w:pStyle w:val="ACMATableHeader"/>
      </w:pPr>
      <w:r>
        <w:t>S</w:t>
      </w:r>
      <w:r w:rsidRPr="00377417">
        <w:t>ummary of legal and policy authorities</w:t>
      </w:r>
    </w:p>
    <w:tbl>
      <w:tblPr>
        <w:tblStyle w:val="TableGrid"/>
        <w:tblW w:w="0" w:type="auto"/>
        <w:tblCellMar>
          <w:top w:w="85" w:type="dxa"/>
          <w:bottom w:w="85" w:type="dxa"/>
        </w:tblCellMar>
        <w:tblLook w:val="04A0" w:firstRow="1" w:lastRow="0" w:firstColumn="1" w:lastColumn="0" w:noHBand="0" w:noVBand="1"/>
      </w:tblPr>
      <w:tblGrid>
        <w:gridCol w:w="2627"/>
        <w:gridCol w:w="2528"/>
        <w:gridCol w:w="2506"/>
      </w:tblGrid>
      <w:tr w:rsidR="0083756D" w14:paraId="200AD05F" w14:textId="77777777" w:rsidTr="00337FD0">
        <w:tc>
          <w:tcPr>
            <w:tcW w:w="2627" w:type="dxa"/>
            <w:tcBorders>
              <w:top w:val="single" w:sz="4" w:space="0" w:color="auto"/>
              <w:left w:val="single" w:sz="4" w:space="0" w:color="auto"/>
              <w:bottom w:val="single" w:sz="4" w:space="0" w:color="auto"/>
              <w:right w:val="single" w:sz="4" w:space="0" w:color="FFFFFF" w:themeColor="background1"/>
            </w:tcBorders>
            <w:shd w:val="clear" w:color="auto" w:fill="404040" w:themeFill="text1" w:themeFillTint="BF"/>
          </w:tcPr>
          <w:p w14:paraId="5C4A16A3" w14:textId="77777777" w:rsidR="0083756D" w:rsidRPr="0083756D" w:rsidRDefault="0083756D" w:rsidP="0083756D">
            <w:pPr>
              <w:pStyle w:val="TableHeading"/>
              <w:rPr>
                <w:color w:val="FFFFFF" w:themeColor="background1"/>
              </w:rPr>
            </w:pPr>
            <w:r w:rsidRPr="0083756D">
              <w:rPr>
                <w:color w:val="FFFFFF" w:themeColor="background1"/>
              </w:rPr>
              <w:t>Activity</w:t>
            </w:r>
          </w:p>
        </w:tc>
        <w:tc>
          <w:tcPr>
            <w:tcW w:w="2528" w:type="dxa"/>
            <w:tcBorders>
              <w:top w:val="single" w:sz="4" w:space="0" w:color="auto"/>
              <w:left w:val="single" w:sz="4" w:space="0" w:color="FFFFFF" w:themeColor="background1"/>
              <w:bottom w:val="single" w:sz="4" w:space="0" w:color="auto"/>
              <w:right w:val="single" w:sz="4" w:space="0" w:color="FFFFFF" w:themeColor="background1"/>
            </w:tcBorders>
            <w:shd w:val="clear" w:color="auto" w:fill="404040" w:themeFill="text1" w:themeFillTint="BF"/>
          </w:tcPr>
          <w:p w14:paraId="21534C40" w14:textId="77777777" w:rsidR="0083756D" w:rsidRPr="0083756D" w:rsidRDefault="0083756D" w:rsidP="0083756D">
            <w:pPr>
              <w:pStyle w:val="TableHeading"/>
              <w:rPr>
                <w:color w:val="FFFFFF" w:themeColor="background1"/>
              </w:rPr>
            </w:pPr>
            <w:r w:rsidRPr="0083756D">
              <w:rPr>
                <w:color w:val="FFFFFF" w:themeColor="background1"/>
              </w:rPr>
              <w:t>Legal authority to charge</w:t>
            </w:r>
          </w:p>
        </w:tc>
        <w:tc>
          <w:tcPr>
            <w:tcW w:w="2506" w:type="dxa"/>
            <w:tcBorders>
              <w:top w:val="single" w:sz="4" w:space="0" w:color="auto"/>
              <w:left w:val="single" w:sz="4" w:space="0" w:color="FFFFFF" w:themeColor="background1"/>
              <w:bottom w:val="single" w:sz="4" w:space="0" w:color="auto"/>
              <w:right w:val="single" w:sz="4" w:space="0" w:color="auto"/>
            </w:tcBorders>
            <w:shd w:val="clear" w:color="auto" w:fill="404040" w:themeFill="text1" w:themeFillTint="BF"/>
          </w:tcPr>
          <w:p w14:paraId="13A0EF58" w14:textId="77777777" w:rsidR="0083756D" w:rsidRPr="0083756D" w:rsidRDefault="0083756D" w:rsidP="0083756D">
            <w:pPr>
              <w:pStyle w:val="TableHeading"/>
              <w:rPr>
                <w:color w:val="FFFFFF" w:themeColor="background1"/>
              </w:rPr>
            </w:pPr>
            <w:r w:rsidRPr="0083756D">
              <w:rPr>
                <w:color w:val="FFFFFF" w:themeColor="background1"/>
              </w:rPr>
              <w:t>Policy authority for cost recovery</w:t>
            </w:r>
          </w:p>
        </w:tc>
      </w:tr>
      <w:tr w:rsidR="0083756D" w14:paraId="451E3571" w14:textId="77777777" w:rsidTr="00337FD0">
        <w:tc>
          <w:tcPr>
            <w:tcW w:w="2627" w:type="dxa"/>
            <w:tcBorders>
              <w:top w:val="single" w:sz="4" w:space="0" w:color="auto"/>
            </w:tcBorders>
          </w:tcPr>
          <w:p w14:paraId="59E89857" w14:textId="77777777" w:rsidR="0083756D" w:rsidRPr="00E96F78" w:rsidRDefault="0083756D" w:rsidP="00337FD0">
            <w:pPr>
              <w:spacing w:after="0"/>
            </w:pPr>
            <w:r w:rsidRPr="00E96F78">
              <w:t>Number allocation- geographic numbers</w:t>
            </w:r>
          </w:p>
        </w:tc>
        <w:tc>
          <w:tcPr>
            <w:tcW w:w="2528" w:type="dxa"/>
            <w:tcBorders>
              <w:top w:val="single" w:sz="4" w:space="0" w:color="auto"/>
            </w:tcBorders>
          </w:tcPr>
          <w:p w14:paraId="4B29148D" w14:textId="77777777" w:rsidR="0083756D" w:rsidRPr="00E96F78" w:rsidRDefault="0083756D" w:rsidP="00337FD0">
            <w:pPr>
              <w:spacing w:after="0"/>
            </w:pPr>
            <w:r>
              <w:t>Paragraph</w:t>
            </w:r>
            <w:r w:rsidRPr="00E96F78">
              <w:t xml:space="preserve"> 60</w:t>
            </w:r>
            <w:r>
              <w:t xml:space="preserve">(1)(b) of the </w:t>
            </w:r>
            <w:r w:rsidRPr="00E96F78">
              <w:t>ACMA Act</w:t>
            </w:r>
          </w:p>
        </w:tc>
        <w:tc>
          <w:tcPr>
            <w:tcW w:w="2506" w:type="dxa"/>
            <w:tcBorders>
              <w:top w:val="single" w:sz="4" w:space="0" w:color="auto"/>
            </w:tcBorders>
          </w:tcPr>
          <w:p w14:paraId="020641FD" w14:textId="77777777" w:rsidR="0083756D" w:rsidRPr="00E96F78" w:rsidRDefault="0083756D" w:rsidP="00337FD0">
            <w:pPr>
              <w:spacing w:after="0"/>
            </w:pPr>
            <w:r>
              <w:t>Affirmed in 2015 as part of the portfolio charging review</w:t>
            </w:r>
          </w:p>
        </w:tc>
      </w:tr>
      <w:tr w:rsidR="0083756D" w14:paraId="065944AE" w14:textId="77777777" w:rsidTr="00337FD0">
        <w:tc>
          <w:tcPr>
            <w:tcW w:w="2627" w:type="dxa"/>
          </w:tcPr>
          <w:p w14:paraId="32F5022D" w14:textId="1BAE9D2F" w:rsidR="0083756D" w:rsidRPr="00E96F78" w:rsidRDefault="00CA2EC3" w:rsidP="00337FD0">
            <w:pPr>
              <w:spacing w:after="0"/>
            </w:pPr>
            <w:r w:rsidRPr="004B0485">
              <w:rPr>
                <w:rFonts w:cs="Arial"/>
              </w:rPr>
              <w:t>Smartnumber registration (EROU)</w:t>
            </w:r>
          </w:p>
        </w:tc>
        <w:tc>
          <w:tcPr>
            <w:tcW w:w="2528" w:type="dxa"/>
          </w:tcPr>
          <w:p w14:paraId="7C6145D2" w14:textId="77777777" w:rsidR="0083756D" w:rsidRPr="00E96F78" w:rsidRDefault="0083756D" w:rsidP="00337FD0">
            <w:pPr>
              <w:spacing w:after="0"/>
            </w:pPr>
            <w:r>
              <w:t>Paragraph</w:t>
            </w:r>
            <w:r w:rsidRPr="00E96F78">
              <w:t xml:space="preserve"> 60</w:t>
            </w:r>
            <w:r>
              <w:t xml:space="preserve">(1)(b) of the </w:t>
            </w:r>
            <w:r w:rsidRPr="00E96F78">
              <w:t>ACMA Act</w:t>
            </w:r>
          </w:p>
        </w:tc>
        <w:tc>
          <w:tcPr>
            <w:tcW w:w="2506" w:type="dxa"/>
          </w:tcPr>
          <w:p w14:paraId="3AC08273" w14:textId="77777777" w:rsidR="0083756D" w:rsidRPr="00E96F78" w:rsidRDefault="0083756D" w:rsidP="00337FD0">
            <w:pPr>
              <w:spacing w:after="0"/>
            </w:pPr>
            <w:r>
              <w:t>Affirmed in 2015 as part of the portfolio charging review</w:t>
            </w:r>
          </w:p>
        </w:tc>
      </w:tr>
      <w:tr w:rsidR="0083756D" w14:paraId="094C0CD2" w14:textId="77777777" w:rsidTr="00337FD0">
        <w:tc>
          <w:tcPr>
            <w:tcW w:w="2627" w:type="dxa"/>
          </w:tcPr>
          <w:p w14:paraId="29AC84F4" w14:textId="77777777" w:rsidR="0083756D" w:rsidRPr="00E96F78" w:rsidRDefault="0083756D" w:rsidP="00337FD0">
            <w:pPr>
              <w:spacing w:after="0"/>
            </w:pPr>
            <w:r w:rsidRPr="00E96F78">
              <w:t>Carriage Service Provider registration</w:t>
            </w:r>
          </w:p>
        </w:tc>
        <w:tc>
          <w:tcPr>
            <w:tcW w:w="2528" w:type="dxa"/>
          </w:tcPr>
          <w:p w14:paraId="5A7551E4" w14:textId="77777777" w:rsidR="0083756D" w:rsidRPr="00E96F78" w:rsidRDefault="0083756D" w:rsidP="00337FD0">
            <w:pPr>
              <w:spacing w:after="0"/>
            </w:pPr>
            <w:r>
              <w:t>Paragraph</w:t>
            </w:r>
            <w:r w:rsidRPr="00E96F78">
              <w:t xml:space="preserve"> 60</w:t>
            </w:r>
            <w:r>
              <w:t>(1)(b) of the</w:t>
            </w:r>
            <w:r w:rsidRPr="00E96F78">
              <w:t xml:space="preserve"> ACMA Act</w:t>
            </w:r>
          </w:p>
        </w:tc>
        <w:tc>
          <w:tcPr>
            <w:tcW w:w="2506" w:type="dxa"/>
          </w:tcPr>
          <w:p w14:paraId="61D37C15" w14:textId="77777777" w:rsidR="0083756D" w:rsidRPr="00E96F78" w:rsidRDefault="0083756D" w:rsidP="00337FD0">
            <w:pPr>
              <w:spacing w:after="0"/>
            </w:pPr>
            <w:r>
              <w:t>Affirmed in 2015 as part of the portfolio charging review</w:t>
            </w:r>
          </w:p>
        </w:tc>
      </w:tr>
    </w:tbl>
    <w:p w14:paraId="459489F0" w14:textId="77777777" w:rsidR="0083756D" w:rsidRPr="0083756D" w:rsidRDefault="0083756D" w:rsidP="00337FD0">
      <w:pPr>
        <w:pStyle w:val="Heading2"/>
      </w:pPr>
      <w:bookmarkStart w:id="5" w:name="_Toc424828637"/>
      <w:r w:rsidRPr="0083756D">
        <w:t>Changes to the process for the allocation of numbers and registration of CSPs and EROU applicants</w:t>
      </w:r>
      <w:bookmarkEnd w:id="5"/>
    </w:p>
    <w:p w14:paraId="6E7C981F" w14:textId="77777777" w:rsidR="0083756D" w:rsidRPr="0083756D" w:rsidRDefault="0083756D" w:rsidP="0083756D">
      <w:pPr>
        <w:spacing w:line="280" w:lineRule="atLeast"/>
        <w:rPr>
          <w:rFonts w:cs="Arial"/>
        </w:rPr>
      </w:pPr>
      <w:r w:rsidRPr="0083756D">
        <w:rPr>
          <w:rFonts w:cs="Arial"/>
        </w:rPr>
        <w:t xml:space="preserve">Currently the ACMA allocates most numbers types (including geographic numbers) and provides the EROU applicant registration services. All other number allocation services are provided by the ACMA’s current delegate, Industry Number Management Services Ltd (INMS). The Commonwealth has a contract with INMS for the provision of delegated allocation and administrative services for </w:t>
      </w:r>
      <w:proofErr w:type="spellStart"/>
      <w:r w:rsidRPr="0083756D">
        <w:rPr>
          <w:rFonts w:cs="Arial"/>
        </w:rPr>
        <w:t>freephone</w:t>
      </w:r>
      <w:proofErr w:type="spellEnd"/>
      <w:r w:rsidRPr="0083756D">
        <w:rPr>
          <w:rFonts w:cs="Arial"/>
        </w:rPr>
        <w:t xml:space="preserve"> and local rate numbers that are not smartnumbers, and for most premium rate numbers. </w:t>
      </w:r>
    </w:p>
    <w:p w14:paraId="3CE4D898" w14:textId="77777777" w:rsidR="0083756D" w:rsidRPr="0083756D" w:rsidRDefault="0083756D" w:rsidP="0083756D">
      <w:pPr>
        <w:spacing w:line="280" w:lineRule="atLeast"/>
        <w:rPr>
          <w:rFonts w:cs="Arial"/>
        </w:rPr>
      </w:pPr>
      <w:r w:rsidRPr="0083756D">
        <w:rPr>
          <w:rFonts w:cs="Arial"/>
        </w:rPr>
        <w:t xml:space="preserve">As a result of changes in technology, industry structures, service provision and consumer behaviour in the recent years, the ACMA examined a wide range of issues related to the regulatory framework for telephone numbers. On 12 September 2014, following a competitive tender process, the Commonwealth awarded </w:t>
      </w:r>
      <w:proofErr w:type="spellStart"/>
      <w:r w:rsidRPr="0083756D">
        <w:rPr>
          <w:rFonts w:cs="Arial"/>
        </w:rPr>
        <w:t>Zoak</w:t>
      </w:r>
      <w:proofErr w:type="spellEnd"/>
      <w:r w:rsidRPr="0083756D">
        <w:rPr>
          <w:rFonts w:cs="Arial"/>
        </w:rPr>
        <w:t xml:space="preserve"> Solutions Pty Ltd (</w:t>
      </w:r>
      <w:proofErr w:type="spellStart"/>
      <w:r w:rsidRPr="0083756D">
        <w:rPr>
          <w:rFonts w:cs="Arial"/>
        </w:rPr>
        <w:t>Zoak</w:t>
      </w:r>
      <w:proofErr w:type="spellEnd"/>
      <w:r w:rsidRPr="0083756D">
        <w:rPr>
          <w:rFonts w:cs="Arial"/>
        </w:rPr>
        <w:t xml:space="preserve">) the contract to provide allocation and administrative services for most of </w:t>
      </w:r>
      <w:r w:rsidRPr="0083756D">
        <w:rPr>
          <w:rFonts w:cs="Arial"/>
        </w:rPr>
        <w:lastRenderedPageBreak/>
        <w:t>Australia’s telephone numbers specified in the Numbering Plan from 1 August 2015 for a period of eight years.</w:t>
      </w:r>
      <w:r w:rsidR="002774EB">
        <w:rPr>
          <w:rStyle w:val="FootnoteReference"/>
          <w:rFonts w:cs="Arial"/>
        </w:rPr>
        <w:footnoteReference w:id="2"/>
      </w:r>
      <w:r w:rsidRPr="0083756D">
        <w:rPr>
          <w:rFonts w:cs="Arial"/>
        </w:rPr>
        <w:t xml:space="preserve"> </w:t>
      </w:r>
    </w:p>
    <w:p w14:paraId="32561876" w14:textId="2A7B4744" w:rsidR="002774EB" w:rsidRDefault="0083756D" w:rsidP="00337FD0">
      <w:pPr>
        <w:spacing w:after="80" w:line="280" w:lineRule="atLeast"/>
        <w:rPr>
          <w:rFonts w:cs="Arial"/>
        </w:rPr>
      </w:pPr>
      <w:r w:rsidRPr="0083756D">
        <w:rPr>
          <w:rFonts w:cs="Arial"/>
        </w:rPr>
        <w:t xml:space="preserve">Under the new arrangement, </w:t>
      </w:r>
      <w:proofErr w:type="spellStart"/>
      <w:r w:rsidRPr="0083756D">
        <w:rPr>
          <w:rFonts w:cs="Arial"/>
        </w:rPr>
        <w:t>Zoak</w:t>
      </w:r>
      <w:proofErr w:type="spellEnd"/>
      <w:r w:rsidRPr="0083756D">
        <w:rPr>
          <w:rFonts w:cs="Arial"/>
        </w:rPr>
        <w:t xml:space="preserve"> will allocate the majority of numbers that the ACMA and INMS currently allocate, in accordance with the contract with the Commonwealth, under the Numbering Plan, and register CSPs and EROU applicants. As a result, the ACMA is incurring expenses in relation to these matters, under the Numbering Plan. These expenses relate to fees to be paid to </w:t>
      </w:r>
      <w:proofErr w:type="spellStart"/>
      <w:r w:rsidRPr="0083756D">
        <w:rPr>
          <w:rFonts w:cs="Arial"/>
        </w:rPr>
        <w:t>Zoak</w:t>
      </w:r>
      <w:proofErr w:type="spellEnd"/>
      <w:r w:rsidRPr="0083756D">
        <w:rPr>
          <w:rFonts w:cs="Arial"/>
        </w:rPr>
        <w:t xml:space="preserve"> in relation to processing applications for the allocation of numbers, the registration of CSPs under the Numbering Plan, and the registration of EROU applicants for smartnumbers. Accordingly, the ACMA is proposing to recover, under paragraph 60(1</w:t>
      </w:r>
      <w:proofErr w:type="gramStart"/>
      <w:r w:rsidRPr="0083756D">
        <w:rPr>
          <w:rFonts w:cs="Arial"/>
        </w:rPr>
        <w:t>)(</w:t>
      </w:r>
      <w:proofErr w:type="gramEnd"/>
      <w:r w:rsidRPr="0083756D">
        <w:rPr>
          <w:rFonts w:cs="Arial"/>
        </w:rPr>
        <w:t xml:space="preserve">b) of the ACMA Act, only the costs incurred in relation to the following matters under the Numbering Plan, by setting a Cost Recovery Charge for these matters:  </w:t>
      </w:r>
    </w:p>
    <w:p w14:paraId="2BF52728" w14:textId="5669B672" w:rsidR="002774EB" w:rsidRDefault="0083756D" w:rsidP="00337FD0">
      <w:pPr>
        <w:pStyle w:val="ListBullet"/>
      </w:pPr>
      <w:r w:rsidRPr="0083756D">
        <w:t>processing applications for the allocation of geographic numbers</w:t>
      </w:r>
    </w:p>
    <w:p w14:paraId="76EBFD86" w14:textId="30891CD7" w:rsidR="002774EB" w:rsidRDefault="0083756D" w:rsidP="00337FD0">
      <w:pPr>
        <w:pStyle w:val="ListBullet"/>
      </w:pPr>
      <w:r w:rsidRPr="0083756D">
        <w:t>the registration of CSPS</w:t>
      </w:r>
    </w:p>
    <w:p w14:paraId="5669EF45" w14:textId="77777777" w:rsidR="002774EB" w:rsidRDefault="0083756D" w:rsidP="00337FD0">
      <w:pPr>
        <w:pStyle w:val="ListBulletLast"/>
      </w:pPr>
      <w:proofErr w:type="gramStart"/>
      <w:r w:rsidRPr="0083756D">
        <w:t>the</w:t>
      </w:r>
      <w:proofErr w:type="gramEnd"/>
      <w:r w:rsidRPr="0083756D">
        <w:t xml:space="preserve"> registration of EROU applicants for smartnumbers.  </w:t>
      </w:r>
    </w:p>
    <w:p w14:paraId="390D11FE" w14:textId="17242D63" w:rsidR="0083756D" w:rsidRPr="0083756D" w:rsidRDefault="0083756D" w:rsidP="0083756D">
      <w:pPr>
        <w:spacing w:line="280" w:lineRule="atLeast"/>
        <w:rPr>
          <w:rFonts w:cs="Arial"/>
        </w:rPr>
      </w:pPr>
      <w:r w:rsidRPr="0083756D">
        <w:rPr>
          <w:rFonts w:cs="Arial"/>
        </w:rPr>
        <w:t>Accordingly, the ACMA is making amendments to the existing Cost Recovery Charge for geographic number allocation applications, set under the ACMA Act. The ACMA is also making amendments under the ACMA Act to the existing Cost Recovery Charges for registration of EROU applicants and to set Cost Recovery Charges for registrations of CSPs under the Numbering Plan.</w:t>
      </w:r>
    </w:p>
    <w:p w14:paraId="457814A4" w14:textId="77777777" w:rsidR="0083756D" w:rsidRPr="0083756D" w:rsidRDefault="0083756D" w:rsidP="00337FD0">
      <w:pPr>
        <w:pStyle w:val="Heading2"/>
      </w:pPr>
      <w:bookmarkStart w:id="6" w:name="_Toc424828638"/>
      <w:r w:rsidRPr="0083756D">
        <w:t>Cost recovery model</w:t>
      </w:r>
      <w:bookmarkEnd w:id="6"/>
    </w:p>
    <w:p w14:paraId="2ABCA97A" w14:textId="29F44B0B" w:rsidR="0083756D" w:rsidRPr="0083756D" w:rsidRDefault="0083756D" w:rsidP="00337FD0">
      <w:pPr>
        <w:pStyle w:val="Heading3"/>
      </w:pPr>
      <w:bookmarkStart w:id="7" w:name="_Toc424828639"/>
      <w:r w:rsidRPr="0083756D">
        <w:t>Number allocation</w:t>
      </w:r>
      <w:r w:rsidR="002774EB">
        <w:t>—</w:t>
      </w:r>
      <w:r w:rsidRPr="0083756D">
        <w:t>geographic numbers</w:t>
      </w:r>
      <w:bookmarkEnd w:id="7"/>
    </w:p>
    <w:p w14:paraId="22BE7541" w14:textId="77777777" w:rsidR="0083756D" w:rsidRPr="0083756D" w:rsidRDefault="0083756D" w:rsidP="0083756D">
      <w:pPr>
        <w:spacing w:line="280" w:lineRule="atLeast"/>
        <w:rPr>
          <w:rFonts w:cs="Arial"/>
        </w:rPr>
      </w:pPr>
      <w:r w:rsidRPr="0083756D">
        <w:rPr>
          <w:rFonts w:cs="Arial"/>
        </w:rPr>
        <w:t>This activity involves processing an application for the allocation of a geographic number under the Numbering Plan, otherwise than in accordance with an allocation system determined under section 463 of the Telecommunications Act. This allows a registered CSP to be allocated a number to provide services to an end user.</w:t>
      </w:r>
    </w:p>
    <w:p w14:paraId="7FA50079" w14:textId="05981F39" w:rsidR="0083756D" w:rsidRPr="0083756D" w:rsidRDefault="0083756D" w:rsidP="0083756D">
      <w:pPr>
        <w:spacing w:line="280" w:lineRule="atLeast"/>
        <w:rPr>
          <w:rFonts w:cs="Arial"/>
        </w:rPr>
      </w:pPr>
      <w:r w:rsidRPr="0083756D">
        <w:rPr>
          <w:rFonts w:cs="Arial"/>
        </w:rPr>
        <w:t>Currently the ACMA provides this service through a combination of manual and automatic processes and charges separate fees of $138 and $151 for online and manual applications respectively (see items 140</w:t>
      </w:r>
      <w:r w:rsidR="002774EB">
        <w:rPr>
          <w:rFonts w:cs="Arial"/>
        </w:rPr>
        <w:t>–</w:t>
      </w:r>
      <w:r w:rsidRPr="0083756D">
        <w:rPr>
          <w:rFonts w:cs="Arial"/>
        </w:rPr>
        <w:t xml:space="preserve">143 of Attachment B to the CRIS). A single application for geographic numbers may include multiple separate </w:t>
      </w:r>
      <w:r w:rsidR="002774EB">
        <w:rPr>
          <w:rFonts w:cs="Arial"/>
        </w:rPr>
        <w:t>‘</w:t>
      </w:r>
      <w:r w:rsidRPr="0083756D">
        <w:rPr>
          <w:rFonts w:cs="Arial"/>
        </w:rPr>
        <w:t>blocks</w:t>
      </w:r>
      <w:r w:rsidR="002774EB">
        <w:rPr>
          <w:rFonts w:cs="Arial"/>
        </w:rPr>
        <w:t>’</w:t>
      </w:r>
      <w:r w:rsidRPr="0083756D">
        <w:rPr>
          <w:rFonts w:cs="Arial"/>
        </w:rPr>
        <w:t xml:space="preserve"> of numbers. An additional fee ($3 and $4 for online and manual</w:t>
      </w:r>
      <w:r w:rsidR="002774EB">
        <w:rPr>
          <w:rFonts w:cs="Arial"/>
        </w:rPr>
        <w:t>,</w:t>
      </w:r>
      <w:r w:rsidRPr="0083756D">
        <w:rPr>
          <w:rFonts w:cs="Arial"/>
        </w:rPr>
        <w:t xml:space="preserve"> respectively) is imposed for a block of subsequent sequential numbers.</w:t>
      </w:r>
    </w:p>
    <w:p w14:paraId="1C0A0718" w14:textId="0E435565" w:rsidR="0083756D" w:rsidRPr="0083756D" w:rsidRDefault="0083756D" w:rsidP="0083756D">
      <w:pPr>
        <w:spacing w:line="280" w:lineRule="atLeast"/>
        <w:rPr>
          <w:rFonts w:cs="Arial"/>
        </w:rPr>
      </w:pPr>
      <w:r w:rsidRPr="0083756D">
        <w:rPr>
          <w:rFonts w:cs="Arial"/>
        </w:rPr>
        <w:t xml:space="preserve">However, under the new arrangement, the above charging mechanism will not be applicable as the new number allocation system, to be provided by </w:t>
      </w:r>
      <w:proofErr w:type="spellStart"/>
      <w:r w:rsidRPr="0083756D">
        <w:rPr>
          <w:rFonts w:cs="Arial"/>
        </w:rPr>
        <w:t>Zoak</w:t>
      </w:r>
      <w:proofErr w:type="spellEnd"/>
      <w:r w:rsidRPr="0083756D">
        <w:rPr>
          <w:rFonts w:cs="Arial"/>
        </w:rPr>
        <w:t>, will be fully automated. Accordingly</w:t>
      </w:r>
      <w:r w:rsidR="002774EB">
        <w:rPr>
          <w:rFonts w:cs="Arial"/>
        </w:rPr>
        <w:t>,</w:t>
      </w:r>
      <w:r w:rsidRPr="0083756D">
        <w:rPr>
          <w:rFonts w:cs="Arial"/>
        </w:rPr>
        <w:t xml:space="preserve"> a flat Cost Recovery Charge of $19.50 is set for processing an application for the allocation of a geographic number or for the registration of CSPs or EROU. The charge is determined by dividing the total estimated annual cost of services to be provided by </w:t>
      </w:r>
      <w:proofErr w:type="spellStart"/>
      <w:r w:rsidRPr="0083756D">
        <w:rPr>
          <w:rFonts w:cs="Arial"/>
        </w:rPr>
        <w:t>Zoak</w:t>
      </w:r>
      <w:proofErr w:type="spellEnd"/>
      <w:r w:rsidRPr="0083756D">
        <w:rPr>
          <w:rFonts w:cs="Arial"/>
        </w:rPr>
        <w:t xml:space="preserve"> ($0.85 million) by the total estimated annual number of applications (43,300), which is based on the average number of applications for the </w:t>
      </w:r>
      <w:r w:rsidRPr="0083756D">
        <w:rPr>
          <w:rFonts w:cs="Arial"/>
        </w:rPr>
        <w:lastRenderedPageBreak/>
        <w:t xml:space="preserve">past three years. The estimated annual cost includes maintenance of information technology, depreciation, monitoring and administration and other support costs such as finance, human resources and contract management. This charging structure is more appropriate as under the automated system, the steps for the applicant to obtain a number or register will be the same.   </w:t>
      </w:r>
    </w:p>
    <w:p w14:paraId="47BED4CC" w14:textId="77777777" w:rsidR="0083756D" w:rsidRPr="0083756D" w:rsidRDefault="0083756D" w:rsidP="00337FD0">
      <w:pPr>
        <w:pStyle w:val="Heading3"/>
      </w:pPr>
      <w:bookmarkStart w:id="8" w:name="_Toc424828640"/>
      <w:r w:rsidRPr="0083756D">
        <w:t>Smartnumber (EROU applicant) registration</w:t>
      </w:r>
      <w:bookmarkEnd w:id="8"/>
    </w:p>
    <w:p w14:paraId="7EF66EF9" w14:textId="6CF6D73C" w:rsidR="0083756D" w:rsidRPr="0083756D" w:rsidRDefault="0083756D" w:rsidP="0083756D">
      <w:pPr>
        <w:spacing w:line="280" w:lineRule="atLeast"/>
        <w:rPr>
          <w:rFonts w:cs="Arial"/>
        </w:rPr>
      </w:pPr>
      <w:r w:rsidRPr="0083756D">
        <w:rPr>
          <w:rFonts w:cs="Arial"/>
        </w:rPr>
        <w:t>This activity involves processing an application for registration to be an EROU applicant. Under the Telecommunications (</w:t>
      </w:r>
      <w:proofErr w:type="spellStart"/>
      <w:r w:rsidRPr="0083756D">
        <w:rPr>
          <w:rFonts w:cs="Arial"/>
        </w:rPr>
        <w:t>Freephone</w:t>
      </w:r>
      <w:proofErr w:type="spellEnd"/>
      <w:r w:rsidRPr="0083756D">
        <w:rPr>
          <w:rFonts w:cs="Arial"/>
        </w:rPr>
        <w:t xml:space="preserve"> and Local Rate Numbers) Allocation Determination 2007 (No. 1) (Allocation Determination), an EROU applicant can participate in a smartnumber auction. The ACMA incurs expenses in providing registration facilities for auctions under the smartnumber auction system. Currently an application fee of $42 (see item 161 of Attachment B to the CRIS) is being charged for this service, under the Telecommunications (</w:t>
      </w:r>
      <w:proofErr w:type="spellStart"/>
      <w:r w:rsidRPr="0083756D">
        <w:rPr>
          <w:rFonts w:cs="Arial"/>
        </w:rPr>
        <w:t>Freephone</w:t>
      </w:r>
      <w:proofErr w:type="spellEnd"/>
      <w:r w:rsidRPr="0083756D">
        <w:rPr>
          <w:rFonts w:cs="Arial"/>
        </w:rPr>
        <w:t xml:space="preserve"> and Local Rate Numbers Auctions – Registration Charge) Determination 2007. This Determination is made under subsection 60(1) of the ACMA Act.</w:t>
      </w:r>
    </w:p>
    <w:p w14:paraId="4F0C30A1" w14:textId="54AC079D" w:rsidR="0083756D" w:rsidRPr="0083756D" w:rsidRDefault="0083756D" w:rsidP="0083756D">
      <w:pPr>
        <w:spacing w:line="280" w:lineRule="atLeast"/>
        <w:rPr>
          <w:rFonts w:cs="Arial"/>
        </w:rPr>
      </w:pPr>
      <w:r w:rsidRPr="0083756D">
        <w:rPr>
          <w:rFonts w:cs="Arial"/>
        </w:rPr>
        <w:t>Under the new arrangement, smartnumber auctions</w:t>
      </w:r>
      <w:r w:rsidR="00CA2EC3">
        <w:rPr>
          <w:rStyle w:val="FootnoteReference"/>
          <w:rFonts w:cs="Arial"/>
        </w:rPr>
        <w:footnoteReference w:id="3"/>
      </w:r>
      <w:r w:rsidRPr="0083756D">
        <w:rPr>
          <w:rFonts w:cs="Arial"/>
        </w:rPr>
        <w:t xml:space="preserve"> will no longer be conducted, and instead an over-the-counter allocation process will be in place for smartnumbers as part of the Numbering Plan. The new process still requires registration of EROU applicants and, as a result, an application fee will continue to be applicable, which is set at $19.50 per application as established for the geographic number allocation application. Under the new arrangements, the registrations of EROU applicants are expected to consume equal amounts of processing time per application for number allocation or registration of CSPs. </w:t>
      </w:r>
    </w:p>
    <w:p w14:paraId="21B2792A" w14:textId="77777777" w:rsidR="0083756D" w:rsidRPr="0083756D" w:rsidRDefault="0083756D" w:rsidP="00337FD0">
      <w:pPr>
        <w:pStyle w:val="Heading3"/>
      </w:pPr>
      <w:bookmarkStart w:id="9" w:name="_Toc424828641"/>
      <w:r w:rsidRPr="0083756D">
        <w:t>CSP registration</w:t>
      </w:r>
      <w:bookmarkEnd w:id="9"/>
    </w:p>
    <w:p w14:paraId="56DF1094" w14:textId="77777777" w:rsidR="0083756D" w:rsidRPr="0083756D" w:rsidRDefault="0083756D" w:rsidP="0083756D">
      <w:pPr>
        <w:spacing w:line="280" w:lineRule="atLeast"/>
        <w:rPr>
          <w:rFonts w:cs="Arial"/>
        </w:rPr>
      </w:pPr>
      <w:r w:rsidRPr="0083756D">
        <w:rPr>
          <w:rFonts w:cs="Arial"/>
        </w:rPr>
        <w:t xml:space="preserve">The Numbering Plan requires a CSP to be registered to use the numbering allocation system. All existing registered users of the current system (under the </w:t>
      </w:r>
      <w:r w:rsidRPr="00337FD0">
        <w:rPr>
          <w:rFonts w:cs="Arial"/>
          <w:i/>
        </w:rPr>
        <w:t>Telecommunications Numbering Plan 1997</w:t>
      </w:r>
      <w:r w:rsidRPr="0083756D">
        <w:rPr>
          <w:rFonts w:cs="Arial"/>
        </w:rPr>
        <w:t xml:space="preserve">) will be migrated to </w:t>
      </w:r>
      <w:proofErr w:type="spellStart"/>
      <w:r w:rsidRPr="0083756D">
        <w:rPr>
          <w:rFonts w:cs="Arial"/>
        </w:rPr>
        <w:t>Zoak’s</w:t>
      </w:r>
      <w:proofErr w:type="spellEnd"/>
      <w:r w:rsidRPr="0083756D">
        <w:rPr>
          <w:rFonts w:cs="Arial"/>
        </w:rPr>
        <w:t xml:space="preserve"> new system with no fee applicable for registration. However, a registration fee will be applicable to new CSPs seeking to use the </w:t>
      </w:r>
      <w:proofErr w:type="spellStart"/>
      <w:r w:rsidRPr="0083756D">
        <w:rPr>
          <w:rFonts w:cs="Arial"/>
        </w:rPr>
        <w:t>Zoak</w:t>
      </w:r>
      <w:proofErr w:type="spellEnd"/>
      <w:r w:rsidRPr="0083756D">
        <w:rPr>
          <w:rFonts w:cs="Arial"/>
        </w:rPr>
        <w:t xml:space="preserve"> system. This is a one-off fee of $19.50 per registration, as this process requires similar resources for enhanced rights of use applicant registration. It is expected that only around three new CSPs may need to register each year.</w:t>
      </w:r>
    </w:p>
    <w:p w14:paraId="468BF32E" w14:textId="77777777" w:rsidR="00CA2EC3" w:rsidRDefault="00CA2EC3">
      <w:pPr>
        <w:spacing w:after="0" w:line="240" w:lineRule="auto"/>
        <w:rPr>
          <w:rFonts w:cs="Arial"/>
          <w:b/>
          <w:bCs/>
          <w:iCs/>
          <w:sz w:val="28"/>
          <w:szCs w:val="28"/>
        </w:rPr>
      </w:pPr>
      <w:r>
        <w:br w:type="page"/>
      </w:r>
    </w:p>
    <w:p w14:paraId="01FCF765" w14:textId="77777777" w:rsidR="0083756D" w:rsidRPr="0083756D" w:rsidRDefault="0083756D" w:rsidP="00337FD0">
      <w:pPr>
        <w:pStyle w:val="Heading2"/>
      </w:pPr>
      <w:bookmarkStart w:id="10" w:name="_Toc424828642"/>
      <w:r w:rsidRPr="0083756D">
        <w:lastRenderedPageBreak/>
        <w:t>Financial impact</w:t>
      </w:r>
      <w:bookmarkEnd w:id="10"/>
    </w:p>
    <w:p w14:paraId="2DCDD440" w14:textId="206CDA4C" w:rsidR="0083756D" w:rsidRPr="0083756D" w:rsidRDefault="0083756D" w:rsidP="0083756D">
      <w:pPr>
        <w:spacing w:line="280" w:lineRule="atLeast"/>
        <w:rPr>
          <w:rFonts w:cs="Arial"/>
        </w:rPr>
      </w:pPr>
      <w:r w:rsidRPr="0083756D">
        <w:rPr>
          <w:rFonts w:cs="Arial"/>
        </w:rPr>
        <w:t>As detailed in Table</w:t>
      </w:r>
      <w:r w:rsidR="00CA2EC3">
        <w:rPr>
          <w:rFonts w:cs="Arial"/>
        </w:rPr>
        <w:t xml:space="preserve"> 2</w:t>
      </w:r>
      <w:r w:rsidRPr="0083756D">
        <w:rPr>
          <w:rFonts w:cs="Arial"/>
        </w:rPr>
        <w:t>, the revenue from the activities is expected to reduce by $46,674 per annum, which provides savings to the industry.</w:t>
      </w:r>
    </w:p>
    <w:p w14:paraId="4C546009" w14:textId="0AFF4F15" w:rsidR="0083756D" w:rsidRPr="0083756D" w:rsidRDefault="0083756D" w:rsidP="00337FD0">
      <w:pPr>
        <w:pStyle w:val="ACMATableHeader"/>
      </w:pPr>
      <w:r w:rsidRPr="0083756D">
        <w:t>Financial impact</w:t>
      </w:r>
    </w:p>
    <w:tbl>
      <w:tblPr>
        <w:tblStyle w:val="TableGrid"/>
        <w:tblW w:w="9021" w:type="dxa"/>
        <w:tblInd w:w="-5" w:type="dxa"/>
        <w:tblCellMar>
          <w:top w:w="85" w:type="dxa"/>
          <w:bottom w:w="85" w:type="dxa"/>
        </w:tblCellMar>
        <w:tblLook w:val="04A0" w:firstRow="1" w:lastRow="0" w:firstColumn="1" w:lastColumn="0" w:noHBand="0" w:noVBand="1"/>
      </w:tblPr>
      <w:tblGrid>
        <w:gridCol w:w="950"/>
        <w:gridCol w:w="1697"/>
        <w:gridCol w:w="1485"/>
        <w:gridCol w:w="1150"/>
        <w:gridCol w:w="1206"/>
        <w:gridCol w:w="1383"/>
        <w:gridCol w:w="1150"/>
      </w:tblGrid>
      <w:tr w:rsidR="00CA2EC3" w:rsidRPr="00D76A63" w14:paraId="60411397" w14:textId="77777777" w:rsidTr="00337FD0">
        <w:tc>
          <w:tcPr>
            <w:tcW w:w="851" w:type="dxa"/>
            <w:tcBorders>
              <w:top w:val="nil"/>
              <w:right w:val="single" w:sz="4" w:space="0" w:color="FFFFFF" w:themeColor="background1"/>
            </w:tcBorders>
            <w:shd w:val="clear" w:color="auto" w:fill="404040" w:themeFill="text1" w:themeFillTint="BF"/>
          </w:tcPr>
          <w:p w14:paraId="5BF5095E" w14:textId="77777777" w:rsidR="00CA2EC3" w:rsidRPr="00337FD0" w:rsidRDefault="00CA2EC3" w:rsidP="00337FD0">
            <w:pPr>
              <w:pStyle w:val="TableHeading"/>
              <w:rPr>
                <w:rFonts w:cs="Arial"/>
                <w:b w:val="0"/>
                <w:color w:val="FFFFFF" w:themeColor="background1"/>
              </w:rPr>
            </w:pPr>
            <w:r w:rsidRPr="00337FD0">
              <w:rPr>
                <w:rFonts w:cs="Arial"/>
                <w:color w:val="FFFFFF" w:themeColor="background1"/>
              </w:rPr>
              <w:t>Activity number</w:t>
            </w:r>
          </w:p>
        </w:tc>
        <w:tc>
          <w:tcPr>
            <w:tcW w:w="2126" w:type="dxa"/>
            <w:tcBorders>
              <w:top w:val="nil"/>
              <w:left w:val="single" w:sz="4" w:space="0" w:color="FFFFFF" w:themeColor="background1"/>
              <w:right w:val="single" w:sz="4" w:space="0" w:color="FFFFFF" w:themeColor="background1"/>
            </w:tcBorders>
            <w:shd w:val="clear" w:color="auto" w:fill="404040" w:themeFill="text1" w:themeFillTint="BF"/>
          </w:tcPr>
          <w:p w14:paraId="62753BA8" w14:textId="77777777" w:rsidR="00CA2EC3" w:rsidRPr="00337FD0" w:rsidRDefault="00CA2EC3" w:rsidP="00337FD0">
            <w:pPr>
              <w:pStyle w:val="TableHeading"/>
              <w:rPr>
                <w:rFonts w:cs="Arial"/>
                <w:b w:val="0"/>
                <w:color w:val="FFFFFF" w:themeColor="background1"/>
              </w:rPr>
            </w:pPr>
            <w:r w:rsidRPr="00337FD0">
              <w:rPr>
                <w:rFonts w:cs="Arial"/>
                <w:color w:val="FFFFFF" w:themeColor="background1"/>
              </w:rPr>
              <w:t>Activity</w:t>
            </w:r>
          </w:p>
        </w:tc>
        <w:tc>
          <w:tcPr>
            <w:tcW w:w="1856" w:type="dxa"/>
            <w:tcBorders>
              <w:top w:val="nil"/>
              <w:left w:val="single" w:sz="4" w:space="0" w:color="FFFFFF" w:themeColor="background1"/>
              <w:right w:val="single" w:sz="4" w:space="0" w:color="FFFFFF" w:themeColor="background1"/>
            </w:tcBorders>
            <w:shd w:val="clear" w:color="auto" w:fill="404040" w:themeFill="text1" w:themeFillTint="BF"/>
          </w:tcPr>
          <w:p w14:paraId="467E7412" w14:textId="77777777" w:rsidR="00CA2EC3" w:rsidRPr="00337FD0" w:rsidRDefault="00CA2EC3" w:rsidP="00337FD0">
            <w:pPr>
              <w:pStyle w:val="TableHeading"/>
              <w:rPr>
                <w:rFonts w:cs="Arial"/>
                <w:b w:val="0"/>
                <w:color w:val="FFFFFF" w:themeColor="background1"/>
              </w:rPr>
            </w:pPr>
            <w:r w:rsidRPr="00337FD0">
              <w:rPr>
                <w:rFonts w:cs="Arial"/>
                <w:color w:val="FFFFFF" w:themeColor="background1"/>
              </w:rPr>
              <w:t>Current fee</w:t>
            </w:r>
          </w:p>
        </w:tc>
        <w:tc>
          <w:tcPr>
            <w:tcW w:w="1038" w:type="dxa"/>
            <w:tcBorders>
              <w:top w:val="nil"/>
              <w:left w:val="single" w:sz="4" w:space="0" w:color="FFFFFF" w:themeColor="background1"/>
              <w:right w:val="single" w:sz="4" w:space="0" w:color="FFFFFF" w:themeColor="background1"/>
            </w:tcBorders>
            <w:shd w:val="clear" w:color="auto" w:fill="404040" w:themeFill="text1" w:themeFillTint="BF"/>
          </w:tcPr>
          <w:p w14:paraId="7C37C0C9" w14:textId="77777777" w:rsidR="00CA2EC3" w:rsidRPr="00337FD0" w:rsidRDefault="00CA2EC3" w:rsidP="00337FD0">
            <w:pPr>
              <w:pStyle w:val="TableHeading"/>
              <w:rPr>
                <w:rFonts w:cs="Arial"/>
                <w:b w:val="0"/>
                <w:color w:val="FFFFFF" w:themeColor="background1"/>
              </w:rPr>
            </w:pPr>
            <w:r w:rsidRPr="00337FD0">
              <w:rPr>
                <w:rFonts w:cs="Arial"/>
                <w:color w:val="FFFFFF" w:themeColor="background1"/>
              </w:rPr>
              <w:t>Current estimated revenue per annum</w:t>
            </w:r>
            <w:r w:rsidRPr="00CA2EC3">
              <w:rPr>
                <w:rStyle w:val="FootnoteReference"/>
                <w:rFonts w:cs="Arial"/>
                <w:color w:val="FFFFFF" w:themeColor="background1"/>
              </w:rPr>
              <w:footnoteReference w:id="4"/>
            </w:r>
          </w:p>
        </w:tc>
        <w:tc>
          <w:tcPr>
            <w:tcW w:w="1172" w:type="dxa"/>
            <w:tcBorders>
              <w:top w:val="nil"/>
              <w:left w:val="single" w:sz="4" w:space="0" w:color="FFFFFF" w:themeColor="background1"/>
              <w:right w:val="single" w:sz="4" w:space="0" w:color="FFFFFF" w:themeColor="background1"/>
            </w:tcBorders>
            <w:shd w:val="clear" w:color="auto" w:fill="404040" w:themeFill="text1" w:themeFillTint="BF"/>
          </w:tcPr>
          <w:p w14:paraId="01EBCE98" w14:textId="77777777" w:rsidR="00CA2EC3" w:rsidRPr="00337FD0" w:rsidRDefault="00CA2EC3" w:rsidP="00337FD0">
            <w:pPr>
              <w:pStyle w:val="TableHeading"/>
              <w:rPr>
                <w:rFonts w:cs="Arial"/>
                <w:b w:val="0"/>
                <w:color w:val="FFFFFF" w:themeColor="background1"/>
              </w:rPr>
            </w:pPr>
            <w:r w:rsidRPr="00337FD0">
              <w:rPr>
                <w:rFonts w:cs="Arial"/>
                <w:color w:val="FFFFFF" w:themeColor="background1"/>
              </w:rPr>
              <w:t>Proposed fee</w:t>
            </w:r>
          </w:p>
        </w:tc>
        <w:tc>
          <w:tcPr>
            <w:tcW w:w="1022" w:type="dxa"/>
            <w:tcBorders>
              <w:top w:val="nil"/>
              <w:left w:val="single" w:sz="4" w:space="0" w:color="FFFFFF" w:themeColor="background1"/>
              <w:right w:val="single" w:sz="4" w:space="0" w:color="FFFFFF" w:themeColor="background1"/>
            </w:tcBorders>
            <w:shd w:val="clear" w:color="auto" w:fill="404040" w:themeFill="text1" w:themeFillTint="BF"/>
          </w:tcPr>
          <w:p w14:paraId="4E613C2A" w14:textId="77777777" w:rsidR="00CA2EC3" w:rsidRPr="00337FD0" w:rsidRDefault="00CA2EC3" w:rsidP="00337FD0">
            <w:pPr>
              <w:pStyle w:val="TableHeading"/>
              <w:rPr>
                <w:rFonts w:cs="Arial"/>
                <w:b w:val="0"/>
                <w:color w:val="FFFFFF" w:themeColor="background1"/>
              </w:rPr>
            </w:pPr>
            <w:r w:rsidRPr="00337FD0">
              <w:rPr>
                <w:rFonts w:cs="Arial"/>
                <w:color w:val="FFFFFF" w:themeColor="background1"/>
              </w:rPr>
              <w:t>Estimated number of applications per annum</w:t>
            </w:r>
          </w:p>
        </w:tc>
        <w:tc>
          <w:tcPr>
            <w:tcW w:w="956" w:type="dxa"/>
            <w:tcBorders>
              <w:top w:val="nil"/>
              <w:left w:val="single" w:sz="4" w:space="0" w:color="FFFFFF" w:themeColor="background1"/>
            </w:tcBorders>
            <w:shd w:val="clear" w:color="auto" w:fill="404040" w:themeFill="text1" w:themeFillTint="BF"/>
          </w:tcPr>
          <w:p w14:paraId="034DF1C7" w14:textId="77777777" w:rsidR="00CA2EC3" w:rsidRPr="00337FD0" w:rsidRDefault="00CA2EC3" w:rsidP="00337FD0">
            <w:pPr>
              <w:pStyle w:val="TableHeading"/>
              <w:rPr>
                <w:rFonts w:cs="Arial"/>
                <w:b w:val="0"/>
                <w:color w:val="FFFFFF" w:themeColor="background1"/>
              </w:rPr>
            </w:pPr>
            <w:r w:rsidRPr="00337FD0">
              <w:rPr>
                <w:rFonts w:cs="Arial"/>
                <w:color w:val="FFFFFF" w:themeColor="background1"/>
              </w:rPr>
              <w:t>Future estimated revenue per annum</w:t>
            </w:r>
          </w:p>
        </w:tc>
      </w:tr>
      <w:tr w:rsidR="00CA2EC3" w14:paraId="662B1983" w14:textId="77777777" w:rsidTr="00337FD0">
        <w:tc>
          <w:tcPr>
            <w:tcW w:w="851" w:type="dxa"/>
          </w:tcPr>
          <w:p w14:paraId="3B997FD2" w14:textId="77777777" w:rsidR="00CA2EC3" w:rsidRPr="00CA2EC3" w:rsidRDefault="00CA2EC3" w:rsidP="00337FD0">
            <w:pPr>
              <w:spacing w:after="0"/>
              <w:rPr>
                <w:rFonts w:cs="Arial"/>
              </w:rPr>
            </w:pPr>
            <w:r w:rsidRPr="00CA2EC3">
              <w:rPr>
                <w:rFonts w:cs="Arial"/>
              </w:rPr>
              <w:t>140-143</w:t>
            </w:r>
          </w:p>
        </w:tc>
        <w:tc>
          <w:tcPr>
            <w:tcW w:w="2126" w:type="dxa"/>
          </w:tcPr>
          <w:p w14:paraId="0AC95E5A" w14:textId="77777777" w:rsidR="00CA2EC3" w:rsidRPr="00337FD0" w:rsidRDefault="00CA2EC3" w:rsidP="00337FD0">
            <w:pPr>
              <w:spacing w:after="0"/>
              <w:rPr>
                <w:rFonts w:cs="Arial"/>
              </w:rPr>
            </w:pPr>
            <w:r w:rsidRPr="00337FD0">
              <w:rPr>
                <w:rFonts w:cs="Arial"/>
              </w:rPr>
              <w:t>Geographic number allocation</w:t>
            </w:r>
          </w:p>
        </w:tc>
        <w:tc>
          <w:tcPr>
            <w:tcW w:w="1856" w:type="dxa"/>
            <w:tcBorders>
              <w:bottom w:val="single" w:sz="4" w:space="0" w:color="auto"/>
            </w:tcBorders>
          </w:tcPr>
          <w:p w14:paraId="6A356BF9" w14:textId="77777777" w:rsidR="00CA2EC3" w:rsidRPr="00337FD0" w:rsidRDefault="00CA2EC3" w:rsidP="00337FD0">
            <w:pPr>
              <w:spacing w:after="0"/>
              <w:rPr>
                <w:rFonts w:cs="Arial"/>
              </w:rPr>
            </w:pPr>
            <w:r w:rsidRPr="00337FD0">
              <w:rPr>
                <w:rFonts w:cs="Arial"/>
              </w:rPr>
              <w:t>$138 and $151 per application &amp; $3 and $4 for subsequent sequential block</w:t>
            </w:r>
          </w:p>
        </w:tc>
        <w:tc>
          <w:tcPr>
            <w:tcW w:w="1038" w:type="dxa"/>
          </w:tcPr>
          <w:p w14:paraId="1E7C2206" w14:textId="77777777" w:rsidR="00CA2EC3" w:rsidRPr="00337FD0" w:rsidRDefault="00CA2EC3" w:rsidP="00337FD0">
            <w:pPr>
              <w:spacing w:after="0"/>
              <w:rPr>
                <w:rFonts w:cs="Arial"/>
              </w:rPr>
            </w:pPr>
            <w:r w:rsidRPr="00337FD0">
              <w:rPr>
                <w:rFonts w:cs="Arial"/>
              </w:rPr>
              <w:t>$8,120</w:t>
            </w:r>
          </w:p>
        </w:tc>
        <w:tc>
          <w:tcPr>
            <w:tcW w:w="1172" w:type="dxa"/>
          </w:tcPr>
          <w:p w14:paraId="1B320F9B" w14:textId="77777777" w:rsidR="00CA2EC3" w:rsidRPr="00337FD0" w:rsidRDefault="00CA2EC3" w:rsidP="00337FD0">
            <w:pPr>
              <w:spacing w:after="0"/>
              <w:rPr>
                <w:rFonts w:cs="Arial"/>
              </w:rPr>
            </w:pPr>
            <w:r w:rsidRPr="00337FD0">
              <w:rPr>
                <w:rFonts w:cs="Arial"/>
              </w:rPr>
              <w:t>$19.50 per application</w:t>
            </w:r>
          </w:p>
        </w:tc>
        <w:tc>
          <w:tcPr>
            <w:tcW w:w="1022" w:type="dxa"/>
          </w:tcPr>
          <w:p w14:paraId="6A8D7576" w14:textId="77777777" w:rsidR="00CA2EC3" w:rsidRPr="00337FD0" w:rsidRDefault="00CA2EC3" w:rsidP="00337FD0">
            <w:pPr>
              <w:spacing w:after="0"/>
              <w:rPr>
                <w:rFonts w:cs="Arial"/>
              </w:rPr>
            </w:pPr>
            <w:r w:rsidRPr="00337FD0">
              <w:rPr>
                <w:rFonts w:cs="Arial"/>
              </w:rPr>
              <w:t>56</w:t>
            </w:r>
          </w:p>
        </w:tc>
        <w:tc>
          <w:tcPr>
            <w:tcW w:w="956" w:type="dxa"/>
          </w:tcPr>
          <w:p w14:paraId="4FE02CFF" w14:textId="77777777" w:rsidR="00CA2EC3" w:rsidRPr="00337FD0" w:rsidRDefault="00CA2EC3" w:rsidP="00337FD0">
            <w:pPr>
              <w:spacing w:after="0"/>
              <w:rPr>
                <w:rFonts w:cs="Arial"/>
              </w:rPr>
            </w:pPr>
            <w:r w:rsidRPr="00337FD0">
              <w:rPr>
                <w:rFonts w:cs="Arial"/>
              </w:rPr>
              <w:t>$1,092</w:t>
            </w:r>
          </w:p>
        </w:tc>
      </w:tr>
      <w:tr w:rsidR="00CA2EC3" w:rsidRPr="00004CCD" w14:paraId="3A746CB6" w14:textId="77777777" w:rsidTr="00337FD0">
        <w:tc>
          <w:tcPr>
            <w:tcW w:w="851" w:type="dxa"/>
            <w:vMerge w:val="restart"/>
          </w:tcPr>
          <w:p w14:paraId="1E7E9F7E" w14:textId="77777777" w:rsidR="00CA2EC3" w:rsidRPr="00CA2EC3" w:rsidRDefault="00CA2EC3" w:rsidP="00337FD0">
            <w:pPr>
              <w:spacing w:after="0"/>
              <w:rPr>
                <w:rFonts w:cs="Arial"/>
              </w:rPr>
            </w:pPr>
            <w:r w:rsidRPr="00CA2EC3">
              <w:rPr>
                <w:rFonts w:cs="Arial"/>
              </w:rPr>
              <w:t>161</w:t>
            </w:r>
          </w:p>
        </w:tc>
        <w:tc>
          <w:tcPr>
            <w:tcW w:w="2126" w:type="dxa"/>
          </w:tcPr>
          <w:p w14:paraId="7AB963A3" w14:textId="77777777" w:rsidR="00CA2EC3" w:rsidRPr="00337FD0" w:rsidRDefault="00CA2EC3" w:rsidP="00337FD0">
            <w:pPr>
              <w:spacing w:after="0"/>
              <w:rPr>
                <w:rFonts w:cs="Arial"/>
              </w:rPr>
            </w:pPr>
            <w:r w:rsidRPr="00337FD0">
              <w:rPr>
                <w:rFonts w:cs="Arial"/>
              </w:rPr>
              <w:t>Smartnumber registration (EROU)</w:t>
            </w:r>
          </w:p>
        </w:tc>
        <w:tc>
          <w:tcPr>
            <w:tcW w:w="1856" w:type="dxa"/>
            <w:tcBorders>
              <w:bottom w:val="single" w:sz="4" w:space="0" w:color="auto"/>
            </w:tcBorders>
          </w:tcPr>
          <w:p w14:paraId="35304D44" w14:textId="77777777" w:rsidR="00CA2EC3" w:rsidRPr="00337FD0" w:rsidRDefault="00CA2EC3" w:rsidP="00337FD0">
            <w:pPr>
              <w:spacing w:after="0"/>
              <w:rPr>
                <w:rFonts w:cs="Arial"/>
              </w:rPr>
            </w:pPr>
            <w:r w:rsidRPr="00337FD0">
              <w:rPr>
                <w:rFonts w:cs="Arial"/>
              </w:rPr>
              <w:t>$42 per registration</w:t>
            </w:r>
          </w:p>
        </w:tc>
        <w:tc>
          <w:tcPr>
            <w:tcW w:w="1038" w:type="dxa"/>
          </w:tcPr>
          <w:p w14:paraId="1910F6A8" w14:textId="77777777" w:rsidR="00CA2EC3" w:rsidRPr="00337FD0" w:rsidRDefault="00CA2EC3" w:rsidP="00337FD0">
            <w:pPr>
              <w:spacing w:after="0"/>
              <w:rPr>
                <w:rFonts w:cs="Arial"/>
              </w:rPr>
            </w:pPr>
            <w:r w:rsidRPr="00337FD0">
              <w:rPr>
                <w:rFonts w:cs="Arial"/>
              </w:rPr>
              <w:t>$94,304</w:t>
            </w:r>
          </w:p>
        </w:tc>
        <w:tc>
          <w:tcPr>
            <w:tcW w:w="1172" w:type="dxa"/>
          </w:tcPr>
          <w:p w14:paraId="3AD3536A" w14:textId="77777777" w:rsidR="00CA2EC3" w:rsidRPr="00337FD0" w:rsidRDefault="00CA2EC3" w:rsidP="00337FD0">
            <w:pPr>
              <w:spacing w:after="0"/>
              <w:rPr>
                <w:rFonts w:cs="Arial"/>
              </w:rPr>
            </w:pPr>
            <w:r w:rsidRPr="00337FD0">
              <w:rPr>
                <w:rFonts w:cs="Arial"/>
              </w:rPr>
              <w:t>$19.50 per registration</w:t>
            </w:r>
          </w:p>
        </w:tc>
        <w:tc>
          <w:tcPr>
            <w:tcW w:w="1022" w:type="dxa"/>
          </w:tcPr>
          <w:p w14:paraId="5833CED1" w14:textId="77777777" w:rsidR="00CA2EC3" w:rsidRPr="00337FD0" w:rsidRDefault="00CA2EC3" w:rsidP="00337FD0">
            <w:pPr>
              <w:spacing w:after="0"/>
              <w:rPr>
                <w:rFonts w:cs="Arial"/>
              </w:rPr>
            </w:pPr>
            <w:r w:rsidRPr="00337FD0">
              <w:rPr>
                <w:rFonts w:cs="Arial"/>
              </w:rPr>
              <w:t>2,800</w:t>
            </w:r>
          </w:p>
        </w:tc>
        <w:tc>
          <w:tcPr>
            <w:tcW w:w="956" w:type="dxa"/>
          </w:tcPr>
          <w:p w14:paraId="56920270" w14:textId="77777777" w:rsidR="00CA2EC3" w:rsidRPr="00337FD0" w:rsidRDefault="00CA2EC3" w:rsidP="00337FD0">
            <w:pPr>
              <w:spacing w:after="0"/>
              <w:rPr>
                <w:rFonts w:cs="Arial"/>
              </w:rPr>
            </w:pPr>
            <w:r w:rsidRPr="00337FD0">
              <w:rPr>
                <w:rFonts w:cs="Arial"/>
              </w:rPr>
              <w:t>$54,600</w:t>
            </w:r>
          </w:p>
        </w:tc>
      </w:tr>
      <w:tr w:rsidR="00CA2EC3" w14:paraId="719BC1A8" w14:textId="77777777" w:rsidTr="00337FD0">
        <w:tc>
          <w:tcPr>
            <w:tcW w:w="851" w:type="dxa"/>
            <w:vMerge/>
            <w:tcBorders>
              <w:bottom w:val="single" w:sz="4" w:space="0" w:color="auto"/>
            </w:tcBorders>
          </w:tcPr>
          <w:p w14:paraId="1F7B5CC8" w14:textId="77777777" w:rsidR="00CA2EC3" w:rsidRPr="00CA2EC3" w:rsidRDefault="00CA2EC3" w:rsidP="00337FD0">
            <w:pPr>
              <w:spacing w:after="0"/>
              <w:rPr>
                <w:rFonts w:cs="Arial"/>
              </w:rPr>
            </w:pPr>
          </w:p>
        </w:tc>
        <w:tc>
          <w:tcPr>
            <w:tcW w:w="2126" w:type="dxa"/>
            <w:tcBorders>
              <w:bottom w:val="single" w:sz="4" w:space="0" w:color="auto"/>
            </w:tcBorders>
          </w:tcPr>
          <w:p w14:paraId="5AA33640" w14:textId="77777777" w:rsidR="00CA2EC3" w:rsidRPr="00CA2EC3" w:rsidRDefault="00CA2EC3" w:rsidP="00337FD0">
            <w:pPr>
              <w:spacing w:after="0"/>
              <w:rPr>
                <w:rFonts w:cs="Arial"/>
              </w:rPr>
            </w:pPr>
            <w:r w:rsidRPr="00CA2EC3">
              <w:rPr>
                <w:rFonts w:cs="Arial"/>
              </w:rPr>
              <w:t>CSP Registration</w:t>
            </w:r>
          </w:p>
        </w:tc>
        <w:tc>
          <w:tcPr>
            <w:tcW w:w="1856" w:type="dxa"/>
            <w:tcBorders>
              <w:bottom w:val="single" w:sz="4" w:space="0" w:color="auto"/>
            </w:tcBorders>
          </w:tcPr>
          <w:p w14:paraId="42652E09" w14:textId="77777777" w:rsidR="00CA2EC3" w:rsidRPr="00CA2EC3" w:rsidRDefault="00CA2EC3" w:rsidP="00337FD0">
            <w:pPr>
              <w:spacing w:after="0"/>
              <w:rPr>
                <w:rFonts w:cs="Arial"/>
              </w:rPr>
            </w:pPr>
            <w:r w:rsidRPr="00CA2EC3">
              <w:rPr>
                <w:rFonts w:cs="Arial"/>
              </w:rPr>
              <w:t>$0</w:t>
            </w:r>
          </w:p>
        </w:tc>
        <w:tc>
          <w:tcPr>
            <w:tcW w:w="1038" w:type="dxa"/>
            <w:tcBorders>
              <w:bottom w:val="single" w:sz="4" w:space="0" w:color="auto"/>
            </w:tcBorders>
          </w:tcPr>
          <w:p w14:paraId="3EA3E19E" w14:textId="77777777" w:rsidR="00CA2EC3" w:rsidRPr="00CA2EC3" w:rsidRDefault="00CA2EC3" w:rsidP="00337FD0">
            <w:pPr>
              <w:spacing w:after="0"/>
              <w:rPr>
                <w:rFonts w:cs="Arial"/>
              </w:rPr>
            </w:pPr>
          </w:p>
        </w:tc>
        <w:tc>
          <w:tcPr>
            <w:tcW w:w="1172" w:type="dxa"/>
            <w:tcBorders>
              <w:bottom w:val="single" w:sz="4" w:space="0" w:color="auto"/>
            </w:tcBorders>
          </w:tcPr>
          <w:p w14:paraId="301335C7" w14:textId="77777777" w:rsidR="00CA2EC3" w:rsidRPr="00337FD0" w:rsidRDefault="00CA2EC3" w:rsidP="00337FD0">
            <w:pPr>
              <w:spacing w:after="0"/>
              <w:rPr>
                <w:rFonts w:cs="Arial"/>
              </w:rPr>
            </w:pPr>
            <w:r w:rsidRPr="00337FD0">
              <w:rPr>
                <w:rFonts w:cs="Arial"/>
              </w:rPr>
              <w:t>$19.50 per registration</w:t>
            </w:r>
          </w:p>
        </w:tc>
        <w:tc>
          <w:tcPr>
            <w:tcW w:w="1022" w:type="dxa"/>
            <w:tcBorders>
              <w:bottom w:val="single" w:sz="4" w:space="0" w:color="auto"/>
            </w:tcBorders>
          </w:tcPr>
          <w:p w14:paraId="6C02E2CA" w14:textId="77777777" w:rsidR="00CA2EC3" w:rsidRPr="00CA2EC3" w:rsidRDefault="00CA2EC3" w:rsidP="00337FD0">
            <w:pPr>
              <w:spacing w:after="0"/>
              <w:rPr>
                <w:rFonts w:cs="Arial"/>
              </w:rPr>
            </w:pPr>
            <w:r w:rsidRPr="00CA2EC3">
              <w:rPr>
                <w:rFonts w:cs="Arial"/>
              </w:rPr>
              <w:t>3</w:t>
            </w:r>
          </w:p>
        </w:tc>
        <w:tc>
          <w:tcPr>
            <w:tcW w:w="956" w:type="dxa"/>
            <w:tcBorders>
              <w:bottom w:val="single" w:sz="4" w:space="0" w:color="auto"/>
            </w:tcBorders>
          </w:tcPr>
          <w:p w14:paraId="45C354DF" w14:textId="77777777" w:rsidR="00CA2EC3" w:rsidRPr="00CA2EC3" w:rsidRDefault="00CA2EC3" w:rsidP="00337FD0">
            <w:pPr>
              <w:spacing w:after="0"/>
              <w:rPr>
                <w:rFonts w:cs="Arial"/>
              </w:rPr>
            </w:pPr>
            <w:r w:rsidRPr="00CA2EC3">
              <w:rPr>
                <w:rFonts w:cs="Arial"/>
              </w:rPr>
              <w:t>$58</w:t>
            </w:r>
          </w:p>
        </w:tc>
      </w:tr>
      <w:tr w:rsidR="00CA2EC3" w:rsidRPr="00004CCD" w14:paraId="27FF9C27" w14:textId="77777777" w:rsidTr="00337FD0">
        <w:tc>
          <w:tcPr>
            <w:tcW w:w="851" w:type="dxa"/>
          </w:tcPr>
          <w:p w14:paraId="7F613147" w14:textId="77777777" w:rsidR="00CA2EC3" w:rsidRPr="00CA2EC3" w:rsidRDefault="00CA2EC3" w:rsidP="00337FD0">
            <w:pPr>
              <w:spacing w:after="0"/>
              <w:rPr>
                <w:rFonts w:cs="Arial"/>
                <w:b/>
              </w:rPr>
            </w:pPr>
          </w:p>
        </w:tc>
        <w:tc>
          <w:tcPr>
            <w:tcW w:w="2126" w:type="dxa"/>
          </w:tcPr>
          <w:p w14:paraId="4EAC7CAF" w14:textId="77777777" w:rsidR="00CA2EC3" w:rsidRPr="00CA2EC3" w:rsidRDefault="00CA2EC3" w:rsidP="00337FD0">
            <w:pPr>
              <w:spacing w:after="0"/>
              <w:rPr>
                <w:rFonts w:cs="Arial"/>
                <w:b/>
              </w:rPr>
            </w:pPr>
            <w:r w:rsidRPr="00CA2EC3">
              <w:rPr>
                <w:rFonts w:cs="Arial"/>
                <w:b/>
              </w:rPr>
              <w:t>Total</w:t>
            </w:r>
          </w:p>
        </w:tc>
        <w:tc>
          <w:tcPr>
            <w:tcW w:w="1856" w:type="dxa"/>
            <w:tcBorders>
              <w:top w:val="single" w:sz="4" w:space="0" w:color="auto"/>
            </w:tcBorders>
          </w:tcPr>
          <w:p w14:paraId="4A382435" w14:textId="77777777" w:rsidR="00CA2EC3" w:rsidRPr="00CA2EC3" w:rsidRDefault="00CA2EC3" w:rsidP="00337FD0">
            <w:pPr>
              <w:spacing w:after="0"/>
              <w:rPr>
                <w:rFonts w:cs="Arial"/>
                <w:b/>
              </w:rPr>
            </w:pPr>
          </w:p>
        </w:tc>
        <w:tc>
          <w:tcPr>
            <w:tcW w:w="1038" w:type="dxa"/>
          </w:tcPr>
          <w:p w14:paraId="66D1EEE7" w14:textId="77777777" w:rsidR="00CA2EC3" w:rsidRPr="00CA2EC3" w:rsidRDefault="00CA2EC3" w:rsidP="00337FD0">
            <w:pPr>
              <w:spacing w:after="0"/>
              <w:rPr>
                <w:rFonts w:cs="Arial"/>
                <w:b/>
              </w:rPr>
            </w:pPr>
            <w:r w:rsidRPr="00CA2EC3">
              <w:rPr>
                <w:rFonts w:cs="Arial"/>
                <w:b/>
              </w:rPr>
              <w:t>$102,424</w:t>
            </w:r>
          </w:p>
        </w:tc>
        <w:tc>
          <w:tcPr>
            <w:tcW w:w="1172" w:type="dxa"/>
          </w:tcPr>
          <w:p w14:paraId="1EC6F21B" w14:textId="77777777" w:rsidR="00CA2EC3" w:rsidRPr="00CA2EC3" w:rsidRDefault="00CA2EC3" w:rsidP="00337FD0">
            <w:pPr>
              <w:spacing w:after="0"/>
              <w:rPr>
                <w:rFonts w:cs="Arial"/>
                <w:b/>
              </w:rPr>
            </w:pPr>
          </w:p>
        </w:tc>
        <w:tc>
          <w:tcPr>
            <w:tcW w:w="1022" w:type="dxa"/>
          </w:tcPr>
          <w:p w14:paraId="5142B5A6" w14:textId="77777777" w:rsidR="00CA2EC3" w:rsidRPr="00CA2EC3" w:rsidRDefault="00CA2EC3" w:rsidP="00337FD0">
            <w:pPr>
              <w:spacing w:after="0"/>
              <w:rPr>
                <w:rFonts w:cs="Arial"/>
                <w:b/>
              </w:rPr>
            </w:pPr>
          </w:p>
        </w:tc>
        <w:tc>
          <w:tcPr>
            <w:tcW w:w="956" w:type="dxa"/>
          </w:tcPr>
          <w:p w14:paraId="073F71DB" w14:textId="77777777" w:rsidR="00CA2EC3" w:rsidRPr="00CA2EC3" w:rsidRDefault="00CA2EC3" w:rsidP="00337FD0">
            <w:pPr>
              <w:spacing w:after="0"/>
              <w:rPr>
                <w:rFonts w:cs="Arial"/>
                <w:b/>
              </w:rPr>
            </w:pPr>
            <w:r w:rsidRPr="00CA2EC3">
              <w:rPr>
                <w:rFonts w:cs="Arial"/>
                <w:b/>
              </w:rPr>
              <w:t>$55,750</w:t>
            </w:r>
          </w:p>
        </w:tc>
      </w:tr>
    </w:tbl>
    <w:p w14:paraId="6E1B62CA" w14:textId="77777777" w:rsidR="0083756D" w:rsidRPr="0083756D" w:rsidRDefault="0083756D" w:rsidP="00337FD0">
      <w:pPr>
        <w:pStyle w:val="Heading2"/>
      </w:pPr>
      <w:bookmarkStart w:id="11" w:name="_Toc424828643"/>
      <w:r w:rsidRPr="0083756D">
        <w:t>Risk assessment</w:t>
      </w:r>
      <w:bookmarkEnd w:id="11"/>
    </w:p>
    <w:p w14:paraId="2BA9CF41" w14:textId="624B5545" w:rsidR="0083756D" w:rsidRPr="0083756D" w:rsidRDefault="0083756D" w:rsidP="0083756D">
      <w:pPr>
        <w:spacing w:line="280" w:lineRule="atLeast"/>
        <w:rPr>
          <w:rFonts w:cs="Arial"/>
        </w:rPr>
      </w:pPr>
      <w:r w:rsidRPr="0083756D">
        <w:rPr>
          <w:rFonts w:cs="Arial"/>
        </w:rPr>
        <w:t>A risk assessment has been undertaken for the above cost recovery activities resulting in an overall rating of medium for the activities’ cost recovery arrangement. This rating is essentially due to a reduction in the annual cost recovery revenue of more than 10</w:t>
      </w:r>
      <w:r w:rsidR="00CA2EC3">
        <w:rPr>
          <w:rFonts w:cs="Arial"/>
        </w:rPr>
        <w:t xml:space="preserve"> per cent</w:t>
      </w:r>
      <w:r w:rsidRPr="0083756D">
        <w:rPr>
          <w:rFonts w:cs="Arial"/>
        </w:rPr>
        <w:t xml:space="preserve">. This cost savings is expected to be achieved through a fully automated number allocation and registration system. Therefore, the reduction does not present any risks to the Commonwealth or stakeholders. There are no complexities involved with the pricing mechanism as the fees for the services will continue to be charged under cost recovery arrangement. The ACMA will monitor the financial performance of the above activities on a regular basis by obtaining actual results from </w:t>
      </w:r>
      <w:proofErr w:type="spellStart"/>
      <w:r w:rsidRPr="0083756D">
        <w:rPr>
          <w:rFonts w:cs="Arial"/>
        </w:rPr>
        <w:t>Zoak</w:t>
      </w:r>
      <w:proofErr w:type="spellEnd"/>
      <w:r w:rsidRPr="0083756D">
        <w:rPr>
          <w:rFonts w:cs="Arial"/>
        </w:rPr>
        <w:t xml:space="preserve"> with a view to minimising any over or under recoveries.</w:t>
      </w:r>
    </w:p>
    <w:p w14:paraId="2C80AB6F" w14:textId="77777777" w:rsidR="0083756D" w:rsidRPr="0083756D" w:rsidRDefault="0083756D" w:rsidP="00337FD0">
      <w:pPr>
        <w:pStyle w:val="Heading2"/>
      </w:pPr>
      <w:bookmarkStart w:id="12" w:name="_Toc424828644"/>
      <w:r w:rsidRPr="0083756D">
        <w:t>Stakeholder engagement</w:t>
      </w:r>
      <w:bookmarkEnd w:id="12"/>
    </w:p>
    <w:p w14:paraId="5F3D8B5A" w14:textId="6888AE01" w:rsidR="0083756D" w:rsidRPr="0083756D" w:rsidRDefault="0083756D" w:rsidP="0083756D">
      <w:pPr>
        <w:spacing w:line="280" w:lineRule="atLeast"/>
        <w:rPr>
          <w:rFonts w:cs="Arial"/>
        </w:rPr>
      </w:pPr>
      <w:r w:rsidRPr="0083756D">
        <w:rPr>
          <w:rFonts w:cs="Arial"/>
        </w:rPr>
        <w:t>The ACMA conducted a public consultation process for a four</w:t>
      </w:r>
      <w:r w:rsidR="00CA2EC3">
        <w:rPr>
          <w:rFonts w:cs="Arial"/>
        </w:rPr>
        <w:t>-</w:t>
      </w:r>
      <w:r w:rsidRPr="0083756D">
        <w:rPr>
          <w:rFonts w:cs="Arial"/>
        </w:rPr>
        <w:t>week period from 8 April to 8 May 2015. The draft instruments to give effect to the proposed charges and a consultation document explaining the methodology and providing policy context to the proposal was made available of the ACMA’s website. The ACMA separately emailed members of it Numbering Advisory Committee (comprising representatives from government, consumer and telecommun</w:t>
      </w:r>
      <w:r w:rsidR="00337FD0">
        <w:rPr>
          <w:rFonts w:cs="Arial"/>
        </w:rPr>
        <w:t>ic</w:t>
      </w:r>
      <w:r w:rsidRPr="0083756D">
        <w:rPr>
          <w:rFonts w:cs="Arial"/>
        </w:rPr>
        <w:t xml:space="preserve">ations organisations) alerting them to </w:t>
      </w:r>
      <w:r w:rsidRPr="0083756D">
        <w:rPr>
          <w:rFonts w:cs="Arial"/>
        </w:rPr>
        <w:lastRenderedPageBreak/>
        <w:t>opportunity to comment on the ACMA’s proposed charges. The proposed charges were discussed at the ACMA’s Numbering Advisory Committee on 17 April 2015 and members of the ACMA’s Numbering Services Implementation Steering Committee (comprising representatives of government, telecommun</w:t>
      </w:r>
      <w:r w:rsidR="00337FD0">
        <w:rPr>
          <w:rFonts w:cs="Arial"/>
        </w:rPr>
        <w:t>ic</w:t>
      </w:r>
      <w:r w:rsidRPr="0083756D">
        <w:rPr>
          <w:rFonts w:cs="Arial"/>
        </w:rPr>
        <w:t>ations companies, and the ACMA’s current and future delegates for numbering allocation) were invited to discuss the ACMA’s proposal at its meeting on 23 April 2015.</w:t>
      </w:r>
    </w:p>
    <w:p w14:paraId="5717E737" w14:textId="289E2009" w:rsidR="0083756D" w:rsidRPr="0083756D" w:rsidRDefault="0083756D" w:rsidP="0083756D">
      <w:pPr>
        <w:spacing w:line="280" w:lineRule="atLeast"/>
        <w:rPr>
          <w:rFonts w:cs="Arial"/>
        </w:rPr>
      </w:pPr>
      <w:r w:rsidRPr="0083756D">
        <w:rPr>
          <w:rFonts w:cs="Arial"/>
        </w:rPr>
        <w:t xml:space="preserve">Two submissions were received in relation to the above cost recovery activities. No alternatives to the ACMA’s proposed charging methodology were identified in submissions. The matters raised in submissions are set out below. </w:t>
      </w:r>
    </w:p>
    <w:p w14:paraId="4B0E1BEC" w14:textId="553FB489" w:rsidR="0083756D" w:rsidRPr="00337FD0" w:rsidRDefault="0083756D" w:rsidP="00337FD0">
      <w:pPr>
        <w:spacing w:after="0" w:line="280" w:lineRule="atLeast"/>
        <w:rPr>
          <w:rFonts w:cs="Arial"/>
          <w:b/>
        </w:rPr>
      </w:pPr>
      <w:r w:rsidRPr="00337FD0">
        <w:rPr>
          <w:b/>
        </w:rPr>
        <w:t>Financial benefits for industry</w:t>
      </w:r>
    </w:p>
    <w:p w14:paraId="7751F8A2" w14:textId="77777777" w:rsidR="0083756D" w:rsidRPr="0083756D" w:rsidRDefault="0083756D" w:rsidP="0083756D">
      <w:pPr>
        <w:spacing w:line="280" w:lineRule="atLeast"/>
        <w:rPr>
          <w:rFonts w:cs="Arial"/>
        </w:rPr>
      </w:pPr>
      <w:r w:rsidRPr="0083756D">
        <w:rPr>
          <w:rFonts w:cs="Arial"/>
        </w:rPr>
        <w:t>Submitters assert that the new numbering arrangements will result in a net cost increase for industry when considering the costs for delegated services (to which the proposed charges will apply) and non-delegated services (services provided by industry).</w:t>
      </w:r>
    </w:p>
    <w:p w14:paraId="1EBC5F22" w14:textId="77777777" w:rsidR="0083756D" w:rsidRPr="0083756D" w:rsidRDefault="0083756D" w:rsidP="0083756D">
      <w:pPr>
        <w:spacing w:line="280" w:lineRule="atLeast"/>
        <w:rPr>
          <w:rFonts w:cs="Arial"/>
        </w:rPr>
      </w:pPr>
      <w:r w:rsidRPr="00337FD0">
        <w:rPr>
          <w:rFonts w:cs="Arial"/>
          <w:i/>
        </w:rPr>
        <w:t>ACMA response:</w:t>
      </w:r>
      <w:r w:rsidRPr="0083756D">
        <w:rPr>
          <w:rFonts w:cs="Arial"/>
        </w:rPr>
        <w:t xml:space="preserve"> The ACMA has delivered cost savings for the numbering functions under its control. Whether that translates to total cost savings to industry will be largely influenced by industry decisions on the services it provides. </w:t>
      </w:r>
    </w:p>
    <w:p w14:paraId="3B9A4DA1" w14:textId="07FDDF9D" w:rsidR="0083756D" w:rsidRPr="00337FD0" w:rsidRDefault="0083756D" w:rsidP="00337FD0">
      <w:pPr>
        <w:spacing w:after="0" w:line="280" w:lineRule="atLeast"/>
        <w:rPr>
          <w:rFonts w:cs="Arial"/>
          <w:b/>
        </w:rPr>
      </w:pPr>
      <w:r w:rsidRPr="00337FD0">
        <w:rPr>
          <w:rFonts w:cs="Arial"/>
          <w:b/>
        </w:rPr>
        <w:t xml:space="preserve">Reserve prices for smartnumbers </w:t>
      </w:r>
    </w:p>
    <w:p w14:paraId="29A0EEC2" w14:textId="77777777" w:rsidR="0083756D" w:rsidRPr="0083756D" w:rsidRDefault="0083756D" w:rsidP="0083756D">
      <w:pPr>
        <w:spacing w:line="280" w:lineRule="atLeast"/>
        <w:rPr>
          <w:rFonts w:cs="Arial"/>
        </w:rPr>
      </w:pPr>
      <w:r w:rsidRPr="0083756D">
        <w:rPr>
          <w:rFonts w:cs="Arial"/>
        </w:rPr>
        <w:t>Submitters commented that the reserve prices for smartnumber is too high.</w:t>
      </w:r>
    </w:p>
    <w:p w14:paraId="1DF45714" w14:textId="77777777" w:rsidR="0083756D" w:rsidRPr="0083756D" w:rsidRDefault="0083756D" w:rsidP="0083756D">
      <w:pPr>
        <w:spacing w:line="280" w:lineRule="atLeast"/>
        <w:rPr>
          <w:rFonts w:cs="Arial"/>
        </w:rPr>
      </w:pPr>
      <w:r w:rsidRPr="00337FD0">
        <w:rPr>
          <w:rFonts w:cs="Arial"/>
          <w:i/>
        </w:rPr>
        <w:t>ACMA response:</w:t>
      </w:r>
      <w:r w:rsidRPr="0083756D">
        <w:rPr>
          <w:rFonts w:cs="Arial"/>
        </w:rPr>
        <w:t xml:space="preserve"> As indicated in the consultation document which accompanied the draft instruments to give effect to the proposed charges, review of the reserve prices for smartnumbers was out of scope of this consultation process.</w:t>
      </w:r>
    </w:p>
    <w:p w14:paraId="41BD627F" w14:textId="77777777" w:rsidR="0083756D" w:rsidRPr="0083756D" w:rsidRDefault="0083756D" w:rsidP="00337FD0">
      <w:pPr>
        <w:pStyle w:val="Heading2"/>
      </w:pPr>
      <w:bookmarkStart w:id="13" w:name="_Toc424828645"/>
      <w:r w:rsidRPr="0083756D">
        <w:t>Financial estimates</w:t>
      </w:r>
      <w:bookmarkEnd w:id="13"/>
    </w:p>
    <w:p w14:paraId="19787FE0" w14:textId="77777777" w:rsidR="0083756D" w:rsidRPr="0083756D" w:rsidRDefault="0083756D" w:rsidP="0083756D">
      <w:pPr>
        <w:spacing w:line="280" w:lineRule="atLeast"/>
        <w:rPr>
          <w:rFonts w:cs="Arial"/>
        </w:rPr>
      </w:pPr>
      <w:r w:rsidRPr="0083756D">
        <w:rPr>
          <w:rFonts w:cs="Arial"/>
        </w:rPr>
        <w:t>The reduction of $0.05 million in the expected revenue and expenses for the telecommunications services is included in Table 5 (Estimated cost recovery revenue and expenses) of the attached CRIS.</w:t>
      </w:r>
    </w:p>
    <w:p w14:paraId="3ECE70C5" w14:textId="77777777" w:rsidR="0083756D" w:rsidRDefault="0083756D" w:rsidP="0083756D">
      <w:pPr>
        <w:spacing w:line="280" w:lineRule="atLeast"/>
        <w:rPr>
          <w:rFonts w:cs="Arial"/>
        </w:rPr>
      </w:pPr>
    </w:p>
    <w:sectPr w:rsidR="0083756D" w:rsidSect="00C77380">
      <w:headerReference w:type="even" r:id="rId24"/>
      <w:headerReference w:type="default" r:id="rId25"/>
      <w:footerReference w:type="even" r:id="rId26"/>
      <w:footerReference w:type="default" r:id="rId27"/>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7146C8C" w14:textId="77777777" w:rsidR="0083756D" w:rsidRDefault="0083756D">
      <w:r>
        <w:separator/>
      </w:r>
    </w:p>
  </w:endnote>
  <w:endnote w:type="continuationSeparator" w:id="0">
    <w:p w14:paraId="28B8EF33" w14:textId="77777777" w:rsidR="0083756D" w:rsidRDefault="008375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Lt">
    <w:altName w:val="Malgun Gothic"/>
    <w:panose1 w:val="020B0403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AFF" w:usb1="C0007843" w:usb2="00000009" w:usb3="00000000" w:csb0="000001FF" w:csb1="00000000"/>
  </w:font>
  <w:font w:name="HelveticaNeueLT Std">
    <w:altName w:val="Arial"/>
    <w:panose1 w:val="020B0604020202020204"/>
    <w:charset w:val="00"/>
    <w:family w:val="swiss"/>
    <w:notTrueType/>
    <w:pitch w:val="variable"/>
    <w:sig w:usb0="800000AF" w:usb1="4000204A" w:usb2="00000000" w:usb3="00000000" w:csb0="00000001" w:csb1="00000000"/>
  </w:font>
  <w:font w:name="HelveticaNeueLT Std Med">
    <w:altName w:val="Arial"/>
    <w:panose1 w:val="020B0604020202020204"/>
    <w:charset w:val="00"/>
    <w:family w:val="swiss"/>
    <w:notTrueType/>
    <w:pitch w:val="variable"/>
    <w:sig w:usb0="800000AF" w:usb1="4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D351C1" w14:textId="77777777" w:rsidR="00C053A1" w:rsidRPr="00A5474E" w:rsidRDefault="00C053A1" w:rsidP="00A5474E">
    <w:pPr>
      <w:pStyle w:val="Footer"/>
    </w:pPr>
    <w:r>
      <w:rPr>
        <w:noProof/>
      </w:rPr>
      <w:drawing>
        <wp:inline distT="0" distB="0" distL="0" distR="0" wp14:anchorId="35A05555" wp14:editId="62F67CBC">
          <wp:extent cx="3483864" cy="249613"/>
          <wp:effectExtent l="0" t="0" r="0" b="0"/>
          <wp:docPr id="24" name="Picture 24"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E16B601" w14:textId="77777777" w:rsidR="00C053A1" w:rsidRDefault="00C053A1">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A512A74" w14:textId="77777777" w:rsidR="00C053A1" w:rsidRDefault="00C053A1">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A20BDD"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54ADE152" w14:textId="77777777" w:rsidR="00C053A1" w:rsidRPr="00A5474E" w:rsidRDefault="00C053A1" w:rsidP="00A5474E">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8B3D6D0"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5644E438" w14:textId="77777777" w:rsidR="00C053A1" w:rsidRPr="00A5474E" w:rsidRDefault="00C053A1" w:rsidP="00A5474E">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672FDB" w14:textId="77777777" w:rsidR="00C053A1" w:rsidRPr="00622A3B" w:rsidRDefault="00C053A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F459C">
      <w:rPr>
        <w:noProof/>
        <w:color w:val="505050"/>
      </w:rPr>
      <w:t>iii</w:t>
    </w:r>
    <w:r w:rsidRPr="002E4DDC">
      <w:rPr>
        <w:color w:val="505050"/>
      </w:rPr>
      <w:fldChar w:fldCharType="end"/>
    </w:r>
  </w:p>
  <w:p w14:paraId="44A3BD6C" w14:textId="77777777" w:rsidR="00C053A1" w:rsidRPr="00A5474E" w:rsidRDefault="00C053A1" w:rsidP="00A5474E">
    <w:pPr>
      <w:pStyle w:val="Foo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D73BE32"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0F459C">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3C547DC6" w14:textId="77777777" w:rsidR="00C053A1" w:rsidRPr="00A5474E" w:rsidRDefault="00C053A1" w:rsidP="00A5474E">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9D77A4D"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0F459C">
      <w:rPr>
        <w:noProof/>
        <w:color w:val="505050"/>
      </w:rPr>
      <w:t>7</w:t>
    </w:r>
    <w:r w:rsidRPr="00575AC5">
      <w:rPr>
        <w:color w:val="505050"/>
      </w:rPr>
      <w:fldChar w:fldCharType="end"/>
    </w:r>
  </w:p>
  <w:p w14:paraId="6A7BAF97" w14:textId="77777777" w:rsidR="00C053A1" w:rsidRPr="00A5474E" w:rsidRDefault="00C053A1" w:rsidP="00A5474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5B08EB0" w14:textId="77777777" w:rsidR="0083756D" w:rsidRDefault="0083756D">
      <w:r>
        <w:separator/>
      </w:r>
    </w:p>
  </w:footnote>
  <w:footnote w:type="continuationSeparator" w:id="0">
    <w:p w14:paraId="0A59395E" w14:textId="77777777" w:rsidR="0083756D" w:rsidRDefault="0083756D">
      <w:r>
        <w:continuationSeparator/>
      </w:r>
    </w:p>
  </w:footnote>
  <w:footnote w:id="1">
    <w:p w14:paraId="251C36DA" w14:textId="77777777" w:rsidR="002774EB" w:rsidRDefault="002774EB" w:rsidP="00337FD0">
      <w:pPr>
        <w:pStyle w:val="FootnoteText"/>
        <w:spacing w:after="0"/>
      </w:pPr>
      <w:r>
        <w:rPr>
          <w:rStyle w:val="FootnoteReference"/>
        </w:rPr>
        <w:footnoteRef/>
      </w:r>
      <w:r>
        <w:t xml:space="preserve"> </w:t>
      </w:r>
      <w:r w:rsidRPr="00951FBC">
        <w:rPr>
          <w:sz w:val="14"/>
        </w:rPr>
        <w:t xml:space="preserve">This can be accessed from: </w:t>
      </w:r>
      <w:hyperlink r:id="rId1" w:history="1">
        <w:r>
          <w:rPr>
            <w:rStyle w:val="Hyperlink"/>
            <w:sz w:val="14"/>
          </w:rPr>
          <w:t>www.comlaw.gov.au/Details/F2015L00319/Download</w:t>
        </w:r>
      </w:hyperlink>
    </w:p>
  </w:footnote>
  <w:footnote w:id="2">
    <w:p w14:paraId="46711B04" w14:textId="77777777" w:rsidR="002774EB" w:rsidRDefault="002774EB" w:rsidP="00337FD0">
      <w:pPr>
        <w:pStyle w:val="FootnoteText"/>
        <w:spacing w:after="0"/>
      </w:pPr>
      <w:r>
        <w:rPr>
          <w:rStyle w:val="FootnoteReference"/>
        </w:rPr>
        <w:footnoteRef/>
      </w:r>
      <w:r>
        <w:t xml:space="preserve"> </w:t>
      </w:r>
      <w:proofErr w:type="spellStart"/>
      <w:r w:rsidRPr="00BB5AB4">
        <w:rPr>
          <w:rFonts w:cs="Arial"/>
          <w:sz w:val="14"/>
        </w:rPr>
        <w:t>Zoak</w:t>
      </w:r>
      <w:proofErr w:type="spellEnd"/>
      <w:r w:rsidRPr="00BB5AB4">
        <w:rPr>
          <w:rFonts w:cs="Arial"/>
          <w:sz w:val="14"/>
        </w:rPr>
        <w:t xml:space="preserve"> will deliver allocation and administration services for all number types specified in the </w:t>
      </w:r>
      <w:r>
        <w:rPr>
          <w:rFonts w:cs="Arial"/>
          <w:sz w:val="14"/>
        </w:rPr>
        <w:t>N</w:t>
      </w:r>
      <w:r w:rsidRPr="00BB5AB4">
        <w:rPr>
          <w:rFonts w:cs="Arial"/>
          <w:sz w:val="14"/>
        </w:rPr>
        <w:t xml:space="preserve">umbering </w:t>
      </w:r>
      <w:r>
        <w:rPr>
          <w:rFonts w:cs="Arial"/>
          <w:sz w:val="14"/>
        </w:rPr>
        <w:t>P</w:t>
      </w:r>
      <w:r w:rsidRPr="00BB5AB4">
        <w:rPr>
          <w:rFonts w:cs="Arial"/>
          <w:sz w:val="14"/>
        </w:rPr>
        <w:t>lan</w:t>
      </w:r>
      <w:r>
        <w:rPr>
          <w:rFonts w:cs="Arial"/>
          <w:sz w:val="14"/>
        </w:rPr>
        <w:t>,</w:t>
      </w:r>
      <w:r w:rsidRPr="00BB5AB4">
        <w:rPr>
          <w:rFonts w:cs="Arial"/>
          <w:sz w:val="14"/>
        </w:rPr>
        <w:t xml:space="preserve"> except for</w:t>
      </w:r>
      <w:r>
        <w:rPr>
          <w:rFonts w:cs="Arial"/>
          <w:sz w:val="14"/>
        </w:rPr>
        <w:t xml:space="preserve"> some shared special services numbers and access codes (such as</w:t>
      </w:r>
      <w:r w:rsidRPr="00BB5AB4">
        <w:rPr>
          <w:rFonts w:cs="Arial"/>
          <w:sz w:val="14"/>
        </w:rPr>
        <w:t xml:space="preserve"> emergency service numbers</w:t>
      </w:r>
      <w:r>
        <w:rPr>
          <w:rFonts w:cs="Arial"/>
          <w:sz w:val="14"/>
        </w:rPr>
        <w:t>)</w:t>
      </w:r>
      <w:r w:rsidRPr="00BB5AB4">
        <w:rPr>
          <w:rFonts w:cs="Arial"/>
          <w:sz w:val="14"/>
        </w:rPr>
        <w:t xml:space="preserve">, </w:t>
      </w:r>
      <w:r>
        <w:rPr>
          <w:rFonts w:cs="Arial"/>
          <w:sz w:val="14"/>
        </w:rPr>
        <w:t xml:space="preserve">mobile network codes </w:t>
      </w:r>
      <w:r w:rsidRPr="00BB5AB4">
        <w:rPr>
          <w:rFonts w:cs="Arial"/>
          <w:sz w:val="14"/>
        </w:rPr>
        <w:t>and international signalling point codes</w:t>
      </w:r>
      <w:r>
        <w:rPr>
          <w:rFonts w:cs="Arial"/>
          <w:sz w:val="14"/>
        </w:rPr>
        <w:t>,</w:t>
      </w:r>
      <w:r w:rsidRPr="00BB5AB4">
        <w:rPr>
          <w:rFonts w:cs="Arial"/>
          <w:sz w:val="14"/>
        </w:rPr>
        <w:t xml:space="preserve"> as a delegate of the ACMA</w:t>
      </w:r>
      <w:r w:rsidRPr="00BB5AB4">
        <w:rPr>
          <w:rFonts w:cs="Arial"/>
          <w:sz w:val="14"/>
          <w:lang w:val="en-US"/>
        </w:rPr>
        <w:t>.</w:t>
      </w:r>
    </w:p>
  </w:footnote>
  <w:footnote w:id="3">
    <w:p w14:paraId="7C264FC7" w14:textId="77777777" w:rsidR="00CA2EC3" w:rsidRDefault="00CA2EC3" w:rsidP="00337FD0">
      <w:pPr>
        <w:pStyle w:val="FootnoteText"/>
        <w:spacing w:after="0"/>
      </w:pPr>
      <w:r>
        <w:rPr>
          <w:rStyle w:val="FootnoteReference"/>
        </w:rPr>
        <w:footnoteRef/>
      </w:r>
      <w:r>
        <w:t xml:space="preserve"> </w:t>
      </w:r>
      <w:r w:rsidRPr="00BB5AB4">
        <w:rPr>
          <w:sz w:val="14"/>
        </w:rPr>
        <w:t>Auctions are held fortnightly. Prospective b</w:t>
      </w:r>
      <w:r>
        <w:rPr>
          <w:sz w:val="14"/>
        </w:rPr>
        <w:t>idders</w:t>
      </w:r>
      <w:r w:rsidRPr="00BB5AB4">
        <w:rPr>
          <w:sz w:val="14"/>
        </w:rPr>
        <w:t xml:space="preserve"> must register and lodge their opening bid before an auction.</w:t>
      </w:r>
    </w:p>
  </w:footnote>
  <w:footnote w:id="4">
    <w:p w14:paraId="64CF71A3" w14:textId="77777777" w:rsidR="00CA2EC3" w:rsidRDefault="00CA2EC3">
      <w:pPr>
        <w:pStyle w:val="FootnoteText"/>
      </w:pPr>
      <w:r>
        <w:rPr>
          <w:rStyle w:val="FootnoteReference"/>
        </w:rPr>
        <w:footnoteRef/>
      </w:r>
      <w:r>
        <w:t xml:space="preserve"> </w:t>
      </w:r>
      <w:r>
        <w:rPr>
          <w:sz w:val="12"/>
        </w:rPr>
        <w:t>Based on 2014–</w:t>
      </w:r>
      <w:r w:rsidRPr="00F2698A">
        <w:rPr>
          <w:sz w:val="12"/>
        </w:rPr>
        <w:t>15 estimated revenue</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B525E13" w14:textId="77777777" w:rsidR="00C053A1" w:rsidRPr="00A5474E" w:rsidRDefault="00C053A1" w:rsidP="00A5474E">
    <w:pPr>
      <w:pStyle w:val="Header"/>
    </w:pPr>
    <w:r>
      <w:rPr>
        <w:noProof/>
      </w:rPr>
      <w:drawing>
        <wp:inline distT="0" distB="0" distL="0" distR="0" wp14:anchorId="195447D6" wp14:editId="515499E2">
          <wp:extent cx="6388100" cy="520700"/>
          <wp:effectExtent l="0" t="0" r="0" b="12700"/>
          <wp:docPr id="4" name="Picture 4"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extLst>
                      <a:ext uri="{28A0092B-C50C-407E-A947-70E740481C1C}">
                        <a14:useLocalDpi xmlns:a14="http://schemas.microsoft.com/office/drawing/2010/main" val="0"/>
                      </a:ext>
                    </a:extLst>
                  </a:blip>
                  <a:stretch>
                    <a:fillRect/>
                  </a:stretch>
                </pic:blipFill>
                <pic:spPr>
                  <a:xfrm>
                    <a:off x="0" y="0"/>
                    <a:ext cx="6388100" cy="520700"/>
                  </a:xfrm>
                  <a:prstGeom prst="rect">
                    <a:avLst/>
                  </a:prstGeom>
                </pic:spPr>
              </pic:pic>
            </a:graphicData>
          </a:graphic>
        </wp:inline>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DD7F1DF"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70E4197" w14:textId="77777777" w:rsidR="00C053A1" w:rsidRDefault="00C053A1">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E17CE04" w14:textId="77777777" w:rsidR="00C053A1" w:rsidRDefault="00C053A1">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09E191A5" w14:textId="77777777" w:rsidTr="003B0421">
      <w:trPr>
        <w:trHeight w:hRule="exact" w:val="988"/>
      </w:trPr>
      <w:tc>
        <w:tcPr>
          <w:tcW w:w="7678" w:type="dxa"/>
          <w:shd w:val="clear" w:color="auto" w:fill="auto"/>
        </w:tcPr>
        <w:p w14:paraId="7B08563E" w14:textId="77777777" w:rsidR="00971914" w:rsidRDefault="00971914" w:rsidP="00971914">
          <w:pPr>
            <w:pStyle w:val="Header"/>
          </w:pPr>
        </w:p>
      </w:tc>
    </w:tr>
    <w:tr w:rsidR="00971914" w14:paraId="016131A6" w14:textId="77777777" w:rsidTr="003B0421">
      <w:tc>
        <w:tcPr>
          <w:tcW w:w="7678" w:type="dxa"/>
          <w:shd w:val="clear" w:color="auto" w:fill="auto"/>
        </w:tcPr>
        <w:p w14:paraId="2D9D2A01" w14:textId="77777777" w:rsidR="00971914" w:rsidRDefault="00971914" w:rsidP="00971914">
          <w:pPr>
            <w:pStyle w:val="GridTable31"/>
          </w:pPr>
          <w:r>
            <w:t xml:space="preserve">Contents </w:t>
          </w:r>
          <w:r w:rsidRPr="00915B1C">
            <w:rPr>
              <w:b w:val="0"/>
              <w:spacing w:val="0"/>
              <w:sz w:val="28"/>
              <w:szCs w:val="28"/>
            </w:rPr>
            <w:t>(Continued)</w:t>
          </w:r>
        </w:p>
      </w:tc>
    </w:tr>
    <w:tr w:rsidR="00971914" w14:paraId="6F1481DD" w14:textId="77777777" w:rsidTr="003B0421">
      <w:trPr>
        <w:trHeight w:val="1220"/>
      </w:trPr>
      <w:tc>
        <w:tcPr>
          <w:tcW w:w="7678" w:type="dxa"/>
          <w:shd w:val="clear" w:color="auto" w:fill="auto"/>
        </w:tcPr>
        <w:p w14:paraId="08BA5326" w14:textId="77777777" w:rsidR="00971914" w:rsidRDefault="00971914" w:rsidP="00971914"/>
      </w:tc>
    </w:tr>
  </w:tbl>
  <w:p w14:paraId="00C6F54F" w14:textId="77777777" w:rsidR="00971914" w:rsidRDefault="00971914" w:rsidP="00971914">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47E29EB0" w14:textId="77777777" w:rsidTr="003B0421">
      <w:trPr>
        <w:trHeight w:hRule="exact" w:val="988"/>
      </w:trPr>
      <w:tc>
        <w:tcPr>
          <w:tcW w:w="7678" w:type="dxa"/>
          <w:shd w:val="clear" w:color="auto" w:fill="auto"/>
        </w:tcPr>
        <w:p w14:paraId="63517AD8" w14:textId="77777777" w:rsidR="00971914" w:rsidRDefault="00971914" w:rsidP="00971914">
          <w:pPr>
            <w:pStyle w:val="Header"/>
          </w:pPr>
        </w:p>
      </w:tc>
    </w:tr>
    <w:tr w:rsidR="00971914" w14:paraId="6D90FA29" w14:textId="77777777" w:rsidTr="003B0421">
      <w:tc>
        <w:tcPr>
          <w:tcW w:w="7678" w:type="dxa"/>
          <w:shd w:val="clear" w:color="auto" w:fill="auto"/>
        </w:tcPr>
        <w:p w14:paraId="5BEEA731" w14:textId="77777777" w:rsidR="00971914" w:rsidRDefault="00971914" w:rsidP="00971914">
          <w:pPr>
            <w:pStyle w:val="GridTable31"/>
          </w:pPr>
          <w:r>
            <w:t xml:space="preserve">Contents </w:t>
          </w:r>
          <w:r w:rsidRPr="00915B1C">
            <w:rPr>
              <w:b w:val="0"/>
              <w:spacing w:val="0"/>
              <w:sz w:val="28"/>
              <w:szCs w:val="28"/>
            </w:rPr>
            <w:t>(Continued)</w:t>
          </w:r>
        </w:p>
      </w:tc>
    </w:tr>
    <w:tr w:rsidR="00971914" w14:paraId="5A31D68F" w14:textId="77777777" w:rsidTr="003B0421">
      <w:trPr>
        <w:trHeight w:val="1220"/>
      </w:trPr>
      <w:tc>
        <w:tcPr>
          <w:tcW w:w="7678" w:type="dxa"/>
          <w:shd w:val="clear" w:color="auto" w:fill="auto"/>
        </w:tcPr>
        <w:p w14:paraId="6DD9DE4B" w14:textId="77777777" w:rsidR="00971914" w:rsidRDefault="00971914" w:rsidP="00971914"/>
      </w:tc>
    </w:tr>
  </w:tbl>
  <w:p w14:paraId="45011AC5" w14:textId="77777777" w:rsidR="00C053A1" w:rsidRPr="00A5474E" w:rsidRDefault="00C053A1" w:rsidP="00A5474E">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07CF862" w14:textId="77777777" w:rsidR="00C053A1" w:rsidRDefault="00C053A1">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532DA2D" w14:textId="77777777" w:rsidR="00C053A1" w:rsidRDefault="00C053A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7" type="#_x0000_t75" style="width:69.75pt;height:43.5pt;visibility:visible;mso-wrap-style:square" o:bullet="t">
        <v:imagedata r:id="rId1" o:title="" croptop="15915f" cropbottom="20445f" cropleft="21717f" cropright="21898f"/>
      </v:shape>
    </w:pict>
  </w:numPicBullet>
  <w:abstractNum w:abstractNumId="0">
    <w:nsid w:val="FFFFFF1D"/>
    <w:multiLevelType w:val="multilevel"/>
    <w:tmpl w:val="26F28F0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Symbol"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Symbol"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FFFFFF7C"/>
    <w:multiLevelType w:val="singleLevel"/>
    <w:tmpl w:val="1BEEBD26"/>
    <w:lvl w:ilvl="0">
      <w:start w:val="1"/>
      <w:numFmt w:val="decimal"/>
      <w:lvlText w:val="%1."/>
      <w:lvlJc w:val="left"/>
      <w:pPr>
        <w:tabs>
          <w:tab w:val="num" w:pos="1492"/>
        </w:tabs>
        <w:ind w:left="1492" w:hanging="360"/>
      </w:pPr>
    </w:lvl>
  </w:abstractNum>
  <w:abstractNum w:abstractNumId="2">
    <w:nsid w:val="FFFFFF7D"/>
    <w:multiLevelType w:val="singleLevel"/>
    <w:tmpl w:val="914A43AE"/>
    <w:lvl w:ilvl="0">
      <w:start w:val="1"/>
      <w:numFmt w:val="decimal"/>
      <w:lvlText w:val="%1."/>
      <w:lvlJc w:val="left"/>
      <w:pPr>
        <w:tabs>
          <w:tab w:val="num" w:pos="1209"/>
        </w:tabs>
        <w:ind w:left="1209" w:hanging="360"/>
      </w:pPr>
    </w:lvl>
  </w:abstractNum>
  <w:abstractNum w:abstractNumId="3">
    <w:nsid w:val="FFFFFF7E"/>
    <w:multiLevelType w:val="singleLevel"/>
    <w:tmpl w:val="E8129480"/>
    <w:lvl w:ilvl="0">
      <w:start w:val="1"/>
      <w:numFmt w:val="decimal"/>
      <w:lvlText w:val="%1."/>
      <w:lvlJc w:val="left"/>
      <w:pPr>
        <w:tabs>
          <w:tab w:val="num" w:pos="926"/>
        </w:tabs>
        <w:ind w:left="926" w:hanging="360"/>
      </w:pPr>
    </w:lvl>
  </w:abstractNum>
  <w:abstractNum w:abstractNumId="4">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5">
    <w:nsid w:val="FFFFFF80"/>
    <w:multiLevelType w:val="singleLevel"/>
    <w:tmpl w:val="0FBE6B54"/>
    <w:lvl w:ilvl="0">
      <w:start w:val="1"/>
      <w:numFmt w:val="bullet"/>
      <w:lvlText w:val=""/>
      <w:lvlJc w:val="left"/>
      <w:pPr>
        <w:tabs>
          <w:tab w:val="num" w:pos="1492"/>
        </w:tabs>
        <w:ind w:left="1492" w:hanging="360"/>
      </w:pPr>
      <w:rPr>
        <w:rFonts w:ascii="Symbol" w:hAnsi="Symbol" w:hint="default"/>
      </w:rPr>
    </w:lvl>
  </w:abstractNum>
  <w:abstractNum w:abstractNumId="6">
    <w:nsid w:val="FFFFFF81"/>
    <w:multiLevelType w:val="singleLevel"/>
    <w:tmpl w:val="809693F2"/>
    <w:lvl w:ilvl="0">
      <w:start w:val="1"/>
      <w:numFmt w:val="bullet"/>
      <w:lvlText w:val=""/>
      <w:lvlJc w:val="left"/>
      <w:pPr>
        <w:tabs>
          <w:tab w:val="num" w:pos="1209"/>
        </w:tabs>
        <w:ind w:left="1209" w:hanging="360"/>
      </w:pPr>
      <w:rPr>
        <w:rFonts w:ascii="Symbol" w:hAnsi="Symbol" w:hint="default"/>
      </w:rPr>
    </w:lvl>
  </w:abstractNum>
  <w:abstractNum w:abstractNumId="7">
    <w:nsid w:val="FFFFFF82"/>
    <w:multiLevelType w:val="singleLevel"/>
    <w:tmpl w:val="8BCA5064"/>
    <w:lvl w:ilvl="0">
      <w:start w:val="1"/>
      <w:numFmt w:val="bullet"/>
      <w:lvlText w:val=""/>
      <w:lvlJc w:val="left"/>
      <w:pPr>
        <w:tabs>
          <w:tab w:val="num" w:pos="926"/>
        </w:tabs>
        <w:ind w:left="926" w:hanging="360"/>
      </w:pPr>
      <w:rPr>
        <w:rFonts w:ascii="Symbol" w:hAnsi="Symbol" w:hint="default"/>
      </w:rPr>
    </w:lvl>
  </w:abstractNum>
  <w:abstractNum w:abstractNumId="8">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9">
    <w:nsid w:val="FFFFFF88"/>
    <w:multiLevelType w:val="singleLevel"/>
    <w:tmpl w:val="34367B10"/>
    <w:lvl w:ilvl="0">
      <w:start w:val="1"/>
      <w:numFmt w:val="decimal"/>
      <w:pStyle w:val="ListNumber"/>
      <w:lvlText w:val="%1."/>
      <w:lvlJc w:val="left"/>
      <w:pPr>
        <w:ind w:left="360" w:hanging="360"/>
      </w:pPr>
      <w:rPr>
        <w:rFonts w:hint="default"/>
        <w:caps/>
        <w:sz w:val="20"/>
      </w:rPr>
    </w:lvl>
  </w:abstractNum>
  <w:abstractNum w:abstractNumId="10">
    <w:nsid w:val="FFFFFF89"/>
    <w:multiLevelType w:val="singleLevel"/>
    <w:tmpl w:val="8D465DE8"/>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11">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nsid w:val="034B0EDC"/>
    <w:multiLevelType w:val="hybridMultilevel"/>
    <w:tmpl w:val="361E9DAA"/>
    <w:lvl w:ilvl="0" w:tplc="213C81A6">
      <w:start w:val="1"/>
      <w:numFmt w:val="bullet"/>
      <w:lvlText w:val="&gt;"/>
      <w:lvlJc w:val="left"/>
      <w:pPr>
        <w:ind w:left="720" w:hanging="360"/>
      </w:pPr>
      <w:rPr>
        <w:rFonts w:ascii="Arial" w:hAnsi="Arial" w:hint="default"/>
        <w:sz w:val="20"/>
        <w:szCs w:val="20"/>
      </w:rPr>
    </w:lvl>
    <w:lvl w:ilvl="1" w:tplc="0C090003" w:tentative="1">
      <w:start w:val="1"/>
      <w:numFmt w:val="bullet"/>
      <w:lvlText w:val="o"/>
      <w:lvlJc w:val="left"/>
      <w:pPr>
        <w:ind w:left="1440" w:hanging="360"/>
      </w:pPr>
      <w:rPr>
        <w:rFonts w:ascii="Courier New" w:hAnsi="Courier New" w:cs="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Symbo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Symbol"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07086225"/>
    <w:multiLevelType w:val="multilevel"/>
    <w:tmpl w:val="6DA4AA8E"/>
    <w:lvl w:ilvl="0">
      <w:start w:val="1"/>
      <w:numFmt w:val="decimal"/>
      <w:lvlText w:val="Table %1:"/>
      <w:lvlJc w:val="left"/>
      <w:pPr>
        <w:tabs>
          <w:tab w:val="num" w:pos="1077"/>
        </w:tabs>
        <w:ind w:left="1077" w:hanging="1077"/>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nsid w:val="07161469"/>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5">
    <w:nsid w:val="07E4610E"/>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nsid w:val="0B5A26DF"/>
    <w:multiLevelType w:val="multilevel"/>
    <w:tmpl w:val="CD886062"/>
    <w:lvl w:ilvl="0">
      <w:start w:val="1"/>
      <w:numFmt w:val="decimal"/>
      <w:lvlText w:val="Figure %1: "/>
      <w:lvlJc w:val="left"/>
      <w:pPr>
        <w:tabs>
          <w:tab w:val="num" w:pos="1077"/>
        </w:tabs>
        <w:ind w:left="1077" w:hanging="1077"/>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nsid w:val="0D6804DA"/>
    <w:multiLevelType w:val="multilevel"/>
    <w:tmpl w:val="7780E848"/>
    <w:lvl w:ilvl="0">
      <w:start w:val="1"/>
      <w:numFmt w:val="decimalZero"/>
      <w:lvlText w:val="%1"/>
      <w:lvlJc w:val="left"/>
      <w:pPr>
        <w:tabs>
          <w:tab w:val="num" w:pos="454"/>
        </w:tabs>
        <w:ind w:left="454" w:hanging="454"/>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9">
    <w:nsid w:val="11255DAA"/>
    <w:multiLevelType w:val="multilevel"/>
    <w:tmpl w:val="71FE7796"/>
    <w:lvl w:ilvl="0">
      <w:start w:val="1"/>
      <w:numFmt w:val="decimal"/>
      <w:lvlText w:val="Figure %1:"/>
      <w:lvlJc w:val="left"/>
      <w:pPr>
        <w:tabs>
          <w:tab w:val="num" w:pos="720"/>
        </w:tabs>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nsid w:val="14FD5FC5"/>
    <w:multiLevelType w:val="multilevel"/>
    <w:tmpl w:val="951029E0"/>
    <w:lvl w:ilvl="0">
      <w:start w:val="1"/>
      <w:numFmt w:val="decimalZero"/>
      <w:lvlText w:val="%1"/>
      <w:lvlJc w:val="left"/>
      <w:pPr>
        <w:tabs>
          <w:tab w:val="num" w:pos="454"/>
        </w:tabs>
        <w:ind w:left="454" w:hanging="454"/>
      </w:pPr>
      <w:rPr>
        <w:rFonts w:ascii="HelveticaNeueLT Std Med" w:hAnsi="HelveticaNeueLT Std Med" w:hint="default"/>
        <w:b/>
        <w:i w:val="0"/>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nsid w:val="180360F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nsid w:val="1C9E10BE"/>
    <w:multiLevelType w:val="hybridMultilevel"/>
    <w:tmpl w:val="7E2272E4"/>
    <w:lvl w:ilvl="0" w:tplc="AD2AA5C8">
      <w:start w:val="1"/>
      <w:numFmt w:val="decimalZero"/>
      <w:lvlText w:val="%1"/>
      <w:lvlJc w:val="left"/>
      <w:pPr>
        <w:tabs>
          <w:tab w:val="num" w:pos="885"/>
        </w:tabs>
        <w:ind w:left="885" w:hanging="885"/>
      </w:pPr>
      <w:rPr>
        <w:rFonts w:ascii="HelveticaNeueLT Std Med" w:hAnsi="HelveticaNeueLT Std Med" w:hint="default"/>
        <w:b/>
        <w:i w:val="0"/>
        <w:color w:val="808285"/>
        <w:sz w:val="28"/>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3">
    <w:nsid w:val="281D1869"/>
    <w:multiLevelType w:val="hybridMultilevel"/>
    <w:tmpl w:val="44CCDBB4"/>
    <w:lvl w:ilvl="0" w:tplc="B4DE576E">
      <w:start w:val="1"/>
      <w:numFmt w:val="decimal"/>
      <w:pStyle w:val="ACMANumberedList"/>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nsid w:val="2BFB64A6"/>
    <w:multiLevelType w:val="multilevel"/>
    <w:tmpl w:val="926E14F2"/>
    <w:lvl w:ilvl="0">
      <w:start w:val="1"/>
      <w:numFmt w:val="decimal"/>
      <w:lvlText w:val="Figure %1:"/>
      <w:lvlJc w:val="left"/>
      <w:pPr>
        <w:tabs>
          <w:tab w:val="num" w:pos="964"/>
        </w:tabs>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26">
    <w:nsid w:val="318748BA"/>
    <w:multiLevelType w:val="multilevel"/>
    <w:tmpl w:val="6FCC7C70"/>
    <w:lvl w:ilvl="0">
      <w:start w:val="1"/>
      <w:numFmt w:val="decimal"/>
      <w:lvlText w:val="Figure %1: "/>
      <w:lvlJc w:val="left"/>
      <w:pPr>
        <w:tabs>
          <w:tab w:val="num" w:pos="1134"/>
        </w:tabs>
        <w:ind w:left="1134" w:hanging="113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nsid w:val="3AEA704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8">
    <w:nsid w:val="409C5333"/>
    <w:multiLevelType w:val="multilevel"/>
    <w:tmpl w:val="EF7285AC"/>
    <w:lvl w:ilvl="0">
      <w:start w:val="1"/>
      <w:numFmt w:val="decimalZero"/>
      <w:lvlText w:val="%1"/>
      <w:lvlJc w:val="left"/>
      <w:pPr>
        <w:tabs>
          <w:tab w:val="num" w:pos="228"/>
        </w:tabs>
        <w:ind w:left="228" w:hanging="228"/>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9">
    <w:nsid w:val="4D2B31D5"/>
    <w:multiLevelType w:val="multilevel"/>
    <w:tmpl w:val="A4BA09CC"/>
    <w:lvl w:ilvl="0">
      <w:start w:val="1"/>
      <w:numFmt w:val="decimal"/>
      <w:lvlText w:val="Figure %1:"/>
      <w:lvlJc w:val="left"/>
      <w:pPr>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nsid w:val="548C3ECD"/>
    <w:multiLevelType w:val="multilevel"/>
    <w:tmpl w:val="9E92C28E"/>
    <w:lvl w:ilvl="0">
      <w:start w:val="1"/>
      <w:numFmt w:val="decimal"/>
      <w:lvlText w:val="Table %1:"/>
      <w:lvlJc w:val="left"/>
      <w:pPr>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nsid w:val="54F745D5"/>
    <w:multiLevelType w:val="multilevel"/>
    <w:tmpl w:val="9FB6AFD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2">
    <w:nsid w:val="55AA21F0"/>
    <w:multiLevelType w:val="hybridMultilevel"/>
    <w:tmpl w:val="06AC6452"/>
    <w:lvl w:ilvl="0" w:tplc="075A84B2">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5EC2126C"/>
    <w:multiLevelType w:val="multilevel"/>
    <w:tmpl w:val="F1ACECC8"/>
    <w:lvl w:ilvl="0">
      <w:start w:val="1"/>
      <w:numFmt w:val="decimal"/>
      <w:lvlText w:val="Figure %1: "/>
      <w:lvlJc w:val="left"/>
      <w:pPr>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4">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65071478"/>
    <w:multiLevelType w:val="hybridMultilevel"/>
    <w:tmpl w:val="4560EABA"/>
    <w:lvl w:ilvl="0" w:tplc="01D2533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6E51670A"/>
    <w:multiLevelType w:val="multilevel"/>
    <w:tmpl w:val="4FD29F6E"/>
    <w:lvl w:ilvl="0">
      <w:start w:val="1"/>
      <w:numFmt w:val="decimal"/>
      <w:lvlText w:val="Table %1:"/>
      <w:lvlJc w:val="left"/>
      <w:pPr>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8">
    <w:nsid w:val="7137138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9">
    <w:nsid w:val="71790B94"/>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0">
    <w:nsid w:val="734313C5"/>
    <w:multiLevelType w:val="multilevel"/>
    <w:tmpl w:val="03DA421E"/>
    <w:lvl w:ilvl="0">
      <w:start w:val="1"/>
      <w:numFmt w:val="decimal"/>
      <w:lvlText w:val="Table %1:"/>
      <w:lvlJc w:val="left"/>
      <w:pPr>
        <w:tabs>
          <w:tab w:val="num" w:pos="964"/>
        </w:tabs>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1">
    <w:nsid w:val="757603AE"/>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2">
    <w:nsid w:val="77A716FA"/>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3">
    <w:nsid w:val="78146AF7"/>
    <w:multiLevelType w:val="hybridMultilevel"/>
    <w:tmpl w:val="84FA111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4">
    <w:nsid w:val="7D370812"/>
    <w:multiLevelType w:val="multilevel"/>
    <w:tmpl w:val="D3A27096"/>
    <w:lvl w:ilvl="0">
      <w:start w:val="1"/>
      <w:numFmt w:val="decimal"/>
      <w:lvlText w:val="Table %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5">
    <w:nsid w:val="7EBB3307"/>
    <w:multiLevelType w:val="multilevel"/>
    <w:tmpl w:val="6EF41126"/>
    <w:lvl w:ilvl="0">
      <w:start w:val="1"/>
      <w:numFmt w:val="decimal"/>
      <w:lvlText w:val="Figure %1: "/>
      <w:lvlJc w:val="left"/>
      <w:pPr>
        <w:tabs>
          <w:tab w:val="num" w:pos="964"/>
        </w:tabs>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6">
    <w:nsid w:val="7F33169D"/>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10"/>
  </w:num>
  <w:num w:numId="2">
    <w:abstractNumId w:val="8"/>
  </w:num>
  <w:num w:numId="3">
    <w:abstractNumId w:val="7"/>
  </w:num>
  <w:num w:numId="4">
    <w:abstractNumId w:val="6"/>
  </w:num>
  <w:num w:numId="5">
    <w:abstractNumId w:val="5"/>
  </w:num>
  <w:num w:numId="6">
    <w:abstractNumId w:val="9"/>
  </w:num>
  <w:num w:numId="7">
    <w:abstractNumId w:val="4"/>
  </w:num>
  <w:num w:numId="8">
    <w:abstractNumId w:val="3"/>
  </w:num>
  <w:num w:numId="9">
    <w:abstractNumId w:val="2"/>
  </w:num>
  <w:num w:numId="10">
    <w:abstractNumId w:val="1"/>
  </w:num>
  <w:num w:numId="11">
    <w:abstractNumId w:val="39"/>
  </w:num>
  <w:num w:numId="12">
    <w:abstractNumId w:val="22"/>
  </w:num>
  <w:num w:numId="13">
    <w:abstractNumId w:val="28"/>
  </w:num>
  <w:num w:numId="14">
    <w:abstractNumId w:val="18"/>
  </w:num>
  <w:num w:numId="15">
    <w:abstractNumId w:val="20"/>
  </w:num>
  <w:num w:numId="16">
    <w:abstractNumId w:val="46"/>
  </w:num>
  <w:num w:numId="17">
    <w:abstractNumId w:val="41"/>
  </w:num>
  <w:num w:numId="18">
    <w:abstractNumId w:val="31"/>
  </w:num>
  <w:num w:numId="19">
    <w:abstractNumId w:val="12"/>
  </w:num>
  <w:num w:numId="20">
    <w:abstractNumId w:val="0"/>
  </w:num>
  <w:num w:numId="21">
    <w:abstractNumId w:val="14"/>
  </w:num>
  <w:num w:numId="22">
    <w:abstractNumId w:val="25"/>
  </w:num>
  <w:num w:numId="23">
    <w:abstractNumId w:val="21"/>
  </w:num>
  <w:num w:numId="24">
    <w:abstractNumId w:val="35"/>
  </w:num>
  <w:num w:numId="25">
    <w:abstractNumId w:val="44"/>
  </w:num>
  <w:num w:numId="26">
    <w:abstractNumId w:val="30"/>
  </w:num>
  <w:num w:numId="27">
    <w:abstractNumId w:val="32"/>
  </w:num>
  <w:num w:numId="28">
    <w:abstractNumId w:val="29"/>
  </w:num>
  <w:num w:numId="29">
    <w:abstractNumId w:val="19"/>
  </w:num>
  <w:num w:numId="30">
    <w:abstractNumId w:val="24"/>
  </w:num>
  <w:num w:numId="31">
    <w:abstractNumId w:val="33"/>
  </w:num>
  <w:num w:numId="32">
    <w:abstractNumId w:val="45"/>
  </w:num>
  <w:num w:numId="33">
    <w:abstractNumId w:val="26"/>
  </w:num>
  <w:num w:numId="34">
    <w:abstractNumId w:val="37"/>
  </w:num>
  <w:num w:numId="35">
    <w:abstractNumId w:val="17"/>
  </w:num>
  <w:num w:numId="36">
    <w:abstractNumId w:val="13"/>
  </w:num>
  <w:num w:numId="37">
    <w:abstractNumId w:val="15"/>
  </w:num>
  <w:num w:numId="38">
    <w:abstractNumId w:val="38"/>
  </w:num>
  <w:num w:numId="39">
    <w:abstractNumId w:val="27"/>
  </w:num>
  <w:num w:numId="40">
    <w:abstractNumId w:val="34"/>
  </w:num>
  <w:num w:numId="41">
    <w:abstractNumId w:val="40"/>
  </w:num>
  <w:num w:numId="42">
    <w:abstractNumId w:val="42"/>
  </w:num>
  <w:num w:numId="43">
    <w:abstractNumId w:val="36"/>
  </w:num>
  <w:num w:numId="44">
    <w:abstractNumId w:val="16"/>
  </w:num>
  <w:num w:numId="45">
    <w:abstractNumId w:val="11"/>
  </w:num>
  <w:num w:numId="46">
    <w:abstractNumId w:val="43"/>
  </w:num>
  <w:num w:numId="47">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6"/>
  <w:removePersonalInformation/>
  <w:removeDateAndTime/>
  <w:proofState w:spelling="clean" w:grammar="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trackRevisions/>
  <w:defaultTabStop w:val="284"/>
  <w:evenAndOddHeaders/>
  <w:drawingGridHorizontalSpacing w:val="100"/>
  <w:displayHorizontalDrawingGridEvery w:val="2"/>
  <w:characterSpacingControl w:val="doNotCompress"/>
  <w:hdrShapeDefaults>
    <o:shapedefaults v:ext="edit" spidmax="2049">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29A5"/>
    <w:rsid w:val="00010667"/>
    <w:rsid w:val="000129D5"/>
    <w:rsid w:val="00015AE7"/>
    <w:rsid w:val="00016E21"/>
    <w:rsid w:val="0001719C"/>
    <w:rsid w:val="00026F91"/>
    <w:rsid w:val="0005011A"/>
    <w:rsid w:val="0005045A"/>
    <w:rsid w:val="00051C1E"/>
    <w:rsid w:val="000539F9"/>
    <w:rsid w:val="00054C27"/>
    <w:rsid w:val="00055EC3"/>
    <w:rsid w:val="000563CE"/>
    <w:rsid w:val="000659B6"/>
    <w:rsid w:val="0006722A"/>
    <w:rsid w:val="000732CF"/>
    <w:rsid w:val="00075B96"/>
    <w:rsid w:val="0008196A"/>
    <w:rsid w:val="000915ED"/>
    <w:rsid w:val="0009209D"/>
    <w:rsid w:val="000969BD"/>
    <w:rsid w:val="000969BF"/>
    <w:rsid w:val="000A0C22"/>
    <w:rsid w:val="000A3C43"/>
    <w:rsid w:val="000A4A51"/>
    <w:rsid w:val="000A5D2B"/>
    <w:rsid w:val="000B5DE3"/>
    <w:rsid w:val="000C0A57"/>
    <w:rsid w:val="000C230C"/>
    <w:rsid w:val="000C6AB4"/>
    <w:rsid w:val="000D71D9"/>
    <w:rsid w:val="000D76E0"/>
    <w:rsid w:val="000D7E8B"/>
    <w:rsid w:val="000E4449"/>
    <w:rsid w:val="000E6097"/>
    <w:rsid w:val="000F459C"/>
    <w:rsid w:val="00103829"/>
    <w:rsid w:val="00111FCE"/>
    <w:rsid w:val="001229A5"/>
    <w:rsid w:val="0012489B"/>
    <w:rsid w:val="00130017"/>
    <w:rsid w:val="00130F91"/>
    <w:rsid w:val="001349ED"/>
    <w:rsid w:val="00137424"/>
    <w:rsid w:val="00140318"/>
    <w:rsid w:val="00141AD9"/>
    <w:rsid w:val="00146CE6"/>
    <w:rsid w:val="00152903"/>
    <w:rsid w:val="0015614F"/>
    <w:rsid w:val="001577C2"/>
    <w:rsid w:val="001633C4"/>
    <w:rsid w:val="00171591"/>
    <w:rsid w:val="00173981"/>
    <w:rsid w:val="0017719D"/>
    <w:rsid w:val="00185CAB"/>
    <w:rsid w:val="001875B7"/>
    <w:rsid w:val="00187CB3"/>
    <w:rsid w:val="0019050A"/>
    <w:rsid w:val="001910D4"/>
    <w:rsid w:val="001976E3"/>
    <w:rsid w:val="001A44EC"/>
    <w:rsid w:val="001B58AA"/>
    <w:rsid w:val="001B7E48"/>
    <w:rsid w:val="001C17CE"/>
    <w:rsid w:val="001C36CA"/>
    <w:rsid w:val="001C44D1"/>
    <w:rsid w:val="001C6AEE"/>
    <w:rsid w:val="001C7630"/>
    <w:rsid w:val="001D6D15"/>
    <w:rsid w:val="001F7558"/>
    <w:rsid w:val="00205B57"/>
    <w:rsid w:val="002157E0"/>
    <w:rsid w:val="00216A57"/>
    <w:rsid w:val="0022334F"/>
    <w:rsid w:val="00226819"/>
    <w:rsid w:val="00233101"/>
    <w:rsid w:val="00233817"/>
    <w:rsid w:val="002367FF"/>
    <w:rsid w:val="00240CE9"/>
    <w:rsid w:val="002434BA"/>
    <w:rsid w:val="00246089"/>
    <w:rsid w:val="00246093"/>
    <w:rsid w:val="00246702"/>
    <w:rsid w:val="00247C59"/>
    <w:rsid w:val="00247F2E"/>
    <w:rsid w:val="00250ADC"/>
    <w:rsid w:val="00250B07"/>
    <w:rsid w:val="00257553"/>
    <w:rsid w:val="00260FB2"/>
    <w:rsid w:val="00262128"/>
    <w:rsid w:val="0027165D"/>
    <w:rsid w:val="00273CEB"/>
    <w:rsid w:val="002774EB"/>
    <w:rsid w:val="00281C89"/>
    <w:rsid w:val="0028282F"/>
    <w:rsid w:val="0029593B"/>
    <w:rsid w:val="00297FC5"/>
    <w:rsid w:val="002A0417"/>
    <w:rsid w:val="002A16D8"/>
    <w:rsid w:val="002A1BC8"/>
    <w:rsid w:val="002A3EF2"/>
    <w:rsid w:val="002B0DED"/>
    <w:rsid w:val="002B19A2"/>
    <w:rsid w:val="002B381A"/>
    <w:rsid w:val="002B4FCC"/>
    <w:rsid w:val="002B7408"/>
    <w:rsid w:val="002B7CFD"/>
    <w:rsid w:val="002C210F"/>
    <w:rsid w:val="002D3600"/>
    <w:rsid w:val="002E4DDC"/>
    <w:rsid w:val="00302480"/>
    <w:rsid w:val="003165E6"/>
    <w:rsid w:val="003221CF"/>
    <w:rsid w:val="003233ED"/>
    <w:rsid w:val="00324D9F"/>
    <w:rsid w:val="00327948"/>
    <w:rsid w:val="0033000F"/>
    <w:rsid w:val="00332011"/>
    <w:rsid w:val="00332518"/>
    <w:rsid w:val="00332925"/>
    <w:rsid w:val="003332ED"/>
    <w:rsid w:val="003368DC"/>
    <w:rsid w:val="00337FD0"/>
    <w:rsid w:val="00345927"/>
    <w:rsid w:val="00350584"/>
    <w:rsid w:val="00351857"/>
    <w:rsid w:val="003610E1"/>
    <w:rsid w:val="003671BE"/>
    <w:rsid w:val="00372485"/>
    <w:rsid w:val="00373200"/>
    <w:rsid w:val="00375EF5"/>
    <w:rsid w:val="003767A5"/>
    <w:rsid w:val="00385254"/>
    <w:rsid w:val="003A5F5B"/>
    <w:rsid w:val="003A789A"/>
    <w:rsid w:val="003B12EC"/>
    <w:rsid w:val="003C77E0"/>
    <w:rsid w:val="003D17D7"/>
    <w:rsid w:val="003D2678"/>
    <w:rsid w:val="003D71A3"/>
    <w:rsid w:val="003E2B8A"/>
    <w:rsid w:val="003F10EE"/>
    <w:rsid w:val="003F16F6"/>
    <w:rsid w:val="003F4DC7"/>
    <w:rsid w:val="003F5235"/>
    <w:rsid w:val="004027E4"/>
    <w:rsid w:val="0041071D"/>
    <w:rsid w:val="00414AFC"/>
    <w:rsid w:val="004151A7"/>
    <w:rsid w:val="00415310"/>
    <w:rsid w:val="00421709"/>
    <w:rsid w:val="00423763"/>
    <w:rsid w:val="0042762F"/>
    <w:rsid w:val="00427DC7"/>
    <w:rsid w:val="00431613"/>
    <w:rsid w:val="00431792"/>
    <w:rsid w:val="0043297A"/>
    <w:rsid w:val="00432EB2"/>
    <w:rsid w:val="0043714F"/>
    <w:rsid w:val="004438B5"/>
    <w:rsid w:val="00447037"/>
    <w:rsid w:val="0045124D"/>
    <w:rsid w:val="00454596"/>
    <w:rsid w:val="0045605D"/>
    <w:rsid w:val="0046135B"/>
    <w:rsid w:val="004718CC"/>
    <w:rsid w:val="00481695"/>
    <w:rsid w:val="00495A96"/>
    <w:rsid w:val="00495BB3"/>
    <w:rsid w:val="004A56BB"/>
    <w:rsid w:val="004B1751"/>
    <w:rsid w:val="004C0253"/>
    <w:rsid w:val="004D56FF"/>
    <w:rsid w:val="004E39D3"/>
    <w:rsid w:val="004E508A"/>
    <w:rsid w:val="004E616D"/>
    <w:rsid w:val="004F1BDE"/>
    <w:rsid w:val="004F2CEE"/>
    <w:rsid w:val="004F556E"/>
    <w:rsid w:val="004F7F44"/>
    <w:rsid w:val="005037B4"/>
    <w:rsid w:val="005079BF"/>
    <w:rsid w:val="005219E7"/>
    <w:rsid w:val="00531B9A"/>
    <w:rsid w:val="00531D15"/>
    <w:rsid w:val="00537604"/>
    <w:rsid w:val="00542377"/>
    <w:rsid w:val="005476EB"/>
    <w:rsid w:val="00551782"/>
    <w:rsid w:val="00563EF1"/>
    <w:rsid w:val="00566AB4"/>
    <w:rsid w:val="00575AC5"/>
    <w:rsid w:val="0057605D"/>
    <w:rsid w:val="00581347"/>
    <w:rsid w:val="00581AC9"/>
    <w:rsid w:val="005849F8"/>
    <w:rsid w:val="005938DF"/>
    <w:rsid w:val="00594E9C"/>
    <w:rsid w:val="005A099B"/>
    <w:rsid w:val="005A2D9C"/>
    <w:rsid w:val="005A55FE"/>
    <w:rsid w:val="005A6A11"/>
    <w:rsid w:val="005D2502"/>
    <w:rsid w:val="005D47F3"/>
    <w:rsid w:val="005D49BF"/>
    <w:rsid w:val="005D6F4E"/>
    <w:rsid w:val="005E3ACD"/>
    <w:rsid w:val="005E7226"/>
    <w:rsid w:val="005E7A57"/>
    <w:rsid w:val="005F24B0"/>
    <w:rsid w:val="00604315"/>
    <w:rsid w:val="00604E26"/>
    <w:rsid w:val="006052CF"/>
    <w:rsid w:val="00607B8D"/>
    <w:rsid w:val="00611F5C"/>
    <w:rsid w:val="00616E09"/>
    <w:rsid w:val="00622A3B"/>
    <w:rsid w:val="00622EEA"/>
    <w:rsid w:val="0062396C"/>
    <w:rsid w:val="00623FF9"/>
    <w:rsid w:val="00627D4E"/>
    <w:rsid w:val="00634478"/>
    <w:rsid w:val="00644373"/>
    <w:rsid w:val="00645915"/>
    <w:rsid w:val="006519C3"/>
    <w:rsid w:val="00652B30"/>
    <w:rsid w:val="00656345"/>
    <w:rsid w:val="00656DC6"/>
    <w:rsid w:val="00664110"/>
    <w:rsid w:val="00664D17"/>
    <w:rsid w:val="00666520"/>
    <w:rsid w:val="00667C5B"/>
    <w:rsid w:val="00692CDE"/>
    <w:rsid w:val="00693073"/>
    <w:rsid w:val="006977FF"/>
    <w:rsid w:val="006A01FA"/>
    <w:rsid w:val="006A0E9E"/>
    <w:rsid w:val="006A25C7"/>
    <w:rsid w:val="006A4AAD"/>
    <w:rsid w:val="006A6DA2"/>
    <w:rsid w:val="006A7AB2"/>
    <w:rsid w:val="006B5717"/>
    <w:rsid w:val="006B582F"/>
    <w:rsid w:val="006C0CEB"/>
    <w:rsid w:val="006C3B1E"/>
    <w:rsid w:val="006C47FD"/>
    <w:rsid w:val="006C70A0"/>
    <w:rsid w:val="006D27CB"/>
    <w:rsid w:val="006D2F08"/>
    <w:rsid w:val="006D576C"/>
    <w:rsid w:val="006D5865"/>
    <w:rsid w:val="006E4B1B"/>
    <w:rsid w:val="006E5445"/>
    <w:rsid w:val="006E7D93"/>
    <w:rsid w:val="007015D8"/>
    <w:rsid w:val="007029A3"/>
    <w:rsid w:val="00706E4E"/>
    <w:rsid w:val="0070791C"/>
    <w:rsid w:val="0071383C"/>
    <w:rsid w:val="007141A7"/>
    <w:rsid w:val="00721032"/>
    <w:rsid w:val="00721B55"/>
    <w:rsid w:val="00726CE4"/>
    <w:rsid w:val="00734143"/>
    <w:rsid w:val="00737E47"/>
    <w:rsid w:val="00740EAC"/>
    <w:rsid w:val="00744956"/>
    <w:rsid w:val="00745A5C"/>
    <w:rsid w:val="0074605F"/>
    <w:rsid w:val="00747E94"/>
    <w:rsid w:val="00766749"/>
    <w:rsid w:val="00767C1B"/>
    <w:rsid w:val="007714A9"/>
    <w:rsid w:val="00774F88"/>
    <w:rsid w:val="00774FDB"/>
    <w:rsid w:val="00777BA2"/>
    <w:rsid w:val="00781408"/>
    <w:rsid w:val="00784F7F"/>
    <w:rsid w:val="00796F25"/>
    <w:rsid w:val="007A2E98"/>
    <w:rsid w:val="007A3BA3"/>
    <w:rsid w:val="007A6CC0"/>
    <w:rsid w:val="007A7FEC"/>
    <w:rsid w:val="007B1499"/>
    <w:rsid w:val="007B1BBF"/>
    <w:rsid w:val="007B2960"/>
    <w:rsid w:val="007B355D"/>
    <w:rsid w:val="007B7980"/>
    <w:rsid w:val="007C5D5A"/>
    <w:rsid w:val="007C607F"/>
    <w:rsid w:val="007C79DD"/>
    <w:rsid w:val="007D1A97"/>
    <w:rsid w:val="007D2CD6"/>
    <w:rsid w:val="007D3063"/>
    <w:rsid w:val="007D3CEB"/>
    <w:rsid w:val="007E7683"/>
    <w:rsid w:val="007F49FA"/>
    <w:rsid w:val="007F54C4"/>
    <w:rsid w:val="007F6E9A"/>
    <w:rsid w:val="008044D4"/>
    <w:rsid w:val="00810AB4"/>
    <w:rsid w:val="00817B56"/>
    <w:rsid w:val="00821A88"/>
    <w:rsid w:val="0082495D"/>
    <w:rsid w:val="00831AC3"/>
    <w:rsid w:val="0083756D"/>
    <w:rsid w:val="008408FF"/>
    <w:rsid w:val="00851F3F"/>
    <w:rsid w:val="00856EDC"/>
    <w:rsid w:val="008623B5"/>
    <w:rsid w:val="00870ABA"/>
    <w:rsid w:val="008710E1"/>
    <w:rsid w:val="008716E5"/>
    <w:rsid w:val="00881CA9"/>
    <w:rsid w:val="00883628"/>
    <w:rsid w:val="00885544"/>
    <w:rsid w:val="0088634E"/>
    <w:rsid w:val="00893AB8"/>
    <w:rsid w:val="008A04C8"/>
    <w:rsid w:val="008A6913"/>
    <w:rsid w:val="008B70F3"/>
    <w:rsid w:val="008B76DF"/>
    <w:rsid w:val="008C10F4"/>
    <w:rsid w:val="008C65F7"/>
    <w:rsid w:val="008E4767"/>
    <w:rsid w:val="008E7A8C"/>
    <w:rsid w:val="00903285"/>
    <w:rsid w:val="00906F40"/>
    <w:rsid w:val="0090731E"/>
    <w:rsid w:val="00915B1C"/>
    <w:rsid w:val="009174F3"/>
    <w:rsid w:val="0091797D"/>
    <w:rsid w:val="00923CBA"/>
    <w:rsid w:val="00926703"/>
    <w:rsid w:val="00927691"/>
    <w:rsid w:val="00927A5F"/>
    <w:rsid w:val="00935B63"/>
    <w:rsid w:val="0094078F"/>
    <w:rsid w:val="00940FA3"/>
    <w:rsid w:val="00941FB0"/>
    <w:rsid w:val="009426D4"/>
    <w:rsid w:val="00947F25"/>
    <w:rsid w:val="00950159"/>
    <w:rsid w:val="0095490B"/>
    <w:rsid w:val="00971914"/>
    <w:rsid w:val="00974363"/>
    <w:rsid w:val="00981898"/>
    <w:rsid w:val="0099577C"/>
    <w:rsid w:val="009B4E9E"/>
    <w:rsid w:val="009C1690"/>
    <w:rsid w:val="009C6881"/>
    <w:rsid w:val="009C7759"/>
    <w:rsid w:val="009D043D"/>
    <w:rsid w:val="009D6C71"/>
    <w:rsid w:val="009E0631"/>
    <w:rsid w:val="009E16D0"/>
    <w:rsid w:val="009E38FD"/>
    <w:rsid w:val="009F13D6"/>
    <w:rsid w:val="009F4C6B"/>
    <w:rsid w:val="009F78A8"/>
    <w:rsid w:val="00A02AD6"/>
    <w:rsid w:val="00A07096"/>
    <w:rsid w:val="00A07318"/>
    <w:rsid w:val="00A11370"/>
    <w:rsid w:val="00A224CE"/>
    <w:rsid w:val="00A22522"/>
    <w:rsid w:val="00A24AFD"/>
    <w:rsid w:val="00A24F5C"/>
    <w:rsid w:val="00A32F96"/>
    <w:rsid w:val="00A40871"/>
    <w:rsid w:val="00A412AB"/>
    <w:rsid w:val="00A4193E"/>
    <w:rsid w:val="00A440E0"/>
    <w:rsid w:val="00A442EF"/>
    <w:rsid w:val="00A51D1A"/>
    <w:rsid w:val="00A5418D"/>
    <w:rsid w:val="00A5474E"/>
    <w:rsid w:val="00A70ADF"/>
    <w:rsid w:val="00A71466"/>
    <w:rsid w:val="00A74B5E"/>
    <w:rsid w:val="00A81BED"/>
    <w:rsid w:val="00A81EC4"/>
    <w:rsid w:val="00A967FD"/>
    <w:rsid w:val="00AB156C"/>
    <w:rsid w:val="00AB6814"/>
    <w:rsid w:val="00AC04BA"/>
    <w:rsid w:val="00AC0E39"/>
    <w:rsid w:val="00AD3082"/>
    <w:rsid w:val="00AD4AD0"/>
    <w:rsid w:val="00AD5436"/>
    <w:rsid w:val="00AD60CD"/>
    <w:rsid w:val="00AD6C8C"/>
    <w:rsid w:val="00AE091D"/>
    <w:rsid w:val="00AE3B60"/>
    <w:rsid w:val="00AE53A1"/>
    <w:rsid w:val="00AF2484"/>
    <w:rsid w:val="00AF63E7"/>
    <w:rsid w:val="00B0165D"/>
    <w:rsid w:val="00B031F3"/>
    <w:rsid w:val="00B052A4"/>
    <w:rsid w:val="00B125DE"/>
    <w:rsid w:val="00B13FDD"/>
    <w:rsid w:val="00B22EB2"/>
    <w:rsid w:val="00B27442"/>
    <w:rsid w:val="00B31167"/>
    <w:rsid w:val="00B329D8"/>
    <w:rsid w:val="00B32BB9"/>
    <w:rsid w:val="00B33AE1"/>
    <w:rsid w:val="00B37C38"/>
    <w:rsid w:val="00B4288C"/>
    <w:rsid w:val="00B43262"/>
    <w:rsid w:val="00B44100"/>
    <w:rsid w:val="00B46CBA"/>
    <w:rsid w:val="00B46F94"/>
    <w:rsid w:val="00B61F03"/>
    <w:rsid w:val="00B626E4"/>
    <w:rsid w:val="00B72F4A"/>
    <w:rsid w:val="00B83C27"/>
    <w:rsid w:val="00B84BC3"/>
    <w:rsid w:val="00B84BDD"/>
    <w:rsid w:val="00B92812"/>
    <w:rsid w:val="00BB45A1"/>
    <w:rsid w:val="00BB7686"/>
    <w:rsid w:val="00BC23F9"/>
    <w:rsid w:val="00BC3421"/>
    <w:rsid w:val="00BC732C"/>
    <w:rsid w:val="00BE2580"/>
    <w:rsid w:val="00BE266D"/>
    <w:rsid w:val="00BE3938"/>
    <w:rsid w:val="00BE4C11"/>
    <w:rsid w:val="00BE71C0"/>
    <w:rsid w:val="00BF610C"/>
    <w:rsid w:val="00C0060B"/>
    <w:rsid w:val="00C0277D"/>
    <w:rsid w:val="00C053A1"/>
    <w:rsid w:val="00C16198"/>
    <w:rsid w:val="00C2083D"/>
    <w:rsid w:val="00C24A53"/>
    <w:rsid w:val="00C4032F"/>
    <w:rsid w:val="00C44047"/>
    <w:rsid w:val="00C45155"/>
    <w:rsid w:val="00C5498F"/>
    <w:rsid w:val="00C55235"/>
    <w:rsid w:val="00C64CD0"/>
    <w:rsid w:val="00C6684F"/>
    <w:rsid w:val="00C70E70"/>
    <w:rsid w:val="00C75F8D"/>
    <w:rsid w:val="00C77380"/>
    <w:rsid w:val="00C97736"/>
    <w:rsid w:val="00CA2EC3"/>
    <w:rsid w:val="00CA345A"/>
    <w:rsid w:val="00CB1E82"/>
    <w:rsid w:val="00CB4BA8"/>
    <w:rsid w:val="00CB52D7"/>
    <w:rsid w:val="00CC6732"/>
    <w:rsid w:val="00CE3C96"/>
    <w:rsid w:val="00CE51A8"/>
    <w:rsid w:val="00CF369B"/>
    <w:rsid w:val="00D00E28"/>
    <w:rsid w:val="00D0269E"/>
    <w:rsid w:val="00D15810"/>
    <w:rsid w:val="00D16D4E"/>
    <w:rsid w:val="00D16FE3"/>
    <w:rsid w:val="00D27F41"/>
    <w:rsid w:val="00D36441"/>
    <w:rsid w:val="00D4064E"/>
    <w:rsid w:val="00D44E9B"/>
    <w:rsid w:val="00D47AEB"/>
    <w:rsid w:val="00D50DB9"/>
    <w:rsid w:val="00D52C43"/>
    <w:rsid w:val="00D6507F"/>
    <w:rsid w:val="00D730BC"/>
    <w:rsid w:val="00D73912"/>
    <w:rsid w:val="00D85226"/>
    <w:rsid w:val="00D87B94"/>
    <w:rsid w:val="00D92D49"/>
    <w:rsid w:val="00D92EC1"/>
    <w:rsid w:val="00D96DEA"/>
    <w:rsid w:val="00DA4E41"/>
    <w:rsid w:val="00DB117A"/>
    <w:rsid w:val="00DB5173"/>
    <w:rsid w:val="00DB7873"/>
    <w:rsid w:val="00DC187B"/>
    <w:rsid w:val="00DD73C2"/>
    <w:rsid w:val="00DE319B"/>
    <w:rsid w:val="00DF34FE"/>
    <w:rsid w:val="00DF56AA"/>
    <w:rsid w:val="00DF78E7"/>
    <w:rsid w:val="00E110E0"/>
    <w:rsid w:val="00E15371"/>
    <w:rsid w:val="00E24104"/>
    <w:rsid w:val="00E302D0"/>
    <w:rsid w:val="00E35707"/>
    <w:rsid w:val="00E36AA1"/>
    <w:rsid w:val="00E41ECB"/>
    <w:rsid w:val="00E54FDB"/>
    <w:rsid w:val="00E5617D"/>
    <w:rsid w:val="00E563D7"/>
    <w:rsid w:val="00E663F4"/>
    <w:rsid w:val="00E666F2"/>
    <w:rsid w:val="00E66DD4"/>
    <w:rsid w:val="00E748CC"/>
    <w:rsid w:val="00E75415"/>
    <w:rsid w:val="00E775B1"/>
    <w:rsid w:val="00E8152A"/>
    <w:rsid w:val="00E93629"/>
    <w:rsid w:val="00E93B5C"/>
    <w:rsid w:val="00E94CEC"/>
    <w:rsid w:val="00EA04EF"/>
    <w:rsid w:val="00EA6F19"/>
    <w:rsid w:val="00EB7090"/>
    <w:rsid w:val="00EC1BBE"/>
    <w:rsid w:val="00EC5CD7"/>
    <w:rsid w:val="00EE5FB3"/>
    <w:rsid w:val="00EE7F79"/>
    <w:rsid w:val="00EF715A"/>
    <w:rsid w:val="00F06E14"/>
    <w:rsid w:val="00F179D4"/>
    <w:rsid w:val="00F33C56"/>
    <w:rsid w:val="00F347C7"/>
    <w:rsid w:val="00F34848"/>
    <w:rsid w:val="00F42D46"/>
    <w:rsid w:val="00F4496C"/>
    <w:rsid w:val="00F44F3A"/>
    <w:rsid w:val="00F51F10"/>
    <w:rsid w:val="00F529A5"/>
    <w:rsid w:val="00F60F00"/>
    <w:rsid w:val="00F614C0"/>
    <w:rsid w:val="00F83848"/>
    <w:rsid w:val="00F975E9"/>
    <w:rsid w:val="00FA1B7D"/>
    <w:rsid w:val="00FC07B9"/>
    <w:rsid w:val="00FC4E21"/>
    <w:rsid w:val="00FC5F6D"/>
    <w:rsid w:val="00FD0107"/>
    <w:rsid w:val="00FD2C2F"/>
    <w:rsid w:val="00FD3B31"/>
    <w:rsid w:val="00FE1823"/>
    <w:rsid w:val="00FE487A"/>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colormru v:ext="edit" colors="red,#4d4d4f"/>
    </o:shapedefaults>
    <o:shapelayout v:ext="edit">
      <o:idmap v:ext="edit" data="1"/>
    </o:shapelayout>
  </w:shapeDefaults>
  <w:decimalSymbol w:val="."/>
  <w:listSeparator w:val=","/>
  <w14:docId w14:val="657C3B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D0107"/>
    <w:pPr>
      <w:spacing w:after="240" w:line="240" w:lineRule="atLeast"/>
    </w:pPr>
    <w:rPr>
      <w:rFonts w:ascii="Arial" w:hAnsi="Arial"/>
      <w:sz w:val="20"/>
    </w:rPr>
  </w:style>
  <w:style w:type="paragraph" w:styleId="Heading1">
    <w:name w:val="heading 1"/>
    <w:basedOn w:val="Normal"/>
    <w:next w:val="Normal"/>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Normal"/>
    <w:qFormat/>
    <w:rsid w:val="00C55235"/>
    <w:pPr>
      <w:keepNext/>
      <w:spacing w:before="320" w:after="60"/>
      <w:outlineLvl w:val="1"/>
    </w:pPr>
    <w:rPr>
      <w:rFonts w:cs="Arial"/>
      <w:b/>
      <w:bCs/>
      <w:iCs/>
      <w:sz w:val="28"/>
      <w:szCs w:val="28"/>
    </w:rPr>
  </w:style>
  <w:style w:type="paragraph" w:styleId="Heading3">
    <w:name w:val="heading 3"/>
    <w:basedOn w:val="Normal"/>
    <w:next w:val="Normal"/>
    <w:qFormat/>
    <w:rsid w:val="00C55235"/>
    <w:pPr>
      <w:keepNext/>
      <w:spacing w:before="60" w:after="60"/>
      <w:outlineLvl w:val="2"/>
    </w:pPr>
    <w:rPr>
      <w:rFonts w:cs="Arial"/>
      <w:b/>
      <w:bCs/>
      <w:szCs w:val="26"/>
    </w:rPr>
  </w:style>
  <w:style w:type="paragraph" w:styleId="Heading4">
    <w:name w:val="heading 4"/>
    <w:basedOn w:val="Normal"/>
    <w:next w:val="Normal"/>
    <w:semiHidden/>
    <w:qFormat/>
    <w:rsid w:val="00AD5436"/>
    <w:pPr>
      <w:keepNext/>
      <w:numPr>
        <w:ilvl w:val="3"/>
        <w:numId w:val="22"/>
      </w:numPr>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AD5436"/>
    <w:pPr>
      <w:numPr>
        <w:ilvl w:val="4"/>
        <w:numId w:val="22"/>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22"/>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22"/>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22"/>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22"/>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94078F"/>
    <w:rPr>
      <w:rFonts w:ascii="Arial" w:hAnsi="Arial"/>
      <w:color w:val="323232"/>
      <w:sz w:val="16"/>
    </w:rPr>
  </w:style>
  <w:style w:type="paragraph" w:customStyle="1" w:styleId="ACMAReportTitle">
    <w:name w:val="ACMA_ReportTitle"/>
    <w:basedOn w:val="Normal"/>
    <w:qFormat/>
    <w:rsid w:val="00A51D1A"/>
    <w:pPr>
      <w:spacing w:after="0"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43"/>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6"/>
      </w:numPr>
      <w:spacing w:after="80"/>
    </w:pPr>
  </w:style>
  <w:style w:type="paragraph" w:styleId="ListNumber2">
    <w:name w:val="List Number 2"/>
    <w:basedOn w:val="Normal"/>
    <w:qFormat/>
    <w:rsid w:val="00247C59"/>
    <w:pPr>
      <w:numPr>
        <w:numId w:val="7"/>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3A5F5B"/>
    <w:rPr>
      <w:color w:val="0000FF"/>
      <w:u w:val="single"/>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ACMA Footnote Text"/>
    <w:basedOn w:val="Normal"/>
    <w:link w:val="FootnoteTextChar"/>
    <w:rsid w:val="00566AB4"/>
    <w:rPr>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semiHidden/>
    <w:qFormat/>
    <w:rsid w:val="0005011A"/>
    <w:rPr>
      <w:b/>
      <w:bCs/>
    </w:rPr>
  </w:style>
  <w:style w:type="paragraph" w:customStyle="1" w:styleId="ACMACorporateAddressHeader">
    <w:name w:val="ACMA_CorporateAddressHeader"/>
    <w:basedOn w:val="Normal"/>
    <w:next w:val="ACMACorporateAddresses"/>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FC07B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27"/>
      </w:numPr>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24"/>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40"/>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paragraph" w:styleId="ListParagraph">
    <w:name w:val="List Paragraph"/>
    <w:basedOn w:val="Normal"/>
    <w:uiPriority w:val="34"/>
    <w:qFormat/>
    <w:rsid w:val="0083756D"/>
    <w:pPr>
      <w:spacing w:after="160" w:line="259" w:lineRule="auto"/>
      <w:ind w:left="720"/>
      <w:contextualSpacing/>
    </w:pPr>
    <w:rPr>
      <w:rFonts w:asciiTheme="minorHAnsi" w:eastAsiaTheme="minorHAnsi" w:hAnsiTheme="minorHAnsi" w:cstheme="minorBidi"/>
      <w:sz w:val="22"/>
      <w:szCs w:val="22"/>
      <w:lang w:eastAsia="en-US"/>
    </w:rPr>
  </w:style>
  <w:style w:type="paragraph" w:styleId="Index2">
    <w:name w:val="index 2"/>
    <w:basedOn w:val="Normal"/>
    <w:next w:val="Normal"/>
    <w:autoRedefine/>
    <w:rsid w:val="0083756D"/>
    <w:pPr>
      <w:spacing w:after="0" w:line="240" w:lineRule="auto"/>
      <w:ind w:left="400" w:hanging="200"/>
    </w:pPr>
  </w:style>
  <w:style w:type="paragraph" w:customStyle="1" w:styleId="ACMANumberedList">
    <w:name w:val="ACMA Numbered List"/>
    <w:rsid w:val="0083756D"/>
    <w:pPr>
      <w:numPr>
        <w:numId w:val="47"/>
      </w:numPr>
      <w:spacing w:before="20" w:after="20"/>
    </w:pPr>
    <w:rPr>
      <w:szCs w:val="20"/>
      <w:lang w:eastAsia="en-US"/>
    </w:rPr>
  </w:style>
  <w:style w:type="paragraph" w:styleId="Index3">
    <w:name w:val="index 3"/>
    <w:basedOn w:val="Normal"/>
    <w:next w:val="Normal"/>
    <w:autoRedefine/>
    <w:rsid w:val="002774EB"/>
    <w:pPr>
      <w:spacing w:after="0" w:line="240" w:lineRule="auto"/>
      <w:ind w:left="600" w:hanging="200"/>
    </w:pPr>
  </w:style>
  <w:style w:type="character" w:customStyle="1" w:styleId="FootnoteTextChar">
    <w:name w:val="Footnote Text Char"/>
    <w:aliases w:val="ACMA Footnote Text Char"/>
    <w:basedOn w:val="DefaultParagraphFont"/>
    <w:link w:val="FootnoteText"/>
    <w:rsid w:val="00CA2EC3"/>
    <w:rPr>
      <w:rFonts w:ascii="Arial" w:hAnsi="Arial"/>
      <w:sz w:val="16"/>
      <w:szCs w:val="16"/>
    </w:rPr>
  </w:style>
  <w:style w:type="paragraph" w:styleId="Revision">
    <w:name w:val="Revision"/>
    <w:hidden/>
    <w:semiHidden/>
    <w:rsid w:val="00CA2EC3"/>
    <w:rPr>
      <w:rFonts w:ascii="Arial" w:hAnsi="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creativecommons.org/licenses/by/3.0/au/" TargetMode="External"/><Relationship Id="rId18" Type="http://schemas.openxmlformats.org/officeDocument/2006/relationships/footer" Target="footer3.xml"/><Relationship Id="rId26" Type="http://schemas.openxmlformats.org/officeDocument/2006/relationships/footer" Target="footer7.xml"/><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footer" Target="footer2.xml"/><Relationship Id="rId25" Type="http://schemas.openxmlformats.org/officeDocument/2006/relationships/header" Target="header8.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eader" Target="header7.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header" Target="header5.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candinfo@acma.gov.au" TargetMode="External"/><Relationship Id="rId22" Type="http://schemas.openxmlformats.org/officeDocument/2006/relationships/footer" Target="footer5.xml"/><Relationship Id="rId27" Type="http://schemas.openxmlformats.org/officeDocument/2006/relationships/footer" Target="footer8.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footnotes.xml.rels><?xml version="1.0" encoding="UTF-8" standalone="yes"?>
<Relationships xmlns="http://schemas.openxmlformats.org/package/2006/relationships"><Relationship Id="rId1" Type="http://schemas.openxmlformats.org/officeDocument/2006/relationships/hyperlink" Target="http://www.comlaw.gov.au/Details/F2015L00319/Download"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emf"/></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D6B829-195C-42D1-BEEE-3264C9610A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2709</Words>
  <Characters>15442</Characters>
  <Application>Microsoft Office Word</Application>
  <DocSecurity>4</DocSecurity>
  <Lines>128</Lines>
  <Paragraphs>36</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18115</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2015-07-31T00:13:00Z</dcterms:created>
  <dcterms:modified xsi:type="dcterms:W3CDTF">2015-07-31T00:13:00Z</dcterms:modified>
  <cp:category/>
</cp:coreProperties>
</file>