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73" w:type="dxa"/>
        <w:tblLayout w:type="fixed"/>
        <w:tblCellMar>
          <w:left w:w="0" w:type="dxa"/>
          <w:right w:w="0" w:type="dxa"/>
        </w:tblCellMar>
        <w:tblLook w:val="01E0" w:firstRow="1" w:lastRow="1" w:firstColumn="1" w:lastColumn="1" w:noHBand="0" w:noVBand="0"/>
      </w:tblPr>
      <w:tblGrid>
        <w:gridCol w:w="8973"/>
      </w:tblGrid>
      <w:tr w:rsidR="009A1EE1" w:rsidRPr="00E141F1" w14:paraId="5BE9C394" w14:textId="77777777" w:rsidTr="00B51128">
        <w:tc>
          <w:tcPr>
            <w:tcW w:w="8973" w:type="dxa"/>
            <w:shd w:val="clear" w:color="auto" w:fill="auto"/>
          </w:tcPr>
          <w:p w14:paraId="4790DA37" w14:textId="77777777" w:rsidR="009A1EE1" w:rsidRDefault="009A1EE1" w:rsidP="00B51128">
            <w:pPr>
              <w:pStyle w:val="ReportSubtitle"/>
              <w:spacing w:after="360" w:line="520" w:lineRule="exact"/>
              <w:rPr>
                <w:rFonts w:cs="Arial"/>
              </w:rPr>
            </w:pPr>
            <w:r>
              <w:rPr>
                <w:rFonts w:cs="Arial"/>
                <w:noProof/>
              </w:rPr>
              <mc:AlternateContent>
                <mc:Choice Requires="wps">
                  <w:drawing>
                    <wp:anchor distT="0" distB="0" distL="114300" distR="114300" simplePos="0" relativeHeight="251658240" behindDoc="0" locked="0" layoutInCell="1" allowOverlap="1" wp14:anchorId="6F25B2E9" wp14:editId="0A5E8191">
                      <wp:simplePos x="0" y="0"/>
                      <wp:positionH relativeFrom="column">
                        <wp:posOffset>10795</wp:posOffset>
                      </wp:positionH>
                      <wp:positionV relativeFrom="paragraph">
                        <wp:posOffset>1118235</wp:posOffset>
                      </wp:positionV>
                      <wp:extent cx="2646680" cy="635"/>
                      <wp:effectExtent l="5715" t="9525" r="5080" b="8890"/>
                      <wp:wrapNone/>
                      <wp:docPr id="91" name="Straight Arrow Connector 91" title="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66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0A1AC8" id="_x0000_t32" coordsize="21600,21600" o:spt="32" o:oned="t" path="m,l21600,21600e" filled="f">
                      <v:path arrowok="t" fillok="f" o:connecttype="none"/>
                      <o:lock v:ext="edit" shapetype="t"/>
                    </v:shapetype>
                    <v:shape id="Straight Arrow Connector 91" o:spid="_x0000_s1026" type="#_x0000_t32" alt="Title: Decorative image" style="position:absolute;margin-left:.85pt;margin-top:88.05pt;width:208.4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"/>
                  </w:pict>
                </mc:Fallback>
              </mc:AlternateContent>
            </w:r>
            <w:r>
              <w:rPr>
                <w:rFonts w:cs="Arial"/>
              </w:rPr>
              <w:t xml:space="preserve">Australian </w:t>
            </w:r>
            <w:r>
              <w:rPr>
                <w:rFonts w:cs="Arial"/>
              </w:rPr>
              <w:br/>
              <w:t xml:space="preserve">Communications </w:t>
            </w:r>
            <w:r>
              <w:rPr>
                <w:rFonts w:cs="Arial"/>
              </w:rPr>
              <w:br/>
              <w:t xml:space="preserve">and </w:t>
            </w:r>
            <w:r w:rsidRPr="008C447D">
              <w:rPr>
                <w:rFonts w:cs="Arial"/>
              </w:rPr>
              <w:t>Media</w:t>
            </w:r>
            <w:r>
              <w:rPr>
                <w:rFonts w:cs="Arial"/>
              </w:rPr>
              <w:t xml:space="preserve"> Authority</w:t>
            </w:r>
          </w:p>
          <w:p w14:paraId="1B10506A" w14:textId="77777777" w:rsidR="009A1EE1" w:rsidRPr="00E141F1" w:rsidRDefault="009A1EE1" w:rsidP="00B51128">
            <w:pPr>
              <w:pStyle w:val="ReportTitle"/>
              <w:rPr>
                <w:rFonts w:cs="Arial"/>
              </w:rPr>
            </w:pPr>
            <w:r w:rsidRPr="00E141F1">
              <w:rPr>
                <w:rFonts w:cs="Arial"/>
              </w:rPr>
              <w:t>Communications report</w:t>
            </w:r>
          </w:p>
        </w:tc>
      </w:tr>
      <w:tr w:rsidR="009A1EE1" w:rsidRPr="00E141F1" w14:paraId="697C4E8B" w14:textId="77777777" w:rsidTr="00B51128">
        <w:tc>
          <w:tcPr>
            <w:tcW w:w="8973" w:type="dxa"/>
            <w:shd w:val="clear" w:color="auto" w:fill="auto"/>
            <w:tcMar>
              <w:bottom w:w="232" w:type="dxa"/>
            </w:tcMar>
          </w:tcPr>
          <w:p w14:paraId="3200F323" w14:textId="77777777" w:rsidR="009A1EE1" w:rsidRPr="00B5110F" w:rsidRDefault="00B5110F" w:rsidP="00B5110F">
            <w:pPr>
              <w:pStyle w:val="ReportSubtitle"/>
              <w:spacing w:after="360" w:line="520" w:lineRule="exact"/>
              <w:rPr>
                <w:rFonts w:cs="Arial"/>
                <w:b/>
              </w:rPr>
            </w:pPr>
            <w:r w:rsidRPr="00B5110F">
              <w:rPr>
                <w:rFonts w:cs="Arial"/>
              </w:rPr>
              <w:t>2015–16</w:t>
            </w:r>
          </w:p>
        </w:tc>
      </w:tr>
    </w:tbl>
    <w:p w14:paraId="60DE199D" w14:textId="77777777" w:rsidR="00C97736" w:rsidRDefault="00C97736" w:rsidP="0041071D">
      <w:pPr>
        <w:rPr>
          <w:rFonts w:cs="Arial"/>
        </w:rPr>
      </w:pPr>
      <w:bookmarkStart w:id="0" w:name="_Toc433790270"/>
    </w:p>
    <w:p w14:paraId="43898430" w14:textId="77777777" w:rsidR="00ED45DF" w:rsidRPr="00FD7E86" w:rsidRDefault="00ED45DF" w:rsidP="0041071D">
      <w:pPr>
        <w:rPr>
          <w:rFonts w:cs="Arial"/>
        </w:rPr>
        <w:sectPr w:rsidR="00ED45DF" w:rsidRPr="00FD7E86" w:rsidSect="00604073">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39" w:code="9"/>
          <w:pgMar w:top="3924" w:right="1797" w:bottom="1440" w:left="1134" w:header="709" w:footer="454" w:gutter="0"/>
          <w:cols w:space="708"/>
          <w:docGrid w:linePitch="360"/>
        </w:sectPr>
      </w:pPr>
    </w:p>
    <w:p w14:paraId="0DA0EB59" w14:textId="77777777" w:rsidR="00580A5F" w:rsidRPr="004E1EEE" w:rsidRDefault="00580A5F" w:rsidP="000870BC">
      <w:pPr>
        <w:spacing w:before="2400"/>
        <w:rPr>
          <w:rFonts w:cs="Arial"/>
        </w:rPr>
      </w:pPr>
      <w:r w:rsidRPr="004E1EEE">
        <w:rPr>
          <w:rFonts w:cs="Arial"/>
        </w:rPr>
        <w:lastRenderedPageBreak/>
        <w:t xml:space="preserve">The ACMA </w:t>
      </w:r>
      <w:r w:rsidRPr="004E1EEE">
        <w:rPr>
          <w:rFonts w:cs="Arial"/>
          <w:i/>
        </w:rPr>
        <w:t>Communications report 201</w:t>
      </w:r>
      <w:r>
        <w:rPr>
          <w:rFonts w:cs="Arial"/>
          <w:i/>
        </w:rPr>
        <w:t>5</w:t>
      </w:r>
      <w:r w:rsidRPr="004E1EEE">
        <w:rPr>
          <w:rFonts w:cs="Arial"/>
          <w:i/>
        </w:rPr>
        <w:t>–1</w:t>
      </w:r>
      <w:r>
        <w:rPr>
          <w:rFonts w:cs="Arial"/>
          <w:i/>
        </w:rPr>
        <w:t>6</w:t>
      </w:r>
      <w:r w:rsidRPr="004E1EEE">
        <w:rPr>
          <w:rFonts w:cs="Arial"/>
          <w:i/>
        </w:rPr>
        <w:t xml:space="preserve"> </w:t>
      </w:r>
      <w:r w:rsidRPr="004E1EEE">
        <w:rPr>
          <w:rFonts w:cs="Arial"/>
        </w:rPr>
        <w:t>(the Communications report) draws on data from a range of sources including the ACMA’s own databases, information reported by industry, the ACMA’s research using third-party public sources, and commissioned surveys and analysis.</w:t>
      </w:r>
    </w:p>
    <w:p w14:paraId="71717ADD" w14:textId="77777777" w:rsidR="00580A5F" w:rsidRPr="004E1EEE" w:rsidRDefault="00580A5F" w:rsidP="00580A5F">
      <w:pPr>
        <w:rPr>
          <w:rFonts w:cs="Arial"/>
        </w:rPr>
      </w:pPr>
      <w:r w:rsidRPr="004E1EEE">
        <w:rPr>
          <w:rFonts w:cs="Arial"/>
        </w:rPr>
        <w:t xml:space="preserve">The ACMA has a statutory reporting obligation under section 105 of the </w:t>
      </w:r>
      <w:r w:rsidRPr="004E1EEE">
        <w:rPr>
          <w:rFonts w:cs="Arial"/>
          <w:i/>
        </w:rPr>
        <w:t>Telecommunications Act 1997</w:t>
      </w:r>
      <w:r w:rsidRPr="004E1EEE">
        <w:rPr>
          <w:rFonts w:cs="Arial"/>
        </w:rPr>
        <w:t xml:space="preserve"> that requires it to collect data from industry for monitoring and reporting purposes. </w:t>
      </w:r>
      <w:r w:rsidR="00DF2B2D">
        <w:rPr>
          <w:rFonts w:cs="Arial"/>
        </w:rPr>
        <w:t>T</w:t>
      </w:r>
      <w:r w:rsidRPr="004E1EEE">
        <w:rPr>
          <w:rFonts w:cs="Arial"/>
        </w:rPr>
        <w:t>he ACMA will continue to work with industry participants to identify op</w:t>
      </w:r>
      <w:bookmarkStart w:id="1" w:name="_GoBack"/>
      <w:bookmarkEnd w:id="1"/>
      <w:r w:rsidRPr="004E1EEE">
        <w:rPr>
          <w:rFonts w:cs="Arial"/>
        </w:rPr>
        <w:t>portunities to streamline regulatory reporting arrangements</w:t>
      </w:r>
      <w:r w:rsidR="00DF2B2D">
        <w:rPr>
          <w:rFonts w:cs="Arial"/>
        </w:rPr>
        <w:t xml:space="preserve"> </w:t>
      </w:r>
      <w:r w:rsidR="00DF2B2D" w:rsidRPr="004E1EEE">
        <w:rPr>
          <w:rFonts w:cs="Arial"/>
        </w:rPr>
        <w:t>as part of the Australian Govern</w:t>
      </w:r>
      <w:r w:rsidR="00DF2B2D">
        <w:rPr>
          <w:rFonts w:cs="Arial"/>
        </w:rPr>
        <w:t>ment’s regulation reform agenda</w:t>
      </w:r>
      <w:r w:rsidRPr="004E1EEE">
        <w:rPr>
          <w:rFonts w:cs="Arial"/>
        </w:rPr>
        <w:t>.</w:t>
      </w:r>
    </w:p>
    <w:p w14:paraId="29835FB5" w14:textId="77777777" w:rsidR="00580A5F" w:rsidRPr="004E1EEE" w:rsidRDefault="00580A5F" w:rsidP="00580A5F">
      <w:pPr>
        <w:spacing w:after="60"/>
        <w:rPr>
          <w:rFonts w:cs="Arial"/>
        </w:rPr>
      </w:pPr>
      <w:r w:rsidRPr="004E1EEE">
        <w:rPr>
          <w:rFonts w:cs="Arial"/>
          <w:b/>
        </w:rPr>
        <w:t>Disclaimer</w:t>
      </w:r>
    </w:p>
    <w:p w14:paraId="2FFB5A21" w14:textId="77777777" w:rsidR="00580A5F" w:rsidRPr="004E1EEE" w:rsidRDefault="00580A5F" w:rsidP="00580A5F">
      <w:pPr>
        <w:rPr>
          <w:rFonts w:cs="Arial"/>
        </w:rPr>
      </w:pPr>
      <w:r w:rsidRPr="004E1EEE">
        <w:rPr>
          <w:rFonts w:cs="Arial"/>
        </w:rPr>
        <w:t>The information in this document was obtained from sources the ACMA believes to be reliable. However, the ACMA does not guarantee the accuracy, completeness or adequacy of the information. To the maximum extent permitted by law, the ACMA is not liable for any errors, omissions or inadequacy in the information, or for any reliance on the information. Predictions and forward-looking statements in this document are based on information existing and known at the time of publication, and are subject to risks, uncertainties and changes in circumstances beyond the control of the ACMA. Opinions and positions stated in this document are subject to change without notice.</w:t>
      </w:r>
    </w:p>
    <w:p w14:paraId="58BD6061" w14:textId="77777777" w:rsidR="00580A5F" w:rsidRPr="004E1EEE" w:rsidRDefault="00580A5F" w:rsidP="00580A5F">
      <w:pPr>
        <w:spacing w:after="60"/>
        <w:rPr>
          <w:rFonts w:cs="Arial"/>
          <w:b/>
        </w:rPr>
      </w:pPr>
      <w:r w:rsidRPr="004E1EEE">
        <w:rPr>
          <w:rFonts w:cs="Arial"/>
          <w:b/>
        </w:rPr>
        <w:t>Comments</w:t>
      </w:r>
    </w:p>
    <w:p w14:paraId="74275282" w14:textId="77777777" w:rsidR="00580A5F" w:rsidRPr="004E1EEE" w:rsidRDefault="00580A5F" w:rsidP="00580A5F">
      <w:pPr>
        <w:rPr>
          <w:rFonts w:cs="Arial"/>
        </w:rPr>
      </w:pPr>
      <w:r w:rsidRPr="004E1EEE">
        <w:rPr>
          <w:rFonts w:cs="Arial"/>
        </w:rPr>
        <w:t xml:space="preserve">The ACMA welcomes feedback on the </w:t>
      </w:r>
      <w:r w:rsidR="00092CF5">
        <w:rPr>
          <w:rFonts w:cs="Arial"/>
        </w:rPr>
        <w:t>C</w:t>
      </w:r>
      <w:r w:rsidRPr="004E1EEE">
        <w:rPr>
          <w:rFonts w:cs="Arial"/>
        </w:rPr>
        <w:t xml:space="preserve">ommunications report. Comments and enquiries about the scope, content and format of the report should be sent to </w:t>
      </w:r>
      <w:hyperlink r:id="rId17" w:history="1">
        <w:r w:rsidRPr="004E1EEE">
          <w:rPr>
            <w:rFonts w:cs="Arial"/>
            <w:color w:val="0000FF"/>
            <w:u w:val="single"/>
          </w:rPr>
          <w:t>research.analysis@acma.gov.au</w:t>
        </w:r>
      </w:hyperlink>
      <w:r w:rsidRPr="004E1EEE">
        <w:rPr>
          <w:rFonts w:cs="Arial"/>
        </w:rPr>
        <w:t>.</w:t>
      </w:r>
    </w:p>
    <w:p w14:paraId="23954D4C" w14:textId="77777777" w:rsidR="00580A5F" w:rsidRPr="004E1EEE" w:rsidRDefault="00580A5F" w:rsidP="00580A5F">
      <w:pPr>
        <w:spacing w:after="60"/>
        <w:rPr>
          <w:rFonts w:cs="Arial"/>
          <w:b/>
        </w:rPr>
      </w:pPr>
      <w:r w:rsidRPr="004E1EEE">
        <w:rPr>
          <w:rFonts w:cs="Arial"/>
          <w:b/>
        </w:rPr>
        <w:t>Further information</w:t>
      </w:r>
    </w:p>
    <w:p w14:paraId="31C3310E" w14:textId="77777777" w:rsidR="00580A5F" w:rsidRPr="004E1EEE" w:rsidRDefault="00580A5F" w:rsidP="00580A5F">
      <w:pPr>
        <w:rPr>
          <w:rFonts w:cs="Arial"/>
        </w:rPr>
      </w:pPr>
      <w:r w:rsidRPr="004E1EEE">
        <w:rPr>
          <w:rFonts w:cs="Arial"/>
        </w:rPr>
        <w:t xml:space="preserve">For further information about the ACMA and links to the Communications report, please go to </w:t>
      </w:r>
      <w:hyperlink r:id="rId18" w:history="1">
        <w:r w:rsidRPr="004E1EEE">
          <w:rPr>
            <w:rFonts w:cs="Arial"/>
            <w:color w:val="0000FF"/>
            <w:u w:val="single"/>
          </w:rPr>
          <w:t>www.acma.gov.au/commsreport</w:t>
        </w:r>
      </w:hyperlink>
      <w:r w:rsidRPr="004E1EEE">
        <w:rPr>
          <w:rFonts w:cs="Arial"/>
        </w:rPr>
        <w:t>.</w:t>
      </w:r>
    </w:p>
    <w:p w14:paraId="283DB4C3" w14:textId="77777777" w:rsidR="00140318" w:rsidRPr="00FD7E86" w:rsidRDefault="00140318" w:rsidP="00456357">
      <w:pPr>
        <w:pStyle w:val="ACMACopyrightHeader"/>
        <w:spacing w:before="2640"/>
      </w:pPr>
      <w:r w:rsidRPr="00FD7E86">
        <w:t>Copyright notice</w:t>
      </w:r>
    </w:p>
    <w:p w14:paraId="624C6C0A" w14:textId="77777777" w:rsidR="00263723" w:rsidRPr="00FD7E86" w:rsidRDefault="00263723" w:rsidP="00263723">
      <w:pPr>
        <w:pStyle w:val="ACMACClogo"/>
      </w:pPr>
      <w:r w:rsidRPr="00FD7E86">
        <w:rPr>
          <w:noProof/>
        </w:rPr>
        <w:drawing>
          <wp:inline distT="0" distB="0" distL="0" distR="0" wp14:anchorId="7EDB6002" wp14:editId="40FF20B7">
            <wp:extent cx="838200" cy="295275"/>
            <wp:effectExtent l="0" t="0" r="0" b="0"/>
            <wp:docPr id="1" name="Picture 1" title="Creative Commons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9"/>
                    </pic:cNvPr>
                    <pic:cNvPicPr>
                      <a:picLocks noChangeAspect="1" noChangeArrowheads="1"/>
                    </pic:cNvPicPr>
                  </pic:nvPicPr>
                  <pic:blipFill>
                    <a:blip r:embed="rId20" cstate="print"/>
                    <a:srcRect/>
                    <a:stretch>
                      <a:fillRect/>
                    </a:stretch>
                  </pic:blipFill>
                  <pic:spPr bwMode="auto">
                    <a:xfrm>
                      <a:off x="0" y="0"/>
                      <a:ext cx="838200" cy="295275"/>
                    </a:xfrm>
                    <a:prstGeom prst="rect">
                      <a:avLst/>
                    </a:prstGeom>
                    <a:noFill/>
                  </pic:spPr>
                </pic:pic>
              </a:graphicData>
            </a:graphic>
          </wp:inline>
        </w:drawing>
      </w:r>
    </w:p>
    <w:p w14:paraId="28D99540" w14:textId="77777777" w:rsidR="00263723" w:rsidRPr="00263723" w:rsidRDefault="00263723" w:rsidP="00263723">
      <w:pPr>
        <w:autoSpaceDE w:val="0"/>
        <w:autoSpaceDN w:val="0"/>
        <w:adjustRightInd w:val="0"/>
        <w:spacing w:after="100" w:line="171" w:lineRule="atLeast"/>
        <w:rPr>
          <w:rFonts w:ascii="Helvetica 45 Light" w:hAnsi="Helvetica 45 Light"/>
          <w:sz w:val="14"/>
          <w:szCs w:val="14"/>
        </w:rPr>
      </w:pPr>
      <w:r w:rsidRPr="00263723">
        <w:rPr>
          <w:rFonts w:ascii="Helvetica 45 Light" w:hAnsi="Helvetica 45 Light"/>
          <w:sz w:val="14"/>
          <w:szCs w:val="14"/>
        </w:rPr>
        <w:t>© Commonwealth of Australia 2016</w:t>
      </w:r>
    </w:p>
    <w:p w14:paraId="3E3F7504" w14:textId="77777777" w:rsidR="00263723" w:rsidRPr="00263723" w:rsidRDefault="00263723" w:rsidP="00263723">
      <w:pPr>
        <w:autoSpaceDE w:val="0"/>
        <w:autoSpaceDN w:val="0"/>
        <w:adjustRightInd w:val="0"/>
        <w:spacing w:after="160" w:line="171" w:lineRule="atLeast"/>
        <w:rPr>
          <w:rFonts w:ascii="Helvetica 45 Light" w:hAnsi="Helvetica 45 Light"/>
          <w:sz w:val="14"/>
          <w:szCs w:val="14"/>
        </w:rPr>
      </w:pPr>
      <w:r w:rsidRPr="00263723">
        <w:rPr>
          <w:rFonts w:ascii="Helvetica 45 Light" w:hAnsi="Helvetica 45 Light"/>
          <w:sz w:val="14"/>
          <w:szCs w:val="14"/>
        </w:rPr>
        <w:t xml:space="preserve">ISSN: </w:t>
      </w:r>
      <w:r w:rsidR="00E2511D" w:rsidRPr="00E2511D">
        <w:rPr>
          <w:rFonts w:ascii="Helvetica 45 Light" w:hAnsi="Helvetica 45 Light"/>
          <w:sz w:val="14"/>
          <w:szCs w:val="14"/>
        </w:rPr>
        <w:t xml:space="preserve">1834-1519 </w:t>
      </w:r>
      <w:r w:rsidRPr="00E2511D">
        <w:rPr>
          <w:rFonts w:ascii="Helvetica 45 Light" w:hAnsi="Helvetica 45 Light"/>
          <w:sz w:val="14"/>
          <w:szCs w:val="14"/>
        </w:rPr>
        <w:t xml:space="preserve">(print) </w:t>
      </w:r>
      <w:r w:rsidR="00E2511D" w:rsidRPr="00E2511D">
        <w:rPr>
          <w:rFonts w:ascii="Helvetica 45 Light" w:hAnsi="Helvetica 45 Light"/>
          <w:sz w:val="14"/>
          <w:szCs w:val="14"/>
        </w:rPr>
        <w:t xml:space="preserve">2204-4256 </w:t>
      </w:r>
      <w:r w:rsidRPr="00E2511D">
        <w:rPr>
          <w:rFonts w:ascii="Helvetica 45 Light" w:hAnsi="Helvetica 45 Light"/>
          <w:sz w:val="14"/>
          <w:szCs w:val="14"/>
        </w:rPr>
        <w:t>(online)</w:t>
      </w:r>
    </w:p>
    <w:p w14:paraId="23790035" w14:textId="77777777" w:rsidR="00263723" w:rsidRPr="00263723" w:rsidRDefault="00263723" w:rsidP="00263723">
      <w:pPr>
        <w:autoSpaceDE w:val="0"/>
        <w:autoSpaceDN w:val="0"/>
        <w:adjustRightInd w:val="0"/>
        <w:spacing w:after="100" w:line="171" w:lineRule="atLeast"/>
        <w:rPr>
          <w:rFonts w:ascii="Helvetica 45 Light" w:hAnsi="Helvetica 45 Light"/>
          <w:sz w:val="14"/>
          <w:szCs w:val="14"/>
        </w:rPr>
      </w:pPr>
      <w:r w:rsidRPr="00263723">
        <w:rPr>
          <w:rFonts w:ascii="Helvetica 45 Light" w:hAnsi="Helvetica 45 Light"/>
          <w:sz w:val="14"/>
          <w:szCs w:val="14"/>
        </w:rPr>
        <w:t>With the exception of coats of arms, logos, emblems, images, other third-party material or devices protected by a trademark, this content is licensed under the Creative Commons Australia Attribution 3.0 Licence (http://creativecommons.org/licenses/by/3.0/au/).</w:t>
      </w:r>
    </w:p>
    <w:p w14:paraId="7409BE5A" w14:textId="77777777" w:rsidR="00263723" w:rsidRPr="00263723" w:rsidRDefault="00263723" w:rsidP="00263723">
      <w:pPr>
        <w:autoSpaceDE w:val="0"/>
        <w:autoSpaceDN w:val="0"/>
        <w:adjustRightInd w:val="0"/>
        <w:spacing w:after="100" w:line="171" w:lineRule="atLeast"/>
        <w:rPr>
          <w:rFonts w:ascii="Helvetica 45 Light" w:hAnsi="Helvetica 45 Light" w:cs="Helvetica 45 Light"/>
          <w:sz w:val="14"/>
          <w:szCs w:val="14"/>
        </w:rPr>
      </w:pPr>
      <w:r w:rsidRPr="00263723">
        <w:rPr>
          <w:rFonts w:ascii="Helvetica 45 Light" w:hAnsi="Helvetica 45 Light"/>
          <w:sz w:val="14"/>
          <w:szCs w:val="14"/>
        </w:rPr>
        <w:t xml:space="preserve">We request attribution as the </w:t>
      </w:r>
      <w:r w:rsidRPr="00A73F6A">
        <w:rPr>
          <w:rFonts w:ascii="Helvetica 45 Light" w:hAnsi="Helvetica 45 Light" w:cs="Helvetica 45 Light"/>
          <w:i/>
          <w:iCs/>
          <w:sz w:val="14"/>
          <w:szCs w:val="14"/>
        </w:rPr>
        <w:t>Australian Communications and Media Authority communications report 2015–16</w:t>
      </w:r>
      <w:r w:rsidRPr="00A73F6A">
        <w:rPr>
          <w:rFonts w:ascii="Helvetica 45 Light" w:hAnsi="Helvetica 45 Light" w:cs="Helvetica 45 Light"/>
          <w:sz w:val="14"/>
          <w:szCs w:val="14"/>
        </w:rPr>
        <w:t>.</w:t>
      </w:r>
      <w:r w:rsidRPr="00263723">
        <w:rPr>
          <w:rFonts w:ascii="Helvetica 45 Light" w:hAnsi="Helvetica 45 Light" w:cs="Helvetica 45 Light"/>
          <w:sz w:val="14"/>
          <w:szCs w:val="14"/>
        </w:rPr>
        <w:t xml:space="preserve"> All other </w:t>
      </w:r>
      <w:r w:rsidRPr="00456357">
        <w:rPr>
          <w:rFonts w:ascii="Helvetica 45 Light" w:hAnsi="Helvetica 45 Light"/>
          <w:sz w:val="14"/>
          <w:szCs w:val="14"/>
        </w:rPr>
        <w:t>rights</w:t>
      </w:r>
      <w:r w:rsidRPr="00263723">
        <w:rPr>
          <w:rFonts w:ascii="Helvetica 45 Light" w:hAnsi="Helvetica 45 Light" w:cs="Helvetica 45 Light"/>
          <w:sz w:val="14"/>
          <w:szCs w:val="14"/>
        </w:rPr>
        <w:t xml:space="preserve"> are reserved.</w:t>
      </w:r>
    </w:p>
    <w:p w14:paraId="34D87F61" w14:textId="77777777" w:rsidR="00CC45EB" w:rsidRPr="000870BC" w:rsidRDefault="00263723" w:rsidP="000870BC">
      <w:pPr>
        <w:autoSpaceDE w:val="0"/>
        <w:autoSpaceDN w:val="0"/>
        <w:adjustRightInd w:val="0"/>
        <w:spacing w:after="100" w:line="171" w:lineRule="atLeast"/>
        <w:rPr>
          <w:rStyle w:val="Hyperlink"/>
          <w:rFonts w:ascii="Helvetica 45 Light" w:hAnsi="Helvetica 45 Light"/>
          <w:color w:val="auto"/>
          <w:sz w:val="14"/>
          <w:szCs w:val="14"/>
          <w:u w:val="none"/>
        </w:rPr>
      </w:pPr>
      <w:r w:rsidRPr="00456357">
        <w:rPr>
          <w:rFonts w:ascii="Helvetica 45 Light" w:hAnsi="Helvetica 45 Light"/>
          <w:sz w:val="14"/>
          <w:szCs w:val="14"/>
        </w:rPr>
        <w:t xml:space="preserve">The Australian Communications and Media Authority has undertaken reasonable enquiries to identify material owned by third parties and secure permission for its reproduction. Permission may need to be obtained from third parties to re-use their material. </w:t>
      </w:r>
      <w:r w:rsidR="00CC45EB" w:rsidRPr="00FD7E86">
        <w:rPr>
          <w:rStyle w:val="Hyperlink"/>
        </w:rPr>
        <w:br w:type="page"/>
      </w:r>
    </w:p>
    <w:p w14:paraId="709B694D" w14:textId="77777777" w:rsidR="00580A5F" w:rsidRDefault="00225CAD" w:rsidP="00580A5F">
      <w:pPr>
        <w:pStyle w:val="ACMANormalTabbed"/>
      </w:pPr>
      <w:bookmarkStart w:id="2" w:name="_Toc462132185"/>
      <w:r>
        <w:rPr>
          <w:noProof/>
          <w:sz w:val="16"/>
          <w:szCs w:val="16"/>
        </w:rPr>
        <w:lastRenderedPageBreak/>
        <w:drawing>
          <wp:inline distT="0" distB="0" distL="0" distR="0" wp14:anchorId="1696ED37" wp14:editId="17A33C33">
            <wp:extent cx="5939790" cy="8398510"/>
            <wp:effectExtent l="57150" t="57150" r="118110" b="116840"/>
            <wp:docPr id="4" name="Picture 4" descr="Letter from Richard Bean, Acting Chairman, ACMA to Senator the Hon Mitch Fifield. Text reads:&#10;Dear Minister&#10;ACMA Communications report 2015-16.&#10;I am pleased to provide you with the ACMA Communications report 2015-16.&#10;It is a report on telecommunications performance for 2015-16, prepared in accordance with section 105 of the Telecommunications Act 1997 (the Act).&#10;The statutory reporting obligations under section 105 of the Act are fulfilled in the following chapters of the report:&#10;&gt; for paragraphs 105(3)(a) and (b) of the Act, which relate to the efficiency of the supply of telecommunications services and the adequacy and quality of such services—chapters 1, 2, 3 and 5&#10;&gt; for paragraphs 105(3)(c) and (d), which relate to carrier and carriage service provider obligations under Part 6 of the Act with respect to industry codes and standards—Chapter 5&#10;&gt; for paragraphs 105(3)(e) and (ea), and subsection 105(4) of the Act, which relate to industry performance in fulfilling universal service and Customer Service Guarantee&#10;obligations—Chapter 5&#10;&gt; for paragraph 105(5A) of the Act, which relates to national interest matters and cooperation with law enforcement agencies, including the costs of compliance with Part&#10;5-1A of the Telecommunications (interception and Access) Act 1979 (about data retention)—chapters 1 and 4.&#10;Please note that subsection 105(7) of the Act requires that you table the report in each House of the Parliament within 15 sitting days of that House after you have received the report."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final.jpg"/>
                    <pic:cNvPicPr/>
                  </pic:nvPicPr>
                  <pic:blipFill>
                    <a:blip r:embed="rId21">
                      <a:extLst>
                        <a:ext uri="{28A0092B-C50C-407E-A947-70E740481C1C}">
                          <a14:useLocalDpi xmlns:a14="http://schemas.microsoft.com/office/drawing/2010/main" val="0"/>
                        </a:ext>
                      </a:extLst>
                    </a:blip>
                    <a:stretch>
                      <a:fillRect/>
                    </a:stretch>
                  </pic:blipFill>
                  <pic:spPr>
                    <a:xfrm>
                      <a:off x="0" y="0"/>
                      <a:ext cx="5939790" cy="8398510"/>
                    </a:xfrm>
                    <a:prstGeom prst="rect">
                      <a:avLst/>
                    </a:prstGeom>
                    <a:ln w="6350">
                      <a:solidFill>
                        <a:schemeClr val="tx1">
                          <a:lumMod val="75000"/>
                          <a:lumOff val="25000"/>
                        </a:schemeClr>
                      </a:solidFill>
                    </a:ln>
                    <a:effectLst>
                      <a:outerShdw blurRad="50800" dist="38100" dir="2700000" algn="tl" rotWithShape="0">
                        <a:schemeClr val="tx1">
                          <a:lumMod val="75000"/>
                          <a:lumOff val="25000"/>
                          <a:alpha val="40000"/>
                        </a:schemeClr>
                      </a:outerShdw>
                    </a:effectLst>
                  </pic:spPr>
                </pic:pic>
              </a:graphicData>
            </a:graphic>
          </wp:inline>
        </w:drawing>
      </w:r>
    </w:p>
    <w:p w14:paraId="1523B09A" w14:textId="77777777" w:rsidR="000870BC" w:rsidRDefault="000870BC">
      <w:pPr>
        <w:spacing w:after="0"/>
      </w:pPr>
      <w:r>
        <w:br w:type="page"/>
      </w:r>
    </w:p>
    <w:p w14:paraId="153AC0B7" w14:textId="77777777" w:rsidR="000870BC" w:rsidRDefault="000870BC" w:rsidP="00580A5F">
      <w:pPr>
        <w:pStyle w:val="ACMANormalTabbed"/>
      </w:pPr>
    </w:p>
    <w:p w14:paraId="09FFEBE0" w14:textId="77777777" w:rsidR="00D16FE3" w:rsidRDefault="00D16FE3" w:rsidP="00D16FE3">
      <w:pPr>
        <w:pStyle w:val="ACMACorporateAddresses"/>
      </w:pPr>
    </w:p>
    <w:p w14:paraId="3A08971D" w14:textId="77777777" w:rsidR="00FF5DC9" w:rsidRPr="00FD7E86" w:rsidRDefault="00FF5DC9" w:rsidP="00D16FE3">
      <w:pPr>
        <w:pStyle w:val="ACMACorporateAddresses"/>
        <w:sectPr w:rsidR="00FF5DC9" w:rsidRPr="00FD7E86" w:rsidSect="00CD4287">
          <w:headerReference w:type="even" r:id="rId22"/>
          <w:headerReference w:type="default" r:id="rId23"/>
          <w:footerReference w:type="even" r:id="rId24"/>
          <w:footerReference w:type="default" r:id="rId25"/>
          <w:pgSz w:w="11906" w:h="16838" w:code="9"/>
          <w:pgMar w:top="1985" w:right="1134" w:bottom="868" w:left="1134" w:header="709" w:footer="119" w:gutter="284"/>
          <w:cols w:space="708"/>
          <w:docGrid w:linePitch="360"/>
        </w:sectPr>
      </w:pPr>
    </w:p>
    <w:p w14:paraId="769A09D9" w14:textId="77777777" w:rsidR="00637CD4" w:rsidRPr="00C53AB2" w:rsidRDefault="00092CF5" w:rsidP="00C53AB2">
      <w:pPr>
        <w:pStyle w:val="TOC1"/>
        <w:tabs>
          <w:tab w:val="clear" w:pos="7660"/>
          <w:tab w:val="right" w:pos="9072"/>
        </w:tabs>
        <w:ind w:right="567"/>
        <w:rPr>
          <w:rFonts w:asciiTheme="minorHAnsi" w:eastAsiaTheme="minorEastAsia" w:hAnsiTheme="minorHAnsi" w:cstheme="minorBidi"/>
          <w:b w:val="0"/>
          <w:color w:val="007298"/>
          <w:spacing w:val="0"/>
          <w:sz w:val="22"/>
          <w:szCs w:val="22"/>
        </w:rPr>
      </w:pPr>
      <w:r>
        <w:rPr>
          <w:rFonts w:cs="Arial"/>
        </w:rPr>
        <w:lastRenderedPageBreak/>
        <w:fldChar w:fldCharType="begin"/>
      </w:r>
      <w:r>
        <w:rPr>
          <w:rFonts w:cs="Arial"/>
        </w:rPr>
        <w:instrText xml:space="preserve"> TOC \o "1-3" \t "ACMA_ExecSummaryHeading,1" </w:instrText>
      </w:r>
      <w:r>
        <w:rPr>
          <w:rFonts w:cs="Arial"/>
        </w:rPr>
        <w:fldChar w:fldCharType="separate"/>
      </w:r>
      <w:r w:rsidR="00637CD4" w:rsidRPr="00C53AB2">
        <w:rPr>
          <w:color w:val="007298"/>
        </w:rPr>
        <w:t>Chairman’s foreword</w:t>
      </w:r>
      <w:r w:rsidR="00637CD4" w:rsidRPr="00C53AB2">
        <w:rPr>
          <w:color w:val="007298"/>
        </w:rPr>
        <w:tab/>
      </w:r>
      <w:r w:rsidR="00637CD4" w:rsidRPr="00C53AB2">
        <w:rPr>
          <w:color w:val="007298"/>
        </w:rPr>
        <w:fldChar w:fldCharType="begin"/>
      </w:r>
      <w:r w:rsidR="00637CD4" w:rsidRPr="00C53AB2">
        <w:rPr>
          <w:color w:val="007298"/>
        </w:rPr>
        <w:instrText xml:space="preserve"> PAGEREF _Toc465842804 \h </w:instrText>
      </w:r>
      <w:r w:rsidR="00637CD4" w:rsidRPr="00C53AB2">
        <w:rPr>
          <w:color w:val="007298"/>
        </w:rPr>
      </w:r>
      <w:r w:rsidR="00637CD4" w:rsidRPr="00C53AB2">
        <w:rPr>
          <w:color w:val="007298"/>
        </w:rPr>
        <w:fldChar w:fldCharType="separate"/>
      </w:r>
      <w:r w:rsidR="00625DDF">
        <w:rPr>
          <w:color w:val="007298"/>
        </w:rPr>
        <w:t>1</w:t>
      </w:r>
      <w:r w:rsidR="00637CD4" w:rsidRPr="00C53AB2">
        <w:rPr>
          <w:color w:val="007298"/>
        </w:rPr>
        <w:fldChar w:fldCharType="end"/>
      </w:r>
    </w:p>
    <w:p w14:paraId="0E78D3A1" w14:textId="77777777" w:rsidR="00637CD4" w:rsidRPr="00C53AB2" w:rsidRDefault="00637CD4" w:rsidP="00C53AB2">
      <w:pPr>
        <w:pStyle w:val="TOC1"/>
        <w:tabs>
          <w:tab w:val="clear" w:pos="7660"/>
          <w:tab w:val="right" w:pos="9072"/>
        </w:tabs>
        <w:ind w:right="567"/>
        <w:rPr>
          <w:rFonts w:asciiTheme="minorHAnsi" w:eastAsiaTheme="minorEastAsia" w:hAnsiTheme="minorHAnsi" w:cstheme="minorBidi"/>
          <w:b w:val="0"/>
          <w:color w:val="007298"/>
          <w:spacing w:val="0"/>
          <w:sz w:val="22"/>
          <w:szCs w:val="22"/>
        </w:rPr>
      </w:pPr>
      <w:r w:rsidRPr="00C53AB2">
        <w:rPr>
          <w:color w:val="007298"/>
        </w:rPr>
        <w:t>Introduction and executive summary</w:t>
      </w:r>
      <w:r w:rsidRPr="00C53AB2">
        <w:rPr>
          <w:color w:val="007298"/>
        </w:rPr>
        <w:tab/>
      </w:r>
      <w:r w:rsidRPr="00C53AB2">
        <w:rPr>
          <w:color w:val="007298"/>
        </w:rPr>
        <w:fldChar w:fldCharType="begin"/>
      </w:r>
      <w:r w:rsidRPr="00C53AB2">
        <w:rPr>
          <w:color w:val="007298"/>
        </w:rPr>
        <w:instrText xml:space="preserve"> PAGEREF _Toc465842805 \h </w:instrText>
      </w:r>
      <w:r w:rsidRPr="00C53AB2">
        <w:rPr>
          <w:color w:val="007298"/>
        </w:rPr>
      </w:r>
      <w:r w:rsidRPr="00C53AB2">
        <w:rPr>
          <w:color w:val="007298"/>
        </w:rPr>
        <w:fldChar w:fldCharType="separate"/>
      </w:r>
      <w:r w:rsidR="00625DDF">
        <w:rPr>
          <w:color w:val="007298"/>
        </w:rPr>
        <w:t>3</w:t>
      </w:r>
      <w:r w:rsidRPr="00C53AB2">
        <w:rPr>
          <w:color w:val="007298"/>
        </w:rPr>
        <w:fldChar w:fldCharType="end"/>
      </w:r>
    </w:p>
    <w:p w14:paraId="4C5B7C76" w14:textId="77777777" w:rsidR="00637CD4" w:rsidRPr="00C53AB2" w:rsidRDefault="00637CD4" w:rsidP="00C53AB2">
      <w:pPr>
        <w:pStyle w:val="TOC1"/>
        <w:tabs>
          <w:tab w:val="clear" w:pos="7660"/>
          <w:tab w:val="right" w:pos="9072"/>
        </w:tabs>
        <w:ind w:right="567"/>
        <w:rPr>
          <w:rFonts w:asciiTheme="minorHAnsi" w:eastAsiaTheme="minorEastAsia" w:hAnsiTheme="minorHAnsi" w:cstheme="minorBidi"/>
          <w:b w:val="0"/>
          <w:color w:val="007298"/>
          <w:spacing w:val="0"/>
          <w:sz w:val="22"/>
          <w:szCs w:val="22"/>
        </w:rPr>
      </w:pPr>
      <w:r w:rsidRPr="00C53AB2">
        <w:rPr>
          <w:color w:val="007298"/>
        </w:rPr>
        <w:t>Key indicators—at a glance</w:t>
      </w:r>
      <w:r w:rsidRPr="00C53AB2">
        <w:rPr>
          <w:color w:val="007298"/>
        </w:rPr>
        <w:tab/>
      </w:r>
      <w:r w:rsidRPr="00C53AB2">
        <w:rPr>
          <w:color w:val="007298"/>
        </w:rPr>
        <w:fldChar w:fldCharType="begin"/>
      </w:r>
      <w:r w:rsidRPr="00C53AB2">
        <w:rPr>
          <w:color w:val="007298"/>
        </w:rPr>
        <w:instrText xml:space="preserve"> PAGEREF _Toc465842818 \h </w:instrText>
      </w:r>
      <w:r w:rsidRPr="00C53AB2">
        <w:rPr>
          <w:color w:val="007298"/>
        </w:rPr>
      </w:r>
      <w:r w:rsidRPr="00C53AB2">
        <w:rPr>
          <w:color w:val="007298"/>
        </w:rPr>
        <w:fldChar w:fldCharType="separate"/>
      </w:r>
      <w:r w:rsidR="00625DDF">
        <w:rPr>
          <w:color w:val="007298"/>
        </w:rPr>
        <w:t>7</w:t>
      </w:r>
      <w:r w:rsidRPr="00C53AB2">
        <w:rPr>
          <w:color w:val="007298"/>
        </w:rPr>
        <w:fldChar w:fldCharType="end"/>
      </w:r>
    </w:p>
    <w:p w14:paraId="6CC2A4D0" w14:textId="77777777" w:rsidR="00637CD4" w:rsidRPr="00C53AB2" w:rsidRDefault="00637CD4" w:rsidP="00C53AB2">
      <w:pPr>
        <w:pStyle w:val="TOC1"/>
        <w:tabs>
          <w:tab w:val="clear" w:pos="7660"/>
          <w:tab w:val="left" w:pos="709"/>
          <w:tab w:val="right" w:pos="9072"/>
        </w:tabs>
        <w:ind w:right="567"/>
        <w:rPr>
          <w:rFonts w:asciiTheme="minorHAnsi" w:eastAsiaTheme="minorEastAsia" w:hAnsiTheme="minorHAnsi" w:cstheme="minorBidi"/>
          <w:b w:val="0"/>
          <w:color w:val="007298"/>
          <w:spacing w:val="0"/>
          <w:sz w:val="22"/>
          <w:szCs w:val="22"/>
        </w:rPr>
      </w:pPr>
      <w:r w:rsidRPr="00C53AB2">
        <w:rPr>
          <w:color w:val="007298"/>
        </w:rPr>
        <w:t>1.</w:t>
      </w:r>
      <w:r w:rsidR="00D62D01">
        <w:rPr>
          <w:rFonts w:asciiTheme="minorHAnsi" w:eastAsiaTheme="minorEastAsia" w:hAnsiTheme="minorHAnsi" w:cstheme="minorBidi"/>
          <w:b w:val="0"/>
          <w:color w:val="007298"/>
          <w:spacing w:val="0"/>
          <w:sz w:val="22"/>
          <w:szCs w:val="22"/>
        </w:rPr>
        <w:t xml:space="preserve"> </w:t>
      </w:r>
      <w:r w:rsidRPr="00C53AB2">
        <w:rPr>
          <w:color w:val="007298"/>
        </w:rPr>
        <w:t>Industry supply of communications services</w:t>
      </w:r>
      <w:r w:rsidRPr="00C53AB2">
        <w:rPr>
          <w:color w:val="007298"/>
        </w:rPr>
        <w:tab/>
      </w:r>
      <w:r w:rsidRPr="00C53AB2">
        <w:rPr>
          <w:color w:val="007298"/>
        </w:rPr>
        <w:fldChar w:fldCharType="begin"/>
      </w:r>
      <w:r w:rsidRPr="00C53AB2">
        <w:rPr>
          <w:color w:val="007298"/>
        </w:rPr>
        <w:instrText xml:space="preserve"> PAGEREF _Toc465842839 \h </w:instrText>
      </w:r>
      <w:r w:rsidRPr="00C53AB2">
        <w:rPr>
          <w:color w:val="007298"/>
        </w:rPr>
      </w:r>
      <w:r w:rsidRPr="00C53AB2">
        <w:rPr>
          <w:color w:val="007298"/>
        </w:rPr>
        <w:fldChar w:fldCharType="separate"/>
      </w:r>
      <w:r w:rsidR="00625DDF">
        <w:rPr>
          <w:color w:val="007298"/>
        </w:rPr>
        <w:t>13</w:t>
      </w:r>
      <w:r w:rsidRPr="00C53AB2">
        <w:rPr>
          <w:color w:val="007298"/>
        </w:rPr>
        <w:fldChar w:fldCharType="end"/>
      </w:r>
    </w:p>
    <w:p w14:paraId="0239B9A0"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1.1.</w:t>
      </w:r>
      <w:r w:rsidR="00D62D01">
        <w:rPr>
          <w:rFonts w:asciiTheme="minorHAnsi" w:eastAsiaTheme="minorEastAsia" w:hAnsiTheme="minorHAnsi" w:cstheme="minorBidi"/>
          <w:spacing w:val="0"/>
          <w:sz w:val="22"/>
          <w:szCs w:val="22"/>
        </w:rPr>
        <w:t xml:space="preserve"> </w:t>
      </w:r>
      <w:r>
        <w:t>Overview</w:t>
      </w:r>
      <w:r>
        <w:tab/>
      </w:r>
      <w:r>
        <w:fldChar w:fldCharType="begin"/>
      </w:r>
      <w:r>
        <w:instrText xml:space="preserve"> PAGEREF _Toc465842840 \h </w:instrText>
      </w:r>
      <w:r>
        <w:fldChar w:fldCharType="separate"/>
      </w:r>
      <w:r w:rsidR="00625DDF">
        <w:t>13</w:t>
      </w:r>
      <w:r>
        <w:fldChar w:fldCharType="end"/>
      </w:r>
    </w:p>
    <w:p w14:paraId="7B92DE8D"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1.2.</w:t>
      </w:r>
      <w:r w:rsidR="00D62D01">
        <w:rPr>
          <w:rFonts w:asciiTheme="minorHAnsi" w:eastAsiaTheme="minorEastAsia" w:hAnsiTheme="minorHAnsi" w:cstheme="minorBidi"/>
          <w:spacing w:val="0"/>
          <w:sz w:val="22"/>
          <w:szCs w:val="22"/>
        </w:rPr>
        <w:t xml:space="preserve"> </w:t>
      </w:r>
      <w:r>
        <w:t>Fixed-line service availability</w:t>
      </w:r>
      <w:r>
        <w:tab/>
      </w:r>
      <w:r>
        <w:fldChar w:fldCharType="begin"/>
      </w:r>
      <w:r>
        <w:instrText xml:space="preserve"> PAGEREF _Toc465842841 \h </w:instrText>
      </w:r>
      <w:r>
        <w:fldChar w:fldCharType="separate"/>
      </w:r>
      <w:r w:rsidR="00625DDF">
        <w:t>14</w:t>
      </w:r>
      <w:r>
        <w:fldChar w:fldCharType="end"/>
      </w:r>
    </w:p>
    <w:p w14:paraId="4C70C69A"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Number of services in operation</w:t>
      </w:r>
      <w:r>
        <w:tab/>
      </w:r>
      <w:r>
        <w:fldChar w:fldCharType="begin"/>
      </w:r>
      <w:r>
        <w:instrText xml:space="preserve"> PAGEREF _Toc465842842 \h </w:instrText>
      </w:r>
      <w:r>
        <w:fldChar w:fldCharType="separate"/>
      </w:r>
      <w:r w:rsidR="00625DDF">
        <w:t>14</w:t>
      </w:r>
      <w:r>
        <w:fldChar w:fldCharType="end"/>
      </w:r>
    </w:p>
    <w:p w14:paraId="1D7FEAC6"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Growth in mobile phone-only consumers</w:t>
      </w:r>
      <w:r>
        <w:tab/>
      </w:r>
      <w:r>
        <w:fldChar w:fldCharType="begin"/>
      </w:r>
      <w:r>
        <w:instrText xml:space="preserve"> PAGEREF _Toc465842843 \h </w:instrText>
      </w:r>
      <w:r>
        <w:fldChar w:fldCharType="separate"/>
      </w:r>
      <w:r w:rsidR="00625DDF">
        <w:t>15</w:t>
      </w:r>
      <w:r>
        <w:fldChar w:fldCharType="end"/>
      </w:r>
    </w:p>
    <w:p w14:paraId="4F5E65D3"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Use of fixed-line telephone and OTT communications services</w:t>
      </w:r>
      <w:r>
        <w:tab/>
      </w:r>
      <w:r>
        <w:fldChar w:fldCharType="begin"/>
      </w:r>
      <w:r>
        <w:instrText xml:space="preserve"> PAGEREF _Toc465842844 \h </w:instrText>
      </w:r>
      <w:r>
        <w:fldChar w:fldCharType="separate"/>
      </w:r>
      <w:r w:rsidR="00625DDF">
        <w:t>15</w:t>
      </w:r>
      <w:r>
        <w:fldChar w:fldCharType="end"/>
      </w:r>
    </w:p>
    <w:p w14:paraId="73753CD2" w14:textId="77777777" w:rsidR="00637CD4" w:rsidRDefault="00637CD4" w:rsidP="00C53AB2">
      <w:pPr>
        <w:pStyle w:val="TOC2"/>
        <w:tabs>
          <w:tab w:val="clear" w:pos="7660"/>
          <w:tab w:val="right" w:pos="9072"/>
        </w:tabs>
        <w:ind w:left="709" w:right="567" w:hanging="709"/>
        <w:rPr>
          <w:rFonts w:asciiTheme="minorHAnsi" w:eastAsiaTheme="minorEastAsia" w:hAnsiTheme="minorHAnsi" w:cstheme="minorBidi"/>
          <w:spacing w:val="0"/>
          <w:sz w:val="22"/>
          <w:szCs w:val="22"/>
        </w:rPr>
      </w:pPr>
      <w:r>
        <w:t>1.3.</w:t>
      </w:r>
      <w:r w:rsidR="00D62D01">
        <w:rPr>
          <w:rFonts w:asciiTheme="minorHAnsi" w:eastAsiaTheme="minorEastAsia" w:hAnsiTheme="minorHAnsi" w:cstheme="minorBidi"/>
          <w:spacing w:val="0"/>
          <w:sz w:val="22"/>
          <w:szCs w:val="22"/>
        </w:rPr>
        <w:t xml:space="preserve"> </w:t>
      </w:r>
      <w:r>
        <w:t>Mobile service availability</w:t>
      </w:r>
      <w:r>
        <w:tab/>
      </w:r>
      <w:r>
        <w:fldChar w:fldCharType="begin"/>
      </w:r>
      <w:r>
        <w:instrText xml:space="preserve"> PAGEREF _Toc465842845 \h </w:instrText>
      </w:r>
      <w:r>
        <w:fldChar w:fldCharType="separate"/>
      </w:r>
      <w:r w:rsidR="00625DDF">
        <w:t>17</w:t>
      </w:r>
      <w:r>
        <w:fldChar w:fldCharType="end"/>
      </w:r>
    </w:p>
    <w:p w14:paraId="73AB3714"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Number of services in operation</w:t>
      </w:r>
      <w:r>
        <w:tab/>
      </w:r>
      <w:r>
        <w:fldChar w:fldCharType="begin"/>
      </w:r>
      <w:r>
        <w:instrText xml:space="preserve"> PAGEREF _Toc465842846 \h </w:instrText>
      </w:r>
      <w:r>
        <w:fldChar w:fldCharType="separate"/>
      </w:r>
      <w:r w:rsidR="00625DDF">
        <w:t>17</w:t>
      </w:r>
      <w:r>
        <w:fldChar w:fldCharType="end"/>
      </w:r>
    </w:p>
    <w:p w14:paraId="0A6CDE99"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Mobile network infrastructure</w:t>
      </w:r>
      <w:r>
        <w:tab/>
      </w:r>
      <w:r>
        <w:fldChar w:fldCharType="begin"/>
      </w:r>
      <w:r>
        <w:instrText xml:space="preserve"> PAGEREF _Toc465842847 \h </w:instrText>
      </w:r>
      <w:r>
        <w:fldChar w:fldCharType="separate"/>
      </w:r>
      <w:r w:rsidR="00625DDF">
        <w:t>20</w:t>
      </w:r>
      <w:r>
        <w:fldChar w:fldCharType="end"/>
      </w:r>
    </w:p>
    <w:p w14:paraId="0DA44F74"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Strong supply and demand for 4G services</w:t>
      </w:r>
      <w:r>
        <w:tab/>
      </w:r>
      <w:r>
        <w:fldChar w:fldCharType="begin"/>
      </w:r>
      <w:r>
        <w:instrText xml:space="preserve"> PAGEREF _Toc465842848 \h </w:instrText>
      </w:r>
      <w:r>
        <w:fldChar w:fldCharType="separate"/>
      </w:r>
      <w:r w:rsidR="00625DDF">
        <w:t>20</w:t>
      </w:r>
      <w:r>
        <w:fldChar w:fldCharType="end"/>
      </w:r>
    </w:p>
    <w:p w14:paraId="7388CDA2"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Mobile Black Spot Program</w:t>
      </w:r>
      <w:r>
        <w:tab/>
      </w:r>
      <w:r>
        <w:fldChar w:fldCharType="begin"/>
      </w:r>
      <w:r>
        <w:instrText xml:space="preserve"> PAGEREF _Toc465842849 \h </w:instrText>
      </w:r>
      <w:r>
        <w:fldChar w:fldCharType="separate"/>
      </w:r>
      <w:r w:rsidR="00625DDF">
        <w:t>21</w:t>
      </w:r>
      <w:r>
        <w:fldChar w:fldCharType="end"/>
      </w:r>
    </w:p>
    <w:p w14:paraId="6245BE67" w14:textId="77777777" w:rsidR="00637CD4" w:rsidRDefault="00637CD4" w:rsidP="00C53AB2">
      <w:pPr>
        <w:pStyle w:val="TOC2"/>
        <w:tabs>
          <w:tab w:val="clear" w:pos="7660"/>
          <w:tab w:val="right" w:pos="9072"/>
        </w:tabs>
        <w:ind w:left="709" w:right="567" w:hanging="709"/>
        <w:rPr>
          <w:rFonts w:asciiTheme="minorHAnsi" w:eastAsiaTheme="minorEastAsia" w:hAnsiTheme="minorHAnsi" w:cstheme="minorBidi"/>
          <w:spacing w:val="0"/>
          <w:sz w:val="22"/>
          <w:szCs w:val="22"/>
        </w:rPr>
      </w:pPr>
      <w:r>
        <w:t>1.4.</w:t>
      </w:r>
      <w:r w:rsidR="00D62D01">
        <w:rPr>
          <w:rFonts w:asciiTheme="minorHAnsi" w:eastAsiaTheme="minorEastAsia" w:hAnsiTheme="minorHAnsi" w:cstheme="minorBidi"/>
          <w:spacing w:val="0"/>
          <w:sz w:val="22"/>
          <w:szCs w:val="22"/>
        </w:rPr>
        <w:t xml:space="preserve"> </w:t>
      </w:r>
      <w:r>
        <w:t>Infrastructure regulation</w:t>
      </w:r>
      <w:r>
        <w:tab/>
      </w:r>
      <w:r>
        <w:fldChar w:fldCharType="begin"/>
      </w:r>
      <w:r>
        <w:instrText xml:space="preserve"> PAGEREF _Toc465842850 \h </w:instrText>
      </w:r>
      <w:r>
        <w:fldChar w:fldCharType="separate"/>
      </w:r>
      <w:r w:rsidR="00625DDF">
        <w:t>21</w:t>
      </w:r>
      <w:r>
        <w:fldChar w:fldCharType="end"/>
      </w:r>
    </w:p>
    <w:p w14:paraId="28A66DAE"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Mobile phone base stations</w:t>
      </w:r>
      <w:r>
        <w:tab/>
      </w:r>
      <w:r>
        <w:fldChar w:fldCharType="begin"/>
      </w:r>
      <w:r>
        <w:instrText xml:space="preserve"> PAGEREF _Toc465842851 \h </w:instrText>
      </w:r>
      <w:r>
        <w:fldChar w:fldCharType="separate"/>
      </w:r>
      <w:r w:rsidR="00625DDF">
        <w:t>21</w:t>
      </w:r>
      <w:r>
        <w:fldChar w:fldCharType="end"/>
      </w:r>
    </w:p>
    <w:p w14:paraId="13CA7425"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Objections and enquiries to the ACMA</w:t>
      </w:r>
      <w:r>
        <w:tab/>
      </w:r>
      <w:r>
        <w:fldChar w:fldCharType="begin"/>
      </w:r>
      <w:r>
        <w:instrText xml:space="preserve"> PAGEREF _Toc465842852 \h </w:instrText>
      </w:r>
      <w:r>
        <w:fldChar w:fldCharType="separate"/>
      </w:r>
      <w:r w:rsidR="00625DDF">
        <w:t>22</w:t>
      </w:r>
      <w:r>
        <w:fldChar w:fldCharType="end"/>
      </w:r>
    </w:p>
    <w:p w14:paraId="58D6714D"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Complaints to the TIO about facility installations</w:t>
      </w:r>
      <w:r>
        <w:tab/>
      </w:r>
      <w:r>
        <w:fldChar w:fldCharType="begin"/>
      </w:r>
      <w:r>
        <w:instrText xml:space="preserve"> PAGEREF _Toc465842853 \h </w:instrText>
      </w:r>
      <w:r>
        <w:fldChar w:fldCharType="separate"/>
      </w:r>
      <w:r w:rsidR="00625DDF">
        <w:t>22</w:t>
      </w:r>
      <w:r>
        <w:fldChar w:fldCharType="end"/>
      </w:r>
    </w:p>
    <w:p w14:paraId="35C58A37"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Interference</w:t>
      </w:r>
      <w:r>
        <w:tab/>
      </w:r>
      <w:r>
        <w:fldChar w:fldCharType="begin"/>
      </w:r>
      <w:r>
        <w:instrText xml:space="preserve"> PAGEREF _Toc465842854 \h </w:instrText>
      </w:r>
      <w:r>
        <w:fldChar w:fldCharType="separate"/>
      </w:r>
      <w:r w:rsidR="00625DDF">
        <w:t>23</w:t>
      </w:r>
      <w:r>
        <w:fldChar w:fldCharType="end"/>
      </w:r>
    </w:p>
    <w:p w14:paraId="76542164"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Radiocommunications compliance program</w:t>
      </w:r>
      <w:r>
        <w:tab/>
      </w:r>
      <w:r>
        <w:fldChar w:fldCharType="begin"/>
      </w:r>
      <w:r>
        <w:instrText xml:space="preserve"> PAGEREF _Toc465842855 \h </w:instrText>
      </w:r>
      <w:r>
        <w:fldChar w:fldCharType="separate"/>
      </w:r>
      <w:r w:rsidR="00625DDF">
        <w:t>24</w:t>
      </w:r>
      <w:r>
        <w:fldChar w:fldCharType="end"/>
      </w:r>
    </w:p>
    <w:p w14:paraId="1491E920" w14:textId="77777777" w:rsidR="00637CD4" w:rsidRDefault="00637CD4" w:rsidP="00C53AB2">
      <w:pPr>
        <w:pStyle w:val="TOC2"/>
        <w:tabs>
          <w:tab w:val="clear" w:pos="7660"/>
          <w:tab w:val="right" w:pos="9072"/>
        </w:tabs>
        <w:ind w:left="709" w:right="567" w:hanging="709"/>
        <w:rPr>
          <w:rFonts w:asciiTheme="minorHAnsi" w:eastAsiaTheme="minorEastAsia" w:hAnsiTheme="minorHAnsi" w:cstheme="minorBidi"/>
          <w:spacing w:val="0"/>
          <w:sz w:val="22"/>
          <w:szCs w:val="22"/>
        </w:rPr>
      </w:pPr>
      <w:r>
        <w:t>1.5.</w:t>
      </w:r>
      <w:r w:rsidR="00D62D01">
        <w:rPr>
          <w:rFonts w:asciiTheme="minorHAnsi" w:eastAsiaTheme="minorEastAsia" w:hAnsiTheme="minorHAnsi" w:cstheme="minorBidi"/>
          <w:spacing w:val="0"/>
          <w:sz w:val="22"/>
          <w:szCs w:val="22"/>
        </w:rPr>
        <w:t xml:space="preserve"> </w:t>
      </w:r>
      <w:r>
        <w:t>New developments in communications</w:t>
      </w:r>
      <w:r>
        <w:tab/>
      </w:r>
      <w:r>
        <w:fldChar w:fldCharType="begin"/>
      </w:r>
      <w:r>
        <w:instrText xml:space="preserve"> PAGEREF _Toc465842856 \h </w:instrText>
      </w:r>
      <w:r>
        <w:fldChar w:fldCharType="separate"/>
      </w:r>
      <w:r w:rsidR="00625DDF">
        <w:t>25</w:t>
      </w:r>
      <w:r>
        <w:fldChar w:fldCharType="end"/>
      </w:r>
    </w:p>
    <w:p w14:paraId="3CA92467"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The IoT and M2M</w:t>
      </w:r>
      <w:r>
        <w:tab/>
      </w:r>
      <w:r>
        <w:fldChar w:fldCharType="begin"/>
      </w:r>
      <w:r>
        <w:instrText xml:space="preserve"> PAGEREF _Toc465842857 \h </w:instrText>
      </w:r>
      <w:r>
        <w:fldChar w:fldCharType="separate"/>
      </w:r>
      <w:r w:rsidR="00625DDF">
        <w:t>25</w:t>
      </w:r>
      <w:r>
        <w:fldChar w:fldCharType="end"/>
      </w:r>
    </w:p>
    <w:p w14:paraId="3FE64A9A"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Other emerging mobile technologies</w:t>
      </w:r>
      <w:r>
        <w:tab/>
      </w:r>
      <w:r>
        <w:fldChar w:fldCharType="begin"/>
      </w:r>
      <w:r>
        <w:instrText xml:space="preserve"> PAGEREF _Toc465842858 \h </w:instrText>
      </w:r>
      <w:r>
        <w:fldChar w:fldCharType="separate"/>
      </w:r>
      <w:r w:rsidR="00625DDF">
        <w:t>25</w:t>
      </w:r>
      <w:r>
        <w:fldChar w:fldCharType="end"/>
      </w:r>
    </w:p>
    <w:p w14:paraId="00C8BEDB" w14:textId="77777777" w:rsidR="00637CD4" w:rsidRDefault="00637CD4" w:rsidP="00C53AB2">
      <w:pPr>
        <w:pStyle w:val="TOC2"/>
        <w:tabs>
          <w:tab w:val="clear" w:pos="7660"/>
          <w:tab w:val="right" w:pos="9072"/>
        </w:tabs>
        <w:ind w:left="709" w:right="567" w:hanging="709"/>
        <w:rPr>
          <w:rFonts w:asciiTheme="minorHAnsi" w:eastAsiaTheme="minorEastAsia" w:hAnsiTheme="minorHAnsi" w:cstheme="minorBidi"/>
          <w:spacing w:val="0"/>
          <w:sz w:val="22"/>
          <w:szCs w:val="22"/>
        </w:rPr>
      </w:pPr>
      <w:r>
        <w:t>1.6.</w:t>
      </w:r>
      <w:r w:rsidR="00D62D01">
        <w:rPr>
          <w:rFonts w:asciiTheme="minorHAnsi" w:eastAsiaTheme="minorEastAsia" w:hAnsiTheme="minorHAnsi" w:cstheme="minorBidi"/>
          <w:spacing w:val="0"/>
          <w:sz w:val="22"/>
          <w:szCs w:val="22"/>
        </w:rPr>
        <w:t xml:space="preserve"> </w:t>
      </w:r>
      <w:r>
        <w:t>Internet service availability</w:t>
      </w:r>
      <w:r>
        <w:tab/>
      </w:r>
      <w:r>
        <w:fldChar w:fldCharType="begin"/>
      </w:r>
      <w:r>
        <w:instrText xml:space="preserve"> PAGEREF _Toc465842859 \h </w:instrText>
      </w:r>
      <w:r>
        <w:fldChar w:fldCharType="separate"/>
      </w:r>
      <w:r w:rsidR="00625DDF">
        <w:t>27</w:t>
      </w:r>
      <w:r>
        <w:fldChar w:fldCharType="end"/>
      </w:r>
    </w:p>
    <w:p w14:paraId="304E80EC"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Number of internet subscribers</w:t>
      </w:r>
      <w:r>
        <w:tab/>
      </w:r>
      <w:r>
        <w:fldChar w:fldCharType="begin"/>
      </w:r>
      <w:r>
        <w:instrText xml:space="preserve"> PAGEREF _Toc465842860 \h </w:instrText>
      </w:r>
      <w:r>
        <w:fldChar w:fldCharType="separate"/>
      </w:r>
      <w:r w:rsidR="00625DDF">
        <w:t>27</w:t>
      </w:r>
      <w:r>
        <w:fldChar w:fldCharType="end"/>
      </w:r>
    </w:p>
    <w:p w14:paraId="4EB49B67"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Mobile-internet subscribers</w:t>
      </w:r>
      <w:r>
        <w:tab/>
      </w:r>
      <w:r>
        <w:fldChar w:fldCharType="begin"/>
      </w:r>
      <w:r>
        <w:instrText xml:space="preserve"> PAGEREF _Toc465842861 \h </w:instrText>
      </w:r>
      <w:r>
        <w:fldChar w:fldCharType="separate"/>
      </w:r>
      <w:r w:rsidR="00625DDF">
        <w:t>27</w:t>
      </w:r>
      <w:r>
        <w:fldChar w:fldCharType="end"/>
      </w:r>
    </w:p>
    <w:p w14:paraId="01BA9035"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Domain name registrations</w:t>
      </w:r>
      <w:r>
        <w:tab/>
      </w:r>
      <w:r>
        <w:fldChar w:fldCharType="begin"/>
      </w:r>
      <w:r>
        <w:instrText xml:space="preserve"> PAGEREF _Toc465842862 \h </w:instrText>
      </w:r>
      <w:r>
        <w:fldChar w:fldCharType="separate"/>
      </w:r>
      <w:r w:rsidR="00625DDF">
        <w:t>28</w:t>
      </w:r>
      <w:r>
        <w:fldChar w:fldCharType="end"/>
      </w:r>
    </w:p>
    <w:p w14:paraId="6D3AEB83"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Number of ISPs</w:t>
      </w:r>
      <w:r>
        <w:tab/>
      </w:r>
      <w:r>
        <w:fldChar w:fldCharType="begin"/>
      </w:r>
      <w:r>
        <w:instrText xml:space="preserve"> PAGEREF _Toc465842863 \h </w:instrText>
      </w:r>
      <w:r>
        <w:fldChar w:fldCharType="separate"/>
      </w:r>
      <w:r w:rsidR="00625DDF">
        <w:t>28</w:t>
      </w:r>
      <w:r>
        <w:fldChar w:fldCharType="end"/>
      </w:r>
    </w:p>
    <w:p w14:paraId="0869EB85"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National Broadband Network</w:t>
      </w:r>
      <w:r>
        <w:tab/>
      </w:r>
      <w:r>
        <w:fldChar w:fldCharType="begin"/>
      </w:r>
      <w:r>
        <w:instrText xml:space="preserve"> PAGEREF _Toc465842864 \h </w:instrText>
      </w:r>
      <w:r>
        <w:fldChar w:fldCharType="separate"/>
      </w:r>
      <w:r w:rsidR="00625DDF">
        <w:t>30</w:t>
      </w:r>
      <w:r>
        <w:fldChar w:fldCharType="end"/>
      </w:r>
    </w:p>
    <w:p w14:paraId="627CF926"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Submarine cables</w:t>
      </w:r>
      <w:r>
        <w:tab/>
      </w:r>
      <w:r>
        <w:fldChar w:fldCharType="begin"/>
      </w:r>
      <w:r>
        <w:instrText xml:space="preserve"> PAGEREF _Toc465842865 \h </w:instrText>
      </w:r>
      <w:r>
        <w:fldChar w:fldCharType="separate"/>
      </w:r>
      <w:r w:rsidR="00625DDF">
        <w:t>31</w:t>
      </w:r>
      <w:r>
        <w:fldChar w:fldCharType="end"/>
      </w:r>
    </w:p>
    <w:p w14:paraId="6F6F0A9B"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Copper network switch-off</w:t>
      </w:r>
      <w:r>
        <w:tab/>
      </w:r>
      <w:r>
        <w:fldChar w:fldCharType="begin"/>
      </w:r>
      <w:r>
        <w:instrText xml:space="preserve"> PAGEREF _Toc465842866 \h </w:instrText>
      </w:r>
      <w:r>
        <w:fldChar w:fldCharType="separate"/>
      </w:r>
      <w:r w:rsidR="00625DDF">
        <w:t>32</w:t>
      </w:r>
      <w:r>
        <w:fldChar w:fldCharType="end"/>
      </w:r>
    </w:p>
    <w:p w14:paraId="11F6DA6B" w14:textId="77777777" w:rsidR="00637CD4" w:rsidRDefault="00637CD4" w:rsidP="00C53AB2">
      <w:pPr>
        <w:pStyle w:val="TOC3"/>
        <w:tabs>
          <w:tab w:val="clear" w:pos="7661"/>
          <w:tab w:val="right" w:pos="9072"/>
        </w:tabs>
        <w:ind w:right="567"/>
        <w:rPr>
          <w:rFonts w:asciiTheme="minorHAnsi" w:eastAsiaTheme="minorEastAsia" w:hAnsiTheme="minorHAnsi" w:cstheme="minorBidi"/>
        </w:rPr>
      </w:pPr>
      <w:r>
        <w:t>Publicly accessible wireless internet</w:t>
      </w:r>
      <w:r>
        <w:tab/>
      </w:r>
      <w:r>
        <w:fldChar w:fldCharType="begin"/>
      </w:r>
      <w:r>
        <w:instrText xml:space="preserve"> PAGEREF _Toc465842867 \h </w:instrText>
      </w:r>
      <w:r>
        <w:fldChar w:fldCharType="separate"/>
      </w:r>
      <w:r w:rsidR="00625DDF">
        <w:t>33</w:t>
      </w:r>
      <w:r>
        <w:fldChar w:fldCharType="end"/>
      </w:r>
    </w:p>
    <w:p w14:paraId="4625E2F5" w14:textId="77777777" w:rsidR="00637CD4" w:rsidRDefault="00637CD4" w:rsidP="00C53AB2">
      <w:pPr>
        <w:pStyle w:val="TOC3"/>
        <w:tabs>
          <w:tab w:val="clear" w:pos="7661"/>
          <w:tab w:val="right" w:pos="9072"/>
        </w:tabs>
        <w:rPr>
          <w:rFonts w:asciiTheme="minorHAnsi" w:eastAsiaTheme="minorEastAsia" w:hAnsiTheme="minorHAnsi" w:cstheme="minorBidi"/>
        </w:rPr>
      </w:pPr>
      <w:r>
        <w:lastRenderedPageBreak/>
        <w:t>Software-defined networking (SDN) and the cloud</w:t>
      </w:r>
      <w:r>
        <w:tab/>
      </w:r>
      <w:r>
        <w:fldChar w:fldCharType="begin"/>
      </w:r>
      <w:r>
        <w:instrText xml:space="preserve"> PAGEREF _Toc465842868 \h </w:instrText>
      </w:r>
      <w:r>
        <w:fldChar w:fldCharType="separate"/>
      </w:r>
      <w:r w:rsidR="00625DDF">
        <w:t>33</w:t>
      </w:r>
      <w:r>
        <w:fldChar w:fldCharType="end"/>
      </w:r>
    </w:p>
    <w:p w14:paraId="3680B1AA" w14:textId="77777777" w:rsidR="00637CD4" w:rsidRPr="00C53AB2" w:rsidRDefault="00637CD4" w:rsidP="00C53AB2">
      <w:pPr>
        <w:pStyle w:val="TOC2"/>
        <w:tabs>
          <w:tab w:val="clear" w:pos="7660"/>
          <w:tab w:val="right" w:pos="9072"/>
        </w:tabs>
        <w:ind w:left="709" w:hanging="709"/>
      </w:pPr>
      <w:r>
        <w:t>1.7.</w:t>
      </w:r>
      <w:r w:rsidR="00D62D01">
        <w:t xml:space="preserve"> </w:t>
      </w:r>
      <w:r>
        <w:t>Communications mergers and acquisitions</w:t>
      </w:r>
      <w:r>
        <w:tab/>
      </w:r>
      <w:r>
        <w:fldChar w:fldCharType="begin"/>
      </w:r>
      <w:r>
        <w:instrText xml:space="preserve"> PAGEREF _Toc465842869 \h </w:instrText>
      </w:r>
      <w:r>
        <w:fldChar w:fldCharType="separate"/>
      </w:r>
      <w:r w:rsidR="00625DDF">
        <w:t>34</w:t>
      </w:r>
      <w:r>
        <w:fldChar w:fldCharType="end"/>
      </w:r>
    </w:p>
    <w:p w14:paraId="022C8660" w14:textId="77777777" w:rsidR="00637CD4" w:rsidRPr="00C53AB2" w:rsidRDefault="00637CD4" w:rsidP="00C53AB2">
      <w:pPr>
        <w:pStyle w:val="TOC2"/>
        <w:tabs>
          <w:tab w:val="clear" w:pos="7660"/>
          <w:tab w:val="right" w:pos="9072"/>
        </w:tabs>
        <w:ind w:left="709" w:hanging="709"/>
      </w:pPr>
      <w:r>
        <w:t>1.8.</w:t>
      </w:r>
      <w:r w:rsidR="00D62D01">
        <w:t xml:space="preserve"> </w:t>
      </w:r>
      <w:r>
        <w:t>Carrier licensing and CSPs</w:t>
      </w:r>
      <w:r>
        <w:tab/>
      </w:r>
      <w:r>
        <w:fldChar w:fldCharType="begin"/>
      </w:r>
      <w:r>
        <w:instrText xml:space="preserve"> PAGEREF _Toc465842870 \h </w:instrText>
      </w:r>
      <w:r>
        <w:fldChar w:fldCharType="separate"/>
      </w:r>
      <w:r w:rsidR="00625DDF">
        <w:t>35</w:t>
      </w:r>
      <w:r>
        <w:fldChar w:fldCharType="end"/>
      </w:r>
    </w:p>
    <w:p w14:paraId="012BCC86" w14:textId="77777777" w:rsidR="00637CD4" w:rsidRDefault="00637CD4" w:rsidP="00C53AB2">
      <w:pPr>
        <w:pStyle w:val="TOC2"/>
        <w:tabs>
          <w:tab w:val="clear" w:pos="7660"/>
          <w:tab w:val="right" w:pos="9072"/>
        </w:tabs>
        <w:ind w:left="709" w:hanging="709"/>
        <w:rPr>
          <w:rFonts w:asciiTheme="minorHAnsi" w:eastAsiaTheme="minorEastAsia" w:hAnsiTheme="minorHAnsi" w:cstheme="minorBidi"/>
          <w:spacing w:val="0"/>
          <w:sz w:val="22"/>
          <w:szCs w:val="22"/>
        </w:rPr>
      </w:pPr>
      <w:r>
        <w:t>1.9.</w:t>
      </w:r>
      <w:r w:rsidR="00D62D01">
        <w:t xml:space="preserve"> </w:t>
      </w:r>
      <w:r>
        <w:t>Allocation of numbers</w:t>
      </w:r>
      <w:r>
        <w:tab/>
      </w:r>
      <w:r>
        <w:fldChar w:fldCharType="begin"/>
      </w:r>
      <w:r>
        <w:instrText xml:space="preserve"> PAGEREF _Toc465842871 \h </w:instrText>
      </w:r>
      <w:r>
        <w:fldChar w:fldCharType="separate"/>
      </w:r>
      <w:r w:rsidR="00625DDF">
        <w:t>36</w:t>
      </w:r>
      <w:r>
        <w:fldChar w:fldCharType="end"/>
      </w:r>
    </w:p>
    <w:p w14:paraId="0851D447" w14:textId="77777777" w:rsidR="00637CD4" w:rsidRDefault="00637CD4" w:rsidP="00C53AB2">
      <w:pPr>
        <w:pStyle w:val="TOC3"/>
        <w:tabs>
          <w:tab w:val="clear" w:pos="7661"/>
          <w:tab w:val="right" w:pos="9072"/>
        </w:tabs>
        <w:rPr>
          <w:rFonts w:asciiTheme="minorHAnsi" w:eastAsiaTheme="minorEastAsia" w:hAnsiTheme="minorHAnsi" w:cstheme="minorBidi"/>
        </w:rPr>
      </w:pPr>
      <w:r>
        <w:t>Smartnumbers</w:t>
      </w:r>
      <w:r>
        <w:tab/>
      </w:r>
      <w:r>
        <w:fldChar w:fldCharType="begin"/>
      </w:r>
      <w:r>
        <w:instrText xml:space="preserve"> PAGEREF _Toc465842872 \h </w:instrText>
      </w:r>
      <w:r>
        <w:fldChar w:fldCharType="separate"/>
      </w:r>
      <w:r w:rsidR="00625DDF">
        <w:t>36</w:t>
      </w:r>
      <w:r>
        <w:fldChar w:fldCharType="end"/>
      </w:r>
    </w:p>
    <w:p w14:paraId="4649569E" w14:textId="77777777" w:rsidR="00637CD4" w:rsidRDefault="00637CD4" w:rsidP="00C53AB2">
      <w:pPr>
        <w:pStyle w:val="TOC3"/>
        <w:tabs>
          <w:tab w:val="clear" w:pos="7661"/>
          <w:tab w:val="right" w:pos="9072"/>
        </w:tabs>
        <w:rPr>
          <w:rFonts w:asciiTheme="minorHAnsi" w:eastAsiaTheme="minorEastAsia" w:hAnsiTheme="minorHAnsi" w:cstheme="minorBidi"/>
        </w:rPr>
      </w:pPr>
      <w:r>
        <w:t>Geographic numbers</w:t>
      </w:r>
      <w:r>
        <w:tab/>
      </w:r>
      <w:r>
        <w:fldChar w:fldCharType="begin"/>
      </w:r>
      <w:r>
        <w:instrText xml:space="preserve"> PAGEREF _Toc465842873 \h </w:instrText>
      </w:r>
      <w:r>
        <w:fldChar w:fldCharType="separate"/>
      </w:r>
      <w:r w:rsidR="00625DDF">
        <w:t>36</w:t>
      </w:r>
      <w:r>
        <w:fldChar w:fldCharType="end"/>
      </w:r>
    </w:p>
    <w:p w14:paraId="068CC646" w14:textId="77777777" w:rsidR="00637CD4" w:rsidRDefault="00637CD4" w:rsidP="00C53AB2">
      <w:pPr>
        <w:pStyle w:val="TOC3"/>
        <w:tabs>
          <w:tab w:val="clear" w:pos="7661"/>
          <w:tab w:val="right" w:pos="9072"/>
        </w:tabs>
        <w:rPr>
          <w:rFonts w:asciiTheme="minorHAnsi" w:eastAsiaTheme="minorEastAsia" w:hAnsiTheme="minorHAnsi" w:cstheme="minorBidi"/>
        </w:rPr>
      </w:pPr>
      <w:r>
        <w:t>Mobile numbers</w:t>
      </w:r>
      <w:r>
        <w:tab/>
      </w:r>
      <w:r>
        <w:fldChar w:fldCharType="begin"/>
      </w:r>
      <w:r>
        <w:instrText xml:space="preserve"> PAGEREF _Toc465842874 \h </w:instrText>
      </w:r>
      <w:r>
        <w:fldChar w:fldCharType="separate"/>
      </w:r>
      <w:r w:rsidR="00625DDF">
        <w:t>37</w:t>
      </w:r>
      <w:r>
        <w:fldChar w:fldCharType="end"/>
      </w:r>
    </w:p>
    <w:p w14:paraId="619F0D12" w14:textId="77777777" w:rsidR="00637CD4" w:rsidRDefault="00637CD4" w:rsidP="00C53AB2">
      <w:pPr>
        <w:pStyle w:val="TOC3"/>
        <w:tabs>
          <w:tab w:val="clear" w:pos="7661"/>
          <w:tab w:val="right" w:pos="9072"/>
        </w:tabs>
        <w:rPr>
          <w:rFonts w:asciiTheme="minorHAnsi" w:eastAsiaTheme="minorEastAsia" w:hAnsiTheme="minorHAnsi" w:cstheme="minorBidi"/>
        </w:rPr>
      </w:pPr>
      <w:r>
        <w:t>Other numbers</w:t>
      </w:r>
      <w:r>
        <w:tab/>
      </w:r>
      <w:r>
        <w:fldChar w:fldCharType="begin"/>
      </w:r>
      <w:r>
        <w:instrText xml:space="preserve"> PAGEREF _Toc465842875 \h </w:instrText>
      </w:r>
      <w:r>
        <w:fldChar w:fldCharType="separate"/>
      </w:r>
      <w:r w:rsidR="00625DDF">
        <w:t>37</w:t>
      </w:r>
      <w:r>
        <w:fldChar w:fldCharType="end"/>
      </w:r>
    </w:p>
    <w:p w14:paraId="2DC55ABC" w14:textId="77777777" w:rsidR="00637CD4" w:rsidRDefault="00637CD4" w:rsidP="00C53AB2">
      <w:pPr>
        <w:pStyle w:val="TOC2"/>
        <w:tabs>
          <w:tab w:val="clear" w:pos="7660"/>
          <w:tab w:val="right" w:pos="9072"/>
        </w:tabs>
        <w:ind w:left="709" w:hanging="709"/>
        <w:rPr>
          <w:rFonts w:asciiTheme="minorHAnsi" w:eastAsiaTheme="minorEastAsia" w:hAnsiTheme="minorHAnsi" w:cstheme="minorBidi"/>
          <w:spacing w:val="0"/>
          <w:sz w:val="22"/>
          <w:szCs w:val="22"/>
        </w:rPr>
      </w:pPr>
      <w:r>
        <w:t>1.10.</w:t>
      </w:r>
      <w:r w:rsidR="00D62D01">
        <w:rPr>
          <w:rFonts w:asciiTheme="minorHAnsi" w:eastAsiaTheme="minorEastAsia" w:hAnsiTheme="minorHAnsi" w:cstheme="minorBidi"/>
          <w:spacing w:val="0"/>
          <w:sz w:val="22"/>
          <w:szCs w:val="22"/>
        </w:rPr>
        <w:t xml:space="preserve"> </w:t>
      </w:r>
      <w:r>
        <w:t>Broadcasting services</w:t>
      </w:r>
      <w:r>
        <w:tab/>
      </w:r>
      <w:r>
        <w:fldChar w:fldCharType="begin"/>
      </w:r>
      <w:r>
        <w:instrText xml:space="preserve"> PAGEREF _Toc465842876 \h </w:instrText>
      </w:r>
      <w:r>
        <w:fldChar w:fldCharType="separate"/>
      </w:r>
      <w:r w:rsidR="00625DDF">
        <w:t>37</w:t>
      </w:r>
      <w:r>
        <w:fldChar w:fldCharType="end"/>
      </w:r>
    </w:p>
    <w:p w14:paraId="0736A70E" w14:textId="77777777" w:rsidR="00637CD4" w:rsidRDefault="00637CD4" w:rsidP="00C53AB2">
      <w:pPr>
        <w:pStyle w:val="TOC3"/>
        <w:tabs>
          <w:tab w:val="clear" w:pos="7661"/>
          <w:tab w:val="right" w:pos="9072"/>
        </w:tabs>
        <w:rPr>
          <w:rFonts w:asciiTheme="minorHAnsi" w:eastAsiaTheme="minorEastAsia" w:hAnsiTheme="minorHAnsi" w:cstheme="minorBidi"/>
        </w:rPr>
      </w:pPr>
      <w:r>
        <w:t>Number of broadcasters by segment (radio/television/commercial)</w:t>
      </w:r>
      <w:r>
        <w:tab/>
      </w:r>
      <w:r>
        <w:fldChar w:fldCharType="begin"/>
      </w:r>
      <w:r>
        <w:instrText xml:space="preserve"> PAGEREF _Toc465842877 \h </w:instrText>
      </w:r>
      <w:r>
        <w:fldChar w:fldCharType="separate"/>
      </w:r>
      <w:r w:rsidR="00625DDF">
        <w:t>37</w:t>
      </w:r>
      <w:r>
        <w:fldChar w:fldCharType="end"/>
      </w:r>
    </w:p>
    <w:p w14:paraId="56B385DF" w14:textId="77777777" w:rsidR="00637CD4" w:rsidRDefault="00637CD4" w:rsidP="00C53AB2">
      <w:pPr>
        <w:pStyle w:val="TOC3"/>
        <w:tabs>
          <w:tab w:val="clear" w:pos="7661"/>
          <w:tab w:val="right" w:pos="9072"/>
        </w:tabs>
        <w:rPr>
          <w:rFonts w:asciiTheme="minorHAnsi" w:eastAsiaTheme="minorEastAsia" w:hAnsiTheme="minorHAnsi" w:cstheme="minorBidi"/>
        </w:rPr>
      </w:pPr>
      <w:r>
        <w:t>Commercial broadcasting services</w:t>
      </w:r>
      <w:r>
        <w:tab/>
      </w:r>
      <w:r>
        <w:fldChar w:fldCharType="begin"/>
      </w:r>
      <w:r>
        <w:instrText xml:space="preserve"> PAGEREF _Toc465842878 \h </w:instrText>
      </w:r>
      <w:r>
        <w:fldChar w:fldCharType="separate"/>
      </w:r>
      <w:r w:rsidR="00625DDF">
        <w:t>38</w:t>
      </w:r>
      <w:r>
        <w:fldChar w:fldCharType="end"/>
      </w:r>
    </w:p>
    <w:p w14:paraId="4023A849" w14:textId="77777777" w:rsidR="00637CD4" w:rsidRDefault="00637CD4" w:rsidP="00C53AB2">
      <w:pPr>
        <w:pStyle w:val="TOC3"/>
        <w:tabs>
          <w:tab w:val="clear" w:pos="7661"/>
          <w:tab w:val="right" w:pos="9072"/>
        </w:tabs>
        <w:rPr>
          <w:rFonts w:asciiTheme="minorHAnsi" w:eastAsiaTheme="minorEastAsia" w:hAnsiTheme="minorHAnsi" w:cstheme="minorBidi"/>
        </w:rPr>
      </w:pPr>
      <w:r>
        <w:t>Cross-media ownership</w:t>
      </w:r>
      <w:r>
        <w:tab/>
      </w:r>
      <w:r>
        <w:fldChar w:fldCharType="begin"/>
      </w:r>
      <w:r>
        <w:instrText xml:space="preserve"> PAGEREF _Toc465842879 \h </w:instrText>
      </w:r>
      <w:r>
        <w:fldChar w:fldCharType="separate"/>
      </w:r>
      <w:r w:rsidR="00625DDF">
        <w:t>41</w:t>
      </w:r>
      <w:r>
        <w:fldChar w:fldCharType="end"/>
      </w:r>
    </w:p>
    <w:p w14:paraId="32FBBE0E" w14:textId="77777777" w:rsidR="00637CD4" w:rsidRDefault="00637CD4" w:rsidP="00C53AB2">
      <w:pPr>
        <w:pStyle w:val="TOC3"/>
        <w:tabs>
          <w:tab w:val="clear" w:pos="7661"/>
          <w:tab w:val="right" w:pos="9072"/>
        </w:tabs>
        <w:rPr>
          <w:rFonts w:asciiTheme="minorHAnsi" w:eastAsiaTheme="minorEastAsia" w:hAnsiTheme="minorHAnsi" w:cstheme="minorBidi"/>
        </w:rPr>
      </w:pPr>
      <w:r>
        <w:t>Subscription television in Australia</w:t>
      </w:r>
      <w:r>
        <w:tab/>
      </w:r>
      <w:r>
        <w:fldChar w:fldCharType="begin"/>
      </w:r>
      <w:r>
        <w:instrText xml:space="preserve"> PAGEREF _Toc465842880 \h </w:instrText>
      </w:r>
      <w:r>
        <w:fldChar w:fldCharType="separate"/>
      </w:r>
      <w:r w:rsidR="00625DDF">
        <w:t>41</w:t>
      </w:r>
      <w:r>
        <w:fldChar w:fldCharType="end"/>
      </w:r>
    </w:p>
    <w:p w14:paraId="7EB6E823" w14:textId="77777777" w:rsidR="00637CD4" w:rsidRDefault="00637CD4" w:rsidP="00C53AB2">
      <w:pPr>
        <w:pStyle w:val="TOC3"/>
        <w:tabs>
          <w:tab w:val="clear" w:pos="7661"/>
          <w:tab w:val="right" w:pos="9072"/>
        </w:tabs>
        <w:rPr>
          <w:rFonts w:asciiTheme="minorHAnsi" w:eastAsiaTheme="minorEastAsia" w:hAnsiTheme="minorHAnsi" w:cstheme="minorBidi"/>
        </w:rPr>
      </w:pPr>
      <w:r>
        <w:t>Community radio broadcasting licences</w:t>
      </w:r>
      <w:r>
        <w:tab/>
      </w:r>
      <w:r>
        <w:fldChar w:fldCharType="begin"/>
      </w:r>
      <w:r>
        <w:instrText xml:space="preserve"> PAGEREF _Toc465842881 \h </w:instrText>
      </w:r>
      <w:r>
        <w:fldChar w:fldCharType="separate"/>
      </w:r>
      <w:r w:rsidR="00625DDF">
        <w:t>41</w:t>
      </w:r>
      <w:r>
        <w:fldChar w:fldCharType="end"/>
      </w:r>
    </w:p>
    <w:p w14:paraId="49F48ABD" w14:textId="77777777" w:rsidR="00637CD4" w:rsidRDefault="00637CD4" w:rsidP="00C53AB2">
      <w:pPr>
        <w:pStyle w:val="TOC3"/>
        <w:tabs>
          <w:tab w:val="clear" w:pos="7661"/>
          <w:tab w:val="right" w:pos="9072"/>
        </w:tabs>
        <w:rPr>
          <w:rFonts w:asciiTheme="minorHAnsi" w:eastAsiaTheme="minorEastAsia" w:hAnsiTheme="minorHAnsi" w:cstheme="minorBidi"/>
        </w:rPr>
      </w:pPr>
      <w:r>
        <w:t>Temporary community radio broadcasting licences</w:t>
      </w:r>
      <w:r>
        <w:tab/>
      </w:r>
      <w:r>
        <w:fldChar w:fldCharType="begin"/>
      </w:r>
      <w:r>
        <w:instrText xml:space="preserve"> PAGEREF _Toc465842882 \h </w:instrText>
      </w:r>
      <w:r>
        <w:fldChar w:fldCharType="separate"/>
      </w:r>
      <w:r w:rsidR="00625DDF">
        <w:t>42</w:t>
      </w:r>
      <w:r>
        <w:fldChar w:fldCharType="end"/>
      </w:r>
    </w:p>
    <w:p w14:paraId="457B5099" w14:textId="77777777" w:rsidR="00637CD4" w:rsidRDefault="00637CD4" w:rsidP="00C53AB2">
      <w:pPr>
        <w:pStyle w:val="TOC3"/>
        <w:tabs>
          <w:tab w:val="clear" w:pos="7661"/>
          <w:tab w:val="right" w:pos="9072"/>
        </w:tabs>
        <w:rPr>
          <w:rFonts w:asciiTheme="minorHAnsi" w:eastAsiaTheme="minorEastAsia" w:hAnsiTheme="minorHAnsi" w:cstheme="minorBidi"/>
        </w:rPr>
      </w:pPr>
      <w:r>
        <w:t>Community television services</w:t>
      </w:r>
      <w:r>
        <w:tab/>
      </w:r>
      <w:r>
        <w:fldChar w:fldCharType="begin"/>
      </w:r>
      <w:r>
        <w:instrText xml:space="preserve"> PAGEREF _Toc465842883 \h </w:instrText>
      </w:r>
      <w:r>
        <w:fldChar w:fldCharType="separate"/>
      </w:r>
      <w:r w:rsidR="00625DDF">
        <w:t>42</w:t>
      </w:r>
      <w:r>
        <w:fldChar w:fldCharType="end"/>
      </w:r>
    </w:p>
    <w:p w14:paraId="26CFD28D" w14:textId="77777777" w:rsidR="00637CD4" w:rsidRDefault="00637CD4" w:rsidP="00C53AB2">
      <w:pPr>
        <w:pStyle w:val="TOC3"/>
        <w:tabs>
          <w:tab w:val="clear" w:pos="7661"/>
          <w:tab w:val="right" w:pos="9072"/>
        </w:tabs>
        <w:rPr>
          <w:rFonts w:asciiTheme="minorHAnsi" w:eastAsiaTheme="minorEastAsia" w:hAnsiTheme="minorHAnsi" w:cstheme="minorBidi"/>
        </w:rPr>
      </w:pPr>
      <w:r>
        <w:t>Community television transition</w:t>
      </w:r>
      <w:r>
        <w:tab/>
      </w:r>
      <w:r>
        <w:fldChar w:fldCharType="begin"/>
      </w:r>
      <w:r>
        <w:instrText xml:space="preserve"> PAGEREF _Toc465842884 \h </w:instrText>
      </w:r>
      <w:r>
        <w:fldChar w:fldCharType="separate"/>
      </w:r>
      <w:r w:rsidR="00625DDF">
        <w:t>42</w:t>
      </w:r>
      <w:r>
        <w:fldChar w:fldCharType="end"/>
      </w:r>
    </w:p>
    <w:p w14:paraId="0DCD4451" w14:textId="77777777" w:rsidR="00637CD4" w:rsidRDefault="00637CD4" w:rsidP="00C53AB2">
      <w:pPr>
        <w:pStyle w:val="TOC3"/>
        <w:tabs>
          <w:tab w:val="clear" w:pos="7661"/>
          <w:tab w:val="right" w:pos="9072"/>
        </w:tabs>
        <w:rPr>
          <w:rFonts w:asciiTheme="minorHAnsi" w:eastAsiaTheme="minorEastAsia" w:hAnsiTheme="minorHAnsi" w:cstheme="minorBidi"/>
        </w:rPr>
      </w:pPr>
      <w:r>
        <w:t>Community television trials</w:t>
      </w:r>
      <w:r>
        <w:tab/>
      </w:r>
      <w:r>
        <w:fldChar w:fldCharType="begin"/>
      </w:r>
      <w:r>
        <w:instrText xml:space="preserve"> PAGEREF _Toc465842885 \h </w:instrText>
      </w:r>
      <w:r>
        <w:fldChar w:fldCharType="separate"/>
      </w:r>
      <w:r w:rsidR="00625DDF">
        <w:t>42</w:t>
      </w:r>
      <w:r>
        <w:fldChar w:fldCharType="end"/>
      </w:r>
    </w:p>
    <w:p w14:paraId="16C289C8" w14:textId="77777777" w:rsidR="00637CD4" w:rsidRDefault="00637CD4" w:rsidP="00C53AB2">
      <w:pPr>
        <w:pStyle w:val="TOC3"/>
        <w:tabs>
          <w:tab w:val="clear" w:pos="7661"/>
          <w:tab w:val="right" w:pos="9072"/>
        </w:tabs>
        <w:rPr>
          <w:rFonts w:asciiTheme="minorHAnsi" w:eastAsiaTheme="minorEastAsia" w:hAnsiTheme="minorHAnsi" w:cstheme="minorBidi"/>
        </w:rPr>
      </w:pPr>
      <w:r>
        <w:t>Advertising expenditure in main media</w:t>
      </w:r>
      <w:r>
        <w:tab/>
      </w:r>
      <w:r>
        <w:fldChar w:fldCharType="begin"/>
      </w:r>
      <w:r>
        <w:instrText xml:space="preserve"> PAGEREF _Toc465842886 \h </w:instrText>
      </w:r>
      <w:r>
        <w:fldChar w:fldCharType="separate"/>
      </w:r>
      <w:r w:rsidR="00625DDF">
        <w:t>42</w:t>
      </w:r>
      <w:r>
        <w:fldChar w:fldCharType="end"/>
      </w:r>
    </w:p>
    <w:p w14:paraId="402C7388" w14:textId="77777777" w:rsidR="00637CD4" w:rsidRPr="00C53AB2" w:rsidRDefault="00D62D01" w:rsidP="00C53AB2">
      <w:pPr>
        <w:pStyle w:val="TOC1"/>
        <w:tabs>
          <w:tab w:val="clear" w:pos="7660"/>
          <w:tab w:val="left" w:pos="709"/>
          <w:tab w:val="right" w:pos="9072"/>
        </w:tabs>
        <w:ind w:right="567"/>
        <w:rPr>
          <w:color w:val="007298"/>
        </w:rPr>
      </w:pPr>
      <w:r>
        <w:rPr>
          <w:color w:val="007298"/>
        </w:rPr>
        <w:t xml:space="preserve">2. </w:t>
      </w:r>
      <w:r w:rsidR="00637CD4" w:rsidRPr="00C53AB2">
        <w:rPr>
          <w:color w:val="007298"/>
        </w:rPr>
        <w:t>Engagement with communications and media</w:t>
      </w:r>
      <w:r w:rsidR="00637CD4" w:rsidRPr="00C53AB2">
        <w:rPr>
          <w:color w:val="007298"/>
        </w:rPr>
        <w:tab/>
      </w:r>
      <w:r w:rsidR="00637CD4" w:rsidRPr="00C53AB2">
        <w:rPr>
          <w:color w:val="007298"/>
        </w:rPr>
        <w:fldChar w:fldCharType="begin"/>
      </w:r>
      <w:r w:rsidR="00637CD4" w:rsidRPr="00C53AB2">
        <w:rPr>
          <w:color w:val="007298"/>
        </w:rPr>
        <w:instrText xml:space="preserve"> PAGEREF _Toc465842887 \h </w:instrText>
      </w:r>
      <w:r w:rsidR="00637CD4" w:rsidRPr="00C53AB2">
        <w:rPr>
          <w:color w:val="007298"/>
        </w:rPr>
      </w:r>
      <w:r w:rsidR="00637CD4" w:rsidRPr="00C53AB2">
        <w:rPr>
          <w:color w:val="007298"/>
        </w:rPr>
        <w:fldChar w:fldCharType="separate"/>
      </w:r>
      <w:r w:rsidR="00625DDF">
        <w:rPr>
          <w:color w:val="007298"/>
        </w:rPr>
        <w:t>49</w:t>
      </w:r>
      <w:r w:rsidR="00637CD4" w:rsidRPr="00C53AB2">
        <w:rPr>
          <w:color w:val="007298"/>
        </w:rPr>
        <w:fldChar w:fldCharType="end"/>
      </w:r>
    </w:p>
    <w:p w14:paraId="0458F2E4" w14:textId="77777777" w:rsidR="00637CD4" w:rsidRPr="00C53AB2" w:rsidRDefault="00637CD4" w:rsidP="00C53AB2">
      <w:pPr>
        <w:pStyle w:val="TOC2"/>
        <w:tabs>
          <w:tab w:val="clear" w:pos="7660"/>
          <w:tab w:val="right" w:pos="9072"/>
        </w:tabs>
        <w:ind w:left="709" w:hanging="709"/>
      </w:pPr>
      <w:r>
        <w:t>2.1.</w:t>
      </w:r>
      <w:r w:rsidR="00D62D01">
        <w:rPr>
          <w:rFonts w:asciiTheme="minorHAnsi" w:eastAsiaTheme="minorEastAsia" w:hAnsiTheme="minorHAnsi" w:cstheme="minorBidi"/>
          <w:spacing w:val="0"/>
          <w:sz w:val="22"/>
          <w:szCs w:val="22"/>
        </w:rPr>
        <w:t xml:space="preserve"> </w:t>
      </w:r>
      <w:r>
        <w:t>Overview</w:t>
      </w:r>
      <w:r>
        <w:tab/>
      </w:r>
      <w:r>
        <w:fldChar w:fldCharType="begin"/>
      </w:r>
      <w:r>
        <w:instrText xml:space="preserve"> PAGEREF _Toc465842888 \h </w:instrText>
      </w:r>
      <w:r>
        <w:fldChar w:fldCharType="separate"/>
      </w:r>
      <w:r w:rsidR="00625DDF">
        <w:t>49</w:t>
      </w:r>
      <w:r>
        <w:fldChar w:fldCharType="end"/>
      </w:r>
    </w:p>
    <w:p w14:paraId="636AB712" w14:textId="77777777" w:rsidR="00637CD4" w:rsidRDefault="00637CD4" w:rsidP="00C53AB2">
      <w:pPr>
        <w:pStyle w:val="TOC2"/>
        <w:tabs>
          <w:tab w:val="clear" w:pos="7660"/>
          <w:tab w:val="right" w:pos="9072"/>
        </w:tabs>
        <w:ind w:left="709" w:hanging="709"/>
        <w:rPr>
          <w:rFonts w:asciiTheme="minorHAnsi" w:eastAsiaTheme="minorEastAsia" w:hAnsiTheme="minorHAnsi" w:cstheme="minorBidi"/>
          <w:spacing w:val="0"/>
          <w:sz w:val="22"/>
          <w:szCs w:val="22"/>
        </w:rPr>
      </w:pPr>
      <w:r>
        <w:t>2.2.</w:t>
      </w:r>
      <w:r w:rsidR="00D62D01">
        <w:t xml:space="preserve"> </w:t>
      </w:r>
      <w:r>
        <w:t>Internet access</w:t>
      </w:r>
      <w:r>
        <w:tab/>
      </w:r>
      <w:r>
        <w:fldChar w:fldCharType="begin"/>
      </w:r>
      <w:r>
        <w:instrText xml:space="preserve"> PAGEREF _Toc465842889 \h </w:instrText>
      </w:r>
      <w:r>
        <w:fldChar w:fldCharType="separate"/>
      </w:r>
      <w:r w:rsidR="00625DDF">
        <w:t>50</w:t>
      </w:r>
      <w:r>
        <w:fldChar w:fldCharType="end"/>
      </w:r>
    </w:p>
    <w:p w14:paraId="0FFE07C2" w14:textId="77777777" w:rsidR="00637CD4" w:rsidRDefault="00637CD4" w:rsidP="00C53AB2">
      <w:pPr>
        <w:pStyle w:val="TOC3"/>
        <w:tabs>
          <w:tab w:val="clear" w:pos="7661"/>
          <w:tab w:val="right" w:pos="9072"/>
        </w:tabs>
        <w:rPr>
          <w:rFonts w:asciiTheme="minorHAnsi" w:eastAsiaTheme="minorEastAsia" w:hAnsiTheme="minorHAnsi" w:cstheme="minorBidi"/>
        </w:rPr>
      </w:pPr>
      <w:r>
        <w:t>Connectivity—take-up of the internet</w:t>
      </w:r>
      <w:r>
        <w:tab/>
      </w:r>
      <w:r>
        <w:fldChar w:fldCharType="begin"/>
      </w:r>
      <w:r>
        <w:instrText xml:space="preserve"> PAGEREF _Toc465842890 \h </w:instrText>
      </w:r>
      <w:r>
        <w:fldChar w:fldCharType="separate"/>
      </w:r>
      <w:r w:rsidR="00625DDF">
        <w:t>50</w:t>
      </w:r>
      <w:r>
        <w:fldChar w:fldCharType="end"/>
      </w:r>
    </w:p>
    <w:p w14:paraId="1F7C4544" w14:textId="77777777" w:rsidR="00637CD4" w:rsidRDefault="00637CD4" w:rsidP="00C53AB2">
      <w:pPr>
        <w:pStyle w:val="TOC3"/>
        <w:tabs>
          <w:tab w:val="clear" w:pos="7661"/>
          <w:tab w:val="right" w:pos="9072"/>
        </w:tabs>
        <w:rPr>
          <w:rFonts w:asciiTheme="minorHAnsi" w:eastAsiaTheme="minorEastAsia" w:hAnsiTheme="minorHAnsi" w:cstheme="minorBidi"/>
        </w:rPr>
      </w:pPr>
      <w:r>
        <w:t>Offline Australians</w:t>
      </w:r>
      <w:r>
        <w:tab/>
      </w:r>
      <w:r>
        <w:fldChar w:fldCharType="begin"/>
      </w:r>
      <w:r>
        <w:instrText xml:space="preserve"> PAGEREF _Toc465842891 \h </w:instrText>
      </w:r>
      <w:r>
        <w:fldChar w:fldCharType="separate"/>
      </w:r>
      <w:r w:rsidR="00625DDF">
        <w:t>51</w:t>
      </w:r>
      <w:r>
        <w:fldChar w:fldCharType="end"/>
      </w:r>
    </w:p>
    <w:p w14:paraId="7D7A067C" w14:textId="77777777" w:rsidR="00637CD4" w:rsidRDefault="00637CD4" w:rsidP="00C53AB2">
      <w:pPr>
        <w:pStyle w:val="TOC3"/>
        <w:tabs>
          <w:tab w:val="clear" w:pos="7661"/>
          <w:tab w:val="right" w:pos="9072"/>
        </w:tabs>
        <w:rPr>
          <w:rFonts w:asciiTheme="minorHAnsi" w:eastAsiaTheme="minorEastAsia" w:hAnsiTheme="minorHAnsi" w:cstheme="minorBidi"/>
        </w:rPr>
      </w:pPr>
      <w:r>
        <w:t>Variety of internet access devices</w:t>
      </w:r>
      <w:r>
        <w:tab/>
      </w:r>
      <w:r>
        <w:fldChar w:fldCharType="begin"/>
      </w:r>
      <w:r>
        <w:instrText xml:space="preserve"> PAGEREF _Toc465842892 \h </w:instrText>
      </w:r>
      <w:r>
        <w:fldChar w:fldCharType="separate"/>
      </w:r>
      <w:r w:rsidR="00625DDF">
        <w:t>51</w:t>
      </w:r>
      <w:r>
        <w:fldChar w:fldCharType="end"/>
      </w:r>
    </w:p>
    <w:p w14:paraId="4D57B982" w14:textId="77777777" w:rsidR="00637CD4" w:rsidRDefault="00637CD4" w:rsidP="00C53AB2">
      <w:pPr>
        <w:pStyle w:val="TOC3"/>
        <w:tabs>
          <w:tab w:val="clear" w:pos="7661"/>
          <w:tab w:val="right" w:pos="9072"/>
        </w:tabs>
        <w:rPr>
          <w:rFonts w:asciiTheme="minorHAnsi" w:eastAsiaTheme="minorEastAsia" w:hAnsiTheme="minorHAnsi" w:cstheme="minorBidi"/>
        </w:rPr>
      </w:pPr>
      <w:r>
        <w:t>Diversification of consumer internet access devices</w:t>
      </w:r>
      <w:r>
        <w:tab/>
      </w:r>
      <w:r>
        <w:fldChar w:fldCharType="begin"/>
      </w:r>
      <w:r>
        <w:instrText xml:space="preserve"> PAGEREF _Toc465842893 \h </w:instrText>
      </w:r>
      <w:r>
        <w:fldChar w:fldCharType="separate"/>
      </w:r>
      <w:r w:rsidR="00625DDF">
        <w:t>51</w:t>
      </w:r>
      <w:r>
        <w:fldChar w:fldCharType="end"/>
      </w:r>
    </w:p>
    <w:p w14:paraId="397490CF" w14:textId="77777777" w:rsidR="00637CD4" w:rsidRDefault="00637CD4" w:rsidP="00C53AB2">
      <w:pPr>
        <w:pStyle w:val="TOC3"/>
        <w:tabs>
          <w:tab w:val="clear" w:pos="7661"/>
          <w:tab w:val="right" w:pos="9072"/>
        </w:tabs>
        <w:rPr>
          <w:rFonts w:asciiTheme="minorHAnsi" w:eastAsiaTheme="minorEastAsia" w:hAnsiTheme="minorHAnsi" w:cstheme="minorBidi"/>
        </w:rPr>
      </w:pPr>
      <w:r>
        <w:t>Mobile-only users</w:t>
      </w:r>
      <w:r>
        <w:tab/>
      </w:r>
      <w:r>
        <w:fldChar w:fldCharType="begin"/>
      </w:r>
      <w:r>
        <w:instrText xml:space="preserve"> PAGEREF _Toc465842894 \h </w:instrText>
      </w:r>
      <w:r>
        <w:fldChar w:fldCharType="separate"/>
      </w:r>
      <w:r w:rsidR="00625DDF">
        <w:t>53</w:t>
      </w:r>
      <w:r>
        <w:fldChar w:fldCharType="end"/>
      </w:r>
    </w:p>
    <w:p w14:paraId="47E43435" w14:textId="77777777" w:rsidR="00637CD4" w:rsidRDefault="00637CD4" w:rsidP="00C53AB2">
      <w:pPr>
        <w:pStyle w:val="TOC2"/>
        <w:tabs>
          <w:tab w:val="clear" w:pos="7660"/>
          <w:tab w:val="right" w:pos="9072"/>
        </w:tabs>
        <w:ind w:left="709" w:hanging="709"/>
        <w:rPr>
          <w:rFonts w:asciiTheme="minorHAnsi" w:eastAsiaTheme="minorEastAsia" w:hAnsiTheme="minorHAnsi" w:cstheme="minorBidi"/>
          <w:spacing w:val="0"/>
          <w:sz w:val="22"/>
          <w:szCs w:val="22"/>
        </w:rPr>
      </w:pPr>
      <w:r>
        <w:t>2.3.</w:t>
      </w:r>
      <w:r w:rsidR="00D62D01">
        <w:rPr>
          <w:rFonts w:asciiTheme="minorHAnsi" w:eastAsiaTheme="minorEastAsia" w:hAnsiTheme="minorHAnsi" w:cstheme="minorBidi"/>
          <w:spacing w:val="0"/>
          <w:sz w:val="22"/>
          <w:szCs w:val="22"/>
        </w:rPr>
        <w:t xml:space="preserve"> </w:t>
      </w:r>
      <w:r>
        <w:t>Data trends</w:t>
      </w:r>
      <w:r>
        <w:tab/>
      </w:r>
      <w:r>
        <w:fldChar w:fldCharType="begin"/>
      </w:r>
      <w:r>
        <w:instrText xml:space="preserve"> PAGEREF _Toc465842895 \h </w:instrText>
      </w:r>
      <w:r>
        <w:fldChar w:fldCharType="separate"/>
      </w:r>
      <w:r w:rsidR="00625DDF">
        <w:t>55</w:t>
      </w:r>
      <w:r>
        <w:fldChar w:fldCharType="end"/>
      </w:r>
    </w:p>
    <w:p w14:paraId="18B3BB62" w14:textId="77777777" w:rsidR="00637CD4" w:rsidRDefault="00637CD4" w:rsidP="00C53AB2">
      <w:pPr>
        <w:pStyle w:val="TOC3"/>
        <w:tabs>
          <w:tab w:val="clear" w:pos="7661"/>
          <w:tab w:val="right" w:pos="9072"/>
        </w:tabs>
        <w:rPr>
          <w:rFonts w:asciiTheme="minorHAnsi" w:eastAsiaTheme="minorEastAsia" w:hAnsiTheme="minorHAnsi" w:cstheme="minorBidi"/>
        </w:rPr>
      </w:pPr>
      <w:r>
        <w:t>Frequency of internet use</w:t>
      </w:r>
      <w:r>
        <w:tab/>
      </w:r>
      <w:r>
        <w:fldChar w:fldCharType="begin"/>
      </w:r>
      <w:r>
        <w:instrText xml:space="preserve"> PAGEREF _Toc465842896 \h </w:instrText>
      </w:r>
      <w:r>
        <w:fldChar w:fldCharType="separate"/>
      </w:r>
      <w:r w:rsidR="00625DDF">
        <w:t>55</w:t>
      </w:r>
      <w:r>
        <w:fldChar w:fldCharType="end"/>
      </w:r>
    </w:p>
    <w:p w14:paraId="4228682E" w14:textId="77777777" w:rsidR="00637CD4" w:rsidRDefault="00637CD4" w:rsidP="00C53AB2">
      <w:pPr>
        <w:pStyle w:val="TOC3"/>
        <w:tabs>
          <w:tab w:val="clear" w:pos="7661"/>
          <w:tab w:val="right" w:pos="9072"/>
        </w:tabs>
        <w:rPr>
          <w:rFonts w:asciiTheme="minorHAnsi" w:eastAsiaTheme="minorEastAsia" w:hAnsiTheme="minorHAnsi" w:cstheme="minorBidi"/>
        </w:rPr>
      </w:pPr>
      <w:r>
        <w:t>Volume of data downloaded</w:t>
      </w:r>
      <w:r>
        <w:tab/>
      </w:r>
      <w:r>
        <w:fldChar w:fldCharType="begin"/>
      </w:r>
      <w:r>
        <w:instrText xml:space="preserve"> PAGEREF _Toc465842897 \h </w:instrText>
      </w:r>
      <w:r>
        <w:fldChar w:fldCharType="separate"/>
      </w:r>
      <w:r w:rsidR="00625DDF">
        <w:t>55</w:t>
      </w:r>
      <w:r>
        <w:fldChar w:fldCharType="end"/>
      </w:r>
    </w:p>
    <w:p w14:paraId="233194CA" w14:textId="77777777" w:rsidR="00637CD4" w:rsidRDefault="00637CD4" w:rsidP="00C53AB2">
      <w:pPr>
        <w:pStyle w:val="TOC3"/>
        <w:tabs>
          <w:tab w:val="clear" w:pos="7661"/>
          <w:tab w:val="right" w:pos="9072"/>
        </w:tabs>
        <w:rPr>
          <w:rFonts w:asciiTheme="minorHAnsi" w:eastAsiaTheme="minorEastAsia" w:hAnsiTheme="minorHAnsi" w:cstheme="minorBidi"/>
        </w:rPr>
      </w:pPr>
      <w:r>
        <w:t>Data allowance—mobile and tablet</w:t>
      </w:r>
      <w:r>
        <w:tab/>
      </w:r>
      <w:r>
        <w:fldChar w:fldCharType="begin"/>
      </w:r>
      <w:r>
        <w:instrText xml:space="preserve"> PAGEREF _Toc465842898 \h </w:instrText>
      </w:r>
      <w:r>
        <w:fldChar w:fldCharType="separate"/>
      </w:r>
      <w:r w:rsidR="00625DDF">
        <w:t>56</w:t>
      </w:r>
      <w:r>
        <w:fldChar w:fldCharType="end"/>
      </w:r>
    </w:p>
    <w:p w14:paraId="4025C853" w14:textId="77777777" w:rsidR="00637CD4" w:rsidRDefault="00637CD4" w:rsidP="00C53AB2">
      <w:pPr>
        <w:pStyle w:val="TOC2"/>
        <w:tabs>
          <w:tab w:val="clear" w:pos="7660"/>
          <w:tab w:val="right" w:pos="9072"/>
        </w:tabs>
        <w:ind w:left="709" w:hanging="709"/>
        <w:rPr>
          <w:rFonts w:asciiTheme="minorHAnsi" w:eastAsiaTheme="minorEastAsia" w:hAnsiTheme="minorHAnsi" w:cstheme="minorBidi"/>
          <w:spacing w:val="0"/>
          <w:sz w:val="22"/>
          <w:szCs w:val="22"/>
        </w:rPr>
      </w:pPr>
      <w:r>
        <w:t>2.4.</w:t>
      </w:r>
      <w:r w:rsidR="00D62D01">
        <w:rPr>
          <w:rFonts w:asciiTheme="minorHAnsi" w:eastAsiaTheme="minorEastAsia" w:hAnsiTheme="minorHAnsi" w:cstheme="minorBidi"/>
          <w:spacing w:val="0"/>
          <w:sz w:val="22"/>
          <w:szCs w:val="22"/>
        </w:rPr>
        <w:t xml:space="preserve"> </w:t>
      </w:r>
      <w:r>
        <w:t>Use of communications services</w:t>
      </w:r>
      <w:r>
        <w:tab/>
      </w:r>
      <w:r>
        <w:fldChar w:fldCharType="begin"/>
      </w:r>
      <w:r>
        <w:instrText xml:space="preserve"> PAGEREF _Toc465842899 \h </w:instrText>
      </w:r>
      <w:r>
        <w:fldChar w:fldCharType="separate"/>
      </w:r>
      <w:r w:rsidR="00625DDF">
        <w:t>57</w:t>
      </w:r>
      <w:r>
        <w:fldChar w:fldCharType="end"/>
      </w:r>
    </w:p>
    <w:p w14:paraId="0482E1D0" w14:textId="77777777" w:rsidR="00637CD4" w:rsidRDefault="00637CD4" w:rsidP="00C53AB2">
      <w:pPr>
        <w:pStyle w:val="TOC3"/>
        <w:tabs>
          <w:tab w:val="clear" w:pos="7661"/>
          <w:tab w:val="right" w:pos="9072"/>
        </w:tabs>
        <w:rPr>
          <w:rFonts w:asciiTheme="minorHAnsi" w:eastAsiaTheme="minorEastAsia" w:hAnsiTheme="minorHAnsi" w:cstheme="minorBidi"/>
        </w:rPr>
      </w:pPr>
      <w:r>
        <w:t>Australians’ diverse use of communications services</w:t>
      </w:r>
      <w:r>
        <w:tab/>
      </w:r>
      <w:r>
        <w:fldChar w:fldCharType="begin"/>
      </w:r>
      <w:r>
        <w:instrText xml:space="preserve"> PAGEREF _Toc465842900 \h </w:instrText>
      </w:r>
      <w:r>
        <w:fldChar w:fldCharType="separate"/>
      </w:r>
      <w:r w:rsidR="00625DDF">
        <w:t>57</w:t>
      </w:r>
      <w:r>
        <w:fldChar w:fldCharType="end"/>
      </w:r>
    </w:p>
    <w:p w14:paraId="2C1D8AE2" w14:textId="77777777" w:rsidR="00637CD4" w:rsidRDefault="00637CD4" w:rsidP="00C53AB2">
      <w:pPr>
        <w:pStyle w:val="TOC3"/>
        <w:tabs>
          <w:tab w:val="clear" w:pos="7661"/>
          <w:tab w:val="right" w:pos="9072"/>
        </w:tabs>
        <w:rPr>
          <w:rFonts w:asciiTheme="minorHAnsi" w:eastAsiaTheme="minorEastAsia" w:hAnsiTheme="minorHAnsi" w:cstheme="minorBidi"/>
        </w:rPr>
      </w:pPr>
      <w:r>
        <w:lastRenderedPageBreak/>
        <w:t>Social networking activities</w:t>
      </w:r>
      <w:r>
        <w:tab/>
      </w:r>
      <w:r>
        <w:fldChar w:fldCharType="begin"/>
      </w:r>
      <w:r>
        <w:instrText xml:space="preserve"> PAGEREF _Toc465842901 \h </w:instrText>
      </w:r>
      <w:r>
        <w:fldChar w:fldCharType="separate"/>
      </w:r>
      <w:r w:rsidR="00625DDF">
        <w:t>59</w:t>
      </w:r>
      <w:r>
        <w:fldChar w:fldCharType="end"/>
      </w:r>
    </w:p>
    <w:p w14:paraId="0465BAED" w14:textId="77777777" w:rsidR="00637CD4" w:rsidRDefault="00637CD4" w:rsidP="00C53AB2">
      <w:pPr>
        <w:pStyle w:val="TOC3"/>
        <w:tabs>
          <w:tab w:val="clear" w:pos="7661"/>
          <w:tab w:val="right" w:pos="9072"/>
        </w:tabs>
        <w:rPr>
          <w:rFonts w:asciiTheme="minorHAnsi" w:eastAsiaTheme="minorEastAsia" w:hAnsiTheme="minorHAnsi" w:cstheme="minorBidi"/>
        </w:rPr>
      </w:pPr>
      <w:r>
        <w:t>Communications apps</w:t>
      </w:r>
      <w:r>
        <w:tab/>
      </w:r>
      <w:r>
        <w:fldChar w:fldCharType="begin"/>
      </w:r>
      <w:r>
        <w:instrText xml:space="preserve"> PAGEREF _Toc465842902 \h </w:instrText>
      </w:r>
      <w:r>
        <w:fldChar w:fldCharType="separate"/>
      </w:r>
      <w:r w:rsidR="00625DDF">
        <w:t>59</w:t>
      </w:r>
      <w:r>
        <w:fldChar w:fldCharType="end"/>
      </w:r>
    </w:p>
    <w:p w14:paraId="4DC0B9C3"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2.5.</w:t>
      </w:r>
      <w:r w:rsidR="00D62D01">
        <w:rPr>
          <w:rFonts w:asciiTheme="minorHAnsi" w:eastAsiaTheme="minorEastAsia" w:hAnsiTheme="minorHAnsi" w:cstheme="minorBidi"/>
          <w:spacing w:val="0"/>
          <w:sz w:val="22"/>
          <w:szCs w:val="22"/>
        </w:rPr>
        <w:t xml:space="preserve"> </w:t>
      </w:r>
      <w:r>
        <w:t>Internet activities</w:t>
      </w:r>
      <w:r>
        <w:tab/>
      </w:r>
      <w:r>
        <w:fldChar w:fldCharType="begin"/>
      </w:r>
      <w:r>
        <w:instrText xml:space="preserve"> PAGEREF _Toc465842903 \h </w:instrText>
      </w:r>
      <w:r>
        <w:fldChar w:fldCharType="separate"/>
      </w:r>
      <w:r w:rsidR="00625DDF">
        <w:t>62</w:t>
      </w:r>
      <w:r>
        <w:fldChar w:fldCharType="end"/>
      </w:r>
    </w:p>
    <w:p w14:paraId="75A3595C" w14:textId="77777777" w:rsidR="00637CD4" w:rsidRDefault="00637CD4" w:rsidP="00C53AB2">
      <w:pPr>
        <w:pStyle w:val="TOC3"/>
        <w:tabs>
          <w:tab w:val="clear" w:pos="7661"/>
          <w:tab w:val="right" w:pos="9072"/>
        </w:tabs>
        <w:rPr>
          <w:rFonts w:asciiTheme="minorHAnsi" w:eastAsiaTheme="minorEastAsia" w:hAnsiTheme="minorHAnsi" w:cstheme="minorBidi"/>
        </w:rPr>
      </w:pPr>
      <w:r>
        <w:t>Performing activities online</w:t>
      </w:r>
      <w:r>
        <w:tab/>
      </w:r>
      <w:r>
        <w:fldChar w:fldCharType="begin"/>
      </w:r>
      <w:r>
        <w:instrText xml:space="preserve"> PAGEREF _Toc465842904 \h </w:instrText>
      </w:r>
      <w:r>
        <w:fldChar w:fldCharType="separate"/>
      </w:r>
      <w:r w:rsidR="00625DDF">
        <w:t>62</w:t>
      </w:r>
      <w:r>
        <w:fldChar w:fldCharType="end"/>
      </w:r>
    </w:p>
    <w:p w14:paraId="16A8115D" w14:textId="77777777" w:rsidR="00637CD4" w:rsidRDefault="00637CD4" w:rsidP="00C53AB2">
      <w:pPr>
        <w:pStyle w:val="TOC3"/>
        <w:tabs>
          <w:tab w:val="clear" w:pos="7661"/>
          <w:tab w:val="right" w:pos="9072"/>
        </w:tabs>
        <w:rPr>
          <w:rFonts w:asciiTheme="minorHAnsi" w:eastAsiaTheme="minorEastAsia" w:hAnsiTheme="minorHAnsi" w:cstheme="minorBidi"/>
        </w:rPr>
      </w:pPr>
      <w:r>
        <w:t>Accessing online video and audio content</w:t>
      </w:r>
      <w:r>
        <w:tab/>
      </w:r>
      <w:r>
        <w:fldChar w:fldCharType="begin"/>
      </w:r>
      <w:r>
        <w:instrText xml:space="preserve"> PAGEREF _Toc465842905 \h </w:instrText>
      </w:r>
      <w:r>
        <w:fldChar w:fldCharType="separate"/>
      </w:r>
      <w:r w:rsidR="00625DDF">
        <w:t>63</w:t>
      </w:r>
      <w:r>
        <w:fldChar w:fldCharType="end"/>
      </w:r>
    </w:p>
    <w:p w14:paraId="48AEE8D6" w14:textId="77777777" w:rsidR="00637CD4" w:rsidRDefault="00637CD4" w:rsidP="00C53AB2">
      <w:pPr>
        <w:pStyle w:val="TOC3"/>
        <w:tabs>
          <w:tab w:val="clear" w:pos="7661"/>
          <w:tab w:val="right" w:pos="9072"/>
        </w:tabs>
        <w:rPr>
          <w:rFonts w:asciiTheme="minorHAnsi" w:eastAsiaTheme="minorEastAsia" w:hAnsiTheme="minorHAnsi" w:cstheme="minorBidi"/>
        </w:rPr>
      </w:pPr>
      <w:r>
        <w:t>Downloading versus streaming audio and video content</w:t>
      </w:r>
      <w:r>
        <w:tab/>
      </w:r>
      <w:r>
        <w:fldChar w:fldCharType="begin"/>
      </w:r>
      <w:r>
        <w:instrText xml:space="preserve"> PAGEREF _Toc465842906 \h </w:instrText>
      </w:r>
      <w:r>
        <w:fldChar w:fldCharType="separate"/>
      </w:r>
      <w:r w:rsidR="00625DDF">
        <w:t>64</w:t>
      </w:r>
      <w:r>
        <w:fldChar w:fldCharType="end"/>
      </w:r>
    </w:p>
    <w:p w14:paraId="79274197" w14:textId="77777777" w:rsidR="00637CD4" w:rsidRDefault="00637CD4" w:rsidP="00C53AB2">
      <w:pPr>
        <w:pStyle w:val="TOC3"/>
        <w:tabs>
          <w:tab w:val="clear" w:pos="7661"/>
          <w:tab w:val="right" w:pos="9072"/>
        </w:tabs>
        <w:rPr>
          <w:rFonts w:asciiTheme="minorHAnsi" w:eastAsiaTheme="minorEastAsia" w:hAnsiTheme="minorHAnsi" w:cstheme="minorBidi"/>
        </w:rPr>
      </w:pPr>
      <w:r>
        <w:t>Growth in e-commerce activity</w:t>
      </w:r>
      <w:r>
        <w:tab/>
      </w:r>
      <w:r>
        <w:fldChar w:fldCharType="begin"/>
      </w:r>
      <w:r>
        <w:instrText xml:space="preserve"> PAGEREF _Toc465842907 \h </w:instrText>
      </w:r>
      <w:r>
        <w:fldChar w:fldCharType="separate"/>
      </w:r>
      <w:r w:rsidR="00625DDF">
        <w:t>66</w:t>
      </w:r>
      <w:r>
        <w:fldChar w:fldCharType="end"/>
      </w:r>
    </w:p>
    <w:p w14:paraId="720C349D" w14:textId="77777777" w:rsidR="00637CD4" w:rsidRDefault="00637CD4" w:rsidP="00C53AB2">
      <w:pPr>
        <w:pStyle w:val="TOC3"/>
        <w:tabs>
          <w:tab w:val="clear" w:pos="7661"/>
          <w:tab w:val="right" w:pos="9072"/>
        </w:tabs>
        <w:rPr>
          <w:rFonts w:asciiTheme="minorHAnsi" w:eastAsiaTheme="minorEastAsia" w:hAnsiTheme="minorHAnsi" w:cstheme="minorBidi"/>
        </w:rPr>
      </w:pPr>
      <w:r w:rsidRPr="007E633E">
        <w:rPr>
          <w:lang w:val="en-US"/>
        </w:rPr>
        <w:t xml:space="preserve">Online buying, selling and </w:t>
      </w:r>
      <w:r>
        <w:t>shopping</w:t>
      </w:r>
      <w:r>
        <w:tab/>
      </w:r>
      <w:r>
        <w:fldChar w:fldCharType="begin"/>
      </w:r>
      <w:r>
        <w:instrText xml:space="preserve"> PAGEREF _Toc465842908 \h </w:instrText>
      </w:r>
      <w:r>
        <w:fldChar w:fldCharType="separate"/>
      </w:r>
      <w:r w:rsidR="00625DDF">
        <w:t>66</w:t>
      </w:r>
      <w:r>
        <w:fldChar w:fldCharType="end"/>
      </w:r>
    </w:p>
    <w:p w14:paraId="594B677D" w14:textId="77777777" w:rsidR="00637CD4" w:rsidRDefault="00637CD4" w:rsidP="00C53AB2">
      <w:pPr>
        <w:pStyle w:val="TOC3"/>
        <w:tabs>
          <w:tab w:val="clear" w:pos="7661"/>
          <w:tab w:val="right" w:pos="9072"/>
        </w:tabs>
        <w:rPr>
          <w:rFonts w:asciiTheme="minorHAnsi" w:eastAsiaTheme="minorEastAsia" w:hAnsiTheme="minorHAnsi" w:cstheme="minorBidi"/>
        </w:rPr>
      </w:pPr>
      <w:r w:rsidRPr="007E633E">
        <w:rPr>
          <w:lang w:val="en-US"/>
        </w:rPr>
        <w:t>Australian businesses online</w:t>
      </w:r>
      <w:r>
        <w:tab/>
      </w:r>
      <w:r>
        <w:fldChar w:fldCharType="begin"/>
      </w:r>
      <w:r>
        <w:instrText xml:space="preserve"> PAGEREF _Toc465842909 \h </w:instrText>
      </w:r>
      <w:r>
        <w:fldChar w:fldCharType="separate"/>
      </w:r>
      <w:r w:rsidR="00625DDF">
        <w:t>67</w:t>
      </w:r>
      <w:r>
        <w:fldChar w:fldCharType="end"/>
      </w:r>
    </w:p>
    <w:p w14:paraId="3CCE1B60" w14:textId="77777777" w:rsidR="00637CD4" w:rsidRPr="00C53AB2" w:rsidRDefault="00637CD4" w:rsidP="00C53AB2">
      <w:pPr>
        <w:pStyle w:val="TOC2"/>
        <w:tabs>
          <w:tab w:val="clear" w:pos="7660"/>
          <w:tab w:val="left" w:pos="709"/>
          <w:tab w:val="right" w:pos="9072"/>
        </w:tabs>
        <w:ind w:right="567"/>
      </w:pPr>
      <w:r>
        <w:t>2.6.</w:t>
      </w:r>
      <w:r w:rsidR="00D62D01">
        <w:rPr>
          <w:rFonts w:asciiTheme="minorHAnsi" w:eastAsiaTheme="minorEastAsia" w:hAnsiTheme="minorHAnsi" w:cstheme="minorBidi"/>
          <w:spacing w:val="0"/>
          <w:sz w:val="22"/>
          <w:szCs w:val="22"/>
        </w:rPr>
        <w:t xml:space="preserve"> </w:t>
      </w:r>
      <w:r>
        <w:t>Consumer satisfaction with communications services</w:t>
      </w:r>
      <w:r>
        <w:tab/>
      </w:r>
      <w:r>
        <w:fldChar w:fldCharType="begin"/>
      </w:r>
      <w:r>
        <w:instrText xml:space="preserve"> PAGEREF _Toc465842910 \h </w:instrText>
      </w:r>
      <w:r>
        <w:fldChar w:fldCharType="separate"/>
      </w:r>
      <w:r w:rsidR="00625DDF">
        <w:t>67</w:t>
      </w:r>
      <w:r>
        <w:fldChar w:fldCharType="end"/>
      </w:r>
    </w:p>
    <w:p w14:paraId="49FCFA1B"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2.7.</w:t>
      </w:r>
      <w:r w:rsidR="00D62D01">
        <w:t xml:space="preserve"> </w:t>
      </w:r>
      <w:r>
        <w:t>International trends</w:t>
      </w:r>
      <w:r>
        <w:tab/>
      </w:r>
      <w:r>
        <w:fldChar w:fldCharType="begin"/>
      </w:r>
      <w:r>
        <w:instrText xml:space="preserve"> PAGEREF _Toc465842911 \h </w:instrText>
      </w:r>
      <w:r>
        <w:fldChar w:fldCharType="separate"/>
      </w:r>
      <w:r w:rsidR="00625DDF">
        <w:t>70</w:t>
      </w:r>
      <w:r>
        <w:fldChar w:fldCharType="end"/>
      </w:r>
    </w:p>
    <w:p w14:paraId="0913BB8C" w14:textId="77777777" w:rsidR="00637CD4" w:rsidRDefault="00637CD4" w:rsidP="00C53AB2">
      <w:pPr>
        <w:pStyle w:val="TOC3"/>
        <w:tabs>
          <w:tab w:val="clear" w:pos="7661"/>
          <w:tab w:val="right" w:pos="9072"/>
        </w:tabs>
        <w:rPr>
          <w:rFonts w:asciiTheme="minorHAnsi" w:eastAsiaTheme="minorEastAsia" w:hAnsiTheme="minorHAnsi" w:cstheme="minorBidi"/>
        </w:rPr>
      </w:pPr>
      <w:r>
        <w:t>Communications services</w:t>
      </w:r>
      <w:r>
        <w:tab/>
      </w:r>
      <w:r>
        <w:fldChar w:fldCharType="begin"/>
      </w:r>
      <w:r>
        <w:instrText xml:space="preserve"> PAGEREF _Toc465842912 \h </w:instrText>
      </w:r>
      <w:r>
        <w:fldChar w:fldCharType="separate"/>
      </w:r>
      <w:r w:rsidR="00625DDF">
        <w:t>70</w:t>
      </w:r>
      <w:r>
        <w:fldChar w:fldCharType="end"/>
      </w:r>
    </w:p>
    <w:p w14:paraId="550EA640" w14:textId="77777777" w:rsidR="00637CD4" w:rsidRDefault="00637CD4" w:rsidP="00C53AB2">
      <w:pPr>
        <w:pStyle w:val="TOC3"/>
        <w:tabs>
          <w:tab w:val="clear" w:pos="7661"/>
          <w:tab w:val="right" w:pos="9072"/>
        </w:tabs>
        <w:rPr>
          <w:rFonts w:asciiTheme="minorHAnsi" w:eastAsiaTheme="minorEastAsia" w:hAnsiTheme="minorHAnsi" w:cstheme="minorBidi"/>
        </w:rPr>
      </w:pPr>
      <w:r>
        <w:t>Access to the internet</w:t>
      </w:r>
      <w:r>
        <w:tab/>
      </w:r>
      <w:r>
        <w:fldChar w:fldCharType="begin"/>
      </w:r>
      <w:r>
        <w:instrText xml:space="preserve"> PAGEREF _Toc465842913 \h </w:instrText>
      </w:r>
      <w:r>
        <w:fldChar w:fldCharType="separate"/>
      </w:r>
      <w:r w:rsidR="00625DDF">
        <w:t>70</w:t>
      </w:r>
      <w:r>
        <w:fldChar w:fldCharType="end"/>
      </w:r>
    </w:p>
    <w:p w14:paraId="2E0CCE87" w14:textId="77777777" w:rsidR="00637CD4" w:rsidRDefault="00637CD4" w:rsidP="00C53AB2">
      <w:pPr>
        <w:pStyle w:val="TOC3"/>
        <w:tabs>
          <w:tab w:val="clear" w:pos="7661"/>
          <w:tab w:val="right" w:pos="9072"/>
        </w:tabs>
        <w:rPr>
          <w:rFonts w:asciiTheme="minorHAnsi" w:eastAsiaTheme="minorEastAsia" w:hAnsiTheme="minorHAnsi" w:cstheme="minorBidi"/>
        </w:rPr>
      </w:pPr>
      <w:r>
        <w:t>Internet access devices</w:t>
      </w:r>
      <w:r>
        <w:tab/>
      </w:r>
      <w:r>
        <w:fldChar w:fldCharType="begin"/>
      </w:r>
      <w:r>
        <w:instrText xml:space="preserve"> PAGEREF _Toc465842914 \h </w:instrText>
      </w:r>
      <w:r>
        <w:fldChar w:fldCharType="separate"/>
      </w:r>
      <w:r w:rsidR="00625DDF">
        <w:t>70</w:t>
      </w:r>
      <w:r>
        <w:fldChar w:fldCharType="end"/>
      </w:r>
    </w:p>
    <w:p w14:paraId="3C5BCC63" w14:textId="77777777" w:rsidR="00637CD4" w:rsidRDefault="00637CD4" w:rsidP="00C53AB2">
      <w:pPr>
        <w:pStyle w:val="TOC3"/>
        <w:tabs>
          <w:tab w:val="clear" w:pos="7661"/>
          <w:tab w:val="right" w:pos="9072"/>
        </w:tabs>
        <w:rPr>
          <w:rFonts w:asciiTheme="minorHAnsi" w:eastAsiaTheme="minorEastAsia" w:hAnsiTheme="minorHAnsi" w:cstheme="minorBidi"/>
        </w:rPr>
      </w:pPr>
      <w:r>
        <w:t>Activities performed online</w:t>
      </w:r>
      <w:r>
        <w:tab/>
      </w:r>
      <w:r>
        <w:fldChar w:fldCharType="begin"/>
      </w:r>
      <w:r>
        <w:instrText xml:space="preserve"> PAGEREF _Toc465842915 \h </w:instrText>
      </w:r>
      <w:r>
        <w:fldChar w:fldCharType="separate"/>
      </w:r>
      <w:r w:rsidR="00625DDF">
        <w:t>71</w:t>
      </w:r>
      <w:r>
        <w:fldChar w:fldCharType="end"/>
      </w:r>
    </w:p>
    <w:p w14:paraId="28BCC669" w14:textId="77777777" w:rsidR="00637CD4" w:rsidRPr="00C53AB2" w:rsidRDefault="00D62D01" w:rsidP="00C53AB2">
      <w:pPr>
        <w:pStyle w:val="TOC1"/>
        <w:tabs>
          <w:tab w:val="clear" w:pos="7660"/>
          <w:tab w:val="left" w:pos="709"/>
          <w:tab w:val="right" w:pos="9072"/>
        </w:tabs>
        <w:ind w:right="567"/>
        <w:rPr>
          <w:color w:val="007298"/>
        </w:rPr>
      </w:pPr>
      <w:r>
        <w:rPr>
          <w:color w:val="007298"/>
        </w:rPr>
        <w:t xml:space="preserve">3. </w:t>
      </w:r>
      <w:r w:rsidR="00637CD4" w:rsidRPr="00C53AB2">
        <w:rPr>
          <w:color w:val="007298"/>
        </w:rPr>
        <w:t>Television, radio and online content developments</w:t>
      </w:r>
      <w:r w:rsidR="00637CD4" w:rsidRPr="00C53AB2">
        <w:rPr>
          <w:color w:val="007298"/>
        </w:rPr>
        <w:tab/>
      </w:r>
      <w:r w:rsidR="00637CD4" w:rsidRPr="00C53AB2">
        <w:rPr>
          <w:color w:val="007298"/>
        </w:rPr>
        <w:fldChar w:fldCharType="begin"/>
      </w:r>
      <w:r w:rsidR="00637CD4" w:rsidRPr="00C53AB2">
        <w:rPr>
          <w:color w:val="007298"/>
        </w:rPr>
        <w:instrText xml:space="preserve"> PAGEREF _Toc465842916 \h </w:instrText>
      </w:r>
      <w:r w:rsidR="00637CD4" w:rsidRPr="00C53AB2">
        <w:rPr>
          <w:color w:val="007298"/>
        </w:rPr>
      </w:r>
      <w:r w:rsidR="00637CD4" w:rsidRPr="00C53AB2">
        <w:rPr>
          <w:color w:val="007298"/>
        </w:rPr>
        <w:fldChar w:fldCharType="separate"/>
      </w:r>
      <w:r w:rsidR="00625DDF">
        <w:rPr>
          <w:color w:val="007298"/>
        </w:rPr>
        <w:t>73</w:t>
      </w:r>
      <w:r w:rsidR="00637CD4" w:rsidRPr="00C53AB2">
        <w:rPr>
          <w:color w:val="007298"/>
        </w:rPr>
        <w:fldChar w:fldCharType="end"/>
      </w:r>
    </w:p>
    <w:p w14:paraId="6D1478D1" w14:textId="77777777" w:rsidR="00637CD4" w:rsidRPr="00C53AB2" w:rsidRDefault="00637CD4" w:rsidP="00C53AB2">
      <w:pPr>
        <w:pStyle w:val="TOC2"/>
        <w:tabs>
          <w:tab w:val="clear" w:pos="7660"/>
          <w:tab w:val="left" w:pos="709"/>
          <w:tab w:val="right" w:pos="9072"/>
        </w:tabs>
        <w:ind w:right="567"/>
      </w:pPr>
      <w:r>
        <w:t>3.1.</w:t>
      </w:r>
      <w:r w:rsidR="00D62D01">
        <w:t xml:space="preserve"> </w:t>
      </w:r>
      <w:r>
        <w:t>Overview</w:t>
      </w:r>
      <w:r>
        <w:tab/>
      </w:r>
      <w:r>
        <w:fldChar w:fldCharType="begin"/>
      </w:r>
      <w:r>
        <w:instrText xml:space="preserve"> PAGEREF _Toc465842917 \h </w:instrText>
      </w:r>
      <w:r>
        <w:fldChar w:fldCharType="separate"/>
      </w:r>
      <w:r w:rsidR="00625DDF">
        <w:t>73</w:t>
      </w:r>
      <w:r>
        <w:fldChar w:fldCharType="end"/>
      </w:r>
    </w:p>
    <w:p w14:paraId="456BDF7D"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3.2.</w:t>
      </w:r>
      <w:r w:rsidR="00D62D01">
        <w:t xml:space="preserve"> </w:t>
      </w:r>
      <w:r>
        <w:t>Audio content</w:t>
      </w:r>
      <w:r>
        <w:tab/>
      </w:r>
      <w:r>
        <w:fldChar w:fldCharType="begin"/>
      </w:r>
      <w:r>
        <w:instrText xml:space="preserve"> PAGEREF _Toc465842918 \h </w:instrText>
      </w:r>
      <w:r>
        <w:fldChar w:fldCharType="separate"/>
      </w:r>
      <w:r w:rsidR="00625DDF">
        <w:t>74</w:t>
      </w:r>
      <w:r>
        <w:fldChar w:fldCharType="end"/>
      </w:r>
    </w:p>
    <w:p w14:paraId="56699819" w14:textId="77777777" w:rsidR="00637CD4" w:rsidRDefault="00637CD4" w:rsidP="00C53AB2">
      <w:pPr>
        <w:pStyle w:val="TOC3"/>
        <w:tabs>
          <w:tab w:val="clear" w:pos="7661"/>
          <w:tab w:val="right" w:pos="9072"/>
        </w:tabs>
        <w:rPr>
          <w:rFonts w:asciiTheme="minorHAnsi" w:eastAsiaTheme="minorEastAsia" w:hAnsiTheme="minorHAnsi" w:cstheme="minorBidi"/>
        </w:rPr>
      </w:pPr>
      <w:r>
        <w:t>Industry developments in radio and audio content</w:t>
      </w:r>
      <w:r>
        <w:tab/>
      </w:r>
      <w:r>
        <w:fldChar w:fldCharType="begin"/>
      </w:r>
      <w:r>
        <w:instrText xml:space="preserve"> PAGEREF _Toc465842919 \h </w:instrText>
      </w:r>
      <w:r>
        <w:fldChar w:fldCharType="separate"/>
      </w:r>
      <w:r w:rsidR="00625DDF">
        <w:t>74</w:t>
      </w:r>
      <w:r>
        <w:fldChar w:fldCharType="end"/>
      </w:r>
    </w:p>
    <w:p w14:paraId="2BFCE12F"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3.3.</w:t>
      </w:r>
      <w:r w:rsidR="00D62D01">
        <w:rPr>
          <w:rFonts w:asciiTheme="minorHAnsi" w:eastAsiaTheme="minorEastAsia" w:hAnsiTheme="minorHAnsi" w:cstheme="minorBidi"/>
          <w:spacing w:val="0"/>
          <w:sz w:val="22"/>
          <w:szCs w:val="22"/>
        </w:rPr>
        <w:t xml:space="preserve"> </w:t>
      </w:r>
      <w:r>
        <w:t>Audience engagement</w:t>
      </w:r>
      <w:r>
        <w:tab/>
      </w:r>
      <w:r>
        <w:fldChar w:fldCharType="begin"/>
      </w:r>
      <w:r>
        <w:instrText xml:space="preserve"> PAGEREF _Toc465842920 \h </w:instrText>
      </w:r>
      <w:r>
        <w:fldChar w:fldCharType="separate"/>
      </w:r>
      <w:r w:rsidR="00625DDF">
        <w:t>75</w:t>
      </w:r>
      <w:r>
        <w:fldChar w:fldCharType="end"/>
      </w:r>
    </w:p>
    <w:p w14:paraId="1F578358" w14:textId="77777777" w:rsidR="00637CD4" w:rsidRDefault="00637CD4" w:rsidP="00C53AB2">
      <w:pPr>
        <w:pStyle w:val="TOC3"/>
        <w:tabs>
          <w:tab w:val="clear" w:pos="7661"/>
          <w:tab w:val="right" w:pos="9072"/>
        </w:tabs>
        <w:rPr>
          <w:rFonts w:asciiTheme="minorHAnsi" w:eastAsiaTheme="minorEastAsia" w:hAnsiTheme="minorHAnsi" w:cstheme="minorBidi"/>
        </w:rPr>
      </w:pPr>
      <w:r>
        <w:t>Time spent listening to radio</w:t>
      </w:r>
      <w:r>
        <w:tab/>
      </w:r>
      <w:r>
        <w:fldChar w:fldCharType="begin"/>
      </w:r>
      <w:r>
        <w:instrText xml:space="preserve"> PAGEREF _Toc465842921 \h </w:instrText>
      </w:r>
      <w:r>
        <w:fldChar w:fldCharType="separate"/>
      </w:r>
      <w:r w:rsidR="00625DDF">
        <w:t>75</w:t>
      </w:r>
      <w:r>
        <w:fldChar w:fldCharType="end"/>
      </w:r>
    </w:p>
    <w:p w14:paraId="7B569471" w14:textId="77777777" w:rsidR="00637CD4" w:rsidRDefault="00637CD4" w:rsidP="00C53AB2">
      <w:pPr>
        <w:pStyle w:val="TOC3"/>
        <w:tabs>
          <w:tab w:val="clear" w:pos="7661"/>
          <w:tab w:val="right" w:pos="9072"/>
        </w:tabs>
        <w:rPr>
          <w:rFonts w:asciiTheme="minorHAnsi" w:eastAsiaTheme="minorEastAsia" w:hAnsiTheme="minorHAnsi" w:cstheme="minorBidi"/>
        </w:rPr>
      </w:pPr>
      <w:r>
        <w:t>Music streaming services</w:t>
      </w:r>
      <w:r>
        <w:tab/>
      </w:r>
      <w:r>
        <w:fldChar w:fldCharType="begin"/>
      </w:r>
      <w:r>
        <w:instrText xml:space="preserve"> PAGEREF _Toc465842922 \h </w:instrText>
      </w:r>
      <w:r>
        <w:fldChar w:fldCharType="separate"/>
      </w:r>
      <w:r w:rsidR="00625DDF">
        <w:t>76</w:t>
      </w:r>
      <w:r>
        <w:fldChar w:fldCharType="end"/>
      </w:r>
    </w:p>
    <w:p w14:paraId="4389AC36" w14:textId="77777777" w:rsidR="00637CD4" w:rsidRDefault="00637CD4" w:rsidP="00C53AB2">
      <w:pPr>
        <w:pStyle w:val="TOC3"/>
        <w:tabs>
          <w:tab w:val="clear" w:pos="7661"/>
          <w:tab w:val="right" w:pos="9072"/>
        </w:tabs>
        <w:rPr>
          <w:rFonts w:asciiTheme="minorHAnsi" w:eastAsiaTheme="minorEastAsia" w:hAnsiTheme="minorHAnsi" w:cstheme="minorBidi"/>
        </w:rPr>
      </w:pPr>
      <w:r>
        <w:t>Expanding audio measurement</w:t>
      </w:r>
      <w:r>
        <w:tab/>
      </w:r>
      <w:r>
        <w:fldChar w:fldCharType="begin"/>
      </w:r>
      <w:r>
        <w:instrText xml:space="preserve"> PAGEREF _Toc465842923 \h </w:instrText>
      </w:r>
      <w:r>
        <w:fldChar w:fldCharType="separate"/>
      </w:r>
      <w:r w:rsidR="00625DDF">
        <w:t>77</w:t>
      </w:r>
      <w:r>
        <w:fldChar w:fldCharType="end"/>
      </w:r>
    </w:p>
    <w:p w14:paraId="13A06285"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3.4.</w:t>
      </w:r>
      <w:r w:rsidR="00D62D01">
        <w:rPr>
          <w:rFonts w:asciiTheme="minorHAnsi" w:eastAsiaTheme="minorEastAsia" w:hAnsiTheme="minorHAnsi" w:cstheme="minorBidi"/>
          <w:spacing w:val="0"/>
          <w:sz w:val="22"/>
          <w:szCs w:val="22"/>
        </w:rPr>
        <w:t xml:space="preserve"> </w:t>
      </w:r>
      <w:r>
        <w:t>Video content</w:t>
      </w:r>
      <w:r>
        <w:tab/>
      </w:r>
      <w:r>
        <w:fldChar w:fldCharType="begin"/>
      </w:r>
      <w:r>
        <w:instrText xml:space="preserve"> PAGEREF _Toc465842924 \h </w:instrText>
      </w:r>
      <w:r>
        <w:fldChar w:fldCharType="separate"/>
      </w:r>
      <w:r w:rsidR="00625DDF">
        <w:t>77</w:t>
      </w:r>
      <w:r>
        <w:fldChar w:fldCharType="end"/>
      </w:r>
    </w:p>
    <w:p w14:paraId="0AF04610" w14:textId="77777777" w:rsidR="00637CD4" w:rsidRDefault="00637CD4" w:rsidP="00C53AB2">
      <w:pPr>
        <w:pStyle w:val="TOC3"/>
        <w:tabs>
          <w:tab w:val="clear" w:pos="7661"/>
          <w:tab w:val="right" w:pos="9072"/>
        </w:tabs>
        <w:rPr>
          <w:rFonts w:asciiTheme="minorHAnsi" w:eastAsiaTheme="minorEastAsia" w:hAnsiTheme="minorHAnsi" w:cstheme="minorBidi"/>
        </w:rPr>
      </w:pPr>
      <w:r>
        <w:t>Industry developments</w:t>
      </w:r>
      <w:r>
        <w:tab/>
      </w:r>
      <w:r>
        <w:fldChar w:fldCharType="begin"/>
      </w:r>
      <w:r>
        <w:instrText xml:space="preserve"> PAGEREF _Toc465842925 \h </w:instrText>
      </w:r>
      <w:r>
        <w:fldChar w:fldCharType="separate"/>
      </w:r>
      <w:r w:rsidR="00625DDF">
        <w:t>77</w:t>
      </w:r>
      <w:r>
        <w:fldChar w:fldCharType="end"/>
      </w:r>
    </w:p>
    <w:p w14:paraId="3EBC7AB3" w14:textId="77777777" w:rsidR="00637CD4" w:rsidRDefault="00637CD4" w:rsidP="00C53AB2">
      <w:pPr>
        <w:pStyle w:val="TOC3"/>
        <w:tabs>
          <w:tab w:val="clear" w:pos="7661"/>
          <w:tab w:val="right" w:pos="9072"/>
        </w:tabs>
        <w:rPr>
          <w:rFonts w:asciiTheme="minorHAnsi" w:eastAsiaTheme="minorEastAsia" w:hAnsiTheme="minorHAnsi" w:cstheme="minorBidi"/>
        </w:rPr>
      </w:pPr>
      <w:r>
        <w:t>Developments from content providers</w:t>
      </w:r>
      <w:r>
        <w:tab/>
      </w:r>
      <w:r>
        <w:fldChar w:fldCharType="begin"/>
      </w:r>
      <w:r>
        <w:instrText xml:space="preserve"> PAGEREF _Toc465842926 \h </w:instrText>
      </w:r>
      <w:r>
        <w:fldChar w:fldCharType="separate"/>
      </w:r>
      <w:r w:rsidR="00625DDF">
        <w:t>78</w:t>
      </w:r>
      <w:r>
        <w:fldChar w:fldCharType="end"/>
      </w:r>
    </w:p>
    <w:p w14:paraId="5FBC0948" w14:textId="77777777" w:rsidR="00637CD4" w:rsidRDefault="00637CD4" w:rsidP="00C53AB2">
      <w:pPr>
        <w:pStyle w:val="TOC3"/>
        <w:tabs>
          <w:tab w:val="clear" w:pos="7661"/>
          <w:tab w:val="right" w:pos="9072"/>
        </w:tabs>
        <w:rPr>
          <w:rFonts w:asciiTheme="minorHAnsi" w:eastAsiaTheme="minorEastAsia" w:hAnsiTheme="minorHAnsi" w:cstheme="minorBidi"/>
        </w:rPr>
      </w:pPr>
      <w:r>
        <w:t>Developments in audience measurement</w:t>
      </w:r>
      <w:r>
        <w:tab/>
      </w:r>
      <w:r>
        <w:fldChar w:fldCharType="begin"/>
      </w:r>
      <w:r>
        <w:instrText xml:space="preserve"> PAGEREF _Toc465842927 \h </w:instrText>
      </w:r>
      <w:r>
        <w:fldChar w:fldCharType="separate"/>
      </w:r>
      <w:r w:rsidR="00625DDF">
        <w:t>79</w:t>
      </w:r>
      <w:r>
        <w:fldChar w:fldCharType="end"/>
      </w:r>
    </w:p>
    <w:p w14:paraId="4BBCEA58" w14:textId="77777777" w:rsidR="00637CD4" w:rsidRDefault="00637CD4" w:rsidP="00C53AB2">
      <w:pPr>
        <w:pStyle w:val="TOC3"/>
        <w:tabs>
          <w:tab w:val="clear" w:pos="7661"/>
          <w:tab w:val="right" w:pos="9072"/>
        </w:tabs>
        <w:rPr>
          <w:rFonts w:asciiTheme="minorHAnsi" w:eastAsiaTheme="minorEastAsia" w:hAnsiTheme="minorHAnsi" w:cstheme="minorBidi"/>
        </w:rPr>
      </w:pPr>
      <w:r>
        <w:t>Devices used to access video content</w:t>
      </w:r>
      <w:r>
        <w:tab/>
      </w:r>
      <w:r>
        <w:fldChar w:fldCharType="begin"/>
      </w:r>
      <w:r>
        <w:instrText xml:space="preserve"> PAGEREF _Toc465842928 \h </w:instrText>
      </w:r>
      <w:r>
        <w:fldChar w:fldCharType="separate"/>
      </w:r>
      <w:r w:rsidR="00625DDF">
        <w:t>79</w:t>
      </w:r>
      <w:r>
        <w:fldChar w:fldCharType="end"/>
      </w:r>
    </w:p>
    <w:p w14:paraId="29770DFB" w14:textId="77777777" w:rsidR="00637CD4" w:rsidRDefault="00637CD4" w:rsidP="00C53AB2">
      <w:pPr>
        <w:pStyle w:val="TOC3"/>
        <w:tabs>
          <w:tab w:val="clear" w:pos="7661"/>
          <w:tab w:val="right" w:pos="9072"/>
        </w:tabs>
        <w:rPr>
          <w:rFonts w:asciiTheme="minorHAnsi" w:eastAsiaTheme="minorEastAsia" w:hAnsiTheme="minorHAnsi" w:cstheme="minorBidi"/>
        </w:rPr>
      </w:pPr>
      <w:r>
        <w:t>Online video traffic</w:t>
      </w:r>
      <w:r>
        <w:tab/>
      </w:r>
      <w:r>
        <w:fldChar w:fldCharType="begin"/>
      </w:r>
      <w:r>
        <w:instrText xml:space="preserve"> PAGEREF _Toc465842929 \h </w:instrText>
      </w:r>
      <w:r>
        <w:fldChar w:fldCharType="separate"/>
      </w:r>
      <w:r w:rsidR="00625DDF">
        <w:t>80</w:t>
      </w:r>
      <w:r>
        <w:fldChar w:fldCharType="end"/>
      </w:r>
    </w:p>
    <w:p w14:paraId="5760321F"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3.5.</w:t>
      </w:r>
      <w:r w:rsidR="00D62D01">
        <w:rPr>
          <w:rFonts w:asciiTheme="minorHAnsi" w:eastAsiaTheme="minorEastAsia" w:hAnsiTheme="minorHAnsi" w:cstheme="minorBidi"/>
          <w:spacing w:val="0"/>
          <w:sz w:val="22"/>
          <w:szCs w:val="22"/>
        </w:rPr>
        <w:t xml:space="preserve"> </w:t>
      </w:r>
      <w:r>
        <w:t>Traditional broadcast and online video engagement</w:t>
      </w:r>
      <w:r>
        <w:tab/>
      </w:r>
      <w:r>
        <w:fldChar w:fldCharType="begin"/>
      </w:r>
      <w:r>
        <w:instrText xml:space="preserve"> PAGEREF _Toc465842930 \h </w:instrText>
      </w:r>
      <w:r>
        <w:fldChar w:fldCharType="separate"/>
      </w:r>
      <w:r w:rsidR="00625DDF">
        <w:t>81</w:t>
      </w:r>
      <w:r>
        <w:fldChar w:fldCharType="end"/>
      </w:r>
    </w:p>
    <w:p w14:paraId="206FA43C" w14:textId="77777777" w:rsidR="00637CD4" w:rsidRDefault="00637CD4" w:rsidP="00C53AB2">
      <w:pPr>
        <w:pStyle w:val="TOC3"/>
        <w:tabs>
          <w:tab w:val="clear" w:pos="7661"/>
          <w:tab w:val="right" w:pos="9072"/>
        </w:tabs>
        <w:rPr>
          <w:rFonts w:asciiTheme="minorHAnsi" w:eastAsiaTheme="minorEastAsia" w:hAnsiTheme="minorHAnsi" w:cstheme="minorBidi"/>
        </w:rPr>
      </w:pPr>
      <w:r w:rsidRPr="007E633E">
        <w:rPr>
          <w:lang w:val="en-US"/>
        </w:rPr>
        <w:t>Engagement with broadcast content</w:t>
      </w:r>
      <w:r>
        <w:tab/>
      </w:r>
      <w:r>
        <w:fldChar w:fldCharType="begin"/>
      </w:r>
      <w:r>
        <w:instrText xml:space="preserve"> PAGEREF _Toc465842931 \h </w:instrText>
      </w:r>
      <w:r>
        <w:fldChar w:fldCharType="separate"/>
      </w:r>
      <w:r w:rsidR="00625DDF">
        <w:t>81</w:t>
      </w:r>
      <w:r>
        <w:fldChar w:fldCharType="end"/>
      </w:r>
    </w:p>
    <w:p w14:paraId="75FC4485" w14:textId="77777777" w:rsidR="00637CD4" w:rsidRDefault="00637CD4" w:rsidP="00C53AB2">
      <w:pPr>
        <w:pStyle w:val="TOC3"/>
        <w:tabs>
          <w:tab w:val="clear" w:pos="7661"/>
          <w:tab w:val="right" w:pos="9072"/>
        </w:tabs>
        <w:rPr>
          <w:rFonts w:asciiTheme="minorHAnsi" w:eastAsiaTheme="minorEastAsia" w:hAnsiTheme="minorHAnsi" w:cstheme="minorBidi"/>
        </w:rPr>
      </w:pPr>
      <w:r>
        <w:t>SVOD subscribers</w:t>
      </w:r>
      <w:r>
        <w:tab/>
      </w:r>
      <w:r>
        <w:fldChar w:fldCharType="begin"/>
      </w:r>
      <w:r>
        <w:instrText xml:space="preserve"> PAGEREF _Toc465842932 \h </w:instrText>
      </w:r>
      <w:r>
        <w:fldChar w:fldCharType="separate"/>
      </w:r>
      <w:r w:rsidR="00625DDF">
        <w:t>82</w:t>
      </w:r>
      <w:r>
        <w:fldChar w:fldCharType="end"/>
      </w:r>
    </w:p>
    <w:p w14:paraId="69DDA164" w14:textId="77777777" w:rsidR="00637CD4" w:rsidRDefault="00637CD4" w:rsidP="00C53AB2">
      <w:pPr>
        <w:pStyle w:val="TOC3"/>
        <w:tabs>
          <w:tab w:val="clear" w:pos="7661"/>
          <w:tab w:val="right" w:pos="9072"/>
        </w:tabs>
        <w:rPr>
          <w:rFonts w:asciiTheme="minorHAnsi" w:eastAsiaTheme="minorEastAsia" w:hAnsiTheme="minorHAnsi" w:cstheme="minorBidi"/>
        </w:rPr>
      </w:pPr>
      <w:r>
        <w:t>Accessing online content</w:t>
      </w:r>
      <w:r>
        <w:tab/>
      </w:r>
      <w:r>
        <w:fldChar w:fldCharType="begin"/>
      </w:r>
      <w:r>
        <w:instrText xml:space="preserve"> PAGEREF _Toc465842933 \h </w:instrText>
      </w:r>
      <w:r>
        <w:fldChar w:fldCharType="separate"/>
      </w:r>
      <w:r w:rsidR="00625DDF">
        <w:t>83</w:t>
      </w:r>
      <w:r>
        <w:fldChar w:fldCharType="end"/>
      </w:r>
    </w:p>
    <w:p w14:paraId="76857BED" w14:textId="77777777" w:rsidR="00637CD4" w:rsidRDefault="00637CD4" w:rsidP="00C53AB2">
      <w:pPr>
        <w:pStyle w:val="TOC3"/>
        <w:tabs>
          <w:tab w:val="clear" w:pos="7661"/>
          <w:tab w:val="right" w:pos="9072"/>
        </w:tabs>
        <w:rPr>
          <w:rFonts w:asciiTheme="minorHAnsi" w:eastAsiaTheme="minorEastAsia" w:hAnsiTheme="minorHAnsi" w:cstheme="minorBidi"/>
        </w:rPr>
      </w:pPr>
      <w:r>
        <w:lastRenderedPageBreak/>
        <w:t>Online viewer profile and perceived benefits</w:t>
      </w:r>
      <w:r>
        <w:tab/>
      </w:r>
      <w:r>
        <w:fldChar w:fldCharType="begin"/>
      </w:r>
      <w:r>
        <w:instrText xml:space="preserve"> PAGEREF _Toc465842934 \h </w:instrText>
      </w:r>
      <w:r>
        <w:fldChar w:fldCharType="separate"/>
      </w:r>
      <w:r w:rsidR="00625DDF">
        <w:t>85</w:t>
      </w:r>
      <w:r>
        <w:fldChar w:fldCharType="end"/>
      </w:r>
    </w:p>
    <w:p w14:paraId="79F023F0" w14:textId="77777777" w:rsidR="00637CD4" w:rsidRDefault="00637CD4" w:rsidP="00C53AB2">
      <w:pPr>
        <w:pStyle w:val="TOC3"/>
        <w:tabs>
          <w:tab w:val="clear" w:pos="7661"/>
          <w:tab w:val="right" w:pos="9072"/>
        </w:tabs>
        <w:rPr>
          <w:rFonts w:asciiTheme="minorHAnsi" w:eastAsiaTheme="minorEastAsia" w:hAnsiTheme="minorHAnsi" w:cstheme="minorBidi"/>
        </w:rPr>
      </w:pPr>
      <w:r>
        <w:t>Technical experience</w:t>
      </w:r>
      <w:r>
        <w:tab/>
      </w:r>
      <w:r>
        <w:fldChar w:fldCharType="begin"/>
      </w:r>
      <w:r>
        <w:instrText xml:space="preserve"> PAGEREF _Toc465842935 \h </w:instrText>
      </w:r>
      <w:r>
        <w:fldChar w:fldCharType="separate"/>
      </w:r>
      <w:r w:rsidR="00625DDF">
        <w:t>87</w:t>
      </w:r>
      <w:r>
        <w:fldChar w:fldCharType="end"/>
      </w:r>
    </w:p>
    <w:p w14:paraId="0C9F9D4F"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3.6.</w:t>
      </w:r>
      <w:r w:rsidR="00D62D01">
        <w:rPr>
          <w:rFonts w:asciiTheme="minorHAnsi" w:eastAsiaTheme="minorEastAsia" w:hAnsiTheme="minorHAnsi" w:cstheme="minorBidi"/>
          <w:spacing w:val="0"/>
          <w:sz w:val="22"/>
          <w:szCs w:val="22"/>
        </w:rPr>
        <w:t xml:space="preserve"> </w:t>
      </w:r>
      <w:r>
        <w:t>Online news services</w:t>
      </w:r>
      <w:r>
        <w:tab/>
      </w:r>
      <w:r>
        <w:fldChar w:fldCharType="begin"/>
      </w:r>
      <w:r>
        <w:instrText xml:space="preserve"> PAGEREF _Toc465842936 \h </w:instrText>
      </w:r>
      <w:r>
        <w:fldChar w:fldCharType="separate"/>
      </w:r>
      <w:r w:rsidR="00625DDF">
        <w:t>88</w:t>
      </w:r>
      <w:r>
        <w:fldChar w:fldCharType="end"/>
      </w:r>
    </w:p>
    <w:p w14:paraId="6262A18F" w14:textId="77777777" w:rsidR="00637CD4" w:rsidRDefault="00637CD4" w:rsidP="00C53AB2">
      <w:pPr>
        <w:pStyle w:val="TOC3"/>
        <w:tabs>
          <w:tab w:val="clear" w:pos="7661"/>
          <w:tab w:val="right" w:pos="9072"/>
        </w:tabs>
        <w:rPr>
          <w:rFonts w:asciiTheme="minorHAnsi" w:eastAsiaTheme="minorEastAsia" w:hAnsiTheme="minorHAnsi" w:cstheme="minorBidi"/>
        </w:rPr>
      </w:pPr>
      <w:r>
        <w:t>Trust in news</w:t>
      </w:r>
      <w:r>
        <w:tab/>
      </w:r>
      <w:r>
        <w:fldChar w:fldCharType="begin"/>
      </w:r>
      <w:r>
        <w:instrText xml:space="preserve"> PAGEREF _Toc465842937 \h </w:instrText>
      </w:r>
      <w:r>
        <w:fldChar w:fldCharType="separate"/>
      </w:r>
      <w:r w:rsidR="00625DDF">
        <w:t>89</w:t>
      </w:r>
      <w:r>
        <w:fldChar w:fldCharType="end"/>
      </w:r>
    </w:p>
    <w:p w14:paraId="7CDCDE2F" w14:textId="77777777" w:rsidR="00637CD4" w:rsidRDefault="00637CD4" w:rsidP="00C53AB2">
      <w:pPr>
        <w:pStyle w:val="TOC3"/>
        <w:tabs>
          <w:tab w:val="clear" w:pos="7661"/>
          <w:tab w:val="right" w:pos="9072"/>
        </w:tabs>
        <w:rPr>
          <w:rFonts w:asciiTheme="minorHAnsi" w:eastAsiaTheme="minorEastAsia" w:hAnsiTheme="minorHAnsi" w:cstheme="minorBidi"/>
        </w:rPr>
      </w:pPr>
      <w:r>
        <w:t>Local news in regional Australia</w:t>
      </w:r>
      <w:r>
        <w:tab/>
      </w:r>
      <w:r>
        <w:fldChar w:fldCharType="begin"/>
      </w:r>
      <w:r>
        <w:instrText xml:space="preserve"> PAGEREF _Toc465842938 \h </w:instrText>
      </w:r>
      <w:r>
        <w:fldChar w:fldCharType="separate"/>
      </w:r>
      <w:r w:rsidR="00625DDF">
        <w:t>89</w:t>
      </w:r>
      <w:r>
        <w:fldChar w:fldCharType="end"/>
      </w:r>
    </w:p>
    <w:p w14:paraId="4044BF37"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3.7.</w:t>
      </w:r>
      <w:r w:rsidR="00D62D01">
        <w:rPr>
          <w:rFonts w:asciiTheme="minorHAnsi" w:eastAsiaTheme="minorEastAsia" w:hAnsiTheme="minorHAnsi" w:cstheme="minorBidi"/>
          <w:spacing w:val="0"/>
          <w:sz w:val="22"/>
          <w:szCs w:val="22"/>
        </w:rPr>
        <w:t xml:space="preserve"> </w:t>
      </w:r>
      <w:r>
        <w:t>Broadcasting in Australia</w:t>
      </w:r>
      <w:r>
        <w:tab/>
      </w:r>
      <w:r>
        <w:fldChar w:fldCharType="begin"/>
      </w:r>
      <w:r>
        <w:instrText xml:space="preserve"> PAGEREF _Toc465842939 \h </w:instrText>
      </w:r>
      <w:r>
        <w:fldChar w:fldCharType="separate"/>
      </w:r>
      <w:r w:rsidR="00625DDF">
        <w:t>90</w:t>
      </w:r>
      <w:r>
        <w:fldChar w:fldCharType="end"/>
      </w:r>
    </w:p>
    <w:p w14:paraId="28686A7D" w14:textId="77777777" w:rsidR="00637CD4" w:rsidRDefault="00637CD4" w:rsidP="00C53AB2">
      <w:pPr>
        <w:pStyle w:val="TOC3"/>
        <w:tabs>
          <w:tab w:val="clear" w:pos="7661"/>
          <w:tab w:val="right" w:pos="9072"/>
        </w:tabs>
        <w:rPr>
          <w:rFonts w:asciiTheme="minorHAnsi" w:eastAsiaTheme="minorEastAsia" w:hAnsiTheme="minorHAnsi" w:cstheme="minorBidi"/>
        </w:rPr>
      </w:pPr>
      <w:r>
        <w:t>Australian content</w:t>
      </w:r>
      <w:r>
        <w:tab/>
      </w:r>
      <w:r>
        <w:fldChar w:fldCharType="begin"/>
      </w:r>
      <w:r>
        <w:instrText xml:space="preserve"> PAGEREF _Toc465842940 \h </w:instrText>
      </w:r>
      <w:r>
        <w:fldChar w:fldCharType="separate"/>
      </w:r>
      <w:r w:rsidR="00625DDF">
        <w:t>90</w:t>
      </w:r>
      <w:r>
        <w:fldChar w:fldCharType="end"/>
      </w:r>
    </w:p>
    <w:p w14:paraId="48C9F827" w14:textId="77777777" w:rsidR="00637CD4" w:rsidRDefault="00637CD4" w:rsidP="00C53AB2">
      <w:pPr>
        <w:pStyle w:val="TOC3"/>
        <w:tabs>
          <w:tab w:val="clear" w:pos="7661"/>
          <w:tab w:val="right" w:pos="9072"/>
        </w:tabs>
        <w:rPr>
          <w:rFonts w:asciiTheme="minorHAnsi" w:eastAsiaTheme="minorEastAsia" w:hAnsiTheme="minorHAnsi" w:cstheme="minorBidi"/>
        </w:rPr>
      </w:pPr>
      <w:r>
        <w:t>Children’s programs on commercial television</w:t>
      </w:r>
      <w:r>
        <w:tab/>
      </w:r>
      <w:r>
        <w:fldChar w:fldCharType="begin"/>
      </w:r>
      <w:r>
        <w:instrText xml:space="preserve"> PAGEREF _Toc465842941 \h </w:instrText>
      </w:r>
      <w:r>
        <w:fldChar w:fldCharType="separate"/>
      </w:r>
      <w:r w:rsidR="00625DDF">
        <w:t>91</w:t>
      </w:r>
      <w:r>
        <w:fldChar w:fldCharType="end"/>
      </w:r>
    </w:p>
    <w:p w14:paraId="0741D999" w14:textId="77777777" w:rsidR="00637CD4" w:rsidRDefault="00637CD4" w:rsidP="00C53AB2">
      <w:pPr>
        <w:pStyle w:val="TOC3"/>
        <w:tabs>
          <w:tab w:val="clear" w:pos="7661"/>
          <w:tab w:val="right" w:pos="9072"/>
        </w:tabs>
        <w:rPr>
          <w:rFonts w:asciiTheme="minorHAnsi" w:eastAsiaTheme="minorEastAsia" w:hAnsiTheme="minorHAnsi" w:cstheme="minorBidi"/>
        </w:rPr>
      </w:pPr>
      <w:r>
        <w:t>Subscription television drama expenditure</w:t>
      </w:r>
      <w:r>
        <w:tab/>
      </w:r>
      <w:r>
        <w:fldChar w:fldCharType="begin"/>
      </w:r>
      <w:r>
        <w:instrText xml:space="preserve"> PAGEREF _Toc465842942 \h </w:instrText>
      </w:r>
      <w:r>
        <w:fldChar w:fldCharType="separate"/>
      </w:r>
      <w:r w:rsidR="00625DDF">
        <w:t>92</w:t>
      </w:r>
      <w:r>
        <w:fldChar w:fldCharType="end"/>
      </w:r>
    </w:p>
    <w:p w14:paraId="04456581" w14:textId="77777777" w:rsidR="00637CD4" w:rsidRDefault="00637CD4" w:rsidP="00C53AB2">
      <w:pPr>
        <w:pStyle w:val="TOC3"/>
        <w:tabs>
          <w:tab w:val="clear" w:pos="7661"/>
          <w:tab w:val="right" w:pos="9072"/>
        </w:tabs>
        <w:rPr>
          <w:rFonts w:asciiTheme="minorHAnsi" w:eastAsiaTheme="minorEastAsia" w:hAnsiTheme="minorHAnsi" w:cstheme="minorBidi"/>
        </w:rPr>
      </w:pPr>
      <w:r>
        <w:t>Captioning</w:t>
      </w:r>
      <w:r>
        <w:tab/>
      </w:r>
      <w:r>
        <w:fldChar w:fldCharType="begin"/>
      </w:r>
      <w:r>
        <w:instrText xml:space="preserve"> PAGEREF _Toc465842943 \h </w:instrText>
      </w:r>
      <w:r>
        <w:fldChar w:fldCharType="separate"/>
      </w:r>
      <w:r w:rsidR="00625DDF">
        <w:t>92</w:t>
      </w:r>
      <w:r>
        <w:fldChar w:fldCharType="end"/>
      </w:r>
    </w:p>
    <w:p w14:paraId="7553ABB3" w14:textId="77777777" w:rsidR="00637CD4" w:rsidRDefault="00637CD4" w:rsidP="00C53AB2">
      <w:pPr>
        <w:pStyle w:val="TOC3"/>
        <w:tabs>
          <w:tab w:val="clear" w:pos="7661"/>
          <w:tab w:val="right" w:pos="9072"/>
        </w:tabs>
        <w:rPr>
          <w:rFonts w:asciiTheme="minorHAnsi" w:eastAsiaTheme="minorEastAsia" w:hAnsiTheme="minorHAnsi" w:cstheme="minorBidi"/>
        </w:rPr>
      </w:pPr>
      <w:r>
        <w:t>Notification of changes in control</w:t>
      </w:r>
      <w:r>
        <w:tab/>
      </w:r>
      <w:r>
        <w:fldChar w:fldCharType="begin"/>
      </w:r>
      <w:r>
        <w:instrText xml:space="preserve"> PAGEREF _Toc465842944 \h </w:instrText>
      </w:r>
      <w:r>
        <w:fldChar w:fldCharType="separate"/>
      </w:r>
      <w:r w:rsidR="00625DDF">
        <w:t>94</w:t>
      </w:r>
      <w:r>
        <w:fldChar w:fldCharType="end"/>
      </w:r>
    </w:p>
    <w:p w14:paraId="25EEE7D1" w14:textId="77777777" w:rsidR="00637CD4" w:rsidRDefault="00637CD4" w:rsidP="00C53AB2">
      <w:pPr>
        <w:pStyle w:val="TOC3"/>
        <w:tabs>
          <w:tab w:val="clear" w:pos="7661"/>
          <w:tab w:val="right" w:pos="9072"/>
        </w:tabs>
        <w:rPr>
          <w:rFonts w:asciiTheme="minorHAnsi" w:eastAsiaTheme="minorEastAsia" w:hAnsiTheme="minorHAnsi" w:cstheme="minorBidi"/>
        </w:rPr>
      </w:pPr>
      <w:r>
        <w:t>Local information on regional television</w:t>
      </w:r>
      <w:r>
        <w:tab/>
      </w:r>
      <w:r>
        <w:fldChar w:fldCharType="begin"/>
      </w:r>
      <w:r>
        <w:instrText xml:space="preserve"> PAGEREF _Toc465842945 \h </w:instrText>
      </w:r>
      <w:r>
        <w:fldChar w:fldCharType="separate"/>
      </w:r>
      <w:r w:rsidR="00625DDF">
        <w:t>94</w:t>
      </w:r>
      <w:r>
        <w:fldChar w:fldCharType="end"/>
      </w:r>
    </w:p>
    <w:p w14:paraId="59400515" w14:textId="77777777" w:rsidR="00637CD4" w:rsidRDefault="00637CD4" w:rsidP="00C53AB2">
      <w:pPr>
        <w:pStyle w:val="TOC3"/>
        <w:tabs>
          <w:tab w:val="clear" w:pos="7661"/>
          <w:tab w:val="right" w:pos="9072"/>
        </w:tabs>
        <w:rPr>
          <w:rFonts w:asciiTheme="minorHAnsi" w:eastAsiaTheme="minorEastAsia" w:hAnsiTheme="minorHAnsi" w:cstheme="minorBidi"/>
        </w:rPr>
      </w:pPr>
      <w:r>
        <w:t>Local content, information and presence on regional commercial radio</w:t>
      </w:r>
      <w:r>
        <w:tab/>
      </w:r>
      <w:r>
        <w:fldChar w:fldCharType="begin"/>
      </w:r>
      <w:r>
        <w:instrText xml:space="preserve"> PAGEREF _Toc465842946 \h </w:instrText>
      </w:r>
      <w:r>
        <w:fldChar w:fldCharType="separate"/>
      </w:r>
      <w:r w:rsidR="00625DDF">
        <w:t>94</w:t>
      </w:r>
      <w:r>
        <w:fldChar w:fldCharType="end"/>
      </w:r>
    </w:p>
    <w:p w14:paraId="080FCD66" w14:textId="77777777" w:rsidR="00637CD4" w:rsidRDefault="00637CD4" w:rsidP="00C53AB2">
      <w:pPr>
        <w:pStyle w:val="TOC3"/>
        <w:tabs>
          <w:tab w:val="clear" w:pos="7661"/>
          <w:tab w:val="right" w:pos="9072"/>
        </w:tabs>
        <w:rPr>
          <w:rFonts w:asciiTheme="minorHAnsi" w:eastAsiaTheme="minorEastAsia" w:hAnsiTheme="minorHAnsi" w:cstheme="minorBidi"/>
        </w:rPr>
      </w:pPr>
      <w:r>
        <w:t>Anti-siphoning provisions</w:t>
      </w:r>
      <w:r>
        <w:tab/>
      </w:r>
      <w:r>
        <w:fldChar w:fldCharType="begin"/>
      </w:r>
      <w:r>
        <w:instrText xml:space="preserve"> PAGEREF _Toc465842947 \h </w:instrText>
      </w:r>
      <w:r>
        <w:fldChar w:fldCharType="separate"/>
      </w:r>
      <w:r w:rsidR="00625DDF">
        <w:t>95</w:t>
      </w:r>
      <w:r>
        <w:fldChar w:fldCharType="end"/>
      </w:r>
    </w:p>
    <w:p w14:paraId="61478291" w14:textId="77777777" w:rsidR="00637CD4" w:rsidRDefault="00637CD4" w:rsidP="00C53AB2">
      <w:pPr>
        <w:pStyle w:val="TOC3"/>
        <w:tabs>
          <w:tab w:val="clear" w:pos="7661"/>
          <w:tab w:val="right" w:pos="9072"/>
        </w:tabs>
        <w:rPr>
          <w:rFonts w:asciiTheme="minorHAnsi" w:eastAsiaTheme="minorEastAsia" w:hAnsiTheme="minorHAnsi" w:cstheme="minorBidi"/>
        </w:rPr>
      </w:pPr>
      <w:r>
        <w:t>Digital broadcasting</w:t>
      </w:r>
      <w:r>
        <w:tab/>
      </w:r>
      <w:r>
        <w:fldChar w:fldCharType="begin"/>
      </w:r>
      <w:r>
        <w:instrText xml:space="preserve"> PAGEREF _Toc465842948 \h </w:instrText>
      </w:r>
      <w:r>
        <w:fldChar w:fldCharType="separate"/>
      </w:r>
      <w:r w:rsidR="00625DDF">
        <w:t>95</w:t>
      </w:r>
      <w:r>
        <w:fldChar w:fldCharType="end"/>
      </w:r>
    </w:p>
    <w:p w14:paraId="0F68DD94"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3.8.</w:t>
      </w:r>
      <w:r w:rsidR="00D62D01">
        <w:rPr>
          <w:rFonts w:asciiTheme="minorHAnsi" w:eastAsiaTheme="minorEastAsia" w:hAnsiTheme="minorHAnsi" w:cstheme="minorBidi"/>
          <w:spacing w:val="0"/>
          <w:sz w:val="22"/>
          <w:szCs w:val="22"/>
        </w:rPr>
        <w:t xml:space="preserve"> </w:t>
      </w:r>
      <w:r>
        <w:t>Online content investigations</w:t>
      </w:r>
      <w:r>
        <w:tab/>
      </w:r>
      <w:r>
        <w:fldChar w:fldCharType="begin"/>
      </w:r>
      <w:r>
        <w:instrText xml:space="preserve"> PAGEREF _Toc465842949 \h </w:instrText>
      </w:r>
      <w:r>
        <w:fldChar w:fldCharType="separate"/>
      </w:r>
      <w:r w:rsidR="00625DDF">
        <w:t>97</w:t>
      </w:r>
      <w:r>
        <w:fldChar w:fldCharType="end"/>
      </w:r>
    </w:p>
    <w:p w14:paraId="450935A1" w14:textId="77777777" w:rsidR="00637CD4" w:rsidRDefault="00637CD4" w:rsidP="00C53AB2">
      <w:pPr>
        <w:pStyle w:val="TOC3"/>
        <w:tabs>
          <w:tab w:val="clear" w:pos="7661"/>
          <w:tab w:val="right" w:pos="9072"/>
        </w:tabs>
        <w:rPr>
          <w:rFonts w:asciiTheme="minorHAnsi" w:eastAsiaTheme="minorEastAsia" w:hAnsiTheme="minorHAnsi" w:cstheme="minorBidi"/>
        </w:rPr>
      </w:pPr>
      <w:r>
        <w:t>Interactive gambling</w:t>
      </w:r>
      <w:r>
        <w:tab/>
      </w:r>
      <w:r>
        <w:fldChar w:fldCharType="begin"/>
      </w:r>
      <w:r>
        <w:instrText xml:space="preserve"> PAGEREF _Toc465842950 \h </w:instrText>
      </w:r>
      <w:r>
        <w:fldChar w:fldCharType="separate"/>
      </w:r>
      <w:r w:rsidR="00625DDF">
        <w:t>97</w:t>
      </w:r>
      <w:r>
        <w:fldChar w:fldCharType="end"/>
      </w:r>
    </w:p>
    <w:p w14:paraId="0D5B4A8B" w14:textId="77777777" w:rsidR="00637CD4" w:rsidRPr="00C53AB2" w:rsidRDefault="00D62D01" w:rsidP="00C53AB2">
      <w:pPr>
        <w:pStyle w:val="TOC1"/>
        <w:tabs>
          <w:tab w:val="clear" w:pos="7660"/>
          <w:tab w:val="left" w:pos="709"/>
          <w:tab w:val="right" w:pos="9072"/>
        </w:tabs>
        <w:ind w:right="567"/>
        <w:rPr>
          <w:color w:val="007298"/>
        </w:rPr>
      </w:pPr>
      <w:r>
        <w:rPr>
          <w:color w:val="007298"/>
        </w:rPr>
        <w:t xml:space="preserve">4. </w:t>
      </w:r>
      <w:r w:rsidR="00637CD4" w:rsidRPr="00C53AB2">
        <w:rPr>
          <w:color w:val="007298"/>
        </w:rPr>
        <w:t>National interest issues</w:t>
      </w:r>
      <w:r w:rsidR="00637CD4" w:rsidRPr="00C53AB2">
        <w:rPr>
          <w:color w:val="007298"/>
        </w:rPr>
        <w:tab/>
      </w:r>
      <w:r w:rsidR="00637CD4" w:rsidRPr="00C53AB2">
        <w:rPr>
          <w:color w:val="007298"/>
        </w:rPr>
        <w:fldChar w:fldCharType="begin"/>
      </w:r>
      <w:r w:rsidR="00637CD4" w:rsidRPr="00C53AB2">
        <w:rPr>
          <w:color w:val="007298"/>
        </w:rPr>
        <w:instrText xml:space="preserve"> PAGEREF _Toc465842951 \h </w:instrText>
      </w:r>
      <w:r w:rsidR="00637CD4" w:rsidRPr="00C53AB2">
        <w:rPr>
          <w:color w:val="007298"/>
        </w:rPr>
      </w:r>
      <w:r w:rsidR="00637CD4" w:rsidRPr="00C53AB2">
        <w:rPr>
          <w:color w:val="007298"/>
        </w:rPr>
        <w:fldChar w:fldCharType="separate"/>
      </w:r>
      <w:r w:rsidR="00625DDF">
        <w:rPr>
          <w:color w:val="007298"/>
        </w:rPr>
        <w:t>100</w:t>
      </w:r>
      <w:r w:rsidR="00637CD4" w:rsidRPr="00C53AB2">
        <w:rPr>
          <w:color w:val="007298"/>
        </w:rPr>
        <w:fldChar w:fldCharType="end"/>
      </w:r>
    </w:p>
    <w:p w14:paraId="02475CF0"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4.1.</w:t>
      </w:r>
      <w:r w:rsidR="00D62D01">
        <w:rPr>
          <w:rFonts w:asciiTheme="minorHAnsi" w:eastAsiaTheme="minorEastAsia" w:hAnsiTheme="minorHAnsi" w:cstheme="minorBidi"/>
          <w:spacing w:val="0"/>
          <w:sz w:val="22"/>
          <w:szCs w:val="22"/>
        </w:rPr>
        <w:t xml:space="preserve"> </w:t>
      </w:r>
      <w:r>
        <w:t>Overview</w:t>
      </w:r>
      <w:r>
        <w:tab/>
      </w:r>
      <w:r>
        <w:fldChar w:fldCharType="begin"/>
      </w:r>
      <w:r>
        <w:instrText xml:space="preserve"> PAGEREF _Toc465842952 \h </w:instrText>
      </w:r>
      <w:r>
        <w:fldChar w:fldCharType="separate"/>
      </w:r>
      <w:r w:rsidR="00625DDF">
        <w:t>100</w:t>
      </w:r>
      <w:r>
        <w:fldChar w:fldCharType="end"/>
      </w:r>
    </w:p>
    <w:p w14:paraId="06C51DA3"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4.2.</w:t>
      </w:r>
      <w:r w:rsidR="00D62D01">
        <w:rPr>
          <w:rFonts w:asciiTheme="minorHAnsi" w:eastAsiaTheme="minorEastAsia" w:hAnsiTheme="minorHAnsi" w:cstheme="minorBidi"/>
          <w:spacing w:val="0"/>
          <w:sz w:val="22"/>
          <w:szCs w:val="22"/>
        </w:rPr>
        <w:t xml:space="preserve"> </w:t>
      </w:r>
      <w:r>
        <w:t>Emergency call service</w:t>
      </w:r>
      <w:r>
        <w:tab/>
      </w:r>
      <w:r>
        <w:fldChar w:fldCharType="begin"/>
      </w:r>
      <w:r>
        <w:instrText xml:space="preserve"> PAGEREF _Toc465842953 \h </w:instrText>
      </w:r>
      <w:r>
        <w:fldChar w:fldCharType="separate"/>
      </w:r>
      <w:r w:rsidR="00625DDF">
        <w:t>100</w:t>
      </w:r>
      <w:r>
        <w:fldChar w:fldCharType="end"/>
      </w:r>
    </w:p>
    <w:p w14:paraId="530E9D67" w14:textId="77777777" w:rsidR="00637CD4" w:rsidRDefault="00637CD4" w:rsidP="00C53AB2">
      <w:pPr>
        <w:pStyle w:val="TOC3"/>
        <w:tabs>
          <w:tab w:val="clear" w:pos="7661"/>
          <w:tab w:val="right" w:pos="9072"/>
        </w:tabs>
        <w:rPr>
          <w:rFonts w:asciiTheme="minorHAnsi" w:eastAsiaTheme="minorEastAsia" w:hAnsiTheme="minorHAnsi" w:cstheme="minorBidi"/>
        </w:rPr>
      </w:pPr>
      <w:r>
        <w:t>Emergency call service—Triple Zero and 112</w:t>
      </w:r>
      <w:r>
        <w:tab/>
      </w:r>
      <w:r>
        <w:fldChar w:fldCharType="begin"/>
      </w:r>
      <w:r>
        <w:instrText xml:space="preserve"> PAGEREF _Toc465842954 \h </w:instrText>
      </w:r>
      <w:r>
        <w:fldChar w:fldCharType="separate"/>
      </w:r>
      <w:r w:rsidR="00625DDF">
        <w:t>101</w:t>
      </w:r>
      <w:r>
        <w:fldChar w:fldCharType="end"/>
      </w:r>
    </w:p>
    <w:p w14:paraId="72B9692C" w14:textId="77777777" w:rsidR="00637CD4" w:rsidRDefault="00637CD4" w:rsidP="00C53AB2">
      <w:pPr>
        <w:pStyle w:val="TOC3"/>
        <w:tabs>
          <w:tab w:val="clear" w:pos="7661"/>
          <w:tab w:val="right" w:pos="9072"/>
        </w:tabs>
        <w:rPr>
          <w:rFonts w:asciiTheme="minorHAnsi" w:eastAsiaTheme="minorEastAsia" w:hAnsiTheme="minorHAnsi" w:cstheme="minorBidi"/>
        </w:rPr>
      </w:pPr>
      <w:r>
        <w:t>Telstra’s performance in answering emergency calls</w:t>
      </w:r>
      <w:r>
        <w:tab/>
      </w:r>
      <w:r>
        <w:fldChar w:fldCharType="begin"/>
      </w:r>
      <w:r>
        <w:instrText xml:space="preserve"> PAGEREF _Toc465842955 \h </w:instrText>
      </w:r>
      <w:r>
        <w:fldChar w:fldCharType="separate"/>
      </w:r>
      <w:r w:rsidR="00625DDF">
        <w:t>101</w:t>
      </w:r>
      <w:r>
        <w:fldChar w:fldCharType="end"/>
      </w:r>
    </w:p>
    <w:p w14:paraId="4E04BC10" w14:textId="77777777" w:rsidR="00637CD4" w:rsidRDefault="00637CD4" w:rsidP="00C53AB2">
      <w:pPr>
        <w:pStyle w:val="TOC3"/>
        <w:tabs>
          <w:tab w:val="clear" w:pos="7661"/>
          <w:tab w:val="right" w:pos="9072"/>
        </w:tabs>
        <w:rPr>
          <w:rFonts w:asciiTheme="minorHAnsi" w:eastAsiaTheme="minorEastAsia" w:hAnsiTheme="minorHAnsi" w:cstheme="minorBidi"/>
        </w:rPr>
      </w:pPr>
      <w:r>
        <w:t>Calls connected to emergency service organisations</w:t>
      </w:r>
      <w:r>
        <w:tab/>
      </w:r>
      <w:r>
        <w:fldChar w:fldCharType="begin"/>
      </w:r>
      <w:r>
        <w:instrText xml:space="preserve"> PAGEREF _Toc465842956 \h </w:instrText>
      </w:r>
      <w:r>
        <w:fldChar w:fldCharType="separate"/>
      </w:r>
      <w:r w:rsidR="00625DDF">
        <w:t>101</w:t>
      </w:r>
      <w:r>
        <w:fldChar w:fldCharType="end"/>
      </w:r>
    </w:p>
    <w:p w14:paraId="26AF8E0D" w14:textId="77777777" w:rsidR="00637CD4" w:rsidRDefault="00637CD4" w:rsidP="00C53AB2">
      <w:pPr>
        <w:pStyle w:val="TOC3"/>
        <w:tabs>
          <w:tab w:val="clear" w:pos="7661"/>
          <w:tab w:val="right" w:pos="9072"/>
        </w:tabs>
        <w:rPr>
          <w:rFonts w:asciiTheme="minorHAnsi" w:eastAsiaTheme="minorEastAsia" w:hAnsiTheme="minorHAnsi" w:cstheme="minorBidi"/>
        </w:rPr>
      </w:pPr>
      <w:r>
        <w:t>Improved mobile location for emergency service organisations</w:t>
      </w:r>
      <w:r>
        <w:tab/>
      </w:r>
      <w:r>
        <w:fldChar w:fldCharType="begin"/>
      </w:r>
      <w:r>
        <w:instrText xml:space="preserve"> PAGEREF _Toc465842957 \h </w:instrText>
      </w:r>
      <w:r>
        <w:fldChar w:fldCharType="separate"/>
      </w:r>
      <w:r w:rsidR="00625DDF">
        <w:t>102</w:t>
      </w:r>
      <w:r>
        <w:fldChar w:fldCharType="end"/>
      </w:r>
    </w:p>
    <w:p w14:paraId="37E95334" w14:textId="77777777" w:rsidR="00637CD4" w:rsidRDefault="00637CD4" w:rsidP="00C53AB2">
      <w:pPr>
        <w:pStyle w:val="TOC3"/>
        <w:tabs>
          <w:tab w:val="clear" w:pos="7661"/>
          <w:tab w:val="right" w:pos="9072"/>
        </w:tabs>
        <w:rPr>
          <w:rFonts w:asciiTheme="minorHAnsi" w:eastAsiaTheme="minorEastAsia" w:hAnsiTheme="minorHAnsi" w:cstheme="minorBidi"/>
        </w:rPr>
      </w:pPr>
      <w:r>
        <w:t>Enquiries and complaints about the Triple Zero service</w:t>
      </w:r>
      <w:r>
        <w:tab/>
      </w:r>
      <w:r>
        <w:fldChar w:fldCharType="begin"/>
      </w:r>
      <w:r>
        <w:instrText xml:space="preserve"> PAGEREF _Toc465842958 \h </w:instrText>
      </w:r>
      <w:r>
        <w:fldChar w:fldCharType="separate"/>
      </w:r>
      <w:r w:rsidR="00625DDF">
        <w:t>102</w:t>
      </w:r>
      <w:r>
        <w:fldChar w:fldCharType="end"/>
      </w:r>
    </w:p>
    <w:p w14:paraId="0D29BA80" w14:textId="77777777" w:rsidR="00637CD4" w:rsidRDefault="00637CD4" w:rsidP="00C53AB2">
      <w:pPr>
        <w:pStyle w:val="TOC3"/>
        <w:tabs>
          <w:tab w:val="clear" w:pos="7661"/>
          <w:tab w:val="right" w:pos="9072"/>
        </w:tabs>
        <w:rPr>
          <w:rFonts w:asciiTheme="minorHAnsi" w:eastAsiaTheme="minorEastAsia" w:hAnsiTheme="minorHAnsi" w:cstheme="minorBidi"/>
        </w:rPr>
      </w:pPr>
      <w:r>
        <w:t>Emergency call service—NRS</w:t>
      </w:r>
      <w:r>
        <w:tab/>
      </w:r>
      <w:r>
        <w:fldChar w:fldCharType="begin"/>
      </w:r>
      <w:r>
        <w:instrText xml:space="preserve"> PAGEREF _Toc465842959 \h </w:instrText>
      </w:r>
      <w:r>
        <w:fldChar w:fldCharType="separate"/>
      </w:r>
      <w:r w:rsidR="00625DDF">
        <w:t>102</w:t>
      </w:r>
      <w:r>
        <w:fldChar w:fldCharType="end"/>
      </w:r>
    </w:p>
    <w:p w14:paraId="14E4745A"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4.3.</w:t>
      </w:r>
      <w:r w:rsidR="00D62D01">
        <w:rPr>
          <w:rFonts w:asciiTheme="minorHAnsi" w:eastAsiaTheme="minorEastAsia" w:hAnsiTheme="minorHAnsi" w:cstheme="minorBidi"/>
          <w:spacing w:val="0"/>
          <w:sz w:val="22"/>
          <w:szCs w:val="22"/>
        </w:rPr>
        <w:t xml:space="preserve"> </w:t>
      </w:r>
      <w:r>
        <w:t>Supporting law enforcement and national security agencies</w:t>
      </w:r>
      <w:r>
        <w:tab/>
      </w:r>
      <w:r>
        <w:fldChar w:fldCharType="begin"/>
      </w:r>
      <w:r>
        <w:instrText xml:space="preserve"> PAGEREF _Toc465842960 \h </w:instrText>
      </w:r>
      <w:r>
        <w:fldChar w:fldCharType="separate"/>
      </w:r>
      <w:r w:rsidR="00625DDF">
        <w:t>104</w:t>
      </w:r>
      <w:r>
        <w:fldChar w:fldCharType="end"/>
      </w:r>
    </w:p>
    <w:p w14:paraId="1B506ED9" w14:textId="77777777" w:rsidR="00637CD4" w:rsidRDefault="00637CD4" w:rsidP="00C53AB2">
      <w:pPr>
        <w:pStyle w:val="TOC3"/>
        <w:tabs>
          <w:tab w:val="clear" w:pos="7661"/>
          <w:tab w:val="right" w:pos="9072"/>
        </w:tabs>
        <w:rPr>
          <w:rFonts w:asciiTheme="minorHAnsi" w:eastAsiaTheme="minorEastAsia" w:hAnsiTheme="minorHAnsi" w:cstheme="minorBidi"/>
        </w:rPr>
      </w:pPr>
      <w:r>
        <w:t>Disclosure of customer information</w:t>
      </w:r>
      <w:r>
        <w:tab/>
      </w:r>
      <w:r>
        <w:fldChar w:fldCharType="begin"/>
      </w:r>
      <w:r>
        <w:instrText xml:space="preserve"> PAGEREF _Toc465842961 \h </w:instrText>
      </w:r>
      <w:r>
        <w:fldChar w:fldCharType="separate"/>
      </w:r>
      <w:r w:rsidR="00625DDF">
        <w:t>104</w:t>
      </w:r>
      <w:r>
        <w:fldChar w:fldCharType="end"/>
      </w:r>
    </w:p>
    <w:p w14:paraId="77B93F9D" w14:textId="77777777" w:rsidR="00637CD4" w:rsidRDefault="00637CD4" w:rsidP="00C53AB2">
      <w:pPr>
        <w:pStyle w:val="TOC3"/>
        <w:tabs>
          <w:tab w:val="clear" w:pos="7661"/>
          <w:tab w:val="right" w:pos="9072"/>
        </w:tabs>
        <w:rPr>
          <w:rFonts w:asciiTheme="minorHAnsi" w:eastAsiaTheme="minorEastAsia" w:hAnsiTheme="minorHAnsi" w:cstheme="minorBidi"/>
        </w:rPr>
      </w:pPr>
      <w:r>
        <w:t>Emergency suspension of carriage services</w:t>
      </w:r>
      <w:r>
        <w:tab/>
      </w:r>
      <w:r>
        <w:fldChar w:fldCharType="begin"/>
      </w:r>
      <w:r>
        <w:instrText xml:space="preserve"> PAGEREF _Toc465842962 \h </w:instrText>
      </w:r>
      <w:r>
        <w:fldChar w:fldCharType="separate"/>
      </w:r>
      <w:r w:rsidR="00625DDF">
        <w:t>106</w:t>
      </w:r>
      <w:r>
        <w:fldChar w:fldCharType="end"/>
      </w:r>
    </w:p>
    <w:p w14:paraId="18CA6080"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4.4.</w:t>
      </w:r>
      <w:r w:rsidR="00D62D01">
        <w:rPr>
          <w:rFonts w:asciiTheme="minorHAnsi" w:eastAsiaTheme="minorEastAsia" w:hAnsiTheme="minorHAnsi" w:cstheme="minorBidi"/>
          <w:spacing w:val="0"/>
          <w:sz w:val="22"/>
          <w:szCs w:val="22"/>
        </w:rPr>
        <w:t xml:space="preserve"> </w:t>
      </w:r>
      <w:r>
        <w:t>Interception</w:t>
      </w:r>
      <w:r>
        <w:tab/>
      </w:r>
      <w:r>
        <w:fldChar w:fldCharType="begin"/>
      </w:r>
      <w:r>
        <w:instrText xml:space="preserve"> PAGEREF _Toc465842963 \h </w:instrText>
      </w:r>
      <w:r>
        <w:fldChar w:fldCharType="separate"/>
      </w:r>
      <w:r w:rsidR="00625DDF">
        <w:t>106</w:t>
      </w:r>
      <w:r>
        <w:fldChar w:fldCharType="end"/>
      </w:r>
    </w:p>
    <w:p w14:paraId="26E4C8B9" w14:textId="77777777" w:rsidR="00637CD4" w:rsidRDefault="00637CD4" w:rsidP="00C53AB2">
      <w:pPr>
        <w:pStyle w:val="TOC3"/>
        <w:tabs>
          <w:tab w:val="clear" w:pos="7661"/>
          <w:tab w:val="right" w:pos="9072"/>
        </w:tabs>
        <w:rPr>
          <w:rFonts w:asciiTheme="minorHAnsi" w:eastAsiaTheme="minorEastAsia" w:hAnsiTheme="minorHAnsi" w:cstheme="minorBidi"/>
        </w:rPr>
      </w:pPr>
      <w:r>
        <w:t>Providing assistance</w:t>
      </w:r>
      <w:r>
        <w:tab/>
      </w:r>
      <w:r>
        <w:fldChar w:fldCharType="begin"/>
      </w:r>
      <w:r>
        <w:instrText xml:space="preserve"> PAGEREF _Toc465842964 \h </w:instrText>
      </w:r>
      <w:r>
        <w:fldChar w:fldCharType="separate"/>
      </w:r>
      <w:r w:rsidR="00625DDF">
        <w:t>106</w:t>
      </w:r>
      <w:r>
        <w:fldChar w:fldCharType="end"/>
      </w:r>
    </w:p>
    <w:p w14:paraId="31F519DB" w14:textId="77777777" w:rsidR="00637CD4" w:rsidRDefault="00637CD4" w:rsidP="00C53AB2">
      <w:pPr>
        <w:pStyle w:val="TOC3"/>
        <w:tabs>
          <w:tab w:val="clear" w:pos="7661"/>
          <w:tab w:val="right" w:pos="9072"/>
        </w:tabs>
        <w:rPr>
          <w:rFonts w:asciiTheme="minorHAnsi" w:eastAsiaTheme="minorEastAsia" w:hAnsiTheme="minorHAnsi" w:cstheme="minorBidi"/>
        </w:rPr>
      </w:pPr>
      <w:r>
        <w:t>Interception capability</w:t>
      </w:r>
      <w:r>
        <w:tab/>
      </w:r>
      <w:r>
        <w:fldChar w:fldCharType="begin"/>
      </w:r>
      <w:r>
        <w:instrText xml:space="preserve"> PAGEREF _Toc465842965 \h </w:instrText>
      </w:r>
      <w:r>
        <w:fldChar w:fldCharType="separate"/>
      </w:r>
      <w:r w:rsidR="00625DDF">
        <w:t>106</w:t>
      </w:r>
      <w:r>
        <w:fldChar w:fldCharType="end"/>
      </w:r>
    </w:p>
    <w:p w14:paraId="22EDA653" w14:textId="77777777" w:rsidR="00637CD4" w:rsidRDefault="00637CD4" w:rsidP="00C53AB2">
      <w:pPr>
        <w:pStyle w:val="TOC3"/>
        <w:tabs>
          <w:tab w:val="clear" w:pos="7661"/>
          <w:tab w:val="right" w:pos="9072"/>
        </w:tabs>
        <w:rPr>
          <w:rFonts w:asciiTheme="minorHAnsi" w:eastAsiaTheme="minorEastAsia" w:hAnsiTheme="minorHAnsi" w:cstheme="minorBidi"/>
        </w:rPr>
      </w:pPr>
      <w:r>
        <w:t>Interception capability plan compliance</w:t>
      </w:r>
      <w:r>
        <w:tab/>
      </w:r>
      <w:r>
        <w:fldChar w:fldCharType="begin"/>
      </w:r>
      <w:r>
        <w:instrText xml:space="preserve"> PAGEREF _Toc465842966 \h </w:instrText>
      </w:r>
      <w:r>
        <w:fldChar w:fldCharType="separate"/>
      </w:r>
      <w:r w:rsidR="00625DDF">
        <w:t>106</w:t>
      </w:r>
      <w:r>
        <w:fldChar w:fldCharType="end"/>
      </w:r>
    </w:p>
    <w:p w14:paraId="121287BC" w14:textId="77777777" w:rsidR="00637CD4" w:rsidRDefault="00637CD4" w:rsidP="00C53AB2">
      <w:pPr>
        <w:pStyle w:val="TOC3"/>
        <w:tabs>
          <w:tab w:val="clear" w:pos="7661"/>
          <w:tab w:val="right" w:pos="9072"/>
        </w:tabs>
        <w:rPr>
          <w:rFonts w:asciiTheme="minorHAnsi" w:eastAsiaTheme="minorEastAsia" w:hAnsiTheme="minorHAnsi" w:cstheme="minorBidi"/>
        </w:rPr>
      </w:pPr>
      <w:r>
        <w:lastRenderedPageBreak/>
        <w:t>Data retention</w:t>
      </w:r>
      <w:r>
        <w:tab/>
      </w:r>
      <w:r>
        <w:fldChar w:fldCharType="begin"/>
      </w:r>
      <w:r>
        <w:instrText xml:space="preserve"> PAGEREF _Toc465842967 \h </w:instrText>
      </w:r>
      <w:r>
        <w:fldChar w:fldCharType="separate"/>
      </w:r>
      <w:r w:rsidR="00625DDF">
        <w:t>107</w:t>
      </w:r>
      <w:r>
        <w:fldChar w:fldCharType="end"/>
      </w:r>
    </w:p>
    <w:p w14:paraId="6BEDF902"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4.5.</w:t>
      </w:r>
      <w:r w:rsidR="00D62D01">
        <w:rPr>
          <w:rFonts w:asciiTheme="minorHAnsi" w:eastAsiaTheme="minorEastAsia" w:hAnsiTheme="minorHAnsi" w:cstheme="minorBidi"/>
          <w:spacing w:val="0"/>
          <w:sz w:val="22"/>
          <w:szCs w:val="22"/>
        </w:rPr>
        <w:t xml:space="preserve"> </w:t>
      </w:r>
      <w:r>
        <w:t>Identity-checking requirements for prepaid mobile carriage services</w:t>
      </w:r>
      <w:r>
        <w:tab/>
      </w:r>
      <w:r>
        <w:fldChar w:fldCharType="begin"/>
      </w:r>
      <w:r>
        <w:instrText xml:space="preserve"> PAGEREF _Toc465842968 \h </w:instrText>
      </w:r>
      <w:r>
        <w:fldChar w:fldCharType="separate"/>
      </w:r>
      <w:r w:rsidR="00625DDF">
        <w:t>107</w:t>
      </w:r>
      <w:r>
        <w:fldChar w:fldCharType="end"/>
      </w:r>
    </w:p>
    <w:p w14:paraId="2376A708"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rsidRPr="007E633E">
        <w:rPr>
          <w:rFonts w:eastAsiaTheme="minorHAnsi"/>
        </w:rPr>
        <w:t>4.6.</w:t>
      </w:r>
      <w:r w:rsidR="00D62D01">
        <w:rPr>
          <w:rFonts w:asciiTheme="minorHAnsi" w:eastAsiaTheme="minorEastAsia" w:hAnsiTheme="minorHAnsi" w:cstheme="minorBidi"/>
          <w:spacing w:val="0"/>
          <w:sz w:val="22"/>
          <w:szCs w:val="22"/>
        </w:rPr>
        <w:t xml:space="preserve"> </w:t>
      </w:r>
      <w:r>
        <w:t>Role</w:t>
      </w:r>
      <w:r w:rsidRPr="007E633E">
        <w:rPr>
          <w:rFonts w:eastAsiaTheme="minorHAnsi"/>
        </w:rPr>
        <w:t xml:space="preserve"> of the Integrated Public Number Database (IPND)</w:t>
      </w:r>
      <w:r>
        <w:tab/>
      </w:r>
      <w:r>
        <w:fldChar w:fldCharType="begin"/>
      </w:r>
      <w:r>
        <w:instrText xml:space="preserve"> PAGEREF _Toc465842969 \h </w:instrText>
      </w:r>
      <w:r>
        <w:fldChar w:fldCharType="separate"/>
      </w:r>
      <w:r w:rsidR="00625DDF">
        <w:t>108</w:t>
      </w:r>
      <w:r>
        <w:fldChar w:fldCharType="end"/>
      </w:r>
    </w:p>
    <w:p w14:paraId="19F2A790" w14:textId="77777777" w:rsidR="00637CD4" w:rsidRDefault="00637CD4" w:rsidP="00C53AB2">
      <w:pPr>
        <w:pStyle w:val="TOC3"/>
        <w:tabs>
          <w:tab w:val="clear" w:pos="7661"/>
          <w:tab w:val="right" w:pos="9072"/>
        </w:tabs>
        <w:rPr>
          <w:rFonts w:asciiTheme="minorHAnsi" w:eastAsiaTheme="minorEastAsia" w:hAnsiTheme="minorHAnsi" w:cstheme="minorBidi"/>
        </w:rPr>
      </w:pPr>
      <w:r>
        <w:t>CSP compliance with IPND requirements</w:t>
      </w:r>
      <w:r>
        <w:tab/>
      </w:r>
      <w:r>
        <w:fldChar w:fldCharType="begin"/>
      </w:r>
      <w:r>
        <w:instrText xml:space="preserve"> PAGEREF _Toc465842970 \h </w:instrText>
      </w:r>
      <w:r>
        <w:fldChar w:fldCharType="separate"/>
      </w:r>
      <w:r w:rsidR="00625DDF">
        <w:t>108</w:t>
      </w:r>
      <w:r>
        <w:fldChar w:fldCharType="end"/>
      </w:r>
    </w:p>
    <w:p w14:paraId="0D1307FF" w14:textId="77777777" w:rsidR="00637CD4" w:rsidRDefault="00637CD4" w:rsidP="00C53AB2">
      <w:pPr>
        <w:pStyle w:val="TOC3"/>
        <w:tabs>
          <w:tab w:val="clear" w:pos="7661"/>
          <w:tab w:val="right" w:pos="9072"/>
        </w:tabs>
        <w:rPr>
          <w:rFonts w:asciiTheme="minorHAnsi" w:eastAsiaTheme="minorEastAsia" w:hAnsiTheme="minorHAnsi" w:cstheme="minorBidi"/>
        </w:rPr>
      </w:pPr>
      <w:r>
        <w:t>IPND Scheme</w:t>
      </w:r>
      <w:r>
        <w:tab/>
      </w:r>
      <w:r>
        <w:fldChar w:fldCharType="begin"/>
      </w:r>
      <w:r>
        <w:instrText xml:space="preserve"> PAGEREF _Toc465842971 \h </w:instrText>
      </w:r>
      <w:r>
        <w:fldChar w:fldCharType="separate"/>
      </w:r>
      <w:r w:rsidR="00625DDF">
        <w:t>109</w:t>
      </w:r>
      <w:r>
        <w:fldChar w:fldCharType="end"/>
      </w:r>
    </w:p>
    <w:p w14:paraId="2E267C75"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4.7.</w:t>
      </w:r>
      <w:r w:rsidR="00D62D01">
        <w:rPr>
          <w:rFonts w:asciiTheme="minorHAnsi" w:eastAsiaTheme="minorEastAsia" w:hAnsiTheme="minorHAnsi" w:cstheme="minorBidi"/>
          <w:spacing w:val="0"/>
          <w:sz w:val="22"/>
          <w:szCs w:val="22"/>
        </w:rPr>
        <w:t xml:space="preserve"> </w:t>
      </w:r>
      <w:r>
        <w:t>Handling of life-threatening and unwelcome communications</w:t>
      </w:r>
      <w:r>
        <w:tab/>
      </w:r>
      <w:r>
        <w:fldChar w:fldCharType="begin"/>
      </w:r>
      <w:r>
        <w:instrText xml:space="preserve"> PAGEREF _Toc465842972 \h </w:instrText>
      </w:r>
      <w:r>
        <w:fldChar w:fldCharType="separate"/>
      </w:r>
      <w:r w:rsidR="00625DDF">
        <w:t>109</w:t>
      </w:r>
      <w:r>
        <w:fldChar w:fldCharType="end"/>
      </w:r>
    </w:p>
    <w:p w14:paraId="15815E89" w14:textId="77777777" w:rsidR="00637CD4" w:rsidRPr="00C53AB2" w:rsidRDefault="00D62D01" w:rsidP="00C53AB2">
      <w:pPr>
        <w:pStyle w:val="TOC1"/>
        <w:tabs>
          <w:tab w:val="clear" w:pos="7660"/>
          <w:tab w:val="left" w:pos="709"/>
          <w:tab w:val="right" w:pos="9072"/>
        </w:tabs>
        <w:ind w:right="567"/>
        <w:rPr>
          <w:color w:val="007298"/>
        </w:rPr>
      </w:pPr>
      <w:r>
        <w:rPr>
          <w:color w:val="007298"/>
        </w:rPr>
        <w:t xml:space="preserve">5. </w:t>
      </w:r>
      <w:r w:rsidR="00637CD4" w:rsidRPr="00C53AB2">
        <w:rPr>
          <w:color w:val="007298"/>
        </w:rPr>
        <w:t xml:space="preserve">Telecommunications consumer safeguards and quality </w:t>
      </w:r>
      <w:r w:rsidR="00C53AB2">
        <w:rPr>
          <w:color w:val="007298"/>
        </w:rPr>
        <w:br/>
      </w:r>
      <w:r w:rsidR="00637CD4" w:rsidRPr="00C53AB2">
        <w:rPr>
          <w:color w:val="007298"/>
        </w:rPr>
        <w:t>of service</w:t>
      </w:r>
      <w:r w:rsidR="00637CD4" w:rsidRPr="00C53AB2">
        <w:rPr>
          <w:color w:val="007298"/>
        </w:rPr>
        <w:tab/>
      </w:r>
      <w:r w:rsidR="00637CD4" w:rsidRPr="00C53AB2">
        <w:rPr>
          <w:color w:val="007298"/>
        </w:rPr>
        <w:fldChar w:fldCharType="begin"/>
      </w:r>
      <w:r w:rsidR="00637CD4" w:rsidRPr="00C53AB2">
        <w:rPr>
          <w:color w:val="007298"/>
        </w:rPr>
        <w:instrText xml:space="preserve"> PAGEREF _Toc465842973 \h </w:instrText>
      </w:r>
      <w:r w:rsidR="00637CD4" w:rsidRPr="00C53AB2">
        <w:rPr>
          <w:color w:val="007298"/>
        </w:rPr>
      </w:r>
      <w:r w:rsidR="00637CD4" w:rsidRPr="00C53AB2">
        <w:rPr>
          <w:color w:val="007298"/>
        </w:rPr>
        <w:fldChar w:fldCharType="separate"/>
      </w:r>
      <w:r w:rsidR="00625DDF">
        <w:rPr>
          <w:color w:val="007298"/>
        </w:rPr>
        <w:t>110</w:t>
      </w:r>
      <w:r w:rsidR="00637CD4" w:rsidRPr="00C53AB2">
        <w:rPr>
          <w:color w:val="007298"/>
        </w:rPr>
        <w:fldChar w:fldCharType="end"/>
      </w:r>
    </w:p>
    <w:p w14:paraId="1F1472EE"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5.1.</w:t>
      </w:r>
      <w:r w:rsidR="00D62D01">
        <w:rPr>
          <w:rFonts w:asciiTheme="minorHAnsi" w:eastAsiaTheme="minorEastAsia" w:hAnsiTheme="minorHAnsi" w:cstheme="minorBidi"/>
          <w:spacing w:val="0"/>
          <w:sz w:val="22"/>
          <w:szCs w:val="22"/>
        </w:rPr>
        <w:t xml:space="preserve"> </w:t>
      </w:r>
      <w:r>
        <w:t>Overview</w:t>
      </w:r>
      <w:r>
        <w:tab/>
      </w:r>
      <w:r>
        <w:fldChar w:fldCharType="begin"/>
      </w:r>
      <w:r>
        <w:instrText xml:space="preserve"> PAGEREF _Toc465842974 \h </w:instrText>
      </w:r>
      <w:r>
        <w:fldChar w:fldCharType="separate"/>
      </w:r>
      <w:r w:rsidR="00625DDF">
        <w:t>110</w:t>
      </w:r>
      <w:r>
        <w:fldChar w:fldCharType="end"/>
      </w:r>
    </w:p>
    <w:p w14:paraId="6E89E109"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5.2.</w:t>
      </w:r>
      <w:r w:rsidR="00D62D01">
        <w:rPr>
          <w:rFonts w:asciiTheme="minorHAnsi" w:eastAsiaTheme="minorEastAsia" w:hAnsiTheme="minorHAnsi" w:cstheme="minorBidi"/>
          <w:spacing w:val="0"/>
          <w:sz w:val="22"/>
          <w:szCs w:val="22"/>
        </w:rPr>
        <w:t xml:space="preserve"> </w:t>
      </w:r>
      <w:r>
        <w:t>Telecommunications Industry Levy and public policy outcomes</w:t>
      </w:r>
      <w:r>
        <w:tab/>
      </w:r>
      <w:r>
        <w:fldChar w:fldCharType="begin"/>
      </w:r>
      <w:r>
        <w:instrText xml:space="preserve"> PAGEREF _Toc465842975 \h </w:instrText>
      </w:r>
      <w:r>
        <w:fldChar w:fldCharType="separate"/>
      </w:r>
      <w:r w:rsidR="00625DDF">
        <w:t>110</w:t>
      </w:r>
      <w:r>
        <w:fldChar w:fldCharType="end"/>
      </w:r>
    </w:p>
    <w:p w14:paraId="3A8B0889" w14:textId="77777777" w:rsidR="00637CD4" w:rsidRDefault="00637CD4" w:rsidP="00C53AB2">
      <w:pPr>
        <w:pStyle w:val="TOC3"/>
        <w:tabs>
          <w:tab w:val="clear" w:pos="7661"/>
          <w:tab w:val="right" w:pos="9072"/>
        </w:tabs>
        <w:rPr>
          <w:rFonts w:asciiTheme="minorHAnsi" w:eastAsiaTheme="minorEastAsia" w:hAnsiTheme="minorHAnsi" w:cstheme="minorBidi"/>
        </w:rPr>
      </w:pPr>
      <w:r>
        <w:t>Industry levies and payments</w:t>
      </w:r>
      <w:r>
        <w:tab/>
      </w:r>
      <w:r>
        <w:fldChar w:fldCharType="begin"/>
      </w:r>
      <w:r>
        <w:instrText xml:space="preserve"> PAGEREF _Toc465842976 \h </w:instrText>
      </w:r>
      <w:r>
        <w:fldChar w:fldCharType="separate"/>
      </w:r>
      <w:r w:rsidR="00625DDF">
        <w:t>111</w:t>
      </w:r>
      <w:r>
        <w:fldChar w:fldCharType="end"/>
      </w:r>
    </w:p>
    <w:p w14:paraId="02D349C3" w14:textId="77777777" w:rsidR="00637CD4" w:rsidRDefault="00637CD4" w:rsidP="00C53AB2">
      <w:pPr>
        <w:pStyle w:val="TOC3"/>
        <w:tabs>
          <w:tab w:val="clear" w:pos="7661"/>
          <w:tab w:val="right" w:pos="9072"/>
        </w:tabs>
        <w:rPr>
          <w:rFonts w:asciiTheme="minorHAnsi" w:eastAsiaTheme="minorEastAsia" w:hAnsiTheme="minorHAnsi" w:cstheme="minorBidi"/>
        </w:rPr>
      </w:pPr>
      <w:r>
        <w:t>Final TIL assessment</w:t>
      </w:r>
      <w:r>
        <w:tab/>
      </w:r>
      <w:r>
        <w:fldChar w:fldCharType="begin"/>
      </w:r>
      <w:r>
        <w:instrText xml:space="preserve"> PAGEREF _Toc465842977 \h </w:instrText>
      </w:r>
      <w:r>
        <w:fldChar w:fldCharType="separate"/>
      </w:r>
      <w:r w:rsidR="00625DDF">
        <w:t>111</w:t>
      </w:r>
      <w:r>
        <w:fldChar w:fldCharType="end"/>
      </w:r>
    </w:p>
    <w:p w14:paraId="7EC17715"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5.3.</w:t>
      </w:r>
      <w:r w:rsidR="00D62D01">
        <w:rPr>
          <w:rFonts w:asciiTheme="minorHAnsi" w:eastAsiaTheme="minorEastAsia" w:hAnsiTheme="minorHAnsi" w:cstheme="minorBidi"/>
          <w:spacing w:val="0"/>
          <w:sz w:val="22"/>
          <w:szCs w:val="22"/>
        </w:rPr>
        <w:t xml:space="preserve"> </w:t>
      </w:r>
      <w:r>
        <w:t>Public payphones</w:t>
      </w:r>
      <w:r>
        <w:tab/>
      </w:r>
      <w:r>
        <w:fldChar w:fldCharType="begin"/>
      </w:r>
      <w:r>
        <w:instrText xml:space="preserve"> PAGEREF _Toc465842978 \h </w:instrText>
      </w:r>
      <w:r>
        <w:fldChar w:fldCharType="separate"/>
      </w:r>
      <w:r w:rsidR="00625DDF">
        <w:t>111</w:t>
      </w:r>
      <w:r>
        <w:fldChar w:fldCharType="end"/>
      </w:r>
    </w:p>
    <w:p w14:paraId="5F025824" w14:textId="77777777" w:rsidR="00637CD4" w:rsidRDefault="00637CD4" w:rsidP="00C53AB2">
      <w:pPr>
        <w:pStyle w:val="TOC3"/>
        <w:tabs>
          <w:tab w:val="clear" w:pos="7661"/>
          <w:tab w:val="right" w:pos="9072"/>
        </w:tabs>
        <w:rPr>
          <w:rFonts w:asciiTheme="minorHAnsi" w:eastAsiaTheme="minorEastAsia" w:hAnsiTheme="minorHAnsi" w:cstheme="minorBidi"/>
        </w:rPr>
      </w:pPr>
      <w:r>
        <w:t>Numbers of payphones and payphone sites</w:t>
      </w:r>
      <w:r>
        <w:tab/>
      </w:r>
      <w:r>
        <w:fldChar w:fldCharType="begin"/>
      </w:r>
      <w:r>
        <w:instrText xml:space="preserve"> PAGEREF _Toc465842979 \h </w:instrText>
      </w:r>
      <w:r>
        <w:fldChar w:fldCharType="separate"/>
      </w:r>
      <w:r w:rsidR="00625DDF">
        <w:t>111</w:t>
      </w:r>
      <w:r>
        <w:fldChar w:fldCharType="end"/>
      </w:r>
    </w:p>
    <w:p w14:paraId="77FC430D" w14:textId="77777777" w:rsidR="00637CD4" w:rsidRDefault="00637CD4" w:rsidP="00C53AB2">
      <w:pPr>
        <w:pStyle w:val="TOC3"/>
        <w:tabs>
          <w:tab w:val="clear" w:pos="7661"/>
          <w:tab w:val="right" w:pos="9072"/>
        </w:tabs>
        <w:rPr>
          <w:rFonts w:asciiTheme="minorHAnsi" w:eastAsiaTheme="minorEastAsia" w:hAnsiTheme="minorHAnsi" w:cstheme="minorBidi"/>
        </w:rPr>
      </w:pPr>
      <w:r>
        <w:t>Payphone fault repair performance</w:t>
      </w:r>
      <w:r>
        <w:tab/>
      </w:r>
      <w:r>
        <w:fldChar w:fldCharType="begin"/>
      </w:r>
      <w:r>
        <w:instrText xml:space="preserve"> PAGEREF _Toc465842980 \h </w:instrText>
      </w:r>
      <w:r>
        <w:fldChar w:fldCharType="separate"/>
      </w:r>
      <w:r w:rsidR="00625DDF">
        <w:t>112</w:t>
      </w:r>
      <w:r>
        <w:fldChar w:fldCharType="end"/>
      </w:r>
    </w:p>
    <w:p w14:paraId="23A55218" w14:textId="77777777" w:rsidR="00637CD4" w:rsidRDefault="00637CD4" w:rsidP="00C53AB2">
      <w:pPr>
        <w:pStyle w:val="TOC3"/>
        <w:tabs>
          <w:tab w:val="clear" w:pos="7661"/>
          <w:tab w:val="right" w:pos="9072"/>
        </w:tabs>
        <w:rPr>
          <w:rFonts w:asciiTheme="minorHAnsi" w:eastAsiaTheme="minorEastAsia" w:hAnsiTheme="minorHAnsi" w:cstheme="minorBidi"/>
        </w:rPr>
      </w:pPr>
      <w:r>
        <w:t>Payphones for people with disabilities</w:t>
      </w:r>
      <w:r>
        <w:tab/>
      </w:r>
      <w:r>
        <w:fldChar w:fldCharType="begin"/>
      </w:r>
      <w:r>
        <w:instrText xml:space="preserve"> PAGEREF _Toc465842981 \h </w:instrText>
      </w:r>
      <w:r>
        <w:fldChar w:fldCharType="separate"/>
      </w:r>
      <w:r w:rsidR="00625DDF">
        <w:t>113</w:t>
      </w:r>
      <w:r>
        <w:fldChar w:fldCharType="end"/>
      </w:r>
    </w:p>
    <w:p w14:paraId="184B2CAD"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5.4.</w:t>
      </w:r>
      <w:r w:rsidR="00D62D01">
        <w:rPr>
          <w:rFonts w:asciiTheme="minorHAnsi" w:eastAsiaTheme="minorEastAsia" w:hAnsiTheme="minorHAnsi" w:cstheme="minorBidi"/>
          <w:spacing w:val="0"/>
          <w:sz w:val="22"/>
          <w:szCs w:val="22"/>
        </w:rPr>
        <w:t xml:space="preserve"> </w:t>
      </w:r>
      <w:r>
        <w:t>CSG Standard</w:t>
      </w:r>
      <w:r>
        <w:tab/>
      </w:r>
      <w:r>
        <w:fldChar w:fldCharType="begin"/>
      </w:r>
      <w:r>
        <w:instrText xml:space="preserve"> PAGEREF _Toc465842982 \h </w:instrText>
      </w:r>
      <w:r>
        <w:fldChar w:fldCharType="separate"/>
      </w:r>
      <w:r w:rsidR="00625DDF">
        <w:t>113</w:t>
      </w:r>
      <w:r>
        <w:fldChar w:fldCharType="end"/>
      </w:r>
    </w:p>
    <w:p w14:paraId="16FDA70A" w14:textId="77777777" w:rsidR="00637CD4" w:rsidRDefault="00637CD4" w:rsidP="00C53AB2">
      <w:pPr>
        <w:pStyle w:val="TOC3"/>
        <w:tabs>
          <w:tab w:val="clear" w:pos="7661"/>
          <w:tab w:val="right" w:pos="9072"/>
        </w:tabs>
        <w:rPr>
          <w:rFonts w:asciiTheme="minorHAnsi" w:eastAsiaTheme="minorEastAsia" w:hAnsiTheme="minorHAnsi" w:cstheme="minorBidi"/>
        </w:rPr>
      </w:pPr>
      <w:r>
        <w:t>New service and in-place connections</w:t>
      </w:r>
      <w:r>
        <w:tab/>
      </w:r>
      <w:r>
        <w:fldChar w:fldCharType="begin"/>
      </w:r>
      <w:r>
        <w:instrText xml:space="preserve"> PAGEREF _Toc465842983 \h </w:instrText>
      </w:r>
      <w:r>
        <w:fldChar w:fldCharType="separate"/>
      </w:r>
      <w:r w:rsidR="00625DDF">
        <w:t>114</w:t>
      </w:r>
      <w:r>
        <w:fldChar w:fldCharType="end"/>
      </w:r>
    </w:p>
    <w:p w14:paraId="1BFDFB55" w14:textId="77777777" w:rsidR="00637CD4" w:rsidRDefault="00637CD4" w:rsidP="00C53AB2">
      <w:pPr>
        <w:pStyle w:val="TOC3"/>
        <w:tabs>
          <w:tab w:val="clear" w:pos="7661"/>
          <w:tab w:val="right" w:pos="9072"/>
        </w:tabs>
        <w:rPr>
          <w:rFonts w:asciiTheme="minorHAnsi" w:eastAsiaTheme="minorEastAsia" w:hAnsiTheme="minorHAnsi" w:cstheme="minorBidi"/>
        </w:rPr>
      </w:pPr>
      <w:r>
        <w:t>Appointments and fault repairs</w:t>
      </w:r>
      <w:r>
        <w:tab/>
      </w:r>
      <w:r>
        <w:fldChar w:fldCharType="begin"/>
      </w:r>
      <w:r>
        <w:instrText xml:space="preserve"> PAGEREF _Toc465842984 \h </w:instrText>
      </w:r>
      <w:r>
        <w:fldChar w:fldCharType="separate"/>
      </w:r>
      <w:r w:rsidR="00625DDF">
        <w:t>115</w:t>
      </w:r>
      <w:r>
        <w:fldChar w:fldCharType="end"/>
      </w:r>
    </w:p>
    <w:p w14:paraId="799FB767" w14:textId="77777777" w:rsidR="00637CD4" w:rsidRDefault="00637CD4" w:rsidP="00C53AB2">
      <w:pPr>
        <w:pStyle w:val="TOC3"/>
        <w:tabs>
          <w:tab w:val="clear" w:pos="7661"/>
          <w:tab w:val="right" w:pos="9072"/>
        </w:tabs>
        <w:rPr>
          <w:rFonts w:asciiTheme="minorHAnsi" w:eastAsiaTheme="minorEastAsia" w:hAnsiTheme="minorHAnsi" w:cstheme="minorBidi"/>
        </w:rPr>
      </w:pPr>
      <w:r>
        <w:t>CSG Standard payments</w:t>
      </w:r>
      <w:r>
        <w:tab/>
      </w:r>
      <w:r>
        <w:fldChar w:fldCharType="begin"/>
      </w:r>
      <w:r>
        <w:instrText xml:space="preserve"> PAGEREF _Toc465842985 \h </w:instrText>
      </w:r>
      <w:r>
        <w:fldChar w:fldCharType="separate"/>
      </w:r>
      <w:r w:rsidR="00625DDF">
        <w:t>117</w:t>
      </w:r>
      <w:r>
        <w:fldChar w:fldCharType="end"/>
      </w:r>
    </w:p>
    <w:p w14:paraId="7F4BEE37" w14:textId="77777777" w:rsidR="00637CD4" w:rsidRDefault="00637CD4" w:rsidP="00C53AB2">
      <w:pPr>
        <w:pStyle w:val="TOC3"/>
        <w:tabs>
          <w:tab w:val="clear" w:pos="7661"/>
          <w:tab w:val="right" w:pos="9072"/>
        </w:tabs>
        <w:rPr>
          <w:rFonts w:asciiTheme="minorHAnsi" w:eastAsiaTheme="minorEastAsia" w:hAnsiTheme="minorHAnsi" w:cstheme="minorBidi"/>
        </w:rPr>
      </w:pPr>
      <w:r>
        <w:t>Exemptions from the CSG Standard</w:t>
      </w:r>
      <w:r>
        <w:tab/>
      </w:r>
      <w:r>
        <w:fldChar w:fldCharType="begin"/>
      </w:r>
      <w:r>
        <w:instrText xml:space="preserve"> PAGEREF _Toc465842986 \h </w:instrText>
      </w:r>
      <w:r>
        <w:fldChar w:fldCharType="separate"/>
      </w:r>
      <w:r w:rsidR="00625DDF">
        <w:t>117</w:t>
      </w:r>
      <w:r>
        <w:fldChar w:fldCharType="end"/>
      </w:r>
    </w:p>
    <w:p w14:paraId="1EFEA14E"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5.5.</w:t>
      </w:r>
      <w:r w:rsidR="00D62D01">
        <w:rPr>
          <w:rFonts w:asciiTheme="minorHAnsi" w:eastAsiaTheme="minorEastAsia" w:hAnsiTheme="minorHAnsi" w:cstheme="minorBidi"/>
          <w:spacing w:val="0"/>
          <w:sz w:val="22"/>
          <w:szCs w:val="22"/>
        </w:rPr>
        <w:t xml:space="preserve"> </w:t>
      </w:r>
      <w:r>
        <w:t>Network Reliability Framework</w:t>
      </w:r>
      <w:r>
        <w:tab/>
      </w:r>
      <w:r>
        <w:fldChar w:fldCharType="begin"/>
      </w:r>
      <w:r>
        <w:instrText xml:space="preserve"> PAGEREF _Toc465842987 \h </w:instrText>
      </w:r>
      <w:r>
        <w:fldChar w:fldCharType="separate"/>
      </w:r>
      <w:r w:rsidR="00625DDF">
        <w:t>118</w:t>
      </w:r>
      <w:r>
        <w:fldChar w:fldCharType="end"/>
      </w:r>
    </w:p>
    <w:p w14:paraId="297EE16A" w14:textId="77777777" w:rsidR="00637CD4" w:rsidRDefault="00637CD4" w:rsidP="00C53AB2">
      <w:pPr>
        <w:pStyle w:val="TOC3"/>
        <w:tabs>
          <w:tab w:val="clear" w:pos="7661"/>
          <w:tab w:val="right" w:pos="9072"/>
        </w:tabs>
        <w:rPr>
          <w:rFonts w:asciiTheme="minorHAnsi" w:eastAsiaTheme="minorEastAsia" w:hAnsiTheme="minorHAnsi" w:cstheme="minorBidi"/>
        </w:rPr>
      </w:pPr>
      <w:r>
        <w:t>Level 1—national and field service area performance</w:t>
      </w:r>
      <w:r>
        <w:tab/>
      </w:r>
      <w:r>
        <w:fldChar w:fldCharType="begin"/>
      </w:r>
      <w:r>
        <w:instrText xml:space="preserve"> PAGEREF _Toc465842988 \h </w:instrText>
      </w:r>
      <w:r>
        <w:fldChar w:fldCharType="separate"/>
      </w:r>
      <w:r w:rsidR="00625DDF">
        <w:t>118</w:t>
      </w:r>
      <w:r>
        <w:fldChar w:fldCharType="end"/>
      </w:r>
    </w:p>
    <w:p w14:paraId="039A5C34" w14:textId="77777777" w:rsidR="00637CD4" w:rsidRDefault="00637CD4" w:rsidP="00C53AB2">
      <w:pPr>
        <w:pStyle w:val="TOC3"/>
        <w:tabs>
          <w:tab w:val="clear" w:pos="7661"/>
          <w:tab w:val="right" w:pos="9072"/>
        </w:tabs>
        <w:rPr>
          <w:rFonts w:asciiTheme="minorHAnsi" w:eastAsiaTheme="minorEastAsia" w:hAnsiTheme="minorHAnsi" w:cstheme="minorBidi"/>
        </w:rPr>
      </w:pPr>
      <w:r>
        <w:t>Level 2—local cable run remediation</w:t>
      </w:r>
      <w:r>
        <w:tab/>
      </w:r>
      <w:r>
        <w:fldChar w:fldCharType="begin"/>
      </w:r>
      <w:r>
        <w:instrText xml:space="preserve"> PAGEREF _Toc465842989 \h </w:instrText>
      </w:r>
      <w:r>
        <w:fldChar w:fldCharType="separate"/>
      </w:r>
      <w:r w:rsidR="00625DDF">
        <w:t>120</w:t>
      </w:r>
      <w:r>
        <w:fldChar w:fldCharType="end"/>
      </w:r>
    </w:p>
    <w:p w14:paraId="53CFEF50" w14:textId="77777777" w:rsidR="00637CD4" w:rsidRDefault="00637CD4" w:rsidP="00C53AB2">
      <w:pPr>
        <w:pStyle w:val="TOC3"/>
        <w:tabs>
          <w:tab w:val="clear" w:pos="7661"/>
          <w:tab w:val="right" w:pos="9072"/>
        </w:tabs>
        <w:rPr>
          <w:rFonts w:asciiTheme="minorHAnsi" w:eastAsiaTheme="minorEastAsia" w:hAnsiTheme="minorHAnsi" w:cstheme="minorBidi"/>
        </w:rPr>
      </w:pPr>
      <w:r>
        <w:t>Level 3—individual service performance</w:t>
      </w:r>
      <w:r>
        <w:tab/>
      </w:r>
      <w:r>
        <w:fldChar w:fldCharType="begin"/>
      </w:r>
      <w:r>
        <w:instrText xml:space="preserve"> PAGEREF _Toc465842990 \h </w:instrText>
      </w:r>
      <w:r>
        <w:fldChar w:fldCharType="separate"/>
      </w:r>
      <w:r w:rsidR="00625DDF">
        <w:t>120</w:t>
      </w:r>
      <w:r>
        <w:fldChar w:fldCharType="end"/>
      </w:r>
    </w:p>
    <w:p w14:paraId="6B1CA148"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5.6.</w:t>
      </w:r>
      <w:r w:rsidR="00D62D01">
        <w:rPr>
          <w:rFonts w:asciiTheme="minorHAnsi" w:eastAsiaTheme="minorEastAsia" w:hAnsiTheme="minorHAnsi" w:cstheme="minorBidi"/>
          <w:spacing w:val="0"/>
          <w:sz w:val="22"/>
          <w:szCs w:val="22"/>
        </w:rPr>
        <w:t xml:space="preserve"> </w:t>
      </w:r>
      <w:r>
        <w:t>Priority assistance</w:t>
      </w:r>
      <w:r>
        <w:tab/>
      </w:r>
      <w:r>
        <w:fldChar w:fldCharType="begin"/>
      </w:r>
      <w:r>
        <w:instrText xml:space="preserve"> PAGEREF _Toc465842991 \h </w:instrText>
      </w:r>
      <w:r>
        <w:fldChar w:fldCharType="separate"/>
      </w:r>
      <w:r w:rsidR="00625DDF">
        <w:t>122</w:t>
      </w:r>
      <w:r>
        <w:fldChar w:fldCharType="end"/>
      </w:r>
    </w:p>
    <w:p w14:paraId="44644376"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5.7.</w:t>
      </w:r>
      <w:r w:rsidR="00D62D01">
        <w:rPr>
          <w:rFonts w:asciiTheme="minorHAnsi" w:eastAsiaTheme="minorEastAsia" w:hAnsiTheme="minorHAnsi" w:cstheme="minorBidi"/>
          <w:spacing w:val="0"/>
          <w:sz w:val="22"/>
          <w:szCs w:val="22"/>
        </w:rPr>
        <w:t xml:space="preserve"> </w:t>
      </w:r>
      <w:r>
        <w:t>Number portability</w:t>
      </w:r>
      <w:r>
        <w:tab/>
      </w:r>
      <w:r>
        <w:fldChar w:fldCharType="begin"/>
      </w:r>
      <w:r>
        <w:instrText xml:space="preserve"> PAGEREF _Toc465842992 \h </w:instrText>
      </w:r>
      <w:r>
        <w:fldChar w:fldCharType="separate"/>
      </w:r>
      <w:r w:rsidR="00625DDF">
        <w:t>124</w:t>
      </w:r>
      <w:r>
        <w:fldChar w:fldCharType="end"/>
      </w:r>
    </w:p>
    <w:p w14:paraId="557CECE5" w14:textId="77777777" w:rsidR="00637CD4" w:rsidRDefault="00637CD4" w:rsidP="00C53AB2">
      <w:pPr>
        <w:pStyle w:val="TOC3"/>
        <w:tabs>
          <w:tab w:val="clear" w:pos="7661"/>
          <w:tab w:val="right" w:pos="9072"/>
        </w:tabs>
        <w:rPr>
          <w:rFonts w:asciiTheme="minorHAnsi" w:eastAsiaTheme="minorEastAsia" w:hAnsiTheme="minorHAnsi" w:cstheme="minorBidi"/>
        </w:rPr>
      </w:pPr>
      <w:r>
        <w:t>Local number portability</w:t>
      </w:r>
      <w:r>
        <w:tab/>
      </w:r>
      <w:r>
        <w:fldChar w:fldCharType="begin"/>
      </w:r>
      <w:r>
        <w:instrText xml:space="preserve"> PAGEREF _Toc465842993 \h </w:instrText>
      </w:r>
      <w:r>
        <w:fldChar w:fldCharType="separate"/>
      </w:r>
      <w:r w:rsidR="00625DDF">
        <w:t>124</w:t>
      </w:r>
      <w:r>
        <w:fldChar w:fldCharType="end"/>
      </w:r>
    </w:p>
    <w:p w14:paraId="3498DDAA" w14:textId="77777777" w:rsidR="00637CD4" w:rsidRDefault="00637CD4" w:rsidP="00C53AB2">
      <w:pPr>
        <w:pStyle w:val="TOC3"/>
        <w:tabs>
          <w:tab w:val="clear" w:pos="7661"/>
          <w:tab w:val="right" w:pos="9072"/>
        </w:tabs>
        <w:rPr>
          <w:rFonts w:asciiTheme="minorHAnsi" w:eastAsiaTheme="minorEastAsia" w:hAnsiTheme="minorHAnsi" w:cstheme="minorBidi"/>
        </w:rPr>
      </w:pPr>
      <w:r>
        <w:t>Freephone and local rate number portability</w:t>
      </w:r>
      <w:r>
        <w:tab/>
      </w:r>
      <w:r>
        <w:fldChar w:fldCharType="begin"/>
      </w:r>
      <w:r>
        <w:instrText xml:space="preserve"> PAGEREF _Toc465842994 \h </w:instrText>
      </w:r>
      <w:r>
        <w:fldChar w:fldCharType="separate"/>
      </w:r>
      <w:r w:rsidR="00625DDF">
        <w:t>124</w:t>
      </w:r>
      <w:r>
        <w:fldChar w:fldCharType="end"/>
      </w:r>
    </w:p>
    <w:p w14:paraId="677C9FBE" w14:textId="77777777" w:rsidR="00637CD4" w:rsidRDefault="00637CD4" w:rsidP="00C53AB2">
      <w:pPr>
        <w:pStyle w:val="TOC3"/>
        <w:tabs>
          <w:tab w:val="clear" w:pos="7661"/>
          <w:tab w:val="right" w:pos="9072"/>
        </w:tabs>
        <w:rPr>
          <w:rFonts w:asciiTheme="minorHAnsi" w:eastAsiaTheme="minorEastAsia" w:hAnsiTheme="minorHAnsi" w:cstheme="minorBidi"/>
        </w:rPr>
      </w:pPr>
      <w:r>
        <w:t>Mobile number portability</w:t>
      </w:r>
      <w:r>
        <w:tab/>
      </w:r>
      <w:r>
        <w:fldChar w:fldCharType="begin"/>
      </w:r>
      <w:r>
        <w:instrText xml:space="preserve"> PAGEREF _Toc465842995 \h </w:instrText>
      </w:r>
      <w:r>
        <w:fldChar w:fldCharType="separate"/>
      </w:r>
      <w:r w:rsidR="00625DDF">
        <w:t>125</w:t>
      </w:r>
      <w:r>
        <w:fldChar w:fldCharType="end"/>
      </w:r>
    </w:p>
    <w:p w14:paraId="330925D3"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5.8.</w:t>
      </w:r>
      <w:r w:rsidR="00D62D01">
        <w:rPr>
          <w:rFonts w:asciiTheme="minorHAnsi" w:eastAsiaTheme="minorEastAsia" w:hAnsiTheme="minorHAnsi" w:cstheme="minorBidi"/>
          <w:spacing w:val="0"/>
          <w:sz w:val="22"/>
          <w:szCs w:val="22"/>
        </w:rPr>
        <w:t xml:space="preserve"> </w:t>
      </w:r>
      <w:r>
        <w:t>Telecommunications codes—development and review</w:t>
      </w:r>
      <w:r>
        <w:tab/>
      </w:r>
      <w:r>
        <w:fldChar w:fldCharType="begin"/>
      </w:r>
      <w:r>
        <w:instrText xml:space="preserve"> PAGEREF _Toc465842996 \h </w:instrText>
      </w:r>
      <w:r>
        <w:fldChar w:fldCharType="separate"/>
      </w:r>
      <w:r w:rsidR="00625DDF">
        <w:t>125</w:t>
      </w:r>
      <w:r>
        <w:fldChar w:fldCharType="end"/>
      </w:r>
    </w:p>
    <w:p w14:paraId="00FCD56A"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5.9.</w:t>
      </w:r>
      <w:r w:rsidR="00D62D01">
        <w:rPr>
          <w:rFonts w:asciiTheme="minorHAnsi" w:eastAsiaTheme="minorEastAsia" w:hAnsiTheme="minorHAnsi" w:cstheme="minorBidi"/>
          <w:spacing w:val="0"/>
          <w:sz w:val="22"/>
          <w:szCs w:val="22"/>
        </w:rPr>
        <w:t xml:space="preserve"> </w:t>
      </w:r>
      <w:r>
        <w:t>Industry compliance with telecommunications codes</w:t>
      </w:r>
      <w:r>
        <w:tab/>
      </w:r>
      <w:r>
        <w:fldChar w:fldCharType="begin"/>
      </w:r>
      <w:r>
        <w:instrText xml:space="preserve"> PAGEREF _Toc465842997 \h </w:instrText>
      </w:r>
      <w:r>
        <w:fldChar w:fldCharType="separate"/>
      </w:r>
      <w:r w:rsidR="00625DDF">
        <w:t>125</w:t>
      </w:r>
      <w:r>
        <w:fldChar w:fldCharType="end"/>
      </w:r>
    </w:p>
    <w:p w14:paraId="7E93FB1A" w14:textId="77777777" w:rsidR="00637CD4" w:rsidRDefault="00637CD4" w:rsidP="00C53AB2">
      <w:pPr>
        <w:pStyle w:val="TOC3"/>
        <w:tabs>
          <w:tab w:val="clear" w:pos="7661"/>
          <w:tab w:val="right" w:pos="9072"/>
        </w:tabs>
        <w:rPr>
          <w:rFonts w:asciiTheme="minorHAnsi" w:eastAsiaTheme="minorEastAsia" w:hAnsiTheme="minorHAnsi" w:cstheme="minorBidi"/>
        </w:rPr>
      </w:pPr>
      <w:r>
        <w:t>Compliance with the TCP Code</w:t>
      </w:r>
      <w:r>
        <w:tab/>
      </w:r>
      <w:r>
        <w:fldChar w:fldCharType="begin"/>
      </w:r>
      <w:r>
        <w:instrText xml:space="preserve"> PAGEREF _Toc465842998 \h </w:instrText>
      </w:r>
      <w:r>
        <w:fldChar w:fldCharType="separate"/>
      </w:r>
      <w:r w:rsidR="00625DDF">
        <w:t>125</w:t>
      </w:r>
      <w:r>
        <w:fldChar w:fldCharType="end"/>
      </w:r>
    </w:p>
    <w:p w14:paraId="0E150C1C"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lastRenderedPageBreak/>
        <w:t>5.10.</w:t>
      </w:r>
      <w:r w:rsidR="00D62D01">
        <w:rPr>
          <w:rFonts w:asciiTheme="minorHAnsi" w:eastAsiaTheme="minorEastAsia" w:hAnsiTheme="minorHAnsi" w:cstheme="minorBidi"/>
          <w:spacing w:val="0"/>
          <w:sz w:val="22"/>
          <w:szCs w:val="22"/>
        </w:rPr>
        <w:t xml:space="preserve"> </w:t>
      </w:r>
      <w:r>
        <w:t>Cabling</w:t>
      </w:r>
      <w:r>
        <w:tab/>
      </w:r>
      <w:r>
        <w:fldChar w:fldCharType="begin"/>
      </w:r>
      <w:r>
        <w:instrText xml:space="preserve"> PAGEREF _Toc465842999 \h </w:instrText>
      </w:r>
      <w:r>
        <w:fldChar w:fldCharType="separate"/>
      </w:r>
      <w:r w:rsidR="00625DDF">
        <w:t>127</w:t>
      </w:r>
      <w:r>
        <w:fldChar w:fldCharType="end"/>
      </w:r>
    </w:p>
    <w:p w14:paraId="587E5055" w14:textId="77777777" w:rsidR="00637CD4" w:rsidRDefault="00637CD4" w:rsidP="00C53AB2">
      <w:pPr>
        <w:pStyle w:val="TOC3"/>
        <w:tabs>
          <w:tab w:val="clear" w:pos="7661"/>
          <w:tab w:val="right" w:pos="9072"/>
        </w:tabs>
        <w:rPr>
          <w:rFonts w:asciiTheme="minorHAnsi" w:eastAsiaTheme="minorEastAsia" w:hAnsiTheme="minorHAnsi" w:cstheme="minorBidi"/>
        </w:rPr>
      </w:pPr>
      <w:r>
        <w:t>Registered cablers</w:t>
      </w:r>
      <w:r>
        <w:tab/>
      </w:r>
      <w:r>
        <w:fldChar w:fldCharType="begin"/>
      </w:r>
      <w:r>
        <w:instrText xml:space="preserve"> PAGEREF _Toc465843000 \h </w:instrText>
      </w:r>
      <w:r>
        <w:fldChar w:fldCharType="separate"/>
      </w:r>
      <w:r w:rsidR="00625DDF">
        <w:t>127</w:t>
      </w:r>
      <w:r>
        <w:fldChar w:fldCharType="end"/>
      </w:r>
    </w:p>
    <w:p w14:paraId="00DCB5A2" w14:textId="77777777" w:rsidR="00637CD4" w:rsidRDefault="00637CD4" w:rsidP="00C53AB2">
      <w:pPr>
        <w:pStyle w:val="TOC3"/>
        <w:tabs>
          <w:tab w:val="clear" w:pos="7661"/>
          <w:tab w:val="right" w:pos="9072"/>
        </w:tabs>
        <w:rPr>
          <w:rFonts w:asciiTheme="minorHAnsi" w:eastAsiaTheme="minorEastAsia" w:hAnsiTheme="minorHAnsi" w:cstheme="minorBidi"/>
        </w:rPr>
      </w:pPr>
      <w:r>
        <w:t>Cabling compliance</w:t>
      </w:r>
      <w:r>
        <w:tab/>
      </w:r>
      <w:r>
        <w:fldChar w:fldCharType="begin"/>
      </w:r>
      <w:r>
        <w:instrText xml:space="preserve"> PAGEREF _Toc465843001 \h </w:instrText>
      </w:r>
      <w:r>
        <w:fldChar w:fldCharType="separate"/>
      </w:r>
      <w:r w:rsidR="00625DDF">
        <w:t>127</w:t>
      </w:r>
      <w:r>
        <w:fldChar w:fldCharType="end"/>
      </w:r>
    </w:p>
    <w:p w14:paraId="2E30B8C8"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5.11.</w:t>
      </w:r>
      <w:r w:rsidR="00D62D01">
        <w:rPr>
          <w:rFonts w:asciiTheme="minorHAnsi" w:eastAsiaTheme="minorEastAsia" w:hAnsiTheme="minorHAnsi" w:cstheme="minorBidi"/>
          <w:spacing w:val="0"/>
          <w:sz w:val="22"/>
          <w:szCs w:val="22"/>
        </w:rPr>
        <w:t xml:space="preserve"> </w:t>
      </w:r>
      <w:r>
        <w:t>Do Not Call Register</w:t>
      </w:r>
      <w:r>
        <w:tab/>
      </w:r>
      <w:r>
        <w:fldChar w:fldCharType="begin"/>
      </w:r>
      <w:r>
        <w:instrText xml:space="preserve"> PAGEREF _Toc465843002 \h </w:instrText>
      </w:r>
      <w:r>
        <w:fldChar w:fldCharType="separate"/>
      </w:r>
      <w:r w:rsidR="00625DDF">
        <w:t>127</w:t>
      </w:r>
      <w:r>
        <w:fldChar w:fldCharType="end"/>
      </w:r>
    </w:p>
    <w:p w14:paraId="1E2D9B97"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5.12.</w:t>
      </w:r>
      <w:r w:rsidR="00D62D01">
        <w:rPr>
          <w:rFonts w:asciiTheme="minorHAnsi" w:eastAsiaTheme="minorEastAsia" w:hAnsiTheme="minorHAnsi" w:cstheme="minorBidi"/>
          <w:spacing w:val="0"/>
          <w:sz w:val="22"/>
          <w:szCs w:val="22"/>
        </w:rPr>
        <w:t xml:space="preserve"> </w:t>
      </w:r>
      <w:r>
        <w:t>Unsolicited communications—spam and telemarketing</w:t>
      </w:r>
      <w:r>
        <w:tab/>
      </w:r>
      <w:r>
        <w:fldChar w:fldCharType="begin"/>
      </w:r>
      <w:r>
        <w:instrText xml:space="preserve"> PAGEREF _Toc465843003 \h </w:instrText>
      </w:r>
      <w:r>
        <w:fldChar w:fldCharType="separate"/>
      </w:r>
      <w:r w:rsidR="00625DDF">
        <w:t>128</w:t>
      </w:r>
      <w:r>
        <w:fldChar w:fldCharType="end"/>
      </w:r>
    </w:p>
    <w:p w14:paraId="56B6A10B"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5.13.</w:t>
      </w:r>
      <w:r w:rsidR="00D62D01">
        <w:rPr>
          <w:rFonts w:asciiTheme="minorHAnsi" w:eastAsiaTheme="minorEastAsia" w:hAnsiTheme="minorHAnsi" w:cstheme="minorBidi"/>
          <w:spacing w:val="0"/>
          <w:sz w:val="22"/>
          <w:szCs w:val="22"/>
        </w:rPr>
        <w:t xml:space="preserve"> </w:t>
      </w:r>
      <w:r>
        <w:t>Australian Internet Security Initiative</w:t>
      </w:r>
      <w:r>
        <w:tab/>
      </w:r>
      <w:r>
        <w:fldChar w:fldCharType="begin"/>
      </w:r>
      <w:r>
        <w:instrText xml:space="preserve"> PAGEREF _Toc465843004 \h </w:instrText>
      </w:r>
      <w:r>
        <w:fldChar w:fldCharType="separate"/>
      </w:r>
      <w:r w:rsidR="00625DDF">
        <w:t>129</w:t>
      </w:r>
      <w:r>
        <w:fldChar w:fldCharType="end"/>
      </w:r>
    </w:p>
    <w:p w14:paraId="374D197F"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5.14.</w:t>
      </w:r>
      <w:r w:rsidR="00D62D01">
        <w:rPr>
          <w:rFonts w:asciiTheme="minorHAnsi" w:eastAsiaTheme="minorEastAsia" w:hAnsiTheme="minorHAnsi" w:cstheme="minorBidi"/>
          <w:spacing w:val="0"/>
          <w:sz w:val="22"/>
          <w:szCs w:val="22"/>
        </w:rPr>
        <w:t xml:space="preserve"> </w:t>
      </w:r>
      <w:r>
        <w:t>Industry compliance with TIO scheme</w:t>
      </w:r>
      <w:r>
        <w:tab/>
      </w:r>
      <w:r>
        <w:fldChar w:fldCharType="begin"/>
      </w:r>
      <w:r>
        <w:instrText xml:space="preserve"> PAGEREF _Toc465843005 \h </w:instrText>
      </w:r>
      <w:r>
        <w:fldChar w:fldCharType="separate"/>
      </w:r>
      <w:r w:rsidR="00625DDF">
        <w:t>130</w:t>
      </w:r>
      <w:r>
        <w:fldChar w:fldCharType="end"/>
      </w:r>
    </w:p>
    <w:p w14:paraId="23D7EDE9" w14:textId="77777777" w:rsidR="00637CD4" w:rsidRDefault="00637CD4" w:rsidP="00C53AB2">
      <w:pPr>
        <w:pStyle w:val="TOC2"/>
        <w:tabs>
          <w:tab w:val="clear" w:pos="7660"/>
          <w:tab w:val="left" w:pos="709"/>
          <w:tab w:val="right" w:pos="9072"/>
        </w:tabs>
        <w:ind w:right="567"/>
        <w:rPr>
          <w:rFonts w:asciiTheme="minorHAnsi" w:eastAsiaTheme="minorEastAsia" w:hAnsiTheme="minorHAnsi" w:cstheme="minorBidi"/>
          <w:spacing w:val="0"/>
          <w:sz w:val="22"/>
          <w:szCs w:val="22"/>
        </w:rPr>
      </w:pPr>
      <w:r>
        <w:t>5.15.</w:t>
      </w:r>
      <w:r w:rsidR="00D62D01">
        <w:rPr>
          <w:rFonts w:asciiTheme="minorHAnsi" w:eastAsiaTheme="minorEastAsia" w:hAnsiTheme="minorHAnsi" w:cstheme="minorBidi"/>
          <w:spacing w:val="0"/>
          <w:sz w:val="22"/>
          <w:szCs w:val="22"/>
        </w:rPr>
        <w:t xml:space="preserve"> </w:t>
      </w:r>
      <w:r>
        <w:t>Complaints to the TIO</w:t>
      </w:r>
      <w:r>
        <w:tab/>
      </w:r>
      <w:r>
        <w:fldChar w:fldCharType="begin"/>
      </w:r>
      <w:r>
        <w:instrText xml:space="preserve"> PAGEREF _Toc465843006 \h </w:instrText>
      </w:r>
      <w:r>
        <w:fldChar w:fldCharType="separate"/>
      </w:r>
      <w:r w:rsidR="00625DDF">
        <w:t>131</w:t>
      </w:r>
      <w:r>
        <w:fldChar w:fldCharType="end"/>
      </w:r>
    </w:p>
    <w:p w14:paraId="2DCED624" w14:textId="77777777" w:rsidR="00637CD4" w:rsidRPr="00C53AB2" w:rsidRDefault="00637CD4" w:rsidP="00C53AB2">
      <w:pPr>
        <w:pStyle w:val="TOC1"/>
        <w:tabs>
          <w:tab w:val="clear" w:pos="7660"/>
          <w:tab w:val="right" w:pos="9072"/>
        </w:tabs>
        <w:rPr>
          <w:rFonts w:asciiTheme="minorHAnsi" w:eastAsiaTheme="minorEastAsia" w:hAnsiTheme="minorHAnsi" w:cstheme="minorBidi"/>
          <w:b w:val="0"/>
          <w:color w:val="007298"/>
          <w:spacing w:val="0"/>
          <w:sz w:val="22"/>
          <w:szCs w:val="22"/>
        </w:rPr>
      </w:pPr>
      <w:r w:rsidRPr="00C53AB2">
        <w:rPr>
          <w:color w:val="007298"/>
        </w:rPr>
        <w:t>Appendix—Research methodology</w:t>
      </w:r>
      <w:r w:rsidRPr="00C53AB2">
        <w:rPr>
          <w:color w:val="007298"/>
        </w:rPr>
        <w:tab/>
      </w:r>
      <w:r w:rsidRPr="00C53AB2">
        <w:rPr>
          <w:color w:val="007298"/>
        </w:rPr>
        <w:fldChar w:fldCharType="begin"/>
      </w:r>
      <w:r w:rsidRPr="00C53AB2">
        <w:rPr>
          <w:color w:val="007298"/>
        </w:rPr>
        <w:instrText xml:space="preserve"> PAGEREF _Toc465843007 \h </w:instrText>
      </w:r>
      <w:r w:rsidRPr="00C53AB2">
        <w:rPr>
          <w:color w:val="007298"/>
        </w:rPr>
      </w:r>
      <w:r w:rsidRPr="00C53AB2">
        <w:rPr>
          <w:color w:val="007298"/>
        </w:rPr>
        <w:fldChar w:fldCharType="separate"/>
      </w:r>
      <w:r w:rsidR="00625DDF">
        <w:rPr>
          <w:color w:val="007298"/>
        </w:rPr>
        <w:t>133</w:t>
      </w:r>
      <w:r w:rsidRPr="00C53AB2">
        <w:rPr>
          <w:color w:val="007298"/>
        </w:rPr>
        <w:fldChar w:fldCharType="end"/>
      </w:r>
    </w:p>
    <w:p w14:paraId="72F9FC64" w14:textId="77777777" w:rsidR="00637CD4" w:rsidRPr="00C53AB2" w:rsidRDefault="00637CD4" w:rsidP="00C53AB2">
      <w:pPr>
        <w:pStyle w:val="TOC1"/>
        <w:tabs>
          <w:tab w:val="clear" w:pos="7660"/>
          <w:tab w:val="right" w:pos="9072"/>
        </w:tabs>
        <w:rPr>
          <w:rFonts w:asciiTheme="minorHAnsi" w:eastAsiaTheme="minorEastAsia" w:hAnsiTheme="minorHAnsi" w:cstheme="minorBidi"/>
          <w:b w:val="0"/>
          <w:color w:val="007298"/>
          <w:spacing w:val="0"/>
          <w:sz w:val="22"/>
          <w:szCs w:val="22"/>
        </w:rPr>
      </w:pPr>
      <w:r w:rsidRPr="00C53AB2">
        <w:rPr>
          <w:color w:val="007298"/>
        </w:rPr>
        <w:t>Glossary</w:t>
      </w:r>
      <w:r w:rsidRPr="00C53AB2">
        <w:rPr>
          <w:color w:val="007298"/>
        </w:rPr>
        <w:tab/>
      </w:r>
      <w:r w:rsidRPr="00C53AB2">
        <w:rPr>
          <w:color w:val="007298"/>
        </w:rPr>
        <w:fldChar w:fldCharType="begin"/>
      </w:r>
      <w:r w:rsidRPr="00C53AB2">
        <w:rPr>
          <w:color w:val="007298"/>
        </w:rPr>
        <w:instrText xml:space="preserve"> PAGEREF _Toc465843008 \h </w:instrText>
      </w:r>
      <w:r w:rsidRPr="00C53AB2">
        <w:rPr>
          <w:color w:val="007298"/>
        </w:rPr>
      </w:r>
      <w:r w:rsidRPr="00C53AB2">
        <w:rPr>
          <w:color w:val="007298"/>
        </w:rPr>
        <w:fldChar w:fldCharType="separate"/>
      </w:r>
      <w:r w:rsidR="00625DDF">
        <w:rPr>
          <w:color w:val="007298"/>
        </w:rPr>
        <w:t>135</w:t>
      </w:r>
      <w:r w:rsidRPr="00C53AB2">
        <w:rPr>
          <w:color w:val="007298"/>
        </w:rPr>
        <w:fldChar w:fldCharType="end"/>
      </w:r>
    </w:p>
    <w:p w14:paraId="7B5475F2" w14:textId="77777777" w:rsidR="00637CD4" w:rsidRPr="00C53AB2" w:rsidRDefault="00637CD4" w:rsidP="00C53AB2">
      <w:pPr>
        <w:pStyle w:val="TOC1"/>
        <w:tabs>
          <w:tab w:val="clear" w:pos="7660"/>
          <w:tab w:val="right" w:pos="9072"/>
        </w:tabs>
        <w:rPr>
          <w:rFonts w:asciiTheme="minorHAnsi" w:eastAsiaTheme="minorEastAsia" w:hAnsiTheme="minorHAnsi" w:cstheme="minorBidi"/>
          <w:b w:val="0"/>
          <w:color w:val="007298"/>
          <w:spacing w:val="0"/>
          <w:sz w:val="22"/>
          <w:szCs w:val="22"/>
        </w:rPr>
      </w:pPr>
      <w:r w:rsidRPr="00C53AB2">
        <w:rPr>
          <w:color w:val="007298"/>
        </w:rPr>
        <w:t>Index</w:t>
      </w:r>
      <w:r w:rsidRPr="00C53AB2">
        <w:rPr>
          <w:color w:val="007298"/>
        </w:rPr>
        <w:tab/>
      </w:r>
      <w:r w:rsidRPr="00C53AB2">
        <w:rPr>
          <w:color w:val="007298"/>
        </w:rPr>
        <w:fldChar w:fldCharType="begin"/>
      </w:r>
      <w:r w:rsidRPr="00C53AB2">
        <w:rPr>
          <w:color w:val="007298"/>
        </w:rPr>
        <w:instrText xml:space="preserve"> PAGEREF _Toc465843009 \h </w:instrText>
      </w:r>
      <w:r w:rsidRPr="00C53AB2">
        <w:rPr>
          <w:color w:val="007298"/>
        </w:rPr>
      </w:r>
      <w:r w:rsidRPr="00C53AB2">
        <w:rPr>
          <w:color w:val="007298"/>
        </w:rPr>
        <w:fldChar w:fldCharType="separate"/>
      </w:r>
      <w:r w:rsidR="00625DDF">
        <w:rPr>
          <w:color w:val="007298"/>
        </w:rPr>
        <w:t>144</w:t>
      </w:r>
      <w:r w:rsidRPr="00C53AB2">
        <w:rPr>
          <w:color w:val="007298"/>
        </w:rPr>
        <w:fldChar w:fldCharType="end"/>
      </w:r>
    </w:p>
    <w:p w14:paraId="723DBB39" w14:textId="77777777" w:rsidR="004D56FF" w:rsidRPr="007A4882" w:rsidRDefault="00092CF5" w:rsidP="007A4882">
      <w:pPr>
        <w:tabs>
          <w:tab w:val="left" w:pos="8789"/>
          <w:tab w:val="right" w:pos="9072"/>
          <w:tab w:val="right" w:pos="9356"/>
        </w:tabs>
        <w:ind w:right="425"/>
        <w:rPr>
          <w:rFonts w:cs="Arial"/>
        </w:rPr>
        <w:sectPr w:rsidR="004D56FF" w:rsidRPr="007A4882" w:rsidSect="00531CD0">
          <w:headerReference w:type="even" r:id="rId26"/>
          <w:headerReference w:type="default" r:id="rId27"/>
          <w:footerReference w:type="even" r:id="rId28"/>
          <w:footerReference w:type="default" r:id="rId29"/>
          <w:footerReference w:type="first" r:id="rId30"/>
          <w:pgSz w:w="11906" w:h="16838" w:code="9"/>
          <w:pgMar w:top="3646" w:right="1133" w:bottom="1134" w:left="1134" w:header="709" w:footer="119" w:gutter="0"/>
          <w:cols w:space="708"/>
          <w:titlePg/>
          <w:docGrid w:linePitch="360"/>
        </w:sectPr>
      </w:pPr>
      <w:r>
        <w:rPr>
          <w:rFonts w:cs="Arial"/>
          <w:noProof/>
          <w:spacing w:val="-14"/>
          <w:sz w:val="28"/>
        </w:rPr>
        <w:fldChar w:fldCharType="end"/>
      </w:r>
    </w:p>
    <w:p w14:paraId="454472B7" w14:textId="77777777" w:rsidR="00A42E26" w:rsidRPr="00F772A4" w:rsidRDefault="009C583C" w:rsidP="00580A5F">
      <w:pPr>
        <w:pStyle w:val="Heading1"/>
        <w:spacing w:after="1440"/>
      </w:pPr>
      <w:bookmarkStart w:id="3" w:name="_Toc463528983"/>
      <w:bookmarkStart w:id="4" w:name="_Toc465842804"/>
      <w:bookmarkStart w:id="5" w:name="_Toc399331702"/>
      <w:bookmarkStart w:id="6" w:name="_Toc399336883"/>
      <w:bookmarkStart w:id="7" w:name="_Toc402337487"/>
      <w:bookmarkStart w:id="8" w:name="_Toc285789710"/>
      <w:bookmarkStart w:id="9" w:name="_Toc285791789"/>
      <w:r>
        <w:rPr>
          <w:noProof/>
        </w:rPr>
        <w:lastRenderedPageBreak/>
        <w:drawing>
          <wp:anchor distT="0" distB="0" distL="107950" distR="107950" simplePos="0" relativeHeight="251660299" behindDoc="0" locked="0" layoutInCell="1" allowOverlap="1" wp14:anchorId="0CD5FB33" wp14:editId="0ADA6E8D">
            <wp:simplePos x="0" y="0"/>
            <wp:positionH relativeFrom="margin">
              <wp:posOffset>4396740</wp:posOffset>
            </wp:positionH>
            <wp:positionV relativeFrom="paragraph">
              <wp:posOffset>1271270</wp:posOffset>
            </wp:positionV>
            <wp:extent cx="1390015" cy="2089150"/>
            <wp:effectExtent l="57150" t="57150" r="114935" b="120650"/>
            <wp:wrapSquare wrapText="bothSides"/>
            <wp:docPr id="21" name="Picture 21" title="Richard 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Bean_B&amp;W.jpg"/>
                    <pic:cNvPicPr/>
                  </pic:nvPicPr>
                  <pic:blipFill>
                    <a:blip r:embed="rId31">
                      <a:extLst>
                        <a:ext uri="{28A0092B-C50C-407E-A947-70E740481C1C}">
                          <a14:useLocalDpi xmlns:a14="http://schemas.microsoft.com/office/drawing/2010/main" val="0"/>
                        </a:ext>
                      </a:extLst>
                    </a:blip>
                    <a:stretch>
                      <a:fillRect/>
                    </a:stretch>
                  </pic:blipFill>
                  <pic:spPr>
                    <a:xfrm>
                      <a:off x="0" y="0"/>
                      <a:ext cx="1390015" cy="2089150"/>
                    </a:xfrm>
                    <a:prstGeom prst="rect">
                      <a:avLst/>
                    </a:prstGeom>
                    <a:ln w="3175">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42E26" w:rsidRPr="00F772A4">
        <w:t>C</w:t>
      </w:r>
      <w:r w:rsidR="00A42E26" w:rsidRPr="00C53AB2">
        <w:t>hairma</w:t>
      </w:r>
      <w:r w:rsidR="00A42E26" w:rsidRPr="00F772A4">
        <w:t>n’s foreword</w:t>
      </w:r>
      <w:bookmarkEnd w:id="3"/>
      <w:bookmarkEnd w:id="4"/>
    </w:p>
    <w:bookmarkEnd w:id="2"/>
    <w:p w14:paraId="6DF1BDCE" w14:textId="77777777" w:rsidR="008A16D5" w:rsidRPr="0011763E" w:rsidRDefault="008A16D5" w:rsidP="008A16D5">
      <w:r w:rsidRPr="0011763E">
        <w:t xml:space="preserve">I am </w:t>
      </w:r>
      <w:r w:rsidR="002C5170">
        <w:t>delighted</w:t>
      </w:r>
      <w:r w:rsidRPr="0011763E">
        <w:t xml:space="preserve"> to present the ACMA </w:t>
      </w:r>
      <w:r w:rsidRPr="009C1BE9">
        <w:rPr>
          <w:i/>
        </w:rPr>
        <w:t>Communications report 2015</w:t>
      </w:r>
      <w:r w:rsidR="00E62882" w:rsidRPr="009C1BE9">
        <w:rPr>
          <w:i/>
        </w:rPr>
        <w:t>–</w:t>
      </w:r>
      <w:r w:rsidRPr="009C1BE9">
        <w:rPr>
          <w:i/>
        </w:rPr>
        <w:t>16</w:t>
      </w:r>
      <w:r w:rsidRPr="0011763E">
        <w:t xml:space="preserve">. </w:t>
      </w:r>
      <w:r w:rsidR="009F010F">
        <w:br/>
      </w:r>
      <w:r w:rsidRPr="0011763E">
        <w:t>This is the 11</w:t>
      </w:r>
      <w:r w:rsidRPr="0011763E">
        <w:rPr>
          <w:vertAlign w:val="superscript"/>
        </w:rPr>
        <w:t>th</w:t>
      </w:r>
      <w:r w:rsidRPr="0011763E">
        <w:t xml:space="preserve"> consecutive edition of this report produced since the Australian Communications and Media Authority was formed in July 2005. </w:t>
      </w:r>
    </w:p>
    <w:p w14:paraId="6E0B742E" w14:textId="77777777" w:rsidR="008A16D5" w:rsidRPr="0011763E" w:rsidRDefault="008A16D5" w:rsidP="008A16D5">
      <w:r w:rsidRPr="0011763E">
        <w:t xml:space="preserve">The Communications report provides a comprehensive overview of the evolving communications and media environment in Australia, with a particular emphasis this year on the continued investment in mobile and fixed broadband infrastructure, </w:t>
      </w:r>
      <w:r w:rsidR="002C5170">
        <w:t>along with discussion of</w:t>
      </w:r>
      <w:r w:rsidRPr="0011763E">
        <w:t xml:space="preserve"> continued changes in the way Australians engage with digital content and devices.</w:t>
      </w:r>
    </w:p>
    <w:p w14:paraId="4874FBBA" w14:textId="77777777" w:rsidR="008A16D5" w:rsidRPr="0011763E" w:rsidRDefault="008A16D5" w:rsidP="008A16D5">
      <w:r w:rsidRPr="0011763E">
        <w:t>Australians</w:t>
      </w:r>
      <w:r w:rsidR="00E62882">
        <w:t>’</w:t>
      </w:r>
      <w:r w:rsidRPr="0011763E">
        <w:t xml:space="preserve"> appetite for content and digital data is driving profound changes across all the key enabling elements of the communications sector. In this past year, data download volumes increased by 52 per </w:t>
      </w:r>
      <w:r w:rsidR="009F010F">
        <w:br/>
      </w:r>
      <w:r w:rsidRPr="0011763E">
        <w:t>cent to o</w:t>
      </w:r>
      <w:r w:rsidR="009C583C">
        <w:t>ver 2.2 million terabytes (a 114</w:t>
      </w:r>
      <w:r w:rsidRPr="0011763E">
        <w:t xml:space="preserve"> </w:t>
      </w:r>
      <w:r>
        <w:t>per cent increase in two</w:t>
      </w:r>
      <w:r w:rsidR="00802E8D">
        <w:t> </w:t>
      </w:r>
      <w:r w:rsidRPr="0011763E">
        <w:t xml:space="preserve">years). </w:t>
      </w:r>
    </w:p>
    <w:p w14:paraId="4AE9E184" w14:textId="77777777" w:rsidR="008A16D5" w:rsidRPr="0011763E" w:rsidRDefault="002C5170" w:rsidP="008A16D5">
      <w:r>
        <w:t xml:space="preserve">Infrastructure investment in both </w:t>
      </w:r>
      <w:r w:rsidR="009F010F">
        <w:t xml:space="preserve">fixed-line and mobile </w:t>
      </w:r>
      <w:r>
        <w:t xml:space="preserve">broadband networks has accelerated as </w:t>
      </w:r>
      <w:r w:rsidR="00545C09">
        <w:t>n</w:t>
      </w:r>
      <w:r w:rsidR="00335BCB" w:rsidRPr="0011763E">
        <w:t xml:space="preserve">etwork operators </w:t>
      </w:r>
      <w:r w:rsidR="006E12F2">
        <w:t>significantly</w:t>
      </w:r>
      <w:r w:rsidR="008A16D5" w:rsidRPr="0011763E">
        <w:t xml:space="preserve"> expand the capacity of their communications networks</w:t>
      </w:r>
      <w:r w:rsidR="00885D8A">
        <w:t xml:space="preserve">. </w:t>
      </w:r>
      <w:r w:rsidR="00802E8D">
        <w:t>For example, w</w:t>
      </w:r>
      <w:r w:rsidR="00885D8A">
        <w:t>e have seen</w:t>
      </w:r>
      <w:r w:rsidR="008A16D5" w:rsidRPr="0011763E">
        <w:t xml:space="preserve"> increased interest in the submarine cable infrastructure connecting Australia to the rest of the world. All mobile network providers substantially extended their 4G network coverage</w:t>
      </w:r>
      <w:r w:rsidR="00272779">
        <w:t>,</w:t>
      </w:r>
      <w:r w:rsidR="008A16D5" w:rsidRPr="0011763E">
        <w:t xml:space="preserve"> as well as announcing a commitment to work towards commercial 5G mobile network deployment by 2020</w:t>
      </w:r>
      <w:r w:rsidR="00B60442">
        <w:t>. N</w:t>
      </w:r>
      <w:r w:rsidR="008A16D5" w:rsidRPr="0011763E">
        <w:t xml:space="preserve">etwork coverage for the </w:t>
      </w:r>
      <w:r w:rsidR="00200FA6">
        <w:t>National Broadband Network</w:t>
      </w:r>
      <w:r w:rsidR="00200FA6" w:rsidRPr="0011763E">
        <w:t xml:space="preserve"> </w:t>
      </w:r>
      <w:r w:rsidR="008A16D5" w:rsidRPr="0011763E">
        <w:t>continues to expand, now with over one million premises activated.</w:t>
      </w:r>
    </w:p>
    <w:p w14:paraId="097D61B8" w14:textId="77777777" w:rsidR="006E12F2" w:rsidRDefault="006E12F2" w:rsidP="008A16D5">
      <w:r>
        <w:t>Despite</w:t>
      </w:r>
      <w:r w:rsidRPr="0011763E">
        <w:t xml:space="preserve"> </w:t>
      </w:r>
      <w:r>
        <w:t>declines in the shipment of smartphones and tablets in the 12 months to June 2016, more and</w:t>
      </w:r>
      <w:r w:rsidRPr="0011763E">
        <w:t xml:space="preserve"> more activities undertaken online across a range of devices</w:t>
      </w:r>
      <w:r>
        <w:t xml:space="preserve"> suggest future growth in online activity will be</w:t>
      </w:r>
      <w:r w:rsidR="001C2C99">
        <w:t> </w:t>
      </w:r>
      <w:r>
        <w:t>driven by change in usage patterns, rather than subscriber growth.</w:t>
      </w:r>
      <w:r w:rsidRPr="0011763E">
        <w:t xml:space="preserve"> </w:t>
      </w:r>
    </w:p>
    <w:p w14:paraId="2A1A7E60" w14:textId="77777777" w:rsidR="008A16D5" w:rsidRPr="0011763E" w:rsidRDefault="008A16D5" w:rsidP="008A16D5">
      <w:r w:rsidRPr="0011763E">
        <w:t>In the services market, this data-driven shift is most notable in the changing profile of service subscriptions. While fixed</w:t>
      </w:r>
      <w:r w:rsidR="00AF1039">
        <w:t xml:space="preserve">-line telephone </w:t>
      </w:r>
      <w:r>
        <w:t>services in operation</w:t>
      </w:r>
      <w:r w:rsidRPr="0011763E">
        <w:t xml:space="preserve"> continued to decline, mobile phone subscriptions grew</w:t>
      </w:r>
      <w:r w:rsidR="00B60442">
        <w:t>,</w:t>
      </w:r>
      <w:r w:rsidRPr="0011763E">
        <w:t xml:space="preserve"> </w:t>
      </w:r>
      <w:r w:rsidR="00AD4081">
        <w:t>albeit</w:t>
      </w:r>
      <w:r w:rsidRPr="0011763E">
        <w:t xml:space="preserve"> at a slower rate than in previous years. Internet subscriptions continued to grow, with an increased share of that growth coming from fibre connections. </w:t>
      </w:r>
    </w:p>
    <w:p w14:paraId="556EFAFF" w14:textId="77777777" w:rsidR="002C27C5" w:rsidRDefault="008A16D5" w:rsidP="008A16D5">
      <w:r w:rsidRPr="0011763E">
        <w:t xml:space="preserve">Content delivery and </w:t>
      </w:r>
      <w:r w:rsidR="00272779">
        <w:t xml:space="preserve">the </w:t>
      </w:r>
      <w:r w:rsidRPr="0011763E">
        <w:t xml:space="preserve">viewing behaviours </w:t>
      </w:r>
      <w:r w:rsidR="00AD4081">
        <w:t xml:space="preserve">of Australians </w:t>
      </w:r>
      <w:r w:rsidRPr="0011763E">
        <w:t>are driving significant developments</w:t>
      </w:r>
      <w:r w:rsidR="00E7565A">
        <w:t>,</w:t>
      </w:r>
      <w:r w:rsidRPr="0011763E">
        <w:t xml:space="preserve"> not only in the online content and broadcasting sectors, but more broadly across the communications industry. </w:t>
      </w:r>
      <w:r w:rsidR="00AD4081" w:rsidRPr="0011763E">
        <w:t xml:space="preserve">In </w:t>
      </w:r>
      <w:r w:rsidR="00AD4081">
        <w:t>fewer</w:t>
      </w:r>
      <w:r w:rsidR="00AD4081" w:rsidRPr="0011763E">
        <w:t xml:space="preserve"> than two years, subscription video on demand services recorded around 2.7 million paid, free o</w:t>
      </w:r>
      <w:r w:rsidR="00AD4081">
        <w:t>r</w:t>
      </w:r>
      <w:r w:rsidR="00AD4081" w:rsidRPr="0011763E">
        <w:t xml:space="preserve"> trial subscriptions, reflecting that online content viewing is now firmly established in Australia.</w:t>
      </w:r>
      <w:r w:rsidR="00AD4081">
        <w:t xml:space="preserve"> M</w:t>
      </w:r>
      <w:r w:rsidRPr="0011763E">
        <w:t xml:space="preserve">ore than two-thirds of online Australian adults </w:t>
      </w:r>
      <w:r w:rsidR="00802E8D">
        <w:t xml:space="preserve">now </w:t>
      </w:r>
      <w:r w:rsidR="002C27C5">
        <w:t>go online to view</w:t>
      </w:r>
      <w:r w:rsidR="00802E8D">
        <w:t xml:space="preserve"> video content</w:t>
      </w:r>
      <w:r w:rsidR="006E12F2">
        <w:t xml:space="preserve"> </w:t>
      </w:r>
      <w:r w:rsidR="00802E8D">
        <w:t>and</w:t>
      </w:r>
      <w:r w:rsidR="006E12F2">
        <w:t xml:space="preserve"> </w:t>
      </w:r>
      <w:r w:rsidRPr="0011763E">
        <w:t>more than half listen</w:t>
      </w:r>
      <w:r w:rsidR="00802E8D">
        <w:t xml:space="preserve"> to audio content online</w:t>
      </w:r>
      <w:r w:rsidRPr="0011763E">
        <w:t>.</w:t>
      </w:r>
    </w:p>
    <w:p w14:paraId="1D9FE57A" w14:textId="77777777" w:rsidR="008A16D5" w:rsidRPr="0011763E" w:rsidRDefault="008A16D5" w:rsidP="008A16D5">
      <w:r w:rsidRPr="0011763E">
        <w:t xml:space="preserve">While the </w:t>
      </w:r>
      <w:r w:rsidRPr="0011763E">
        <w:rPr>
          <w:lang w:val="en-US"/>
        </w:rPr>
        <w:t xml:space="preserve">average time </w:t>
      </w:r>
      <w:r w:rsidR="00E7565A">
        <w:rPr>
          <w:lang w:val="en-US"/>
        </w:rPr>
        <w:t xml:space="preserve">audiences </w:t>
      </w:r>
      <w:r w:rsidRPr="0011763E">
        <w:rPr>
          <w:lang w:val="en-US"/>
        </w:rPr>
        <w:t>spen</w:t>
      </w:r>
      <w:r w:rsidR="00E7565A">
        <w:rPr>
          <w:lang w:val="en-US"/>
        </w:rPr>
        <w:t>d</w:t>
      </w:r>
      <w:r w:rsidRPr="0011763E">
        <w:rPr>
          <w:lang w:val="en-US"/>
        </w:rPr>
        <w:t xml:space="preserve"> watching </w:t>
      </w:r>
      <w:r w:rsidR="00B60442">
        <w:rPr>
          <w:lang w:val="en-US"/>
        </w:rPr>
        <w:t>f</w:t>
      </w:r>
      <w:r w:rsidRPr="0011763E">
        <w:rPr>
          <w:lang w:val="en-US"/>
        </w:rPr>
        <w:t>ree</w:t>
      </w:r>
      <w:r w:rsidR="00B60442">
        <w:rPr>
          <w:lang w:val="en-US"/>
        </w:rPr>
        <w:t>-t</w:t>
      </w:r>
      <w:r w:rsidRPr="0011763E">
        <w:rPr>
          <w:lang w:val="en-US"/>
        </w:rPr>
        <w:t>o</w:t>
      </w:r>
      <w:r w:rsidR="00B60442">
        <w:rPr>
          <w:lang w:val="en-US"/>
        </w:rPr>
        <w:t>-a</w:t>
      </w:r>
      <w:r w:rsidRPr="0011763E">
        <w:rPr>
          <w:lang w:val="en-US"/>
        </w:rPr>
        <w:t xml:space="preserve">ir television continues to experience a slight decline, </w:t>
      </w:r>
      <w:r w:rsidRPr="0011763E">
        <w:t>broadcast television remains the main source of news for adult Australians</w:t>
      </w:r>
      <w:r w:rsidR="00B60442">
        <w:t>,</w:t>
      </w:r>
      <w:r w:rsidRPr="0011763E">
        <w:t xml:space="preserve"> with 36 per cent </w:t>
      </w:r>
      <w:r w:rsidR="002C27C5">
        <w:t>getting</w:t>
      </w:r>
      <w:r w:rsidRPr="0011763E">
        <w:t xml:space="preserve"> their news </w:t>
      </w:r>
      <w:r w:rsidR="002C27C5">
        <w:t>from</w:t>
      </w:r>
      <w:r w:rsidR="002C27C5" w:rsidRPr="0011763E">
        <w:t xml:space="preserve"> </w:t>
      </w:r>
      <w:r w:rsidRPr="0011763E">
        <w:t xml:space="preserve">television. </w:t>
      </w:r>
      <w:r w:rsidR="006E12F2">
        <w:t>While l</w:t>
      </w:r>
      <w:r w:rsidR="00B60442">
        <w:t>istening to the r</w:t>
      </w:r>
      <w:r w:rsidRPr="0011763E">
        <w:t xml:space="preserve">adio continues to be popular, </w:t>
      </w:r>
      <w:r w:rsidR="006E12F2">
        <w:t>Australians spend</w:t>
      </w:r>
      <w:r w:rsidRPr="0011763E">
        <w:t xml:space="preserve"> more time list</w:t>
      </w:r>
      <w:r w:rsidR="00B60442">
        <w:t>en</w:t>
      </w:r>
      <w:r w:rsidRPr="0011763E">
        <w:t>ing to traditional radio (AM and FM) than digital radio or the radio online.</w:t>
      </w:r>
    </w:p>
    <w:p w14:paraId="1A332ED2" w14:textId="77777777" w:rsidR="008A16D5" w:rsidRPr="0011763E" w:rsidRDefault="008A16D5" w:rsidP="00417292">
      <w:pPr>
        <w:keepNext/>
        <w:keepLines/>
      </w:pPr>
      <w:r w:rsidRPr="0011763E">
        <w:lastRenderedPageBreak/>
        <w:t xml:space="preserve">I commend the ACMA Communications report to </w:t>
      </w:r>
      <w:r w:rsidR="002C27C5">
        <w:t>policy-makers, industry and interested citizens</w:t>
      </w:r>
      <w:r w:rsidRPr="0011763E">
        <w:t xml:space="preserve"> as a</w:t>
      </w:r>
      <w:r w:rsidR="002C27C5">
        <w:t xml:space="preserve"> vital source of indepe</w:t>
      </w:r>
      <w:r w:rsidRPr="0011763E">
        <w:t>n</w:t>
      </w:r>
      <w:r w:rsidR="002C27C5">
        <w:t xml:space="preserve">dent </w:t>
      </w:r>
      <w:r w:rsidRPr="0011763E">
        <w:t>evidence</w:t>
      </w:r>
      <w:r w:rsidR="002C27C5">
        <w:t>,</w:t>
      </w:r>
      <w:r w:rsidRPr="0011763E">
        <w:t xml:space="preserve"> providing information </w:t>
      </w:r>
      <w:r w:rsidR="002C27C5">
        <w:t>about</w:t>
      </w:r>
      <w:r w:rsidR="00E7565A">
        <w:t>,</w:t>
      </w:r>
      <w:r w:rsidR="002C27C5">
        <w:t xml:space="preserve"> </w:t>
      </w:r>
      <w:r w:rsidRPr="0011763E">
        <w:t xml:space="preserve">and analysis </w:t>
      </w:r>
      <w:r w:rsidR="002C27C5">
        <w:t>of</w:t>
      </w:r>
      <w:r w:rsidR="00E7565A">
        <w:t>,</w:t>
      </w:r>
      <w:r w:rsidRPr="0011763E">
        <w:t xml:space="preserve"> the rapid change and innovation occurring in Australia’s communications and media environment. </w:t>
      </w:r>
    </w:p>
    <w:p w14:paraId="3897FC4A" w14:textId="77777777" w:rsidR="008A16D5" w:rsidRPr="0011763E" w:rsidRDefault="002C27C5" w:rsidP="00417292">
      <w:pPr>
        <w:keepNext/>
        <w:keepLines/>
      </w:pPr>
      <w:r>
        <w:t>As always, t</w:t>
      </w:r>
      <w:r w:rsidR="008A16D5" w:rsidRPr="0011763E">
        <w:t>he ACMA welcome</w:t>
      </w:r>
      <w:r>
        <w:t>s</w:t>
      </w:r>
      <w:r w:rsidR="008A16D5" w:rsidRPr="0011763E">
        <w:t xml:space="preserve"> feedback on this report.</w:t>
      </w:r>
    </w:p>
    <w:p w14:paraId="39B68018" w14:textId="77777777" w:rsidR="008A16D5" w:rsidRPr="0011763E" w:rsidRDefault="00B0330E" w:rsidP="008A16D5">
      <w:r>
        <w:rPr>
          <w:noProof/>
        </w:rPr>
        <w:drawing>
          <wp:inline distT="0" distB="0" distL="0" distR="0" wp14:anchorId="4D3EBB97" wp14:editId="7AAF724F">
            <wp:extent cx="2985168" cy="536860"/>
            <wp:effectExtent l="0" t="0" r="5715" b="0"/>
            <wp:docPr id="2" name="Picture 2" title="Richard Bea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chard Bean signature.jpg"/>
                    <pic:cNvPicPr/>
                  </pic:nvPicPr>
                  <pic:blipFill>
                    <a:blip r:embed="rId32">
                      <a:extLst>
                        <a:ext uri="{28A0092B-C50C-407E-A947-70E740481C1C}">
                          <a14:useLocalDpi xmlns:a14="http://schemas.microsoft.com/office/drawing/2010/main" val="0"/>
                        </a:ext>
                      </a:extLst>
                    </a:blip>
                    <a:stretch>
                      <a:fillRect/>
                    </a:stretch>
                  </pic:blipFill>
                  <pic:spPr>
                    <a:xfrm>
                      <a:off x="0" y="0"/>
                      <a:ext cx="3056332" cy="549658"/>
                    </a:xfrm>
                    <a:prstGeom prst="rect">
                      <a:avLst/>
                    </a:prstGeom>
                  </pic:spPr>
                </pic:pic>
              </a:graphicData>
            </a:graphic>
          </wp:inline>
        </w:drawing>
      </w:r>
    </w:p>
    <w:p w14:paraId="295CF110" w14:textId="77777777" w:rsidR="00900A5E" w:rsidRPr="00580A5F" w:rsidRDefault="008A16D5" w:rsidP="009C1BE9">
      <w:pPr>
        <w:rPr>
          <w:lang w:val="en-US"/>
        </w:rPr>
      </w:pPr>
      <w:r w:rsidRPr="0011763E">
        <w:t>Richard Bean</w:t>
      </w:r>
      <w:r w:rsidRPr="0011763E">
        <w:br/>
        <w:t>Acting Chairman</w:t>
      </w:r>
    </w:p>
    <w:p w14:paraId="6D98AC35" w14:textId="77777777" w:rsidR="00580A5F" w:rsidRPr="004A6310" w:rsidRDefault="00F772A4" w:rsidP="00580A5F">
      <w:pPr>
        <w:pStyle w:val="Heading1"/>
      </w:pPr>
      <w:bookmarkStart w:id="10" w:name="_Toc462132186"/>
      <w:bookmarkStart w:id="11" w:name="_Toc462899503"/>
      <w:bookmarkStart w:id="12" w:name="_Toc463528984"/>
      <w:bookmarkStart w:id="13" w:name="_Toc465842805"/>
      <w:bookmarkStart w:id="14" w:name="_Toc399331687"/>
      <w:bookmarkStart w:id="15" w:name="_Toc399336868"/>
      <w:r>
        <w:lastRenderedPageBreak/>
        <w:t xml:space="preserve">Introduction and </w:t>
      </w:r>
      <w:r w:rsidR="00580A5F" w:rsidRPr="004A6310">
        <w:t>executive summary</w:t>
      </w:r>
      <w:bookmarkEnd w:id="10"/>
      <w:bookmarkEnd w:id="11"/>
      <w:bookmarkEnd w:id="12"/>
      <w:bookmarkEnd w:id="13"/>
    </w:p>
    <w:p w14:paraId="15134C57" w14:textId="77777777" w:rsidR="00580A5F" w:rsidRPr="00ED291F" w:rsidRDefault="00580A5F" w:rsidP="00531CD0">
      <w:pPr>
        <w:pStyle w:val="Heading2"/>
      </w:pPr>
      <w:bookmarkStart w:id="16" w:name="_Toc462899504"/>
      <w:bookmarkStart w:id="17" w:name="_Toc463528985"/>
      <w:bookmarkStart w:id="18" w:name="_Toc465178895"/>
      <w:bookmarkStart w:id="19" w:name="_Toc465842806"/>
      <w:bookmarkStart w:id="20" w:name="_Toc399257333"/>
      <w:bookmarkEnd w:id="14"/>
      <w:bookmarkEnd w:id="15"/>
      <w:r w:rsidRPr="00ED291F">
        <w:t>Introduction</w:t>
      </w:r>
      <w:bookmarkEnd w:id="16"/>
      <w:bookmarkEnd w:id="17"/>
      <w:bookmarkEnd w:id="18"/>
      <w:bookmarkEnd w:id="19"/>
      <w:r w:rsidRPr="00ED291F">
        <w:t xml:space="preserve"> </w:t>
      </w:r>
    </w:p>
    <w:p w14:paraId="20646C6A" w14:textId="77777777" w:rsidR="00580A5F" w:rsidRPr="00ED291F" w:rsidRDefault="00580A5F" w:rsidP="00531CD0">
      <w:pPr>
        <w:pStyle w:val="Heading3"/>
      </w:pPr>
      <w:bookmarkStart w:id="21" w:name="_Toc462899505"/>
      <w:bookmarkStart w:id="22" w:name="_Toc463528986"/>
      <w:bookmarkStart w:id="23" w:name="_Toc465178896"/>
      <w:bookmarkStart w:id="24" w:name="_Toc465842807"/>
      <w:r w:rsidRPr="00ED291F">
        <w:t>Legislative basis</w:t>
      </w:r>
      <w:bookmarkEnd w:id="21"/>
      <w:bookmarkEnd w:id="22"/>
      <w:bookmarkEnd w:id="23"/>
      <w:bookmarkEnd w:id="24"/>
      <w:r w:rsidRPr="00ED291F">
        <w:t xml:space="preserve"> </w:t>
      </w:r>
    </w:p>
    <w:p w14:paraId="479FEAEF" w14:textId="77777777" w:rsidR="00580A5F" w:rsidRPr="009B0D33" w:rsidRDefault="00580A5F" w:rsidP="00580A5F">
      <w:r w:rsidRPr="009B0D33">
        <w:t xml:space="preserve">The </w:t>
      </w:r>
      <w:r w:rsidRPr="009B0D33">
        <w:rPr>
          <w:i/>
          <w:iCs/>
        </w:rPr>
        <w:t>Communications report 201</w:t>
      </w:r>
      <w:r>
        <w:rPr>
          <w:i/>
          <w:iCs/>
        </w:rPr>
        <w:t>5</w:t>
      </w:r>
      <w:r w:rsidRPr="009B0D33">
        <w:rPr>
          <w:i/>
          <w:iCs/>
        </w:rPr>
        <w:t>–1</w:t>
      </w:r>
      <w:r>
        <w:rPr>
          <w:i/>
          <w:iCs/>
        </w:rPr>
        <w:t>6</w:t>
      </w:r>
      <w:r w:rsidRPr="009B0D33">
        <w:rPr>
          <w:i/>
          <w:iCs/>
        </w:rPr>
        <w:t xml:space="preserve"> </w:t>
      </w:r>
      <w:r w:rsidRPr="009B0D33">
        <w:t xml:space="preserve">fulfils the ACMA’s statutory reporting </w:t>
      </w:r>
      <w:r w:rsidR="00621775">
        <w:t>responsibilities</w:t>
      </w:r>
      <w:r w:rsidR="00621775" w:rsidRPr="009B0D33">
        <w:t xml:space="preserve"> </w:t>
      </w:r>
      <w:r w:rsidRPr="009B0D33">
        <w:t xml:space="preserve">under the </w:t>
      </w:r>
      <w:r w:rsidRPr="009B0D33">
        <w:rPr>
          <w:i/>
          <w:iCs/>
        </w:rPr>
        <w:t xml:space="preserve">Telecommunications Act 1997 </w:t>
      </w:r>
      <w:r w:rsidRPr="009B0D33">
        <w:t>(</w:t>
      </w:r>
      <w:r w:rsidR="007806EF">
        <w:t xml:space="preserve">Telecommunications </w:t>
      </w:r>
      <w:r w:rsidRPr="009B0D33">
        <w:t>Act). Section 105 of the Act requires the ACMA to report annually on the performance of carriers and carriage service providers (CSPs) in meeting regulatory obligations with specific reference to consumer satisfaction, consumer benefits and quality of service. Information about the broadcasting industry’s performance in meeting regulatory obligations is also included in this report—a reflection of the ACMA’s regulatory remit and role as a converged communications and media regulator.</w:t>
      </w:r>
    </w:p>
    <w:p w14:paraId="5D04B727" w14:textId="77777777" w:rsidR="00580A5F" w:rsidRPr="00ED291F" w:rsidRDefault="00580A5F" w:rsidP="00531CD0">
      <w:pPr>
        <w:pStyle w:val="Heading3"/>
      </w:pPr>
      <w:bookmarkStart w:id="25" w:name="_Toc462899506"/>
      <w:bookmarkStart w:id="26" w:name="_Toc463528987"/>
      <w:bookmarkStart w:id="27" w:name="_Toc465178897"/>
      <w:bookmarkStart w:id="28" w:name="_Toc465842808"/>
      <w:r w:rsidRPr="00ED291F">
        <w:t>Scope and structure of report</w:t>
      </w:r>
      <w:bookmarkEnd w:id="25"/>
      <w:bookmarkEnd w:id="26"/>
      <w:bookmarkEnd w:id="27"/>
      <w:bookmarkEnd w:id="28"/>
    </w:p>
    <w:p w14:paraId="18F33554" w14:textId="77777777" w:rsidR="00580A5F" w:rsidRPr="009B0D33" w:rsidRDefault="00580A5F" w:rsidP="00580A5F">
      <w:pPr>
        <w:spacing w:after="80"/>
      </w:pPr>
      <w:r w:rsidRPr="009B0D33">
        <w:t xml:space="preserve">The </w:t>
      </w:r>
      <w:r w:rsidRPr="009B0D33">
        <w:rPr>
          <w:i/>
        </w:rPr>
        <w:t>Communications report 201</w:t>
      </w:r>
      <w:r>
        <w:rPr>
          <w:i/>
        </w:rPr>
        <w:t>5</w:t>
      </w:r>
      <w:r w:rsidRPr="009B0D33">
        <w:rPr>
          <w:i/>
        </w:rPr>
        <w:t>–1</w:t>
      </w:r>
      <w:r>
        <w:rPr>
          <w:i/>
        </w:rPr>
        <w:t>6</w:t>
      </w:r>
      <w:r w:rsidRPr="009B0D33">
        <w:t xml:space="preserve"> comprises the following chapters:</w:t>
      </w:r>
    </w:p>
    <w:p w14:paraId="4551890B" w14:textId="77777777" w:rsidR="00580A5F" w:rsidRPr="009C1BE9" w:rsidRDefault="00580A5F" w:rsidP="00944D4C">
      <w:pPr>
        <w:pStyle w:val="ListBullet"/>
        <w:rPr>
          <w:i/>
        </w:rPr>
      </w:pPr>
      <w:r w:rsidRPr="00A119A3">
        <w:rPr>
          <w:b/>
          <w:i/>
        </w:rPr>
        <w:t>Chapter 1—</w:t>
      </w:r>
      <w:r w:rsidR="009E1512" w:rsidRPr="00A119A3">
        <w:rPr>
          <w:b/>
          <w:i/>
        </w:rPr>
        <w:t>Industry supply of communications services</w:t>
      </w:r>
      <w:r w:rsidR="009E1512">
        <w:rPr>
          <w:i/>
        </w:rPr>
        <w:t xml:space="preserve"> </w:t>
      </w:r>
      <w:r w:rsidRPr="009B0D33">
        <w:t>presents a detailed analysis of key supply-side developments in the communications and media markets in Australia during the 2015–16 reporting period. This chapter focuses on the supply of communications and content services in Australia, including the number of carriers</w:t>
      </w:r>
      <w:r w:rsidR="00DE74C6">
        <w:t>,</w:t>
      </w:r>
      <w:r w:rsidRPr="009B0D33">
        <w:t xml:space="preserve"> CSPs and services in operation, and developments </w:t>
      </w:r>
      <w:r w:rsidR="00DF2B2D">
        <w:t xml:space="preserve">with </w:t>
      </w:r>
      <w:r w:rsidRPr="009B0D33">
        <w:t xml:space="preserve">the rollout of </w:t>
      </w:r>
      <w:r>
        <w:t xml:space="preserve">communications </w:t>
      </w:r>
      <w:r w:rsidRPr="009B0D33">
        <w:t>infrastructure.</w:t>
      </w:r>
    </w:p>
    <w:p w14:paraId="6403474E" w14:textId="77777777" w:rsidR="00580A5F" w:rsidRPr="009B0D33" w:rsidRDefault="00580A5F" w:rsidP="00531CD0">
      <w:pPr>
        <w:pStyle w:val="ListBullet"/>
      </w:pPr>
      <w:r w:rsidRPr="00A119A3">
        <w:rPr>
          <w:b/>
          <w:i/>
        </w:rPr>
        <w:t>Chapter 2—Engagement with communications</w:t>
      </w:r>
      <w:r w:rsidRPr="00A119A3">
        <w:rPr>
          <w:b/>
        </w:rPr>
        <w:t xml:space="preserve"> </w:t>
      </w:r>
      <w:r w:rsidRPr="00A119A3">
        <w:rPr>
          <w:b/>
          <w:i/>
        </w:rPr>
        <w:t>and media</w:t>
      </w:r>
      <w:r w:rsidRPr="009B0D33">
        <w:rPr>
          <w:i/>
        </w:rPr>
        <w:t xml:space="preserve"> </w:t>
      </w:r>
      <w:r w:rsidR="009F010F">
        <w:t>provides</w:t>
      </w:r>
      <w:r w:rsidRPr="009B0D33">
        <w:t xml:space="preserve"> information about consumer engagement with communications services and </w:t>
      </w:r>
      <w:r>
        <w:t xml:space="preserve">the </w:t>
      </w:r>
      <w:r w:rsidRPr="009B0D33">
        <w:t>benefits derived from the</w:t>
      </w:r>
      <w:r w:rsidR="00DE74C6">
        <w:t>se</w:t>
      </w:r>
      <w:r w:rsidRPr="009B0D33">
        <w:t xml:space="preserve"> services. This chapter </w:t>
      </w:r>
      <w:r>
        <w:t>notes</w:t>
      </w:r>
      <w:r w:rsidRPr="009B0D33">
        <w:t xml:space="preserve"> changing consumer service preferences, </w:t>
      </w:r>
      <w:r>
        <w:t xml:space="preserve">reports on </w:t>
      </w:r>
      <w:r w:rsidRPr="009B0D33">
        <w:t>current levels of consumer satisfaction with communications services,</w:t>
      </w:r>
      <w:r w:rsidRPr="009B0D33" w:rsidDel="009F285F">
        <w:t xml:space="preserve"> and </w:t>
      </w:r>
      <w:r>
        <w:t xml:space="preserve">compares Australia with </w:t>
      </w:r>
      <w:r w:rsidRPr="009B0D33" w:rsidDel="009F285F">
        <w:t>international</w:t>
      </w:r>
      <w:r w:rsidRPr="009B0D33">
        <w:t xml:space="preserve"> trends in service take-up and use.</w:t>
      </w:r>
      <w:r w:rsidRPr="009B0D33" w:rsidDel="00DF52D4">
        <w:t xml:space="preserve"> </w:t>
      </w:r>
    </w:p>
    <w:p w14:paraId="6CD37325" w14:textId="77777777" w:rsidR="00580A5F" w:rsidRPr="009B0D33" w:rsidRDefault="00580A5F" w:rsidP="00531CD0">
      <w:pPr>
        <w:pStyle w:val="ListBullet"/>
      </w:pPr>
      <w:r w:rsidRPr="00A119A3">
        <w:rPr>
          <w:b/>
          <w:i/>
        </w:rPr>
        <w:t xml:space="preserve">Chapter 3—Television, radio and online content developments </w:t>
      </w:r>
      <w:r w:rsidR="009F010F">
        <w:t>highlights</w:t>
      </w:r>
      <w:r w:rsidRPr="009B0D33">
        <w:t xml:space="preserve"> the changes in delivery of audio and video content including viewing behaviours for television, subscription and online content. It also discusses the performance of Australian broadcasters in meeting their regulatory obligations </w:t>
      </w:r>
      <w:r w:rsidR="009E1512">
        <w:t>for</w:t>
      </w:r>
      <w:r w:rsidRPr="009B0D33">
        <w:t xml:space="preserve"> broadcasting Australian content, captioning, changes in media ownership and control, the digitalisation of broadcasting services</w:t>
      </w:r>
      <w:r w:rsidR="0091301D">
        <w:t>,</w:t>
      </w:r>
      <w:r w:rsidRPr="009B0D33">
        <w:t xml:space="preserve"> and complaints to the ACMA about broadcasting matters and prohibited online content.</w:t>
      </w:r>
    </w:p>
    <w:p w14:paraId="06F53D4B" w14:textId="77777777" w:rsidR="00580A5F" w:rsidRPr="009B0D33" w:rsidRDefault="00580A5F" w:rsidP="00531CD0">
      <w:pPr>
        <w:pStyle w:val="ListBullet"/>
      </w:pPr>
      <w:r w:rsidRPr="00A119A3">
        <w:rPr>
          <w:b/>
          <w:i/>
        </w:rPr>
        <w:t>Chapter 4—National interest issues</w:t>
      </w:r>
      <w:r w:rsidRPr="009B0D33">
        <w:t xml:space="preserve"> </w:t>
      </w:r>
      <w:r w:rsidR="009F010F">
        <w:t>outlines</w:t>
      </w:r>
      <w:r w:rsidRPr="009B0D33">
        <w:t xml:space="preserve"> information about the performance of the emergency call services, the cost of maintaining communications interception capabilities, the disclosure of customer information in support of law enforcement and national security investigations, submarine cable infrastructure protection and radiofrequency interference complaints.</w:t>
      </w:r>
    </w:p>
    <w:p w14:paraId="093D1AA0" w14:textId="77777777" w:rsidR="00580A5F" w:rsidRDefault="00580A5F" w:rsidP="00531CD0">
      <w:pPr>
        <w:pStyle w:val="ListBulletLast"/>
      </w:pPr>
      <w:r w:rsidRPr="00A119A3">
        <w:rPr>
          <w:b/>
          <w:i/>
        </w:rPr>
        <w:t>Chapter 5—Telecommunications consumer safeguards and quality of</w:t>
      </w:r>
      <w:r w:rsidRPr="009B0D33">
        <w:rPr>
          <w:i/>
        </w:rPr>
        <w:t xml:space="preserve"> </w:t>
      </w:r>
      <w:r w:rsidRPr="000C2713">
        <w:rPr>
          <w:b/>
          <w:i/>
        </w:rPr>
        <w:t>service</w:t>
      </w:r>
      <w:r w:rsidRPr="009B0D33">
        <w:rPr>
          <w:i/>
        </w:rPr>
        <w:t xml:space="preserve"> </w:t>
      </w:r>
      <w:r w:rsidRPr="009B0D33">
        <w:t>examines the performance of key communications safeguards. These include the Customer Service Guarantee Standard, priority assistance and the Network Reliability Framework, the Do Not Call Register</w:t>
      </w:r>
      <w:r w:rsidR="0091301D">
        <w:t>,</w:t>
      </w:r>
      <w:r w:rsidRPr="009B0D33">
        <w:t xml:space="preserve"> and related unwanted communications rules covering telemarketing and spam complaints. This chapter also examines number portability</w:t>
      </w:r>
      <w:r>
        <w:t xml:space="preserve"> code compliance</w:t>
      </w:r>
      <w:r w:rsidRPr="009B0D33">
        <w:t xml:space="preserve"> and complaints to the Telecommunications Industry Ombudsman</w:t>
      </w:r>
      <w:r w:rsidR="0091301D">
        <w:t xml:space="preserve"> (TIO)</w:t>
      </w:r>
      <w:r w:rsidRPr="009B0D33">
        <w:t>.</w:t>
      </w:r>
    </w:p>
    <w:p w14:paraId="08331E55" w14:textId="77777777" w:rsidR="006B79C7" w:rsidRPr="00531CD0" w:rsidRDefault="006B79C7" w:rsidP="007A4882">
      <w:pPr>
        <w:pStyle w:val="Heading2"/>
        <w:keepNext w:val="0"/>
      </w:pPr>
      <w:bookmarkStart w:id="29" w:name="_Toc465178898"/>
      <w:bookmarkStart w:id="30" w:name="_Toc465842809"/>
      <w:bookmarkStart w:id="31" w:name="_Toc462899507"/>
      <w:bookmarkStart w:id="32" w:name="_Toc463528988"/>
      <w:bookmarkEnd w:id="20"/>
      <w:r w:rsidRPr="00531CD0">
        <w:t>Executive summary</w:t>
      </w:r>
      <w:bookmarkEnd w:id="29"/>
      <w:bookmarkEnd w:id="30"/>
      <w:r w:rsidRPr="00531CD0">
        <w:t xml:space="preserve"> </w:t>
      </w:r>
    </w:p>
    <w:p w14:paraId="2C1F4AD1" w14:textId="77777777" w:rsidR="006B79C7" w:rsidRPr="00A36C11" w:rsidRDefault="006B79C7" w:rsidP="007A4882">
      <w:pPr>
        <w:pStyle w:val="Heading3"/>
        <w:keepNext w:val="0"/>
      </w:pPr>
      <w:bookmarkStart w:id="33" w:name="_Toc465178899"/>
      <w:bookmarkStart w:id="34" w:name="_Toc465842810"/>
      <w:r w:rsidRPr="00A36C11">
        <w:t>Key highlights</w:t>
      </w:r>
      <w:r>
        <w:t xml:space="preserve"> 2015–16</w:t>
      </w:r>
      <w:bookmarkEnd w:id="33"/>
      <w:bookmarkEnd w:id="34"/>
    </w:p>
    <w:p w14:paraId="478606A5" w14:textId="77777777" w:rsidR="006B79C7" w:rsidRPr="00F07C8C" w:rsidRDefault="006B79C7" w:rsidP="007A4882">
      <w:pPr>
        <w:pStyle w:val="ListBullet"/>
      </w:pPr>
      <w:r w:rsidRPr="00F07C8C">
        <w:t>The key enabling elements of the communications sector are being transformed by the intensifying take-up and use of online services and the corresponding strong growth in data traffic. Data download volumes increased by 52 per cent between the June 2015 and June 2016 quarters to over 2</w:t>
      </w:r>
      <w:r w:rsidR="00EC674C">
        <w:t>.</w:t>
      </w:r>
      <w:r w:rsidRPr="00F07C8C">
        <w:t>2 million terabytes.</w:t>
      </w:r>
    </w:p>
    <w:p w14:paraId="7BB9D628" w14:textId="7CDD529A" w:rsidR="006B79C7" w:rsidRPr="00F07C8C" w:rsidRDefault="006B79C7" w:rsidP="007A4882">
      <w:pPr>
        <w:pStyle w:val="ListBullet"/>
      </w:pPr>
      <w:r w:rsidRPr="00F07C8C">
        <w:t xml:space="preserve">Network operators continued to invest </w:t>
      </w:r>
      <w:r w:rsidR="00BF7B13">
        <w:t>in</w:t>
      </w:r>
      <w:r w:rsidR="00BF7B13" w:rsidRPr="00F07C8C">
        <w:t xml:space="preserve"> </w:t>
      </w:r>
      <w:r w:rsidRPr="00F07C8C">
        <w:t>expand</w:t>
      </w:r>
      <w:r w:rsidR="00BF7B13">
        <w:t>ing</w:t>
      </w:r>
      <w:r w:rsidRPr="00F07C8C">
        <w:t xml:space="preserve"> network capacity to address the growth of data volumes. All mobile network operators continued investments in 4G network upgrades. The National Broadband Network (NBN network) expanded its network coverage and increased its subscriber base</w:t>
      </w:r>
      <w:r w:rsidR="006A6038">
        <w:t> </w:t>
      </w:r>
      <w:r w:rsidRPr="00F07C8C">
        <w:t>to over one million premises activated, and there was increased planning activity for submarine cable</w:t>
      </w:r>
      <w:r w:rsidR="006A6038">
        <w:t> </w:t>
      </w:r>
      <w:r w:rsidRPr="00F07C8C">
        <w:t xml:space="preserve">infrastructure. </w:t>
      </w:r>
    </w:p>
    <w:p w14:paraId="2359C427" w14:textId="77777777" w:rsidR="006B79C7" w:rsidRPr="00F07C8C" w:rsidRDefault="006B79C7" w:rsidP="007A4882">
      <w:pPr>
        <w:pStyle w:val="ListBullet"/>
      </w:pPr>
      <w:r w:rsidRPr="00F07C8C">
        <w:lastRenderedPageBreak/>
        <w:t xml:space="preserve">Data traffic appears to be driven more by increasing intensity of usage, particularly </w:t>
      </w:r>
      <w:r w:rsidR="00BF7B13" w:rsidRPr="00F07C8C">
        <w:t xml:space="preserve">downloading </w:t>
      </w:r>
      <w:r w:rsidR="00BF7B13">
        <w:t xml:space="preserve">of </w:t>
      </w:r>
      <w:r w:rsidRPr="00F07C8C">
        <w:t>video content</w:t>
      </w:r>
      <w:r w:rsidR="00BF7B13">
        <w:t>,</w:t>
      </w:r>
      <w:r w:rsidRPr="00F07C8C">
        <w:t xml:space="preserve"> rather than significant growth in device subscriptions. While smartphone use is on the rise, shipments of smartphones declined by 18 per cent in the </w:t>
      </w:r>
      <w:r w:rsidR="00BF7B13">
        <w:t>12</w:t>
      </w:r>
      <w:r w:rsidR="00BF7B13" w:rsidRPr="00F07C8C">
        <w:t xml:space="preserve"> </w:t>
      </w:r>
      <w:r w:rsidRPr="00F07C8C">
        <w:t xml:space="preserve">months to June 2016. Tablet shipments declined by 12 per cent over the same period. </w:t>
      </w:r>
    </w:p>
    <w:p w14:paraId="45C6DD51" w14:textId="77777777" w:rsidR="006B79C7" w:rsidRPr="00F07C8C" w:rsidRDefault="006B79C7" w:rsidP="00BC3B3D">
      <w:pPr>
        <w:pStyle w:val="ListBullet"/>
      </w:pPr>
      <w:r w:rsidRPr="00F07C8C">
        <w:t xml:space="preserve">Changing consumer use patterns are also transforming the profile of service subscriptions. The shift to mobile phone-only households continues, with 31 </w:t>
      </w:r>
      <w:r w:rsidRPr="00F07C8C">
        <w:rPr>
          <w:rFonts w:eastAsia="Calibri" w:cs="Arial"/>
        </w:rPr>
        <w:t>per cent, or approximately 5.78 million Australians, having only a mobile phone and no fixed-line telephone at home. The steady increase in mobile</w:t>
      </w:r>
      <w:r w:rsidR="00A251B2">
        <w:rPr>
          <w:rFonts w:eastAsia="Calibri" w:cs="Arial"/>
        </w:rPr>
        <w:t xml:space="preserve"> phone</w:t>
      </w:r>
      <w:r w:rsidRPr="00F07C8C">
        <w:rPr>
          <w:rFonts w:eastAsia="Calibri" w:cs="Arial"/>
        </w:rPr>
        <w:t xml:space="preserve">-only subscribers is matched by the steady reduction in fixed-line </w:t>
      </w:r>
      <w:r w:rsidR="001B0087" w:rsidRPr="00000E9F">
        <w:rPr>
          <w:rFonts w:eastAsia="Calibri" w:cs="Arial"/>
        </w:rPr>
        <w:t>telephone</w:t>
      </w:r>
      <w:r w:rsidR="001B0087">
        <w:rPr>
          <w:rFonts w:eastAsia="Calibri" w:cs="Arial"/>
        </w:rPr>
        <w:t xml:space="preserve"> </w:t>
      </w:r>
      <w:r w:rsidRPr="00F07C8C">
        <w:rPr>
          <w:rFonts w:eastAsia="Calibri" w:cs="Arial"/>
        </w:rPr>
        <w:t>subscribers</w:t>
      </w:r>
      <w:r w:rsidR="00BF7B13">
        <w:rPr>
          <w:rFonts w:eastAsia="Calibri" w:cs="Arial"/>
        </w:rPr>
        <w:t xml:space="preserve">—the number of </w:t>
      </w:r>
      <w:r w:rsidR="00BF7B13" w:rsidRPr="00F07C8C">
        <w:t xml:space="preserve">adult Australians </w:t>
      </w:r>
      <w:r w:rsidR="00BF7B13">
        <w:t>with</w:t>
      </w:r>
      <w:r w:rsidR="00BF7B13" w:rsidRPr="00F07C8C">
        <w:t xml:space="preserve"> a fixed-line telephone at home</w:t>
      </w:r>
      <w:r w:rsidR="00BF7B13">
        <w:t xml:space="preserve"> fell</w:t>
      </w:r>
      <w:r w:rsidRPr="00F07C8C">
        <w:rPr>
          <w:rFonts w:eastAsia="Calibri" w:cs="Arial"/>
        </w:rPr>
        <w:t xml:space="preserve"> from </w:t>
      </w:r>
      <w:r w:rsidRPr="00F07C8C">
        <w:t xml:space="preserve">78 per cent in June 2012 to 68 per cent by June 2016. Mobile subscription numbers grew slowly, increasing by 2.6 per cent over 2015–16, with some providers reporting that machine-to-machine (M2M) communications drove part of the increase. </w:t>
      </w:r>
    </w:p>
    <w:p w14:paraId="79253B66" w14:textId="77777777" w:rsidR="00B308E5" w:rsidRDefault="006B79C7" w:rsidP="00BC3B3D">
      <w:pPr>
        <w:pStyle w:val="ListBulletLast"/>
      </w:pPr>
      <w:r w:rsidRPr="00F07C8C">
        <w:t xml:space="preserve">The majority of Australians are making online content services an established part of their communications routine. In the six months to June 2016, 63 per cent of adult Australians had watched online content. Over 2015–16, the professionally produced online content market became increasingly crowded, with launches of new </w:t>
      </w:r>
      <w:r w:rsidR="00BF7B13">
        <w:t>s</w:t>
      </w:r>
      <w:r w:rsidRPr="00F07C8C">
        <w:t xml:space="preserve">ubscription </w:t>
      </w:r>
      <w:r w:rsidR="00BF7B13">
        <w:t>v</w:t>
      </w:r>
      <w:r w:rsidRPr="00F07C8C">
        <w:t xml:space="preserve">ideo </w:t>
      </w:r>
      <w:r w:rsidR="00BF7B13">
        <w:t>o</w:t>
      </w:r>
      <w:r w:rsidRPr="00F07C8C">
        <w:t xml:space="preserve">n </w:t>
      </w:r>
      <w:r w:rsidR="00BF7B13">
        <w:t>d</w:t>
      </w:r>
      <w:r w:rsidRPr="00F07C8C">
        <w:t>emand (SVOD) services, and free-to-air (FTA) broadcasters introducing additional live streaming and improved catch-up services</w:t>
      </w:r>
      <w:r w:rsidR="00A251B2">
        <w:t>.</w:t>
      </w:r>
    </w:p>
    <w:p w14:paraId="2464A321" w14:textId="77777777" w:rsidR="00E35385" w:rsidRPr="00A36C11" w:rsidRDefault="006B79C7" w:rsidP="00E35385">
      <w:pPr>
        <w:pStyle w:val="Heading3"/>
      </w:pPr>
      <w:bookmarkStart w:id="35" w:name="_Toc465178900"/>
      <w:bookmarkStart w:id="36" w:name="_Toc465842811"/>
      <w:r>
        <w:t>Continued investment in c</w:t>
      </w:r>
      <w:r w:rsidRPr="009B0D33">
        <w:t>ommunications networks</w:t>
      </w:r>
      <w:bookmarkEnd w:id="35"/>
      <w:bookmarkEnd w:id="36"/>
      <w:r w:rsidRPr="009B0D33">
        <w:t xml:space="preserve"> </w:t>
      </w:r>
    </w:p>
    <w:p w14:paraId="43D2F231" w14:textId="77777777" w:rsidR="00E35385" w:rsidRDefault="006B79C7" w:rsidP="00E35385">
      <w:r w:rsidRPr="00A36C11">
        <w:t>Telecommunications companies continue to invest in emerging mobile technologies and prepare their networks for increased data traffic. Operators of 4G mobile networks now cover up to 98 per cent of the population. There was a range of 5G-related announcements over 2015</w:t>
      </w:r>
      <w:r w:rsidRPr="00A36C11">
        <w:rPr>
          <w:rFonts w:cs="Arial"/>
        </w:rPr>
        <w:t>–</w:t>
      </w:r>
      <w:r w:rsidRPr="00A36C11">
        <w:t>16, including the commitment to work towards a commercial 5G mobile network deployment in 2020.</w:t>
      </w:r>
    </w:p>
    <w:p w14:paraId="0EA22D67" w14:textId="77777777" w:rsidR="006B79C7" w:rsidRPr="00A36C11" w:rsidRDefault="006B79C7" w:rsidP="00E35385">
      <w:r w:rsidRPr="00A36C11">
        <w:t xml:space="preserve">In 2015–16, the number of premises activated </w:t>
      </w:r>
      <w:r>
        <w:t xml:space="preserve">on the </w:t>
      </w:r>
      <w:r w:rsidR="002370E6">
        <w:t>NBN</w:t>
      </w:r>
      <w:r>
        <w:t xml:space="preserve"> network </w:t>
      </w:r>
      <w:r w:rsidRPr="00A36C11">
        <w:t>increased by 126 per cent to over one</w:t>
      </w:r>
      <w:r w:rsidR="0065797C">
        <w:t> </w:t>
      </w:r>
      <w:r w:rsidRPr="00A36C11">
        <w:t>million. The total premises serviceable reached over 2.</w:t>
      </w:r>
      <w:r>
        <w:t>8</w:t>
      </w:r>
      <w:r w:rsidRPr="00A36C11">
        <w:t xml:space="preserve"> million over the same period, an increase of 1</w:t>
      </w:r>
      <w:r>
        <w:t>46</w:t>
      </w:r>
      <w:r w:rsidRPr="00A36C11">
        <w:t xml:space="preserve"> per </w:t>
      </w:r>
      <w:r w:rsidRPr="009B0D33">
        <w:t>cent</w:t>
      </w:r>
      <w:r w:rsidRPr="00A36C11">
        <w:t>.</w:t>
      </w:r>
    </w:p>
    <w:p w14:paraId="7EB47599" w14:textId="77777777" w:rsidR="006B79C7" w:rsidRPr="00A36C11" w:rsidRDefault="006B79C7" w:rsidP="006B79C7">
      <w:r w:rsidRPr="00A36C11">
        <w:t xml:space="preserve">Internet access is available across multiple networks, devices and locations. In the six months to </w:t>
      </w:r>
      <w:r w:rsidR="00AD7BF3">
        <w:t>June</w:t>
      </w:r>
      <w:r w:rsidR="00AD7BF3" w:rsidRPr="00A36C11">
        <w:t xml:space="preserve"> </w:t>
      </w:r>
      <w:r w:rsidRPr="00A36C11">
        <w:t>2016, 91 per cent of adult Australians had accessed the internet. Of those adult Australians who go online, 68 per cent access the internet several times a day.</w:t>
      </w:r>
    </w:p>
    <w:p w14:paraId="6C105CB9" w14:textId="77777777" w:rsidR="006B79C7" w:rsidRPr="00A36C11" w:rsidRDefault="006B79C7" w:rsidP="006B79C7">
      <w:r w:rsidRPr="00A36C11">
        <w:t xml:space="preserve">In the six months to </w:t>
      </w:r>
      <w:r w:rsidR="00AD7BF3">
        <w:t>June</w:t>
      </w:r>
      <w:r w:rsidR="00AD7BF3" w:rsidRPr="00A36C11">
        <w:t xml:space="preserve"> </w:t>
      </w:r>
      <w:r w:rsidRPr="00A36C11">
        <w:t xml:space="preserve">2016, 10 per cent of Australians did not have the internet in their home; of this group, 71 per cent were aged 65 or over. As services increasingly move online, reaching these unconnected Australians, and enabling them to participate effectively, will be an </w:t>
      </w:r>
      <w:r w:rsidR="004105A9">
        <w:t>important</w:t>
      </w:r>
      <w:r w:rsidRPr="00A36C11">
        <w:t xml:space="preserve"> challenge. </w:t>
      </w:r>
    </w:p>
    <w:p w14:paraId="4AC22602" w14:textId="77777777" w:rsidR="006B79C7" w:rsidRPr="00A36C11" w:rsidRDefault="006B79C7" w:rsidP="009A3C24">
      <w:pPr>
        <w:pStyle w:val="Heading3"/>
        <w:keepLines/>
      </w:pPr>
      <w:bookmarkStart w:id="37" w:name="_Toc465178901"/>
      <w:bookmarkStart w:id="38" w:name="_Toc465842812"/>
      <w:r w:rsidRPr="00A36C11">
        <w:t>Online delivery platforms continue to grow</w:t>
      </w:r>
      <w:bookmarkEnd w:id="37"/>
      <w:bookmarkEnd w:id="38"/>
    </w:p>
    <w:p w14:paraId="1538FDDC" w14:textId="77777777" w:rsidR="006B79C7" w:rsidRDefault="006B79C7" w:rsidP="009A3C24">
      <w:pPr>
        <w:keepNext/>
        <w:keepLines/>
        <w:rPr>
          <w:rFonts w:eastAsia="Calibri" w:cs="Arial"/>
        </w:rPr>
      </w:pPr>
      <w:r w:rsidRPr="00A36C11">
        <w:rPr>
          <w:rFonts w:eastAsia="Calibri" w:cs="Arial"/>
        </w:rPr>
        <w:t>Service providers are expanding locations and platforms to meet their customers online, with c</w:t>
      </w:r>
      <w:r w:rsidRPr="00A36C11">
        <w:t xml:space="preserve">onsumers able to access content over a variety of devices, websites and apps. </w:t>
      </w:r>
      <w:r w:rsidRPr="00A36C11">
        <w:rPr>
          <w:rFonts w:eastAsia="Calibri" w:cs="Arial"/>
        </w:rPr>
        <w:t>Australian communications service providers are offering voice over internet protocol (VoIP) services, communications apps and various types of online content services.</w:t>
      </w:r>
    </w:p>
    <w:p w14:paraId="466FA050" w14:textId="77777777" w:rsidR="006B79C7" w:rsidRDefault="006B79C7" w:rsidP="006B79C7">
      <w:r w:rsidRPr="00A36C11">
        <w:t xml:space="preserve">The expanded range of services available is reflected in an increasingly fragmented Australian audience, where households have an average of 6.4 screens on which to view content. </w:t>
      </w:r>
    </w:p>
    <w:p w14:paraId="4365EA2A" w14:textId="77777777" w:rsidR="006B79C7" w:rsidRPr="00A36C11" w:rsidRDefault="006B79C7" w:rsidP="006B79C7">
      <w:r w:rsidRPr="00A36C11">
        <w:rPr>
          <w:rFonts w:eastAsia="Calibri" w:cs="Arial"/>
        </w:rPr>
        <w:t>Digital platforms are an increasingly important component of revenues. For example, digital music, including music streaming, was a key driver in the</w:t>
      </w:r>
      <w:r w:rsidRPr="00A36C11">
        <w:t xml:space="preserve"> first increase in Australian music sales in three years. </w:t>
      </w:r>
      <w:r w:rsidRPr="00A36C11">
        <w:rPr>
          <w:rFonts w:eastAsia="Calibri" w:cs="Arial"/>
        </w:rPr>
        <w:t xml:space="preserve">During 2015–16, the number of Australian businesses with a web presence increased two percentage points to 49 per cent, and over a third had a social media presence. </w:t>
      </w:r>
      <w:r w:rsidRPr="00A36C11">
        <w:rPr>
          <w:rFonts w:cs="Arial"/>
        </w:rPr>
        <w:t>This is reflected in the increase in the number of domain names registered in Australia</w:t>
      </w:r>
      <w:r w:rsidRPr="00A36C11">
        <w:t>—in the 12 months to June 2016, the number of registered ‘.au’ domain names increased by two per cent to 3.04 million.</w:t>
      </w:r>
    </w:p>
    <w:p w14:paraId="37D52393" w14:textId="77777777" w:rsidR="006B79C7" w:rsidRPr="00A36C11" w:rsidRDefault="006B79C7" w:rsidP="007A4882">
      <w:pPr>
        <w:pStyle w:val="Heading3"/>
        <w:keepLines/>
        <w:rPr>
          <w:rFonts w:eastAsia="MS Gothic"/>
        </w:rPr>
      </w:pPr>
      <w:bookmarkStart w:id="39" w:name="_Toc465178902"/>
      <w:bookmarkStart w:id="40" w:name="_Toc465842813"/>
      <w:r w:rsidRPr="00A36C11">
        <w:rPr>
          <w:rFonts w:eastAsia="MS Gothic"/>
        </w:rPr>
        <w:lastRenderedPageBreak/>
        <w:t>Australians still enthusiastic audiences for broadcast television</w:t>
      </w:r>
      <w:bookmarkEnd w:id="39"/>
      <w:bookmarkEnd w:id="40"/>
      <w:r>
        <w:rPr>
          <w:rFonts w:eastAsia="MS Gothic"/>
        </w:rPr>
        <w:t xml:space="preserve"> </w:t>
      </w:r>
    </w:p>
    <w:p w14:paraId="06C2A1D6" w14:textId="77777777" w:rsidR="006B79C7" w:rsidRPr="00A36C11" w:rsidRDefault="006B79C7" w:rsidP="007A4882">
      <w:pPr>
        <w:keepNext/>
        <w:keepLines/>
        <w:rPr>
          <w:rFonts w:cs="Arial"/>
          <w:szCs w:val="20"/>
        </w:rPr>
      </w:pPr>
      <w:r>
        <w:t xml:space="preserve">Australians spend the majority of their viewing time </w:t>
      </w:r>
      <w:r w:rsidR="007B416F">
        <w:t>watching</w:t>
      </w:r>
      <w:r w:rsidR="00722CF6">
        <w:t xml:space="preserve"> </w:t>
      </w:r>
      <w:r>
        <w:t>broadcast television</w:t>
      </w:r>
      <w:r w:rsidR="00EE6B61">
        <w:t xml:space="preserve"> </w:t>
      </w:r>
      <w:r w:rsidR="007B416F">
        <w:t>on the day of the broadcast (live FTA)</w:t>
      </w:r>
      <w:r>
        <w:t xml:space="preserve">. </w:t>
      </w:r>
      <w:r w:rsidRPr="00A36C11">
        <w:t xml:space="preserve">Live FTA television still holds the largest share among adult </w:t>
      </w:r>
      <w:r w:rsidR="00C26570">
        <w:t>Australians—59</w:t>
      </w:r>
      <w:r w:rsidRPr="00A36C11">
        <w:t> per cent—of time spent with television or professionally produced content. However, younger age groups are showing signs of moving away from live television. The 18</w:t>
      </w:r>
      <w:r w:rsidRPr="00A36C11">
        <w:rPr>
          <w:rFonts w:cs="Arial"/>
        </w:rPr>
        <w:t>–</w:t>
      </w:r>
      <w:r w:rsidRPr="00A36C11">
        <w:t>24 age group spent more time with online video (5.6 hours) than live FTA television (4.5 hours).</w:t>
      </w:r>
    </w:p>
    <w:p w14:paraId="73C743A4" w14:textId="77777777" w:rsidR="006B79C7" w:rsidRDefault="006B79C7" w:rsidP="006B79C7">
      <w:r w:rsidRPr="00A36C11">
        <w:t xml:space="preserve">The average weekly cumulative reach of FTA television also continued </w:t>
      </w:r>
      <w:r w:rsidR="00422727">
        <w:t>a</w:t>
      </w:r>
      <w:r w:rsidRPr="00A36C11">
        <w:t xml:space="preserve"> slow and steady decline in 2015–16, reflecting the multiple content platforms available to consumers. The average weekly cumulative reach of FTA television reduced four percentage points from 88.4 per cent in 2011–12 to 84.3 per cent in 2015–16. </w:t>
      </w:r>
    </w:p>
    <w:p w14:paraId="3E7ACD8F" w14:textId="77777777" w:rsidR="006B79C7" w:rsidRDefault="006B79C7" w:rsidP="006B79C7">
      <w:r>
        <w:t>As one of many response strategies, b</w:t>
      </w:r>
      <w:r w:rsidRPr="00A36C11">
        <w:t xml:space="preserve">roadcasters are expanding their range of content services, offering live streaming services and content apps. The Seven Network launched 7live, a live streaming service of </w:t>
      </w:r>
      <w:r w:rsidR="00DA5F73">
        <w:t>its</w:t>
      </w:r>
      <w:r w:rsidR="00DA5F73" w:rsidRPr="00A36C11">
        <w:t xml:space="preserve"> </w:t>
      </w:r>
      <w:r w:rsidRPr="00A36C11">
        <w:t>main channel, in October 2015. The Nine Network launched a new catch-up TV and live streaming service, 9Now, in early 2016.</w:t>
      </w:r>
    </w:p>
    <w:p w14:paraId="082CBED8" w14:textId="77777777" w:rsidR="006B79C7" w:rsidRDefault="006B79C7" w:rsidP="00604073">
      <w:pPr>
        <w:rPr>
          <w:rFonts w:eastAsia="MS Gothic" w:cs="Arial"/>
          <w:b/>
          <w:bCs/>
          <w:szCs w:val="26"/>
        </w:rPr>
      </w:pPr>
      <w:r w:rsidRPr="00A36C11">
        <w:t>Over 2015</w:t>
      </w:r>
      <w:r w:rsidRPr="00A36C11">
        <w:rPr>
          <w:rFonts w:cs="Arial"/>
        </w:rPr>
        <w:t>–</w:t>
      </w:r>
      <w:r w:rsidRPr="00A36C11">
        <w:t xml:space="preserve">16, the boundaries between communications and media sectors continued to blur, with communications service providers buying content rights and offering or bundling content services, such as the Optus </w:t>
      </w:r>
      <w:r w:rsidR="008C4D29" w:rsidRPr="00211F98">
        <w:rPr>
          <w:rFonts w:cs="Arial"/>
        </w:rPr>
        <w:t xml:space="preserve">Sport service </w:t>
      </w:r>
      <w:r w:rsidR="002A6105">
        <w:rPr>
          <w:rFonts w:cs="Arial"/>
        </w:rPr>
        <w:t>(</w:t>
      </w:r>
      <w:r w:rsidR="008C4D29">
        <w:rPr>
          <w:rFonts w:cs="Arial"/>
        </w:rPr>
        <w:t>10</w:t>
      </w:r>
      <w:r w:rsidR="008C4D29" w:rsidRPr="00211F98">
        <w:rPr>
          <w:rFonts w:cs="Arial"/>
        </w:rPr>
        <w:t xml:space="preserve"> streaming channels of English P</w:t>
      </w:r>
      <w:r w:rsidR="008C4D29">
        <w:rPr>
          <w:rFonts w:cs="Arial"/>
        </w:rPr>
        <w:t>remier League content</w:t>
      </w:r>
      <w:r w:rsidR="002A6105">
        <w:rPr>
          <w:rFonts w:cs="Arial"/>
        </w:rPr>
        <w:t>)</w:t>
      </w:r>
      <w:r w:rsidR="008C4D29">
        <w:rPr>
          <w:rFonts w:cs="Arial"/>
        </w:rPr>
        <w:t xml:space="preserve">, the Optus </w:t>
      </w:r>
      <w:r w:rsidRPr="00A36C11">
        <w:t xml:space="preserve">Sports app and Telstra TV. </w:t>
      </w:r>
    </w:p>
    <w:p w14:paraId="37A21A6B" w14:textId="77777777" w:rsidR="006B79C7" w:rsidRPr="00A36C11" w:rsidRDefault="006B79C7" w:rsidP="00E35385">
      <w:pPr>
        <w:pStyle w:val="Heading3"/>
        <w:rPr>
          <w:rFonts w:eastAsia="MS Gothic"/>
        </w:rPr>
      </w:pPr>
      <w:bookmarkStart w:id="41" w:name="_Toc465178903"/>
      <w:bookmarkStart w:id="42" w:name="_Toc465842814"/>
      <w:r w:rsidRPr="00A36C11">
        <w:rPr>
          <w:rFonts w:eastAsia="MS Gothic"/>
        </w:rPr>
        <w:t>Online viewing firmly established in Australia</w:t>
      </w:r>
      <w:bookmarkEnd w:id="41"/>
      <w:bookmarkEnd w:id="42"/>
    </w:p>
    <w:p w14:paraId="60DC4C51" w14:textId="77777777" w:rsidR="006B79C7" w:rsidRPr="00FD5E3C" w:rsidRDefault="00722CF6" w:rsidP="006B79C7">
      <w:r w:rsidRPr="00FD5E3C">
        <w:t>The most popular online content is c</w:t>
      </w:r>
      <w:r w:rsidR="006B79C7" w:rsidRPr="00FD5E3C">
        <w:t xml:space="preserve">atch-up television, with 44 per cent watching in the six months to </w:t>
      </w:r>
      <w:r w:rsidR="00AD7BF3" w:rsidRPr="00FD5E3C">
        <w:t xml:space="preserve">June </w:t>
      </w:r>
      <w:r w:rsidR="006B79C7" w:rsidRPr="00FD5E3C">
        <w:t xml:space="preserve">2016, </w:t>
      </w:r>
      <w:r w:rsidR="00FD5E3C" w:rsidRPr="00FD5E3C">
        <w:t xml:space="preserve">but </w:t>
      </w:r>
      <w:r w:rsidR="006B79C7" w:rsidRPr="00FD5E3C">
        <w:t>SVOD services are not far behind, with 32 per cent of Australians watching in the same period.</w:t>
      </w:r>
    </w:p>
    <w:p w14:paraId="7E68AA45" w14:textId="77777777" w:rsidR="006B79C7" w:rsidRPr="00A36C11" w:rsidRDefault="006B79C7" w:rsidP="006B79C7">
      <w:r w:rsidRPr="00A36C11">
        <w:t>SVOD services are now an established part of the Australian media landscape, recording around 2.7 million paid, free or trial subscriptions as at June 2016. Foxtel and Presto had a combined 2.9 million subscriber base for the same period</w:t>
      </w:r>
      <w:r w:rsidR="00386D99">
        <w:t xml:space="preserve"> (separate totals for Foxtel SVOD and Presto were not available)</w:t>
      </w:r>
      <w:r w:rsidRPr="00A36C11">
        <w:t xml:space="preserve">. Forecasts suggest that SVOD paid subscribers will overtake Foxtel’s subscriber base by 2019. </w:t>
      </w:r>
    </w:p>
    <w:p w14:paraId="10591A05" w14:textId="77777777" w:rsidR="006B79C7" w:rsidRPr="00A36C11" w:rsidRDefault="006B79C7" w:rsidP="006B79C7">
      <w:r w:rsidRPr="00A36C11">
        <w:t>Online platforms have enabled new entrants, including global organisations, into the Australian media and communications sector. For example, the most popular online video service</w:t>
      </w:r>
      <w:r w:rsidR="00944D4C" w:rsidRPr="00944D4C">
        <w:t xml:space="preserve"> </w:t>
      </w:r>
      <w:r w:rsidR="00944D4C" w:rsidRPr="00A36C11">
        <w:t>was the US-based SVOD service Netflix</w:t>
      </w:r>
      <w:r w:rsidRPr="00A36C11">
        <w:t xml:space="preserve">, with 50 per cent of online Australians watching in the six months to </w:t>
      </w:r>
      <w:r w:rsidR="00E931F4">
        <w:t>June</w:t>
      </w:r>
      <w:r w:rsidR="00E931F4" w:rsidRPr="00A36C11">
        <w:t xml:space="preserve"> </w:t>
      </w:r>
      <w:r w:rsidRPr="00A36C11">
        <w:t xml:space="preserve">2016. YouTube, </w:t>
      </w:r>
      <w:r w:rsidR="00944D4C">
        <w:t>(</w:t>
      </w:r>
      <w:r w:rsidRPr="00A36C11">
        <w:t>excluding user-generated content</w:t>
      </w:r>
      <w:r w:rsidR="00944D4C">
        <w:t>)</w:t>
      </w:r>
      <w:r w:rsidRPr="00A36C11">
        <w:t xml:space="preserve"> was the second-most popular at 43 per cent. The most popular communications apps are owned by global organisations such as Facebook, Apple and Microsoft.</w:t>
      </w:r>
    </w:p>
    <w:p w14:paraId="4547FC85" w14:textId="77777777" w:rsidR="006B79C7" w:rsidRPr="00A36C11" w:rsidRDefault="006B79C7" w:rsidP="009A3C24">
      <w:pPr>
        <w:pStyle w:val="Heading3"/>
      </w:pPr>
      <w:bookmarkStart w:id="43" w:name="_Toc465178904"/>
      <w:bookmarkStart w:id="44" w:name="_Toc465842815"/>
      <w:r w:rsidRPr="00A36C11">
        <w:t>Telecommunications consumer safeguards</w:t>
      </w:r>
      <w:bookmarkEnd w:id="43"/>
      <w:bookmarkEnd w:id="44"/>
    </w:p>
    <w:p w14:paraId="75AF57D3" w14:textId="77777777" w:rsidR="006B79C7" w:rsidRPr="00A36C11" w:rsidRDefault="006B79C7" w:rsidP="009A3C24">
      <w:pPr>
        <w:keepNext/>
      </w:pPr>
      <w:r w:rsidRPr="00A36C11">
        <w:t>Communications users benefit from a range of telecommunications consumer safeguards.</w:t>
      </w:r>
    </w:p>
    <w:p w14:paraId="62C92DDD" w14:textId="77777777" w:rsidR="006B79C7" w:rsidRPr="00A36C11" w:rsidRDefault="006B79C7" w:rsidP="006B79C7">
      <w:r w:rsidRPr="00A36C11">
        <w:t xml:space="preserve">In 2015–16, the number of telephone numbers listed on the Do Not Call Register (DNCR) grew by more than 380,000, or four per cent, taking the </w:t>
      </w:r>
      <w:r w:rsidR="00422727">
        <w:t>total</w:t>
      </w:r>
      <w:r w:rsidRPr="00A36C11">
        <w:t xml:space="preserve"> numbers listed to 10.65 million.</w:t>
      </w:r>
    </w:p>
    <w:p w14:paraId="5AF16CFF" w14:textId="77777777" w:rsidR="006B79C7" w:rsidRPr="00A36C11" w:rsidRDefault="006B79C7" w:rsidP="006B79C7">
      <w:r w:rsidRPr="00A36C11">
        <w:t>The number of complaints and reports the ACMA received about commercial electronic messages (spam) in 2015–16 increased by 44.6 per cent to 18,068.</w:t>
      </w:r>
    </w:p>
    <w:p w14:paraId="7AEF5A2F" w14:textId="77777777" w:rsidR="006B79C7" w:rsidRPr="00A36C11" w:rsidRDefault="00F30AE3" w:rsidP="00FD5E3C">
      <w:pPr>
        <w:widowControl w:val="0"/>
      </w:pPr>
      <w:r w:rsidRPr="00F30AE3">
        <w:t>There were 112,518 new complaints made to the TIO during 2015–16, a reduction of 9.6 per cent from 2014–15.</w:t>
      </w:r>
      <w:r w:rsidR="006B79C7" w:rsidRPr="00A36C11">
        <w:t xml:space="preserve"> All six categories of the TIO’s top complaints experienced a decline in this period. Complaints about credit management declined from a top of 52,907 in 2011</w:t>
      </w:r>
      <w:r w:rsidR="006B79C7" w:rsidRPr="00A36C11">
        <w:rPr>
          <w:rFonts w:cs="Arial"/>
        </w:rPr>
        <w:t>–</w:t>
      </w:r>
      <w:r w:rsidR="006B79C7" w:rsidRPr="00A36C11">
        <w:t>12 to 22,620 in 2015</w:t>
      </w:r>
      <w:r w:rsidR="006B79C7" w:rsidRPr="00A36C11">
        <w:rPr>
          <w:rFonts w:cs="Arial"/>
        </w:rPr>
        <w:t>–</w:t>
      </w:r>
      <w:r w:rsidR="006B79C7" w:rsidRPr="00A36C11">
        <w:t xml:space="preserve">16, a reduction of 57 per cent over that five-year period. </w:t>
      </w:r>
    </w:p>
    <w:p w14:paraId="4B63BE53" w14:textId="77777777" w:rsidR="00FD5E3C" w:rsidRDefault="006B79C7" w:rsidP="006B79C7">
      <w:r w:rsidRPr="00A36C11">
        <w:t>After increasing every year since 2011–12, the number of both local and mobile phone numbers ported decreased in 2015–16. Local numbers ported decreased by 19 per cent from 1.22 million to 991,0</w:t>
      </w:r>
      <w:r>
        <w:t>11</w:t>
      </w:r>
      <w:r w:rsidRPr="00A36C11">
        <w:t xml:space="preserve">, while mobile phone numbers ported decreased by 18 per cent </w:t>
      </w:r>
      <w:r>
        <w:t xml:space="preserve">from 1.72 million </w:t>
      </w:r>
      <w:r w:rsidRPr="00A36C11">
        <w:t xml:space="preserve">to 1.42 million. </w:t>
      </w:r>
    </w:p>
    <w:p w14:paraId="4C895CBB" w14:textId="77777777" w:rsidR="006B79C7" w:rsidRPr="00A36C11" w:rsidRDefault="006B79C7" w:rsidP="006B79C7">
      <w:r w:rsidRPr="00A36C11">
        <w:lastRenderedPageBreak/>
        <w:t>The decline in the number of payphones slowed over 2015–16</w:t>
      </w:r>
      <w:r w:rsidR="00C4387F">
        <w:rPr>
          <w:rFonts w:cs="Arial"/>
        </w:rPr>
        <w:t>—</w:t>
      </w:r>
      <w:r w:rsidR="00C4387F">
        <w:t>numbers fell</w:t>
      </w:r>
      <w:r w:rsidR="007D67D0">
        <w:t xml:space="preserve"> by </w:t>
      </w:r>
      <w:r w:rsidR="004737CA">
        <w:t>five</w:t>
      </w:r>
      <w:r w:rsidRPr="00A36C11">
        <w:t xml:space="preserve"> per cent to 24,573 payphones. </w:t>
      </w:r>
    </w:p>
    <w:p w14:paraId="4CB73EF6" w14:textId="77777777" w:rsidR="006B79C7" w:rsidRPr="00A36C11" w:rsidRDefault="006B79C7" w:rsidP="006B79C7">
      <w:r w:rsidRPr="00A36C11">
        <w:t xml:space="preserve">All qualifying CSPs met the Customer Service Guarantee (CSG) performance benchmarks. Between 2011 and 2016, the number of services covered by the CSG has steadily declined. In the 12 months to June 2016, the number of fixed-line services covered by the Telecommunications (Customer Service Guarantee) Standard 2011 (CSG Standard) fell 3.6 per cent to 6.1 million services. At the same time, there </w:t>
      </w:r>
      <w:r w:rsidR="007049E1">
        <w:t>was</w:t>
      </w:r>
      <w:r w:rsidRPr="00A36C11">
        <w:t xml:space="preserve"> an increase of 18 per cent of customers waiving their rights under the CSG Standard. There was also a significant increase in the amount of compensation paid to customers as a result of failing to meet CSG Standard time frames, </w:t>
      </w:r>
      <w:r w:rsidR="001E3C44">
        <w:t>rising by 176 per cent to $16.17</w:t>
      </w:r>
      <w:r w:rsidRPr="00A36C11">
        <w:t> million. This increase, in part, reflects both ongoing wet weather and the transition of consumers to NBN services, which has reduced the ability of CSPs to apply for exemptions from compliance with the CSG.</w:t>
      </w:r>
    </w:p>
    <w:p w14:paraId="2CF732B8" w14:textId="77777777" w:rsidR="006B79C7" w:rsidRPr="00A36C11" w:rsidRDefault="006B79C7" w:rsidP="00E35385">
      <w:pPr>
        <w:pStyle w:val="Heading3"/>
      </w:pPr>
      <w:bookmarkStart w:id="45" w:name="_Toc465178905"/>
      <w:bookmarkStart w:id="46" w:name="_Toc465842816"/>
      <w:r w:rsidRPr="00A36C11">
        <w:t>National interest issues</w:t>
      </w:r>
      <w:bookmarkEnd w:id="45"/>
      <w:bookmarkEnd w:id="46"/>
    </w:p>
    <w:p w14:paraId="22617E09" w14:textId="77777777" w:rsidR="006B79C7" w:rsidRPr="00A36C11" w:rsidRDefault="007049E1" w:rsidP="006B79C7">
      <w:r>
        <w:t>The percentage of c</w:t>
      </w:r>
      <w:r w:rsidR="006B79C7" w:rsidRPr="00A36C11">
        <w:t xml:space="preserve">alls to emergency services </w:t>
      </w:r>
      <w:r>
        <w:t xml:space="preserve">made </w:t>
      </w:r>
      <w:r w:rsidR="006B79C7" w:rsidRPr="00A36C11">
        <w:t xml:space="preserve">from mobile phones increased from 66.9 per cent in 2014–15 to 68.7 per cent in 2015–16. In May 2016, all emergency services </w:t>
      </w:r>
      <w:r w:rsidR="006B79C7" w:rsidRPr="009B0D33">
        <w:t xml:space="preserve">organisations (police, fire and ambulance) </w:t>
      </w:r>
      <w:r w:rsidR="006B79C7" w:rsidRPr="00A36C11">
        <w:t>throughout Australia had implemented the functionality to automatically receive cell tower (or better) location information during a Triple Zero (000) call from a mobile phone.</w:t>
      </w:r>
    </w:p>
    <w:p w14:paraId="112CD3CC" w14:textId="77777777" w:rsidR="006B79C7" w:rsidRPr="00A36C11" w:rsidRDefault="006B79C7" w:rsidP="006B79C7">
      <w:pPr>
        <w:spacing w:before="160"/>
      </w:pPr>
      <w:r w:rsidRPr="00FE6AD4">
        <w:t>During 2015–16, the number of disclosures, as reported to the ACMA under section 308 of the Telecommunications Act, was 667,792</w:t>
      </w:r>
      <w:r w:rsidR="007049E1">
        <w:t>—</w:t>
      </w:r>
      <w:r w:rsidRPr="00FE6AD4">
        <w:t>a decrease of 157,049 (19 per cent) from 2014–15. Of these, 81 per cent were covered by an authorisation in force to access existing information or documents for the enforcement of the criminal law under section 178 of the</w:t>
      </w:r>
      <w:r>
        <w:t xml:space="preserve"> </w:t>
      </w:r>
      <w:r w:rsidRPr="00FE6AD4">
        <w:rPr>
          <w:i/>
        </w:rPr>
        <w:t>Telecommunications (Interception and Access) Act 1979</w:t>
      </w:r>
      <w:r w:rsidRPr="00FE6AD4">
        <w:t xml:space="preserve"> (TIA Act).</w:t>
      </w:r>
    </w:p>
    <w:p w14:paraId="7FC5F93F" w14:textId="77777777" w:rsidR="006B79C7" w:rsidRPr="00A36C11" w:rsidRDefault="006B79C7" w:rsidP="00E35385">
      <w:pPr>
        <w:pStyle w:val="Heading3"/>
      </w:pPr>
      <w:bookmarkStart w:id="47" w:name="_Toc465178906"/>
      <w:bookmarkStart w:id="48" w:name="_Toc465842817"/>
      <w:r w:rsidRPr="00A36C11">
        <w:t>Note on ACMA consumer survey methodology</w:t>
      </w:r>
      <w:bookmarkEnd w:id="47"/>
      <w:bookmarkEnd w:id="48"/>
    </w:p>
    <w:p w14:paraId="68F7D24E" w14:textId="77777777" w:rsidR="006B79C7" w:rsidRPr="00A36C11" w:rsidRDefault="006B79C7" w:rsidP="006B79C7">
      <w:r w:rsidRPr="00A36C11">
        <w:t xml:space="preserve">The 2016 ACMA-commissioned survey uses a different methodology </w:t>
      </w:r>
      <w:r w:rsidR="00422727">
        <w:t>f</w:t>
      </w:r>
      <w:r w:rsidR="00E61A4D">
        <w:t>rom</w:t>
      </w:r>
      <w:r w:rsidR="00422727" w:rsidRPr="00A36C11">
        <w:t xml:space="preserve"> </w:t>
      </w:r>
      <w:r w:rsidRPr="00A36C11">
        <w:t>previous ACMA-commissioned surveys. This means that differences between 2015 and 2016 may be explained by the methodology rather than any significant change. For example, results from surveys using online panels indicate more television watching and screen use generally than figures derived from computer-aided telephone interviews.</w:t>
      </w:r>
    </w:p>
    <w:p w14:paraId="064BF440" w14:textId="77777777" w:rsidR="006B79C7" w:rsidRPr="00A36C11" w:rsidRDefault="006B79C7" w:rsidP="000C2713">
      <w:pPr>
        <w:keepNext/>
      </w:pPr>
      <w:r w:rsidRPr="00A36C11">
        <w:t xml:space="preserve">Care should therefore be taken when comparing 2016 </w:t>
      </w:r>
      <w:r w:rsidR="00225BCD">
        <w:t>c</w:t>
      </w:r>
      <w:r w:rsidRPr="00A36C11">
        <w:t xml:space="preserve">onsumer survey data with figures from previous years. Where this is the case, </w:t>
      </w:r>
      <w:r w:rsidR="00225BCD">
        <w:t>t</w:t>
      </w:r>
      <w:r w:rsidR="00225BCD" w:rsidRPr="00A36C11">
        <w:t xml:space="preserve">he tables and charts in the report </w:t>
      </w:r>
      <w:r w:rsidR="00225BCD">
        <w:t xml:space="preserve">show </w:t>
      </w:r>
      <w:r w:rsidRPr="00A36C11">
        <w:t>a dotted line between the 2016 figures and earlier results, as shown</w:t>
      </w:r>
      <w:r w:rsidR="00E63317">
        <w:t xml:space="preserve"> in the </w:t>
      </w:r>
      <w:r w:rsidR="00A251B2">
        <w:t xml:space="preserve">example </w:t>
      </w:r>
      <w:r w:rsidR="00E63317">
        <w:t>below</w:t>
      </w:r>
      <w:r w:rsidRPr="00A36C11">
        <w:t>.</w:t>
      </w:r>
    </w:p>
    <w:p w14:paraId="2AE5DCAB" w14:textId="77777777" w:rsidR="006B79C7" w:rsidRPr="00A36C11" w:rsidRDefault="008A04CF" w:rsidP="009C1BE9">
      <w:pPr>
        <w:keepNext/>
        <w:keepLines/>
      </w:pPr>
      <w:r>
        <w:rPr>
          <w:noProof/>
        </w:rPr>
        <w:drawing>
          <wp:inline distT="0" distB="0" distL="0" distR="0" wp14:anchorId="37C13477" wp14:editId="2F6193D0">
            <wp:extent cx="4701540" cy="1617260"/>
            <wp:effectExtent l="0" t="0" r="3810" b="2540"/>
            <wp:docPr id="48" name="Picture 48" descr="Example showing a dotted line between 2016 data and 2015 data to indicate a change in methodology between years. This means that differences between 2015 and 2016 in the ACMA-commissioned survey may be explained by methodology rather than any significant change. " title="Example of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mple graphs for Executive Summary - Updated.png"/>
                    <pic:cNvPicPr/>
                  </pic:nvPicPr>
                  <pic:blipFill rotWithShape="1">
                    <a:blip r:embed="rId33">
                      <a:extLst>
                        <a:ext uri="{28A0092B-C50C-407E-A947-70E740481C1C}">
                          <a14:useLocalDpi xmlns:a14="http://schemas.microsoft.com/office/drawing/2010/main" val="0"/>
                        </a:ext>
                      </a:extLst>
                    </a:blip>
                    <a:srcRect l="3093" t="7802" r="1428" b="3853"/>
                    <a:stretch/>
                  </pic:blipFill>
                  <pic:spPr bwMode="auto">
                    <a:xfrm>
                      <a:off x="0" y="0"/>
                      <a:ext cx="4703242" cy="1617845"/>
                    </a:xfrm>
                    <a:prstGeom prst="rect">
                      <a:avLst/>
                    </a:prstGeom>
                    <a:ln>
                      <a:noFill/>
                    </a:ln>
                    <a:extLst>
                      <a:ext uri="{53640926-AAD7-44D8-BBD7-CCE9431645EC}">
                        <a14:shadowObscured xmlns:a14="http://schemas.microsoft.com/office/drawing/2010/main"/>
                      </a:ext>
                    </a:extLst>
                  </pic:spPr>
                </pic:pic>
              </a:graphicData>
            </a:graphic>
          </wp:inline>
        </w:drawing>
      </w:r>
    </w:p>
    <w:p w14:paraId="4F4F6669" w14:textId="77777777" w:rsidR="00555643" w:rsidRDefault="006B79C7" w:rsidP="009C1BE9">
      <w:pPr>
        <w:keepNext/>
        <w:keepLines/>
      </w:pPr>
      <w:r w:rsidRPr="00A36C11">
        <w:t xml:space="preserve">A </w:t>
      </w:r>
      <w:r w:rsidR="00255BB2">
        <w:t xml:space="preserve">more </w:t>
      </w:r>
      <w:r w:rsidRPr="00A36C11">
        <w:t>detailed explanation of the change in methodology is provided in the appendix to this report.</w:t>
      </w:r>
      <w:bookmarkEnd w:id="31"/>
      <w:bookmarkEnd w:id="32"/>
    </w:p>
    <w:p w14:paraId="34189F44" w14:textId="77777777" w:rsidR="00244C97" w:rsidRPr="00F772A4" w:rsidRDefault="00244C97" w:rsidP="00871ECF">
      <w:pPr>
        <w:pStyle w:val="Heading1"/>
      </w:pPr>
      <w:bookmarkStart w:id="49" w:name="_Toc399316055"/>
      <w:bookmarkStart w:id="50" w:name="_Toc399331709"/>
      <w:bookmarkStart w:id="51" w:name="_Toc399336890"/>
      <w:bookmarkStart w:id="52" w:name="_Toc402337488"/>
      <w:bookmarkStart w:id="53" w:name="_Toc433790286"/>
      <w:bookmarkStart w:id="54" w:name="_Toc463528995"/>
      <w:bookmarkStart w:id="55" w:name="_Toc462899515"/>
      <w:bookmarkStart w:id="56" w:name="_Toc465842818"/>
      <w:bookmarkEnd w:id="49"/>
      <w:bookmarkEnd w:id="50"/>
      <w:bookmarkEnd w:id="51"/>
      <w:bookmarkEnd w:id="52"/>
      <w:r w:rsidRPr="00F772A4">
        <w:lastRenderedPageBreak/>
        <w:t>Key indicators—at a glance</w:t>
      </w:r>
      <w:bookmarkEnd w:id="5"/>
      <w:bookmarkEnd w:id="6"/>
      <w:bookmarkEnd w:id="7"/>
      <w:bookmarkEnd w:id="53"/>
      <w:bookmarkEnd w:id="54"/>
      <w:bookmarkEnd w:id="55"/>
      <w:bookmarkEnd w:id="56"/>
    </w:p>
    <w:p w14:paraId="2FA2B45E" w14:textId="77777777" w:rsidR="00555643" w:rsidRPr="00913602" w:rsidRDefault="00555643" w:rsidP="00531CD0">
      <w:pPr>
        <w:pStyle w:val="Heading2"/>
      </w:pPr>
      <w:bookmarkStart w:id="57" w:name="_Toc399331703"/>
      <w:bookmarkStart w:id="58" w:name="_Toc399336884"/>
      <w:bookmarkStart w:id="59" w:name="_Toc462899516"/>
      <w:bookmarkStart w:id="60" w:name="_Toc463528996"/>
      <w:bookmarkStart w:id="61" w:name="_Toc465178908"/>
      <w:bookmarkStart w:id="62" w:name="_Toc465842819"/>
      <w:r w:rsidRPr="00913602">
        <w:t>Telecommunications services</w:t>
      </w:r>
      <w:bookmarkEnd w:id="57"/>
      <w:bookmarkEnd w:id="58"/>
      <w:bookmarkEnd w:id="59"/>
      <w:bookmarkEnd w:id="60"/>
      <w:bookmarkEnd w:id="61"/>
      <w:bookmarkEnd w:id="62"/>
    </w:p>
    <w:p w14:paraId="0FEE4AA0" w14:textId="77777777" w:rsidR="00555643" w:rsidRPr="00913602" w:rsidRDefault="00555643" w:rsidP="00904764">
      <w:pPr>
        <w:pStyle w:val="Heading3"/>
        <w:spacing w:after="80"/>
      </w:pPr>
      <w:bookmarkStart w:id="63" w:name="_Toc462899517"/>
      <w:bookmarkStart w:id="64" w:name="_Toc463528997"/>
      <w:bookmarkStart w:id="65" w:name="_Toc465178909"/>
      <w:bookmarkStart w:id="66" w:name="_Toc465842820"/>
      <w:r w:rsidRPr="00913602">
        <w:t>Number of services</w:t>
      </w:r>
      <w:bookmarkEnd w:id="63"/>
      <w:bookmarkEnd w:id="64"/>
      <w:bookmarkEnd w:id="65"/>
      <w:bookmarkEnd w:id="66"/>
    </w:p>
    <w:tbl>
      <w:tblPr>
        <w:tblStyle w:val="Commsreport2014-15TABLE4"/>
        <w:tblW w:w="9326" w:type="dxa"/>
        <w:tblLayout w:type="fixed"/>
        <w:tblCellMar>
          <w:top w:w="57" w:type="dxa"/>
          <w:left w:w="57" w:type="dxa"/>
          <w:bottom w:w="57" w:type="dxa"/>
          <w:right w:w="57" w:type="dxa"/>
        </w:tblCellMar>
        <w:tblLook w:val="04A0" w:firstRow="1" w:lastRow="0" w:firstColumn="1" w:lastColumn="0" w:noHBand="0" w:noVBand="1"/>
        <w:tblCaption w:val="Telecommunications services: Number of services"/>
      </w:tblPr>
      <w:tblGrid>
        <w:gridCol w:w="2947"/>
        <w:gridCol w:w="1063"/>
        <w:gridCol w:w="1063"/>
        <w:gridCol w:w="1063"/>
        <w:gridCol w:w="1063"/>
        <w:gridCol w:w="1063"/>
        <w:gridCol w:w="1064"/>
      </w:tblGrid>
      <w:tr w:rsidR="00555643" w:rsidRPr="00913602" w14:paraId="68AA43B3" w14:textId="77777777" w:rsidTr="00AA164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947" w:type="dxa"/>
            <w:shd w:val="clear" w:color="auto" w:fill="auto"/>
          </w:tcPr>
          <w:p w14:paraId="43B192BF" w14:textId="77777777" w:rsidR="00555643" w:rsidRPr="00913602" w:rsidRDefault="00555643" w:rsidP="00B245EA">
            <w:pPr>
              <w:pStyle w:val="ACMATableText"/>
              <w:spacing w:before="0" w:after="0"/>
            </w:pPr>
          </w:p>
        </w:tc>
        <w:tc>
          <w:tcPr>
            <w:tcW w:w="1063" w:type="dxa"/>
          </w:tcPr>
          <w:p w14:paraId="0E579330"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12</w:t>
            </w:r>
            <w:r w:rsidR="00C54921">
              <w:rPr>
                <w:b/>
              </w:rPr>
              <w:t xml:space="preserve"> </w:t>
            </w:r>
            <w:r w:rsidR="00817707" w:rsidRPr="00C54921">
              <w:rPr>
                <w:b/>
              </w:rPr>
              <w:t>(million)</w:t>
            </w:r>
          </w:p>
        </w:tc>
        <w:tc>
          <w:tcPr>
            <w:tcW w:w="1063" w:type="dxa"/>
          </w:tcPr>
          <w:p w14:paraId="50B65E32"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13</w:t>
            </w:r>
            <w:r w:rsidR="00C54921">
              <w:rPr>
                <w:b/>
              </w:rPr>
              <w:t xml:space="preserve"> </w:t>
            </w:r>
            <w:r w:rsidR="00817707" w:rsidRPr="00C54921">
              <w:rPr>
                <w:b/>
              </w:rPr>
              <w:t>(million)</w:t>
            </w:r>
          </w:p>
        </w:tc>
        <w:tc>
          <w:tcPr>
            <w:tcW w:w="1063" w:type="dxa"/>
          </w:tcPr>
          <w:p w14:paraId="7F48821F"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14</w:t>
            </w:r>
            <w:r w:rsidR="00C54921">
              <w:rPr>
                <w:b/>
              </w:rPr>
              <w:t xml:space="preserve"> </w:t>
            </w:r>
            <w:r w:rsidR="00817707" w:rsidRPr="00C54921">
              <w:rPr>
                <w:b/>
              </w:rPr>
              <w:t>(million)</w:t>
            </w:r>
          </w:p>
        </w:tc>
        <w:tc>
          <w:tcPr>
            <w:tcW w:w="1063" w:type="dxa"/>
          </w:tcPr>
          <w:p w14:paraId="1BB4D6ED"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15</w:t>
            </w:r>
            <w:r w:rsidR="00C54921">
              <w:rPr>
                <w:b/>
              </w:rPr>
              <w:t xml:space="preserve"> </w:t>
            </w:r>
            <w:r w:rsidR="00817707" w:rsidRPr="00C54921">
              <w:rPr>
                <w:b/>
              </w:rPr>
              <w:t>(million)</w:t>
            </w:r>
          </w:p>
        </w:tc>
        <w:tc>
          <w:tcPr>
            <w:tcW w:w="1063" w:type="dxa"/>
          </w:tcPr>
          <w:p w14:paraId="03A5F8B9"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16</w:t>
            </w:r>
            <w:r w:rsidR="00C54921">
              <w:rPr>
                <w:b/>
              </w:rPr>
              <w:t xml:space="preserve"> </w:t>
            </w:r>
            <w:r w:rsidR="00817707" w:rsidRPr="00C54921">
              <w:rPr>
                <w:b/>
              </w:rPr>
              <w:t>(million)</w:t>
            </w:r>
          </w:p>
        </w:tc>
        <w:tc>
          <w:tcPr>
            <w:tcW w:w="1064" w:type="dxa"/>
          </w:tcPr>
          <w:p w14:paraId="114394A5" w14:textId="77777777" w:rsidR="00555643" w:rsidRPr="00C54921" w:rsidRDefault="000311DA"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rFonts w:cs="Arial"/>
                <w:b/>
                <w:szCs w:val="18"/>
              </w:rPr>
              <w:t>2015–16 change</w:t>
            </w:r>
            <w:r w:rsidRPr="00C54921" w:rsidDel="000309CE">
              <w:rPr>
                <w:rFonts w:cs="Arial"/>
                <w:b/>
                <w:szCs w:val="18"/>
              </w:rPr>
              <w:t xml:space="preserve"> </w:t>
            </w:r>
            <w:r w:rsidRPr="00C54921">
              <w:rPr>
                <w:rFonts w:cs="Arial"/>
                <w:b/>
                <w:szCs w:val="18"/>
              </w:rPr>
              <w:t>(%</w:t>
            </w:r>
            <w:r w:rsidR="00AF4A1F" w:rsidRPr="00C54921">
              <w:rPr>
                <w:rFonts w:cs="Arial"/>
                <w:b/>
                <w:szCs w:val="18"/>
              </w:rPr>
              <w:t>)</w:t>
            </w:r>
          </w:p>
        </w:tc>
      </w:tr>
      <w:tr w:rsidR="00555643" w:rsidRPr="00913602" w14:paraId="36843E77" w14:textId="77777777" w:rsidTr="00AA164C">
        <w:trPr>
          <w:trHeight w:val="268"/>
        </w:trPr>
        <w:tc>
          <w:tcPr>
            <w:cnfStyle w:val="001000000000" w:firstRow="0" w:lastRow="0" w:firstColumn="1" w:lastColumn="0" w:oddVBand="0" w:evenVBand="0" w:oddHBand="0" w:evenHBand="0" w:firstRowFirstColumn="0" w:firstRowLastColumn="0" w:lastRowFirstColumn="0" w:lastRowLastColumn="0"/>
            <w:tcW w:w="2947" w:type="dxa"/>
          </w:tcPr>
          <w:p w14:paraId="66F407FC" w14:textId="77777777" w:rsidR="00555643" w:rsidRPr="006E7298" w:rsidRDefault="00555643" w:rsidP="00B245EA">
            <w:pPr>
              <w:pStyle w:val="ACMATableText"/>
              <w:spacing w:before="0" w:after="0"/>
              <w:rPr>
                <w:color w:val="FFFFFF" w:themeColor="background1"/>
              </w:rPr>
            </w:pPr>
            <w:r w:rsidRPr="006E7298">
              <w:rPr>
                <w:color w:val="FFFFFF" w:themeColor="background1"/>
              </w:rPr>
              <w:t>Mobile services (voice and data)*</w:t>
            </w:r>
          </w:p>
        </w:tc>
        <w:tc>
          <w:tcPr>
            <w:tcW w:w="1063" w:type="dxa"/>
          </w:tcPr>
          <w:p w14:paraId="3AE34635"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30.20</w:t>
            </w:r>
          </w:p>
        </w:tc>
        <w:tc>
          <w:tcPr>
            <w:tcW w:w="1063" w:type="dxa"/>
          </w:tcPr>
          <w:p w14:paraId="3C093C2A"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31.09</w:t>
            </w:r>
          </w:p>
        </w:tc>
        <w:tc>
          <w:tcPr>
            <w:tcW w:w="1063" w:type="dxa"/>
          </w:tcPr>
          <w:p w14:paraId="4955FA17"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31.01</w:t>
            </w:r>
          </w:p>
        </w:tc>
        <w:tc>
          <w:tcPr>
            <w:tcW w:w="1063" w:type="dxa"/>
          </w:tcPr>
          <w:p w14:paraId="02680E3D"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31.77</w:t>
            </w:r>
          </w:p>
        </w:tc>
        <w:tc>
          <w:tcPr>
            <w:tcW w:w="1063" w:type="dxa"/>
          </w:tcPr>
          <w:p w14:paraId="6CF6F161"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32.59</w:t>
            </w:r>
          </w:p>
        </w:tc>
        <w:tc>
          <w:tcPr>
            <w:tcW w:w="1064" w:type="dxa"/>
          </w:tcPr>
          <w:p w14:paraId="5897116C"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2.6</w:t>
            </w:r>
          </w:p>
        </w:tc>
      </w:tr>
      <w:tr w:rsidR="00555643" w:rsidRPr="00913602" w14:paraId="071057BC" w14:textId="77777777" w:rsidTr="00AA164C">
        <w:trPr>
          <w:trHeight w:val="104"/>
        </w:trPr>
        <w:tc>
          <w:tcPr>
            <w:cnfStyle w:val="001000000000" w:firstRow="0" w:lastRow="0" w:firstColumn="1" w:lastColumn="0" w:oddVBand="0" w:evenVBand="0" w:oddHBand="0" w:evenHBand="0" w:firstRowFirstColumn="0" w:firstRowLastColumn="0" w:lastRowFirstColumn="0" w:lastRowLastColumn="0"/>
            <w:tcW w:w="2947" w:type="dxa"/>
          </w:tcPr>
          <w:p w14:paraId="0A5D3A18" w14:textId="77777777" w:rsidR="00555643" w:rsidRPr="006E7298" w:rsidRDefault="00555643" w:rsidP="00B245EA">
            <w:pPr>
              <w:pStyle w:val="ACMATableText"/>
              <w:spacing w:before="0" w:after="0"/>
              <w:rPr>
                <w:color w:val="FFFFFF" w:themeColor="background1"/>
              </w:rPr>
            </w:pPr>
            <w:r w:rsidRPr="006E7298">
              <w:rPr>
                <w:color w:val="FFFFFF" w:themeColor="background1"/>
              </w:rPr>
              <w:t>Mobile handset internet subscribers</w:t>
            </w:r>
          </w:p>
        </w:tc>
        <w:tc>
          <w:tcPr>
            <w:tcW w:w="1063" w:type="dxa"/>
          </w:tcPr>
          <w:p w14:paraId="358A5C8C"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16.19</w:t>
            </w:r>
          </w:p>
        </w:tc>
        <w:tc>
          <w:tcPr>
            <w:tcW w:w="1063" w:type="dxa"/>
          </w:tcPr>
          <w:p w14:paraId="180D38AF"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19.65</w:t>
            </w:r>
          </w:p>
        </w:tc>
        <w:tc>
          <w:tcPr>
            <w:tcW w:w="1063" w:type="dxa"/>
          </w:tcPr>
          <w:p w14:paraId="4E445289"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20.57</w:t>
            </w:r>
          </w:p>
        </w:tc>
        <w:tc>
          <w:tcPr>
            <w:tcW w:w="1063" w:type="dxa"/>
          </w:tcPr>
          <w:p w14:paraId="2E1F3E1E" w14:textId="77777777" w:rsidR="00555643" w:rsidRPr="00913602" w:rsidDel="00791650"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20.99</w:t>
            </w:r>
          </w:p>
        </w:tc>
        <w:tc>
          <w:tcPr>
            <w:tcW w:w="1063" w:type="dxa"/>
          </w:tcPr>
          <w:p w14:paraId="7F9ED166" w14:textId="77777777" w:rsidR="00555643" w:rsidRPr="00913602" w:rsidRDefault="007649A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t>21.97</w:t>
            </w:r>
          </w:p>
        </w:tc>
        <w:tc>
          <w:tcPr>
            <w:tcW w:w="1064" w:type="dxa"/>
          </w:tcPr>
          <w:p w14:paraId="0AD4215B" w14:textId="77777777" w:rsidR="00555643" w:rsidRPr="00913602" w:rsidRDefault="007649A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t>4.6</w:t>
            </w:r>
          </w:p>
        </w:tc>
      </w:tr>
      <w:tr w:rsidR="00555643" w:rsidRPr="00913602" w14:paraId="784AFE0B" w14:textId="77777777" w:rsidTr="00AA164C">
        <w:trPr>
          <w:trHeight w:val="280"/>
        </w:trPr>
        <w:tc>
          <w:tcPr>
            <w:cnfStyle w:val="001000000000" w:firstRow="0" w:lastRow="0" w:firstColumn="1" w:lastColumn="0" w:oddVBand="0" w:evenVBand="0" w:oddHBand="0" w:evenHBand="0" w:firstRowFirstColumn="0" w:firstRowLastColumn="0" w:lastRowFirstColumn="0" w:lastRowLastColumn="0"/>
            <w:tcW w:w="2947" w:type="dxa"/>
          </w:tcPr>
          <w:p w14:paraId="19027934" w14:textId="77777777" w:rsidR="00555643" w:rsidRPr="006E7298" w:rsidRDefault="00555643" w:rsidP="00B245EA">
            <w:pPr>
              <w:pStyle w:val="ACMATableText"/>
              <w:spacing w:before="0" w:after="0"/>
              <w:rPr>
                <w:color w:val="FFFFFF" w:themeColor="background1"/>
              </w:rPr>
            </w:pPr>
            <w:r w:rsidRPr="006E7298">
              <w:rPr>
                <w:color w:val="FFFFFF" w:themeColor="background1"/>
              </w:rPr>
              <w:t>Mobile wireless broadband (e.g.,</w:t>
            </w:r>
            <w:r w:rsidR="0079709D" w:rsidRPr="006E7298">
              <w:rPr>
                <w:color w:val="FFFFFF" w:themeColor="background1"/>
              </w:rPr>
              <w:t> </w:t>
            </w:r>
            <w:r w:rsidRPr="006E7298">
              <w:rPr>
                <w:color w:val="FFFFFF" w:themeColor="background1"/>
              </w:rPr>
              <w:t>dongle/datacard)</w:t>
            </w:r>
          </w:p>
        </w:tc>
        <w:tc>
          <w:tcPr>
            <w:tcW w:w="1063" w:type="dxa"/>
          </w:tcPr>
          <w:p w14:paraId="0EF07252"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5.86</w:t>
            </w:r>
          </w:p>
        </w:tc>
        <w:tc>
          <w:tcPr>
            <w:tcW w:w="1063" w:type="dxa"/>
          </w:tcPr>
          <w:p w14:paraId="395E70A2"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6.15</w:t>
            </w:r>
          </w:p>
        </w:tc>
        <w:tc>
          <w:tcPr>
            <w:tcW w:w="1063" w:type="dxa"/>
          </w:tcPr>
          <w:p w14:paraId="7713BD35"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5.95</w:t>
            </w:r>
          </w:p>
        </w:tc>
        <w:tc>
          <w:tcPr>
            <w:tcW w:w="1063" w:type="dxa"/>
          </w:tcPr>
          <w:p w14:paraId="4B4E8999" w14:textId="77777777" w:rsidR="00555643" w:rsidRPr="00913602" w:rsidDel="00791650"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6.00</w:t>
            </w:r>
          </w:p>
        </w:tc>
        <w:tc>
          <w:tcPr>
            <w:tcW w:w="1063" w:type="dxa"/>
          </w:tcPr>
          <w:p w14:paraId="1F01896D" w14:textId="77777777" w:rsidR="00555643" w:rsidRPr="00913602" w:rsidRDefault="007649A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t>6.04</w:t>
            </w:r>
          </w:p>
        </w:tc>
        <w:tc>
          <w:tcPr>
            <w:tcW w:w="1064" w:type="dxa"/>
          </w:tcPr>
          <w:p w14:paraId="1901E215" w14:textId="77777777" w:rsidR="00555643" w:rsidRPr="00913602" w:rsidRDefault="007649A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t>0.6</w:t>
            </w:r>
          </w:p>
        </w:tc>
      </w:tr>
      <w:tr w:rsidR="00555643" w:rsidRPr="00913602" w14:paraId="4910C1CB" w14:textId="77777777" w:rsidTr="00AA164C">
        <w:trPr>
          <w:trHeight w:val="274"/>
        </w:trPr>
        <w:tc>
          <w:tcPr>
            <w:cnfStyle w:val="001000000000" w:firstRow="0" w:lastRow="0" w:firstColumn="1" w:lastColumn="0" w:oddVBand="0" w:evenVBand="0" w:oddHBand="0" w:evenHBand="0" w:firstRowFirstColumn="0" w:firstRowLastColumn="0" w:lastRowFirstColumn="0" w:lastRowLastColumn="0"/>
            <w:tcW w:w="2947" w:type="dxa"/>
          </w:tcPr>
          <w:p w14:paraId="7000D199" w14:textId="77777777" w:rsidR="00555643" w:rsidRPr="006E7298" w:rsidRDefault="00555643" w:rsidP="00B245EA">
            <w:pPr>
              <w:pStyle w:val="ACMATableText"/>
              <w:spacing w:before="0" w:after="0"/>
              <w:rPr>
                <w:color w:val="FFFFFF" w:themeColor="background1"/>
              </w:rPr>
            </w:pPr>
            <w:r w:rsidRPr="006E7298">
              <w:rPr>
                <w:color w:val="FFFFFF" w:themeColor="background1"/>
              </w:rPr>
              <w:t>Total mobile internet services</w:t>
            </w:r>
            <w:r w:rsidRPr="006E7298">
              <w:rPr>
                <w:color w:val="FFFFFF" w:themeColor="background1"/>
                <w:vertAlign w:val="superscript"/>
              </w:rPr>
              <w:t>†</w:t>
            </w:r>
          </w:p>
        </w:tc>
        <w:tc>
          <w:tcPr>
            <w:tcW w:w="1063" w:type="dxa"/>
          </w:tcPr>
          <w:p w14:paraId="6A75C01C"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22.05</w:t>
            </w:r>
          </w:p>
        </w:tc>
        <w:tc>
          <w:tcPr>
            <w:tcW w:w="1063" w:type="dxa"/>
          </w:tcPr>
          <w:p w14:paraId="4257D0CE"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25.80</w:t>
            </w:r>
          </w:p>
        </w:tc>
        <w:tc>
          <w:tcPr>
            <w:tcW w:w="1063" w:type="dxa"/>
          </w:tcPr>
          <w:p w14:paraId="3DF2587C"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26.52</w:t>
            </w:r>
          </w:p>
        </w:tc>
        <w:tc>
          <w:tcPr>
            <w:tcW w:w="1063" w:type="dxa"/>
          </w:tcPr>
          <w:p w14:paraId="15396B3C"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27.00</w:t>
            </w:r>
          </w:p>
        </w:tc>
        <w:tc>
          <w:tcPr>
            <w:tcW w:w="1063" w:type="dxa"/>
          </w:tcPr>
          <w:p w14:paraId="56D39CA2" w14:textId="77777777" w:rsidR="00555643" w:rsidRPr="00913602" w:rsidRDefault="007649A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t>28.01</w:t>
            </w:r>
          </w:p>
        </w:tc>
        <w:tc>
          <w:tcPr>
            <w:tcW w:w="1064" w:type="dxa"/>
          </w:tcPr>
          <w:p w14:paraId="0F2CE9C4" w14:textId="77777777" w:rsidR="00555643" w:rsidRPr="00913602" w:rsidRDefault="007649A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t>3.7</w:t>
            </w:r>
          </w:p>
        </w:tc>
      </w:tr>
      <w:tr w:rsidR="00555643" w:rsidRPr="00913602" w14:paraId="43044790" w14:textId="77777777" w:rsidTr="00AA164C">
        <w:trPr>
          <w:trHeight w:val="237"/>
        </w:trPr>
        <w:tc>
          <w:tcPr>
            <w:cnfStyle w:val="001000000000" w:firstRow="0" w:lastRow="0" w:firstColumn="1" w:lastColumn="0" w:oddVBand="0" w:evenVBand="0" w:oddHBand="0" w:evenHBand="0" w:firstRowFirstColumn="0" w:firstRowLastColumn="0" w:lastRowFirstColumn="0" w:lastRowLastColumn="0"/>
            <w:tcW w:w="2947" w:type="dxa"/>
          </w:tcPr>
          <w:p w14:paraId="22E76E6D" w14:textId="77777777" w:rsidR="00555643" w:rsidRPr="006E7298" w:rsidRDefault="00555643" w:rsidP="00B245EA">
            <w:pPr>
              <w:pStyle w:val="ACMATableText"/>
              <w:spacing w:before="0" w:after="0"/>
              <w:rPr>
                <w:color w:val="FFFFFF" w:themeColor="background1"/>
              </w:rPr>
            </w:pPr>
            <w:r w:rsidRPr="006E7298">
              <w:rPr>
                <w:color w:val="FFFFFF" w:themeColor="background1"/>
              </w:rPr>
              <w:t>Total internet service subscribers</w:t>
            </w:r>
            <w:r w:rsidRPr="006E7298">
              <w:rPr>
                <w:color w:val="FFFFFF" w:themeColor="background1"/>
                <w:sz w:val="16"/>
                <w:szCs w:val="16"/>
                <w:vertAlign w:val="superscript"/>
              </w:rPr>
              <w:t>‡</w:t>
            </w:r>
          </w:p>
        </w:tc>
        <w:tc>
          <w:tcPr>
            <w:tcW w:w="1063" w:type="dxa"/>
          </w:tcPr>
          <w:p w14:paraId="238411BC"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28.23</w:t>
            </w:r>
          </w:p>
        </w:tc>
        <w:tc>
          <w:tcPr>
            <w:tcW w:w="1063" w:type="dxa"/>
          </w:tcPr>
          <w:p w14:paraId="1CA90D60"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32.00</w:t>
            </w:r>
          </w:p>
        </w:tc>
        <w:tc>
          <w:tcPr>
            <w:tcW w:w="1063" w:type="dxa"/>
          </w:tcPr>
          <w:p w14:paraId="1C72D892"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33.05</w:t>
            </w:r>
          </w:p>
        </w:tc>
        <w:tc>
          <w:tcPr>
            <w:tcW w:w="1063" w:type="dxa"/>
          </w:tcPr>
          <w:p w14:paraId="7CEB1175"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33.76</w:t>
            </w:r>
          </w:p>
        </w:tc>
        <w:tc>
          <w:tcPr>
            <w:tcW w:w="1063" w:type="dxa"/>
          </w:tcPr>
          <w:p w14:paraId="6109AD16" w14:textId="77777777" w:rsidR="00555643" w:rsidRPr="00913602" w:rsidRDefault="007649A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t>35.26</w:t>
            </w:r>
          </w:p>
        </w:tc>
        <w:tc>
          <w:tcPr>
            <w:tcW w:w="1064" w:type="dxa"/>
          </w:tcPr>
          <w:p w14:paraId="4B42214C" w14:textId="77777777" w:rsidR="00555643" w:rsidRPr="00913602" w:rsidRDefault="007649A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t>4.5</w:t>
            </w:r>
          </w:p>
        </w:tc>
      </w:tr>
      <w:tr w:rsidR="003F2304" w:rsidRPr="00913602" w14:paraId="0B80A55F" w14:textId="77777777" w:rsidTr="00AA164C">
        <w:trPr>
          <w:trHeight w:val="258"/>
        </w:trPr>
        <w:tc>
          <w:tcPr>
            <w:cnfStyle w:val="001000000000" w:firstRow="0" w:lastRow="0" w:firstColumn="1" w:lastColumn="0" w:oddVBand="0" w:evenVBand="0" w:oddHBand="0" w:evenHBand="0" w:firstRowFirstColumn="0" w:firstRowLastColumn="0" w:lastRowFirstColumn="0" w:lastRowLastColumn="0"/>
            <w:tcW w:w="2947" w:type="dxa"/>
          </w:tcPr>
          <w:p w14:paraId="163A28D2" w14:textId="77777777" w:rsidR="00555643" w:rsidRPr="006E7298" w:rsidRDefault="00555643" w:rsidP="00B245EA">
            <w:pPr>
              <w:pStyle w:val="ACMATableText"/>
              <w:spacing w:before="0" w:after="0"/>
              <w:rPr>
                <w:color w:val="FFFFFF" w:themeColor="background1"/>
              </w:rPr>
            </w:pPr>
            <w:r w:rsidRPr="006E7298">
              <w:rPr>
                <w:color w:val="FFFFFF" w:themeColor="background1"/>
              </w:rPr>
              <w:t>Fixed-line telephone services</w:t>
            </w:r>
            <w:r w:rsidRPr="006E7298">
              <w:rPr>
                <w:color w:val="FFFFFF" w:themeColor="background1"/>
                <w:vertAlign w:val="superscript"/>
              </w:rPr>
              <w:t>§</w:t>
            </w:r>
          </w:p>
        </w:tc>
        <w:tc>
          <w:tcPr>
            <w:tcW w:w="1063" w:type="dxa"/>
          </w:tcPr>
          <w:p w14:paraId="503CBB08"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9.67</w:t>
            </w:r>
          </w:p>
        </w:tc>
        <w:tc>
          <w:tcPr>
            <w:tcW w:w="1063" w:type="dxa"/>
          </w:tcPr>
          <w:p w14:paraId="44E00B55"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9.42</w:t>
            </w:r>
          </w:p>
        </w:tc>
        <w:tc>
          <w:tcPr>
            <w:tcW w:w="1063" w:type="dxa"/>
          </w:tcPr>
          <w:p w14:paraId="621F8528"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9.19</w:t>
            </w:r>
          </w:p>
        </w:tc>
        <w:tc>
          <w:tcPr>
            <w:tcW w:w="1063" w:type="dxa"/>
          </w:tcPr>
          <w:p w14:paraId="6E444218" w14:textId="77777777" w:rsidR="00555643" w:rsidRPr="00F7555C" w:rsidRDefault="008D084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F7555C">
              <w:t>8.5</w:t>
            </w:r>
            <w:r w:rsidR="00AC4CE4" w:rsidRPr="00F7555C">
              <w:t>0</w:t>
            </w:r>
            <w:r w:rsidR="00AC4CE4" w:rsidRPr="00F7555C">
              <w:rPr>
                <w:vertAlign w:val="superscript"/>
              </w:rPr>
              <w:t>#</w:t>
            </w:r>
          </w:p>
        </w:tc>
        <w:tc>
          <w:tcPr>
            <w:tcW w:w="1063" w:type="dxa"/>
          </w:tcPr>
          <w:p w14:paraId="4BA88881" w14:textId="77777777" w:rsidR="00555643" w:rsidRPr="00F7555C" w:rsidRDefault="000713CF"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F7555C">
              <w:t>8.18</w:t>
            </w:r>
            <w:r w:rsidR="00AC4CE4" w:rsidRPr="00F7555C">
              <w:rPr>
                <w:vertAlign w:val="superscript"/>
              </w:rPr>
              <w:t>#</w:t>
            </w:r>
          </w:p>
        </w:tc>
        <w:tc>
          <w:tcPr>
            <w:tcW w:w="1064" w:type="dxa"/>
          </w:tcPr>
          <w:p w14:paraId="1B89AB63" w14:textId="77777777" w:rsidR="00555643" w:rsidRPr="00F7555C" w:rsidRDefault="000713CF"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F7555C">
              <w:t>–</w:t>
            </w:r>
            <w:r w:rsidR="002223E9" w:rsidRPr="00F7555C">
              <w:t>3</w:t>
            </w:r>
            <w:r w:rsidRPr="00F7555C">
              <w:t>.</w:t>
            </w:r>
            <w:r w:rsidR="002223E9" w:rsidRPr="00F7555C">
              <w:t>8</w:t>
            </w:r>
          </w:p>
        </w:tc>
      </w:tr>
    </w:tbl>
    <w:p w14:paraId="6154EE06" w14:textId="77777777" w:rsidR="00555643" w:rsidRPr="00531CD0" w:rsidRDefault="00555643" w:rsidP="00531CD0">
      <w:pPr>
        <w:pStyle w:val="ACMANotes"/>
      </w:pPr>
      <w:r w:rsidRPr="00531CD0">
        <w:t xml:space="preserve">*Change in data source from ACMA annual industry data request in June 2013 to company annual reports from June 2014. </w:t>
      </w:r>
    </w:p>
    <w:p w14:paraId="123C4515" w14:textId="77777777" w:rsidR="00555643" w:rsidRPr="00531CD0" w:rsidRDefault="00555643" w:rsidP="00531CD0">
      <w:pPr>
        <w:pStyle w:val="ACMANotes"/>
      </w:pPr>
      <w:r w:rsidRPr="00531CD0">
        <w:rPr>
          <w:vertAlign w:val="superscript"/>
        </w:rPr>
        <w:t>†</w:t>
      </w:r>
      <w:r w:rsidRPr="00531CD0">
        <w:t xml:space="preserve">Sum of mobile phone handset and mobile wireless broadband subscribers. </w:t>
      </w:r>
    </w:p>
    <w:p w14:paraId="2D32F57F" w14:textId="77777777" w:rsidR="00555643" w:rsidRPr="00531CD0" w:rsidRDefault="00555643" w:rsidP="00531CD0">
      <w:pPr>
        <w:pStyle w:val="ACMANotes"/>
      </w:pPr>
      <w:r w:rsidRPr="00531CD0">
        <w:rPr>
          <w:vertAlign w:val="superscript"/>
        </w:rPr>
        <w:t>‡</w:t>
      </w:r>
      <w:r w:rsidRPr="00531CD0">
        <w:t>Including mobile phone handset, mobile wireless broadband, fixed-broadband, satellite, fixed-wireless, other broadband and dial-up subscribers.</w:t>
      </w:r>
    </w:p>
    <w:p w14:paraId="1700CBD3" w14:textId="77777777" w:rsidR="00555643" w:rsidRDefault="00555643" w:rsidP="00531CD0">
      <w:pPr>
        <w:pStyle w:val="ACMANotes"/>
      </w:pPr>
      <w:r w:rsidRPr="00531CD0">
        <w:rPr>
          <w:sz w:val="18"/>
          <w:vertAlign w:val="superscript"/>
        </w:rPr>
        <w:t>§</w:t>
      </w:r>
      <w:r w:rsidRPr="00531CD0">
        <w:t xml:space="preserve">Includes PSTN and other fixed-line telephone services. Due to a methodology change in 2014, data reported here differs from data reported in previous communications reports. </w:t>
      </w:r>
      <w:r w:rsidR="00CF7469">
        <w:t>From</w:t>
      </w:r>
      <w:r w:rsidR="00CF7469" w:rsidRPr="00531CD0">
        <w:t xml:space="preserve"> </w:t>
      </w:r>
      <w:r w:rsidRPr="00531CD0">
        <w:t xml:space="preserve">2014, the total resale (retail services directly connected via another network) and retail services in operation are reported. In </w:t>
      </w:r>
      <w:r w:rsidR="0079709D">
        <w:t>c</w:t>
      </w:r>
      <w:r w:rsidR="00CF7469" w:rsidRPr="00531CD0">
        <w:t xml:space="preserve">ommunications </w:t>
      </w:r>
      <w:r w:rsidRPr="00531CD0">
        <w:t>reports</w:t>
      </w:r>
      <w:r w:rsidR="00CF7469">
        <w:t xml:space="preserve"> prior to 2014</w:t>
      </w:r>
      <w:r w:rsidRPr="00531CD0">
        <w:t xml:space="preserve">, wholesale and retail totals were reported. </w:t>
      </w:r>
    </w:p>
    <w:p w14:paraId="14982A75" w14:textId="77777777" w:rsidR="00AC4CE4" w:rsidRPr="003149C9" w:rsidRDefault="00AC4CE4" w:rsidP="00531CD0">
      <w:pPr>
        <w:pStyle w:val="ACMANotes"/>
        <w:rPr>
          <w:vertAlign w:val="superscript"/>
        </w:rPr>
      </w:pPr>
      <w:r w:rsidRPr="00F7555C">
        <w:rPr>
          <w:vertAlign w:val="superscript"/>
        </w:rPr>
        <w:t>#</w:t>
      </w:r>
      <w:r w:rsidR="00EE42D4" w:rsidRPr="00F7555C">
        <w:t xml:space="preserve">Change in data source in </w:t>
      </w:r>
      <w:r w:rsidR="000E3AF0" w:rsidRPr="00F7555C">
        <w:t xml:space="preserve">2016 </w:t>
      </w:r>
      <w:r w:rsidR="00EE42D4" w:rsidRPr="00F7555C">
        <w:t>to</w:t>
      </w:r>
      <w:r w:rsidR="000E3AF0" w:rsidRPr="00F7555C">
        <w:t xml:space="preserve"> ACCC retail and resale data collected from the providers stated in the Division 12 Record Keeping Rules. 2015 </w:t>
      </w:r>
      <w:r w:rsidR="00EE42D4" w:rsidRPr="00F7555C">
        <w:t xml:space="preserve">data </w:t>
      </w:r>
      <w:r w:rsidR="000E3AF0" w:rsidRPr="00F7555C">
        <w:t>has been revised to be consistent with the 2016 data collection method</w:t>
      </w:r>
      <w:r w:rsidR="00EE42D4" w:rsidRPr="00F7555C">
        <w:t xml:space="preserve"> and differs from</w:t>
      </w:r>
      <w:r w:rsidR="00F7555C">
        <w:t xml:space="preserve"> data reported in the previous C</w:t>
      </w:r>
      <w:r w:rsidR="00EE42D4" w:rsidRPr="00F7555C">
        <w:t>ommunications report.</w:t>
      </w:r>
    </w:p>
    <w:p w14:paraId="2CA184F3" w14:textId="77777777" w:rsidR="00555643" w:rsidRPr="00531CD0" w:rsidRDefault="00555643" w:rsidP="00531CD0">
      <w:pPr>
        <w:pStyle w:val="ACMANotes"/>
      </w:pPr>
      <w:r w:rsidRPr="00531CD0">
        <w:t>Note: Counts of subscribers published in previous communications reports may vary due to revisions by the ABS. Percentage changes are calculated on non-rounded data.</w:t>
      </w:r>
    </w:p>
    <w:p w14:paraId="4B762BD4" w14:textId="77777777" w:rsidR="00555643" w:rsidRPr="00531CD0" w:rsidRDefault="00555643" w:rsidP="00531CD0">
      <w:pPr>
        <w:pStyle w:val="ACMANotes"/>
      </w:pPr>
      <w:r w:rsidRPr="00531CD0">
        <w:t>Source: See Chapter 1. Further explanatory details for this data can be found in the source chapter.</w:t>
      </w:r>
    </w:p>
    <w:p w14:paraId="0F7C3DC8" w14:textId="77777777" w:rsidR="00795834" w:rsidRPr="00913602" w:rsidRDefault="00795834" w:rsidP="00795834">
      <w:pPr>
        <w:pStyle w:val="ACMASpaceaftertable"/>
      </w:pPr>
    </w:p>
    <w:p w14:paraId="2C5AEC5C" w14:textId="77777777" w:rsidR="00555643" w:rsidRPr="00913602" w:rsidRDefault="00555643" w:rsidP="00904764">
      <w:pPr>
        <w:pStyle w:val="Heading3"/>
        <w:spacing w:before="0" w:after="80"/>
      </w:pPr>
      <w:bookmarkStart w:id="67" w:name="_Toc462899518"/>
      <w:bookmarkStart w:id="68" w:name="_Toc463528998"/>
      <w:bookmarkStart w:id="69" w:name="_Toc465178910"/>
      <w:bookmarkStart w:id="70" w:name="_Toc465842821"/>
      <w:r w:rsidRPr="00913602">
        <w:t xml:space="preserve">Use of </w:t>
      </w:r>
      <w:r w:rsidRPr="00795834">
        <w:t>services</w:t>
      </w:r>
      <w:bookmarkEnd w:id="67"/>
      <w:bookmarkEnd w:id="68"/>
      <w:bookmarkEnd w:id="69"/>
      <w:bookmarkEnd w:id="70"/>
    </w:p>
    <w:tbl>
      <w:tblPr>
        <w:tblStyle w:val="Commsreport2014-15TABLE4"/>
        <w:tblW w:w="9431" w:type="dxa"/>
        <w:tblLayout w:type="fixed"/>
        <w:tblCellMar>
          <w:top w:w="57" w:type="dxa"/>
          <w:left w:w="57" w:type="dxa"/>
          <w:bottom w:w="57" w:type="dxa"/>
          <w:right w:w="57" w:type="dxa"/>
        </w:tblCellMar>
        <w:tblLook w:val="04A0" w:firstRow="1" w:lastRow="0" w:firstColumn="1" w:lastColumn="0" w:noHBand="0" w:noVBand="1"/>
        <w:tblCaption w:val="Telecommunications services:  Use of services"/>
      </w:tblPr>
      <w:tblGrid>
        <w:gridCol w:w="3057"/>
        <w:gridCol w:w="1062"/>
        <w:gridCol w:w="1062"/>
        <w:gridCol w:w="1063"/>
        <w:gridCol w:w="1062"/>
        <w:gridCol w:w="1062"/>
        <w:gridCol w:w="1063"/>
      </w:tblGrid>
      <w:tr w:rsidR="00555643" w:rsidRPr="00913602" w14:paraId="3EDDC313" w14:textId="77777777" w:rsidTr="001F1860">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72A62EF" w14:textId="77777777" w:rsidR="00555643" w:rsidRPr="00913602" w:rsidRDefault="00555643" w:rsidP="00B245EA">
            <w:pPr>
              <w:pStyle w:val="ACMATableText"/>
              <w:spacing w:before="0" w:after="0"/>
            </w:pPr>
          </w:p>
        </w:tc>
        <w:tc>
          <w:tcPr>
            <w:tcW w:w="1062" w:type="dxa"/>
          </w:tcPr>
          <w:p w14:paraId="702238AC" w14:textId="77777777" w:rsidR="00555643" w:rsidRPr="001F1860" w:rsidRDefault="00555643" w:rsidP="001F1860">
            <w:pPr>
              <w:pStyle w:val="TableHeading"/>
              <w:cnfStyle w:val="100000000000" w:firstRow="1" w:lastRow="0" w:firstColumn="0" w:lastColumn="0" w:oddVBand="0" w:evenVBand="0" w:oddHBand="0" w:evenHBand="0" w:firstRowFirstColumn="0" w:firstRowLastColumn="0" w:lastRowFirstColumn="0" w:lastRowLastColumn="0"/>
              <w:rPr>
                <w:b/>
              </w:rPr>
            </w:pPr>
            <w:r w:rsidRPr="001F1860">
              <w:rPr>
                <w:b/>
              </w:rPr>
              <w:t>May 12</w:t>
            </w:r>
            <w:r w:rsidR="00C54921" w:rsidRPr="001F1860">
              <w:rPr>
                <w:b/>
              </w:rPr>
              <w:t xml:space="preserve"> </w:t>
            </w:r>
            <w:r w:rsidR="00817707" w:rsidRPr="001F1860">
              <w:rPr>
                <w:b/>
              </w:rPr>
              <w:t>(million)</w:t>
            </w:r>
          </w:p>
        </w:tc>
        <w:tc>
          <w:tcPr>
            <w:tcW w:w="1062" w:type="dxa"/>
          </w:tcPr>
          <w:p w14:paraId="6BE5141F" w14:textId="77777777" w:rsidR="00555643" w:rsidRPr="001F1860" w:rsidRDefault="00555643" w:rsidP="001F1860">
            <w:pPr>
              <w:pStyle w:val="TableHeading"/>
              <w:cnfStyle w:val="100000000000" w:firstRow="1" w:lastRow="0" w:firstColumn="0" w:lastColumn="0" w:oddVBand="0" w:evenVBand="0" w:oddHBand="0" w:evenHBand="0" w:firstRowFirstColumn="0" w:firstRowLastColumn="0" w:lastRowFirstColumn="0" w:lastRowLastColumn="0"/>
              <w:rPr>
                <w:b/>
              </w:rPr>
            </w:pPr>
            <w:r w:rsidRPr="001F1860">
              <w:rPr>
                <w:b/>
              </w:rPr>
              <w:t>May 13</w:t>
            </w:r>
            <w:r w:rsidRPr="001F1860" w:rsidDel="000309CE">
              <w:rPr>
                <w:b/>
              </w:rPr>
              <w:t xml:space="preserve"> </w:t>
            </w:r>
            <w:r w:rsidR="00817707" w:rsidRPr="001F1860">
              <w:rPr>
                <w:b/>
              </w:rPr>
              <w:t>(million)</w:t>
            </w:r>
          </w:p>
        </w:tc>
        <w:tc>
          <w:tcPr>
            <w:tcW w:w="1063" w:type="dxa"/>
          </w:tcPr>
          <w:p w14:paraId="4E41C9FE" w14:textId="77777777" w:rsidR="00555643" w:rsidRPr="001F1860" w:rsidRDefault="00555643" w:rsidP="001F1860">
            <w:pPr>
              <w:pStyle w:val="TableHeading"/>
              <w:cnfStyle w:val="100000000000" w:firstRow="1" w:lastRow="0" w:firstColumn="0" w:lastColumn="0" w:oddVBand="0" w:evenVBand="0" w:oddHBand="0" w:evenHBand="0" w:firstRowFirstColumn="0" w:firstRowLastColumn="0" w:lastRowFirstColumn="0" w:lastRowLastColumn="0"/>
              <w:rPr>
                <w:b/>
              </w:rPr>
            </w:pPr>
            <w:r w:rsidRPr="001F1860">
              <w:rPr>
                <w:b/>
              </w:rPr>
              <w:t>May 14</w:t>
            </w:r>
            <w:r w:rsidRPr="001F1860" w:rsidDel="000309CE">
              <w:rPr>
                <w:b/>
              </w:rPr>
              <w:t xml:space="preserve"> </w:t>
            </w:r>
            <w:r w:rsidR="00817707" w:rsidRPr="001F1860">
              <w:rPr>
                <w:b/>
              </w:rPr>
              <w:t>(million)</w:t>
            </w:r>
          </w:p>
        </w:tc>
        <w:tc>
          <w:tcPr>
            <w:tcW w:w="1062" w:type="dxa"/>
          </w:tcPr>
          <w:p w14:paraId="4CEF024B" w14:textId="77777777" w:rsidR="00555643" w:rsidRPr="001F1860" w:rsidRDefault="00555643" w:rsidP="001F1860">
            <w:pPr>
              <w:pStyle w:val="TableHeading"/>
              <w:cnfStyle w:val="100000000000" w:firstRow="1" w:lastRow="0" w:firstColumn="0" w:lastColumn="0" w:oddVBand="0" w:evenVBand="0" w:oddHBand="0" w:evenHBand="0" w:firstRowFirstColumn="0" w:firstRowLastColumn="0" w:lastRowFirstColumn="0" w:lastRowLastColumn="0"/>
              <w:rPr>
                <w:b/>
              </w:rPr>
            </w:pPr>
            <w:r w:rsidRPr="001F1860">
              <w:rPr>
                <w:b/>
              </w:rPr>
              <w:t>May 15</w:t>
            </w:r>
            <w:r w:rsidRPr="001F1860" w:rsidDel="000309CE">
              <w:rPr>
                <w:b/>
              </w:rPr>
              <w:t xml:space="preserve"> </w:t>
            </w:r>
            <w:r w:rsidR="00817707" w:rsidRPr="001F1860">
              <w:rPr>
                <w:b/>
              </w:rPr>
              <w:t>(million)</w:t>
            </w:r>
          </w:p>
        </w:tc>
        <w:tc>
          <w:tcPr>
            <w:tcW w:w="1062" w:type="dxa"/>
          </w:tcPr>
          <w:p w14:paraId="0837DC1A" w14:textId="77777777" w:rsidR="00555643" w:rsidRPr="001F1860" w:rsidRDefault="00E931F4" w:rsidP="001F1860">
            <w:pPr>
              <w:pStyle w:val="TableHeading"/>
              <w:cnfStyle w:val="100000000000" w:firstRow="1" w:lastRow="0" w:firstColumn="0" w:lastColumn="0" w:oddVBand="0" w:evenVBand="0" w:oddHBand="0" w:evenHBand="0" w:firstRowFirstColumn="0" w:firstRowLastColumn="0" w:lastRowFirstColumn="0" w:lastRowLastColumn="0"/>
              <w:rPr>
                <w:b/>
              </w:rPr>
            </w:pPr>
            <w:r w:rsidRPr="001F1860">
              <w:rPr>
                <w:b/>
              </w:rPr>
              <w:t xml:space="preserve">Jun </w:t>
            </w:r>
            <w:r w:rsidR="00555643" w:rsidRPr="001F1860">
              <w:rPr>
                <w:b/>
              </w:rPr>
              <w:t>16</w:t>
            </w:r>
            <w:r w:rsidR="00555643" w:rsidRPr="001F1860" w:rsidDel="000309CE">
              <w:rPr>
                <w:b/>
              </w:rPr>
              <w:t xml:space="preserve"> </w:t>
            </w:r>
            <w:r w:rsidR="00817707" w:rsidRPr="001F1860">
              <w:rPr>
                <w:b/>
              </w:rPr>
              <w:t>(million)</w:t>
            </w:r>
          </w:p>
        </w:tc>
        <w:tc>
          <w:tcPr>
            <w:tcW w:w="1063" w:type="dxa"/>
          </w:tcPr>
          <w:p w14:paraId="620397A7" w14:textId="77777777" w:rsidR="00555643" w:rsidRPr="001F1860" w:rsidRDefault="00555643" w:rsidP="001F1860">
            <w:pPr>
              <w:pStyle w:val="TableHeading"/>
              <w:cnfStyle w:val="100000000000" w:firstRow="1" w:lastRow="0" w:firstColumn="0" w:lastColumn="0" w:oddVBand="0" w:evenVBand="0" w:oddHBand="0" w:evenHBand="0" w:firstRowFirstColumn="0" w:firstRowLastColumn="0" w:lastRowFirstColumn="0" w:lastRowLastColumn="0"/>
              <w:rPr>
                <w:b/>
              </w:rPr>
            </w:pPr>
            <w:r w:rsidRPr="001F1860">
              <w:rPr>
                <w:b/>
              </w:rPr>
              <w:t>2015–16 change</w:t>
            </w:r>
            <w:r w:rsidRPr="001F1860" w:rsidDel="000309CE">
              <w:rPr>
                <w:b/>
              </w:rPr>
              <w:t xml:space="preserve"> </w:t>
            </w:r>
            <w:r w:rsidRPr="001F1860">
              <w:rPr>
                <w:b/>
              </w:rPr>
              <w:t>(%)</w:t>
            </w:r>
          </w:p>
        </w:tc>
      </w:tr>
      <w:tr w:rsidR="00555643" w:rsidRPr="00913602" w14:paraId="1891CA82" w14:textId="77777777" w:rsidTr="00AA164C">
        <w:trPr>
          <w:trHeight w:val="218"/>
        </w:trPr>
        <w:tc>
          <w:tcPr>
            <w:cnfStyle w:val="001000000000" w:firstRow="0" w:lastRow="0" w:firstColumn="1" w:lastColumn="0" w:oddVBand="0" w:evenVBand="0" w:oddHBand="0" w:evenHBand="0" w:firstRowFirstColumn="0" w:firstRowLastColumn="0" w:lastRowFirstColumn="0" w:lastRowLastColumn="0"/>
            <w:tcW w:w="3057" w:type="dxa"/>
          </w:tcPr>
          <w:p w14:paraId="5C918ED6"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Fixed-line telephone users</w:t>
            </w:r>
          </w:p>
        </w:tc>
        <w:tc>
          <w:tcPr>
            <w:tcW w:w="1062" w:type="dxa"/>
          </w:tcPr>
          <w:p w14:paraId="572186E6"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13.83</w:t>
            </w:r>
          </w:p>
        </w:tc>
        <w:tc>
          <w:tcPr>
            <w:tcW w:w="1062" w:type="dxa"/>
          </w:tcPr>
          <w:p w14:paraId="3C41199F"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13.34</w:t>
            </w:r>
          </w:p>
        </w:tc>
        <w:tc>
          <w:tcPr>
            <w:tcW w:w="1063" w:type="dxa"/>
          </w:tcPr>
          <w:p w14:paraId="2880AA1A"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13.37</w:t>
            </w:r>
          </w:p>
        </w:tc>
        <w:tc>
          <w:tcPr>
            <w:tcW w:w="1062" w:type="dxa"/>
          </w:tcPr>
          <w:p w14:paraId="6B0A69E8"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13.07</w:t>
            </w:r>
          </w:p>
        </w:tc>
        <w:tc>
          <w:tcPr>
            <w:tcW w:w="1062" w:type="dxa"/>
          </w:tcPr>
          <w:p w14:paraId="098DC78B"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12.56</w:t>
            </w:r>
          </w:p>
        </w:tc>
        <w:tc>
          <w:tcPr>
            <w:tcW w:w="1063" w:type="dxa"/>
          </w:tcPr>
          <w:p w14:paraId="1F2CE675" w14:textId="77777777" w:rsidR="00555643" w:rsidRPr="00913602" w:rsidRDefault="00247678"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w:t>
            </w:r>
            <w:r w:rsidR="00555643" w:rsidRPr="00913602">
              <w:rPr>
                <w:rFonts w:cs="Arial"/>
                <w:szCs w:val="18"/>
              </w:rPr>
              <w:t>4</w:t>
            </w:r>
            <w:r>
              <w:rPr>
                <w:rFonts w:cs="Arial"/>
                <w:szCs w:val="18"/>
              </w:rPr>
              <w:t>.0</w:t>
            </w:r>
          </w:p>
        </w:tc>
      </w:tr>
      <w:tr w:rsidR="00555643" w:rsidRPr="00913602" w14:paraId="2BF3DBDE" w14:textId="77777777" w:rsidTr="00AA164C">
        <w:trPr>
          <w:trHeight w:val="110"/>
        </w:trPr>
        <w:tc>
          <w:tcPr>
            <w:cnfStyle w:val="001000000000" w:firstRow="0" w:lastRow="0" w:firstColumn="1" w:lastColumn="0" w:oddVBand="0" w:evenVBand="0" w:oddHBand="0" w:evenHBand="0" w:firstRowFirstColumn="0" w:firstRowLastColumn="0" w:lastRowFirstColumn="0" w:lastRowLastColumn="0"/>
            <w:tcW w:w="3057" w:type="dxa"/>
          </w:tcPr>
          <w:p w14:paraId="2C1292F4"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Smartphone users</w:t>
            </w:r>
          </w:p>
        </w:tc>
        <w:tc>
          <w:tcPr>
            <w:tcW w:w="1062" w:type="dxa"/>
          </w:tcPr>
          <w:p w14:paraId="5F9C572E"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8.67</w:t>
            </w:r>
          </w:p>
        </w:tc>
        <w:tc>
          <w:tcPr>
            <w:tcW w:w="1062" w:type="dxa"/>
          </w:tcPr>
          <w:p w14:paraId="0BC976ED"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11.19</w:t>
            </w:r>
          </w:p>
        </w:tc>
        <w:tc>
          <w:tcPr>
            <w:tcW w:w="1063" w:type="dxa"/>
          </w:tcPr>
          <w:p w14:paraId="4AE41533"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12.07</w:t>
            </w:r>
          </w:p>
        </w:tc>
        <w:tc>
          <w:tcPr>
            <w:tcW w:w="1062" w:type="dxa"/>
          </w:tcPr>
          <w:p w14:paraId="2B0E1AB9"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13.41</w:t>
            </w:r>
          </w:p>
        </w:tc>
        <w:tc>
          <w:tcPr>
            <w:tcW w:w="1062" w:type="dxa"/>
          </w:tcPr>
          <w:p w14:paraId="5723F2D6"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13.75</w:t>
            </w:r>
          </w:p>
        </w:tc>
        <w:tc>
          <w:tcPr>
            <w:tcW w:w="1063" w:type="dxa"/>
          </w:tcPr>
          <w:p w14:paraId="1927EE76"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2.5</w:t>
            </w:r>
          </w:p>
        </w:tc>
      </w:tr>
      <w:tr w:rsidR="00555643" w:rsidRPr="00913602" w14:paraId="28964445" w14:textId="77777777" w:rsidTr="00AA164C">
        <w:trPr>
          <w:trHeight w:val="286"/>
        </w:trPr>
        <w:tc>
          <w:tcPr>
            <w:cnfStyle w:val="001000000000" w:firstRow="0" w:lastRow="0" w:firstColumn="1" w:lastColumn="0" w:oddVBand="0" w:evenVBand="0" w:oddHBand="0" w:evenHBand="0" w:firstRowFirstColumn="0" w:firstRowLastColumn="0" w:lastRowFirstColumn="0" w:lastRowLastColumn="0"/>
            <w:tcW w:w="3057" w:type="dxa"/>
          </w:tcPr>
          <w:p w14:paraId="45469390"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Mobile phone users without a home fixed-line telephone</w:t>
            </w:r>
            <w:r w:rsidRPr="006E7298">
              <w:rPr>
                <w:rFonts w:ascii="Cambria Math" w:eastAsia="Malgun Gothic" w:hAnsi="Cambria Math" w:cs="Cambria Math"/>
                <w:color w:val="FFFFFF" w:themeColor="background1"/>
                <w:szCs w:val="18"/>
                <w:vertAlign w:val="superscript"/>
              </w:rPr>
              <w:t>*</w:t>
            </w:r>
          </w:p>
        </w:tc>
        <w:tc>
          <w:tcPr>
            <w:tcW w:w="1062" w:type="dxa"/>
          </w:tcPr>
          <w:p w14:paraId="3F97D2D4"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3.41</w:t>
            </w:r>
          </w:p>
        </w:tc>
        <w:tc>
          <w:tcPr>
            <w:tcW w:w="1062" w:type="dxa"/>
          </w:tcPr>
          <w:p w14:paraId="3E7FEED9"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4.01</w:t>
            </w:r>
          </w:p>
        </w:tc>
        <w:tc>
          <w:tcPr>
            <w:tcW w:w="1063" w:type="dxa"/>
          </w:tcPr>
          <w:p w14:paraId="4CFAE0E2"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4.90</w:t>
            </w:r>
          </w:p>
        </w:tc>
        <w:tc>
          <w:tcPr>
            <w:tcW w:w="1062" w:type="dxa"/>
          </w:tcPr>
          <w:p w14:paraId="4F922713"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5.32</w:t>
            </w:r>
          </w:p>
        </w:tc>
        <w:tc>
          <w:tcPr>
            <w:tcW w:w="1062" w:type="dxa"/>
          </w:tcPr>
          <w:p w14:paraId="34F1F01A"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5.78</w:t>
            </w:r>
          </w:p>
        </w:tc>
        <w:tc>
          <w:tcPr>
            <w:tcW w:w="1063" w:type="dxa"/>
          </w:tcPr>
          <w:p w14:paraId="4094D403"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7.6</w:t>
            </w:r>
          </w:p>
        </w:tc>
      </w:tr>
    </w:tbl>
    <w:p w14:paraId="27C5C1FE" w14:textId="77777777" w:rsidR="00555643" w:rsidRPr="00531CD0" w:rsidRDefault="00555643" w:rsidP="00531CD0">
      <w:pPr>
        <w:pStyle w:val="ACMANotes"/>
      </w:pPr>
      <w:r w:rsidRPr="00531CD0">
        <w:t xml:space="preserve">*At June for each year. June 2015 figure has been revised from previously published data due to change in methodology of Roy Morgan Single Source. </w:t>
      </w:r>
    </w:p>
    <w:p w14:paraId="68AFE637" w14:textId="77777777" w:rsidR="00555643" w:rsidRPr="00531CD0" w:rsidRDefault="00555643" w:rsidP="00531CD0">
      <w:pPr>
        <w:pStyle w:val="ACMANotes"/>
      </w:pPr>
      <w:r w:rsidRPr="00531CD0">
        <w:t xml:space="preserve">Note: Data relates to people aged 18 years and over. Percentage changes are calculated on non-rounded data. </w:t>
      </w:r>
    </w:p>
    <w:p w14:paraId="3F1FCDFB" w14:textId="77777777" w:rsidR="00555643" w:rsidRPr="00531CD0" w:rsidRDefault="00555643" w:rsidP="00531CD0">
      <w:pPr>
        <w:pStyle w:val="ACMANotes"/>
      </w:pPr>
      <w:r w:rsidRPr="00531CD0">
        <w:t>Source: See Chapter 1. Further explanatory details for this data can be found in the source chapter.</w:t>
      </w:r>
    </w:p>
    <w:p w14:paraId="422DF5A4" w14:textId="77777777" w:rsidR="00795834" w:rsidRPr="00913602" w:rsidRDefault="00795834" w:rsidP="00795834">
      <w:pPr>
        <w:pStyle w:val="ACMASpaceaftertable"/>
      </w:pPr>
    </w:p>
    <w:p w14:paraId="78357E26" w14:textId="77777777" w:rsidR="00555643" w:rsidRPr="00913602" w:rsidRDefault="00555643" w:rsidP="00904764">
      <w:pPr>
        <w:pStyle w:val="Heading3"/>
        <w:spacing w:before="0" w:after="80"/>
      </w:pPr>
      <w:bookmarkStart w:id="71" w:name="_Toc462899519"/>
      <w:bookmarkStart w:id="72" w:name="_Toc463528999"/>
      <w:bookmarkStart w:id="73" w:name="_Toc465178911"/>
      <w:bookmarkStart w:id="74" w:name="_Toc465842822"/>
      <w:r w:rsidRPr="00913602">
        <w:lastRenderedPageBreak/>
        <w:t>Regulated or contracted services</w:t>
      </w:r>
      <w:bookmarkEnd w:id="71"/>
      <w:bookmarkEnd w:id="72"/>
      <w:bookmarkEnd w:id="73"/>
      <w:bookmarkEnd w:id="74"/>
    </w:p>
    <w:tbl>
      <w:tblPr>
        <w:tblStyle w:val="Commsreport2014-15TABLE4"/>
        <w:tblW w:w="9431" w:type="dxa"/>
        <w:tblLayout w:type="fixed"/>
        <w:tblCellMar>
          <w:top w:w="57" w:type="dxa"/>
          <w:left w:w="57" w:type="dxa"/>
          <w:bottom w:w="57" w:type="dxa"/>
          <w:right w:w="57" w:type="dxa"/>
        </w:tblCellMar>
        <w:tblLook w:val="04A0" w:firstRow="1" w:lastRow="0" w:firstColumn="1" w:lastColumn="0" w:noHBand="0" w:noVBand="1"/>
        <w:tblCaption w:val="Telecommunications services: Regulated or contracted services"/>
      </w:tblPr>
      <w:tblGrid>
        <w:gridCol w:w="3057"/>
        <w:gridCol w:w="1062"/>
        <w:gridCol w:w="1062"/>
        <w:gridCol w:w="1062"/>
        <w:gridCol w:w="1062"/>
        <w:gridCol w:w="1063"/>
        <w:gridCol w:w="1063"/>
      </w:tblGrid>
      <w:tr w:rsidR="00555643" w:rsidRPr="00913602" w14:paraId="7139DF34" w14:textId="77777777" w:rsidTr="00B245EA">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7357563" w14:textId="77777777" w:rsidR="00555643" w:rsidRPr="00913602" w:rsidRDefault="00555643" w:rsidP="00B245EA">
            <w:pPr>
              <w:pStyle w:val="ACMATableText"/>
              <w:spacing w:before="0" w:after="0"/>
            </w:pPr>
          </w:p>
        </w:tc>
        <w:tc>
          <w:tcPr>
            <w:tcW w:w="1062" w:type="dxa"/>
          </w:tcPr>
          <w:p w14:paraId="18E51AED"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12</w:t>
            </w:r>
          </w:p>
        </w:tc>
        <w:tc>
          <w:tcPr>
            <w:tcW w:w="1062" w:type="dxa"/>
          </w:tcPr>
          <w:p w14:paraId="2846C646"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13</w:t>
            </w:r>
          </w:p>
        </w:tc>
        <w:tc>
          <w:tcPr>
            <w:tcW w:w="1062" w:type="dxa"/>
          </w:tcPr>
          <w:p w14:paraId="3E312C8B"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14</w:t>
            </w:r>
          </w:p>
        </w:tc>
        <w:tc>
          <w:tcPr>
            <w:tcW w:w="1062" w:type="dxa"/>
          </w:tcPr>
          <w:p w14:paraId="7F86A46A"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15</w:t>
            </w:r>
          </w:p>
        </w:tc>
        <w:tc>
          <w:tcPr>
            <w:tcW w:w="1063" w:type="dxa"/>
          </w:tcPr>
          <w:p w14:paraId="6B5E6121"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Jun 16</w:t>
            </w:r>
          </w:p>
        </w:tc>
        <w:tc>
          <w:tcPr>
            <w:tcW w:w="1063" w:type="dxa"/>
          </w:tcPr>
          <w:p w14:paraId="1EC11B1D"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2015–16 change</w:t>
            </w:r>
            <w:r w:rsidR="002807DC" w:rsidRPr="00C54921">
              <w:rPr>
                <w:b/>
              </w:rPr>
              <w:t xml:space="preserve"> </w:t>
            </w:r>
            <w:r w:rsidRPr="00C54921">
              <w:rPr>
                <w:b/>
              </w:rPr>
              <w:t>(%)</w:t>
            </w:r>
          </w:p>
        </w:tc>
      </w:tr>
      <w:tr w:rsidR="00555643" w:rsidRPr="00913602" w14:paraId="3FBECE4C" w14:textId="77777777" w:rsidTr="00B245EA">
        <w:trPr>
          <w:trHeight w:val="111"/>
        </w:trPr>
        <w:tc>
          <w:tcPr>
            <w:cnfStyle w:val="001000000000" w:firstRow="0" w:lastRow="0" w:firstColumn="1" w:lastColumn="0" w:oddVBand="0" w:evenVBand="0" w:oddHBand="0" w:evenHBand="0" w:firstRowFirstColumn="0" w:firstRowLastColumn="0" w:lastRowFirstColumn="0" w:lastRowLastColumn="0"/>
            <w:tcW w:w="3057" w:type="dxa"/>
          </w:tcPr>
          <w:p w14:paraId="5434CC85"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Payphones (Telstra-operated and privately owned)</w:t>
            </w:r>
          </w:p>
        </w:tc>
        <w:tc>
          <w:tcPr>
            <w:tcW w:w="1062" w:type="dxa"/>
          </w:tcPr>
          <w:p w14:paraId="0896E343"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31,032</w:t>
            </w:r>
          </w:p>
        </w:tc>
        <w:tc>
          <w:tcPr>
            <w:tcW w:w="1062" w:type="dxa"/>
          </w:tcPr>
          <w:p w14:paraId="1F9925C2"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29,523</w:t>
            </w:r>
          </w:p>
        </w:tc>
        <w:tc>
          <w:tcPr>
            <w:tcW w:w="1062" w:type="dxa"/>
          </w:tcPr>
          <w:p w14:paraId="514A4197"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28,068</w:t>
            </w:r>
          </w:p>
        </w:tc>
        <w:tc>
          <w:tcPr>
            <w:tcW w:w="1062" w:type="dxa"/>
          </w:tcPr>
          <w:p w14:paraId="28C32DF3"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25,876</w:t>
            </w:r>
          </w:p>
        </w:tc>
        <w:tc>
          <w:tcPr>
            <w:tcW w:w="1063" w:type="dxa"/>
          </w:tcPr>
          <w:p w14:paraId="62C692ED"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24,573</w:t>
            </w:r>
          </w:p>
        </w:tc>
        <w:tc>
          <w:tcPr>
            <w:tcW w:w="1063" w:type="dxa"/>
          </w:tcPr>
          <w:p w14:paraId="76FF6B28" w14:textId="77777777" w:rsidR="00555643" w:rsidRPr="00913602" w:rsidRDefault="003865E5"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w:t>
            </w:r>
            <w:r w:rsidR="00555643" w:rsidRPr="00913602">
              <w:rPr>
                <w:rFonts w:cs="Arial"/>
                <w:szCs w:val="18"/>
              </w:rPr>
              <w:t>5.0</w:t>
            </w:r>
          </w:p>
        </w:tc>
      </w:tr>
      <w:tr w:rsidR="00555643" w:rsidRPr="00913602" w14:paraId="1AD59A3B" w14:textId="77777777" w:rsidTr="00B245EA">
        <w:trPr>
          <w:trHeight w:val="233"/>
        </w:trPr>
        <w:tc>
          <w:tcPr>
            <w:cnfStyle w:val="001000000000" w:firstRow="0" w:lastRow="0" w:firstColumn="1" w:lastColumn="0" w:oddVBand="0" w:evenVBand="0" w:oddHBand="0" w:evenHBand="0" w:firstRowFirstColumn="0" w:firstRowLastColumn="0" w:lastRowFirstColumn="0" w:lastRowLastColumn="0"/>
            <w:tcW w:w="3057" w:type="dxa"/>
            <w:shd w:val="clear" w:color="auto" w:fill="FFFFFF"/>
          </w:tcPr>
          <w:p w14:paraId="15FD21B0" w14:textId="77777777" w:rsidR="00555643" w:rsidRPr="006E7298" w:rsidRDefault="00555643" w:rsidP="00B245EA">
            <w:pPr>
              <w:pStyle w:val="ACMATableText"/>
              <w:spacing w:before="0" w:after="0"/>
              <w:rPr>
                <w:rFonts w:cs="Arial"/>
                <w:color w:val="FFFFFF" w:themeColor="background1"/>
                <w:szCs w:val="18"/>
              </w:rPr>
            </w:pPr>
          </w:p>
        </w:tc>
        <w:tc>
          <w:tcPr>
            <w:tcW w:w="1062" w:type="dxa"/>
            <w:shd w:val="clear" w:color="auto" w:fill="007298"/>
          </w:tcPr>
          <w:p w14:paraId="2B021BE1" w14:textId="77777777" w:rsidR="00555643" w:rsidRPr="00C54921" w:rsidRDefault="00817707"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C54921">
              <w:t>(million)</w:t>
            </w:r>
          </w:p>
        </w:tc>
        <w:tc>
          <w:tcPr>
            <w:tcW w:w="1062" w:type="dxa"/>
            <w:shd w:val="clear" w:color="auto" w:fill="007298"/>
          </w:tcPr>
          <w:p w14:paraId="0AF45065" w14:textId="77777777" w:rsidR="00555643" w:rsidRPr="00C54921" w:rsidRDefault="00817707"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C54921">
              <w:t>(million)</w:t>
            </w:r>
          </w:p>
        </w:tc>
        <w:tc>
          <w:tcPr>
            <w:tcW w:w="1062" w:type="dxa"/>
            <w:shd w:val="clear" w:color="auto" w:fill="007298"/>
          </w:tcPr>
          <w:p w14:paraId="59BCFB5F" w14:textId="77777777" w:rsidR="00555643" w:rsidRPr="00C54921" w:rsidRDefault="00817707"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C54921">
              <w:t>(million)</w:t>
            </w:r>
          </w:p>
        </w:tc>
        <w:tc>
          <w:tcPr>
            <w:tcW w:w="1062" w:type="dxa"/>
            <w:shd w:val="clear" w:color="auto" w:fill="007298"/>
          </w:tcPr>
          <w:p w14:paraId="42044CB2" w14:textId="77777777" w:rsidR="00555643" w:rsidRPr="00C54921" w:rsidRDefault="00817707"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C54921">
              <w:t>(million)</w:t>
            </w:r>
          </w:p>
        </w:tc>
        <w:tc>
          <w:tcPr>
            <w:tcW w:w="1063" w:type="dxa"/>
            <w:shd w:val="clear" w:color="auto" w:fill="007298"/>
          </w:tcPr>
          <w:p w14:paraId="39FF12B2" w14:textId="77777777" w:rsidR="00555643" w:rsidRPr="00C54921" w:rsidRDefault="00817707"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C54921">
              <w:t>(million)</w:t>
            </w:r>
          </w:p>
        </w:tc>
        <w:tc>
          <w:tcPr>
            <w:tcW w:w="1063" w:type="dxa"/>
            <w:shd w:val="clear" w:color="auto" w:fill="007298"/>
          </w:tcPr>
          <w:p w14:paraId="097CFBD4" w14:textId="77777777" w:rsidR="00555643" w:rsidRPr="00C54921" w:rsidRDefault="00555643"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C54921">
              <w:t>(%)</w:t>
            </w:r>
          </w:p>
        </w:tc>
      </w:tr>
      <w:tr w:rsidR="00555643" w:rsidRPr="00913602" w14:paraId="3EE728DB" w14:textId="77777777" w:rsidTr="00B245EA">
        <w:trPr>
          <w:trHeight w:val="252"/>
        </w:trPr>
        <w:tc>
          <w:tcPr>
            <w:cnfStyle w:val="001000000000" w:firstRow="0" w:lastRow="0" w:firstColumn="1" w:lastColumn="0" w:oddVBand="0" w:evenVBand="0" w:oddHBand="0" w:evenHBand="0" w:firstRowFirstColumn="0" w:firstRowLastColumn="0" w:lastRowFirstColumn="0" w:lastRowLastColumn="0"/>
            <w:tcW w:w="3057" w:type="dxa"/>
          </w:tcPr>
          <w:p w14:paraId="0F8A9557"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Number of telephone services covered by the CSG Standard</w:t>
            </w:r>
            <w:r w:rsidR="002771F4" w:rsidRPr="006E7298">
              <w:rPr>
                <w:rFonts w:cs="Arial"/>
                <w:color w:val="FFFFFF" w:themeColor="background1"/>
                <w:szCs w:val="18"/>
              </w:rPr>
              <w:t>*</w:t>
            </w:r>
          </w:p>
        </w:tc>
        <w:tc>
          <w:tcPr>
            <w:tcW w:w="1062" w:type="dxa"/>
          </w:tcPr>
          <w:p w14:paraId="528FDE28"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7.12</w:t>
            </w:r>
          </w:p>
        </w:tc>
        <w:tc>
          <w:tcPr>
            <w:tcW w:w="1062" w:type="dxa"/>
          </w:tcPr>
          <w:p w14:paraId="744A7D2B"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6.68</w:t>
            </w:r>
          </w:p>
        </w:tc>
        <w:tc>
          <w:tcPr>
            <w:tcW w:w="1062" w:type="dxa"/>
          </w:tcPr>
          <w:p w14:paraId="68B0D640"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6.54</w:t>
            </w:r>
          </w:p>
        </w:tc>
        <w:tc>
          <w:tcPr>
            <w:tcW w:w="1062" w:type="dxa"/>
          </w:tcPr>
          <w:p w14:paraId="63184A5C"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6.34</w:t>
            </w:r>
          </w:p>
        </w:tc>
        <w:tc>
          <w:tcPr>
            <w:tcW w:w="1063" w:type="dxa"/>
          </w:tcPr>
          <w:p w14:paraId="35E9A7F4"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6.11</w:t>
            </w:r>
          </w:p>
        </w:tc>
        <w:tc>
          <w:tcPr>
            <w:tcW w:w="1063" w:type="dxa"/>
          </w:tcPr>
          <w:p w14:paraId="5FDD1122" w14:textId="77777777" w:rsidR="00555643" w:rsidRPr="00913602" w:rsidRDefault="003865E5"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w:t>
            </w:r>
            <w:r w:rsidR="00555643" w:rsidRPr="00913602">
              <w:rPr>
                <w:rFonts w:cs="Arial"/>
                <w:szCs w:val="18"/>
              </w:rPr>
              <w:t>3.6</w:t>
            </w:r>
          </w:p>
        </w:tc>
      </w:tr>
      <w:tr w:rsidR="00555643" w:rsidRPr="00913602" w14:paraId="0D9545E8" w14:textId="77777777" w:rsidTr="00B245EA">
        <w:trPr>
          <w:trHeight w:val="218"/>
        </w:trPr>
        <w:tc>
          <w:tcPr>
            <w:cnfStyle w:val="001000000000" w:firstRow="0" w:lastRow="0" w:firstColumn="1" w:lastColumn="0" w:oddVBand="0" w:evenVBand="0" w:oddHBand="0" w:evenHBand="0" w:firstRowFirstColumn="0" w:firstRowLastColumn="0" w:lastRowFirstColumn="0" w:lastRowLastColumn="0"/>
            <w:tcW w:w="3057" w:type="dxa"/>
          </w:tcPr>
          <w:p w14:paraId="45173BCA"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CSP customers who have waived their rights under the CSG</w:t>
            </w:r>
          </w:p>
        </w:tc>
        <w:tc>
          <w:tcPr>
            <w:tcW w:w="1062" w:type="dxa"/>
          </w:tcPr>
          <w:p w14:paraId="275D933E"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0.228</w:t>
            </w:r>
          </w:p>
        </w:tc>
        <w:tc>
          <w:tcPr>
            <w:tcW w:w="1062" w:type="dxa"/>
          </w:tcPr>
          <w:p w14:paraId="4BE689B7"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0.248</w:t>
            </w:r>
          </w:p>
        </w:tc>
        <w:tc>
          <w:tcPr>
            <w:tcW w:w="1062" w:type="dxa"/>
          </w:tcPr>
          <w:p w14:paraId="663E034D"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0.324</w:t>
            </w:r>
          </w:p>
        </w:tc>
        <w:tc>
          <w:tcPr>
            <w:tcW w:w="1062" w:type="dxa"/>
          </w:tcPr>
          <w:p w14:paraId="7411884C"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0.867</w:t>
            </w:r>
          </w:p>
        </w:tc>
        <w:tc>
          <w:tcPr>
            <w:tcW w:w="1063" w:type="dxa"/>
          </w:tcPr>
          <w:p w14:paraId="5FA6B7F4"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1.024</w:t>
            </w:r>
          </w:p>
        </w:tc>
        <w:tc>
          <w:tcPr>
            <w:tcW w:w="1063" w:type="dxa"/>
          </w:tcPr>
          <w:p w14:paraId="19EBFEA8"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18.1</w:t>
            </w:r>
          </w:p>
        </w:tc>
      </w:tr>
    </w:tbl>
    <w:p w14:paraId="32A784B6" w14:textId="77777777" w:rsidR="00555643" w:rsidRPr="00913602" w:rsidRDefault="00555643" w:rsidP="00C54921">
      <w:pPr>
        <w:pStyle w:val="ACMANotes"/>
      </w:pPr>
      <w:r w:rsidRPr="00913602">
        <w:t>*Relates to the number and value of compensation payments made by CSPs to customers occurring during the financial year.</w:t>
      </w:r>
    </w:p>
    <w:p w14:paraId="5F9B1321" w14:textId="77777777" w:rsidR="00555643" w:rsidRDefault="00555643" w:rsidP="00C54921">
      <w:pPr>
        <w:pStyle w:val="ACMANotes"/>
      </w:pPr>
      <w:r w:rsidRPr="00913602">
        <w:t>Source: See Chapter 5. Further explanatory details for this data can be found in the source chapter.</w:t>
      </w:r>
    </w:p>
    <w:p w14:paraId="5B39D119" w14:textId="77777777" w:rsidR="00795834" w:rsidRPr="00913602" w:rsidRDefault="00795834" w:rsidP="00795834">
      <w:pPr>
        <w:pStyle w:val="ACMASpaceaftertable"/>
      </w:pPr>
    </w:p>
    <w:p w14:paraId="54178C70" w14:textId="77777777" w:rsidR="00555643" w:rsidRPr="00913602" w:rsidRDefault="00555643" w:rsidP="00904764">
      <w:pPr>
        <w:pStyle w:val="Heading3"/>
        <w:spacing w:before="0" w:after="80"/>
      </w:pPr>
      <w:bookmarkStart w:id="75" w:name="_Toc462899520"/>
      <w:bookmarkStart w:id="76" w:name="_Toc463529000"/>
      <w:bookmarkStart w:id="77" w:name="_Toc465178912"/>
      <w:bookmarkStart w:id="78" w:name="_Toc465842823"/>
      <w:r w:rsidRPr="00913602">
        <w:t>Communications network and service providers</w:t>
      </w:r>
      <w:bookmarkEnd w:id="75"/>
      <w:bookmarkEnd w:id="76"/>
      <w:bookmarkEnd w:id="77"/>
      <w:bookmarkEnd w:id="78"/>
    </w:p>
    <w:tbl>
      <w:tblPr>
        <w:tblStyle w:val="Commsreport2014-15TABLE4"/>
        <w:tblW w:w="9436" w:type="dxa"/>
        <w:tblLayout w:type="fixed"/>
        <w:tblCellMar>
          <w:top w:w="57" w:type="dxa"/>
          <w:left w:w="57" w:type="dxa"/>
          <w:bottom w:w="57" w:type="dxa"/>
          <w:right w:w="57" w:type="dxa"/>
        </w:tblCellMar>
        <w:tblLook w:val="04A0" w:firstRow="1" w:lastRow="0" w:firstColumn="1" w:lastColumn="0" w:noHBand="0" w:noVBand="1"/>
        <w:tblCaption w:val="Telecommunications services: Communications network and service providers"/>
      </w:tblPr>
      <w:tblGrid>
        <w:gridCol w:w="3074"/>
        <w:gridCol w:w="1045"/>
        <w:gridCol w:w="1065"/>
        <w:gridCol w:w="1045"/>
        <w:gridCol w:w="1065"/>
        <w:gridCol w:w="1071"/>
        <w:gridCol w:w="1071"/>
      </w:tblGrid>
      <w:tr w:rsidR="00555643" w:rsidRPr="00913602" w14:paraId="1B0BD6BE" w14:textId="77777777" w:rsidTr="009573A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074" w:type="dxa"/>
            <w:shd w:val="clear" w:color="auto" w:fill="auto"/>
          </w:tcPr>
          <w:p w14:paraId="26739528" w14:textId="77777777" w:rsidR="00555643" w:rsidRPr="00913602" w:rsidRDefault="00555643" w:rsidP="009573A6">
            <w:pPr>
              <w:pStyle w:val="TableHeading"/>
            </w:pPr>
          </w:p>
        </w:tc>
        <w:tc>
          <w:tcPr>
            <w:tcW w:w="1045" w:type="dxa"/>
          </w:tcPr>
          <w:p w14:paraId="3B2DEBA9" w14:textId="77777777" w:rsidR="00555643" w:rsidRPr="00C54921" w:rsidRDefault="00555643"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C54921">
              <w:rPr>
                <w:b/>
              </w:rPr>
              <w:t>Jun 12</w:t>
            </w:r>
          </w:p>
        </w:tc>
        <w:tc>
          <w:tcPr>
            <w:tcW w:w="1065" w:type="dxa"/>
          </w:tcPr>
          <w:p w14:paraId="6BB67AD9" w14:textId="77777777" w:rsidR="00555643" w:rsidRPr="00C54921" w:rsidRDefault="00555643"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C54921">
              <w:rPr>
                <w:b/>
              </w:rPr>
              <w:t>Jun 13</w:t>
            </w:r>
          </w:p>
        </w:tc>
        <w:tc>
          <w:tcPr>
            <w:tcW w:w="1045" w:type="dxa"/>
          </w:tcPr>
          <w:p w14:paraId="5293C979" w14:textId="77777777" w:rsidR="00555643" w:rsidRPr="00C54921" w:rsidRDefault="00555643"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C54921">
              <w:rPr>
                <w:b/>
              </w:rPr>
              <w:t>Jun 14</w:t>
            </w:r>
          </w:p>
        </w:tc>
        <w:tc>
          <w:tcPr>
            <w:tcW w:w="1065" w:type="dxa"/>
          </w:tcPr>
          <w:p w14:paraId="0AA4FD81" w14:textId="77777777" w:rsidR="00555643" w:rsidRPr="00C54921" w:rsidRDefault="00555643"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C54921">
              <w:rPr>
                <w:b/>
              </w:rPr>
              <w:t>Jun 15</w:t>
            </w:r>
          </w:p>
        </w:tc>
        <w:tc>
          <w:tcPr>
            <w:tcW w:w="1071" w:type="dxa"/>
          </w:tcPr>
          <w:p w14:paraId="769DE978" w14:textId="77777777" w:rsidR="00555643" w:rsidRPr="00C54921" w:rsidRDefault="00555643"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C54921">
              <w:rPr>
                <w:b/>
              </w:rPr>
              <w:t>Jun 16</w:t>
            </w:r>
          </w:p>
        </w:tc>
        <w:tc>
          <w:tcPr>
            <w:tcW w:w="1071" w:type="dxa"/>
          </w:tcPr>
          <w:p w14:paraId="231295DC" w14:textId="77777777" w:rsidR="00555643" w:rsidRPr="00C54921" w:rsidRDefault="00555643"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C54921">
              <w:rPr>
                <w:b/>
              </w:rPr>
              <w:t>2015–16 change</w:t>
            </w:r>
            <w:r w:rsidR="001C2C99">
              <w:rPr>
                <w:b/>
              </w:rPr>
              <w:t xml:space="preserve"> </w:t>
            </w:r>
            <w:r w:rsidRPr="00C54921">
              <w:rPr>
                <w:b/>
              </w:rPr>
              <w:t>(%)</w:t>
            </w:r>
          </w:p>
        </w:tc>
      </w:tr>
      <w:tr w:rsidR="00555643" w:rsidRPr="00913602" w14:paraId="7079208B" w14:textId="77777777" w:rsidTr="00B245EA">
        <w:trPr>
          <w:trHeight w:val="202"/>
        </w:trPr>
        <w:tc>
          <w:tcPr>
            <w:cnfStyle w:val="001000000000" w:firstRow="0" w:lastRow="0" w:firstColumn="1" w:lastColumn="0" w:oddVBand="0" w:evenVBand="0" w:oddHBand="0" w:evenHBand="0" w:firstRowFirstColumn="0" w:firstRowLastColumn="0" w:lastRowFirstColumn="0" w:lastRowLastColumn="0"/>
            <w:tcW w:w="3074" w:type="dxa"/>
          </w:tcPr>
          <w:p w14:paraId="3039E4E1"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 xml:space="preserve">Members of the TIO scheme* </w:t>
            </w:r>
          </w:p>
        </w:tc>
        <w:tc>
          <w:tcPr>
            <w:tcW w:w="1045" w:type="dxa"/>
          </w:tcPr>
          <w:p w14:paraId="380E6BDF"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1,221</w:t>
            </w:r>
          </w:p>
        </w:tc>
        <w:tc>
          <w:tcPr>
            <w:tcW w:w="1065" w:type="dxa"/>
          </w:tcPr>
          <w:p w14:paraId="1C4D2594"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1,360</w:t>
            </w:r>
          </w:p>
        </w:tc>
        <w:tc>
          <w:tcPr>
            <w:tcW w:w="1045" w:type="dxa"/>
          </w:tcPr>
          <w:p w14:paraId="56A750E4"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1,384</w:t>
            </w:r>
          </w:p>
        </w:tc>
        <w:tc>
          <w:tcPr>
            <w:tcW w:w="1065" w:type="dxa"/>
          </w:tcPr>
          <w:p w14:paraId="6BD72885"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1,539</w:t>
            </w:r>
          </w:p>
        </w:tc>
        <w:tc>
          <w:tcPr>
            <w:tcW w:w="1071" w:type="dxa"/>
          </w:tcPr>
          <w:p w14:paraId="383A7386" w14:textId="77777777" w:rsidR="00555643" w:rsidRPr="00913602" w:rsidRDefault="00C31BAD"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1,599</w:t>
            </w:r>
          </w:p>
        </w:tc>
        <w:tc>
          <w:tcPr>
            <w:tcW w:w="1071" w:type="dxa"/>
          </w:tcPr>
          <w:p w14:paraId="356EA33D" w14:textId="77777777" w:rsidR="00555643" w:rsidRPr="00913602" w:rsidRDefault="00C31BAD"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3.8</w:t>
            </w:r>
          </w:p>
        </w:tc>
      </w:tr>
      <w:tr w:rsidR="00555643" w:rsidRPr="00913602" w14:paraId="24670DC1" w14:textId="77777777" w:rsidTr="00B245EA">
        <w:trPr>
          <w:trHeight w:val="108"/>
        </w:trPr>
        <w:tc>
          <w:tcPr>
            <w:cnfStyle w:val="001000000000" w:firstRow="0" w:lastRow="0" w:firstColumn="1" w:lastColumn="0" w:oddVBand="0" w:evenVBand="0" w:oddHBand="0" w:evenHBand="0" w:firstRowFirstColumn="0" w:firstRowLastColumn="0" w:lastRowFirstColumn="0" w:lastRowLastColumn="0"/>
            <w:tcW w:w="3074" w:type="dxa"/>
          </w:tcPr>
          <w:p w14:paraId="71E255FA"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Licensed carriers</w:t>
            </w:r>
          </w:p>
        </w:tc>
        <w:tc>
          <w:tcPr>
            <w:tcW w:w="1045" w:type="dxa"/>
          </w:tcPr>
          <w:p w14:paraId="13093DCD"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187</w:t>
            </w:r>
          </w:p>
        </w:tc>
        <w:tc>
          <w:tcPr>
            <w:tcW w:w="1065" w:type="dxa"/>
          </w:tcPr>
          <w:p w14:paraId="64949D30"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201</w:t>
            </w:r>
          </w:p>
        </w:tc>
        <w:tc>
          <w:tcPr>
            <w:tcW w:w="1045" w:type="dxa"/>
          </w:tcPr>
          <w:p w14:paraId="345F31B9"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208</w:t>
            </w:r>
          </w:p>
        </w:tc>
        <w:tc>
          <w:tcPr>
            <w:tcW w:w="1065" w:type="dxa"/>
          </w:tcPr>
          <w:p w14:paraId="430366A4"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229</w:t>
            </w:r>
          </w:p>
        </w:tc>
        <w:tc>
          <w:tcPr>
            <w:tcW w:w="1071" w:type="dxa"/>
          </w:tcPr>
          <w:p w14:paraId="748572A6"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250</w:t>
            </w:r>
          </w:p>
        </w:tc>
        <w:tc>
          <w:tcPr>
            <w:tcW w:w="1071" w:type="dxa"/>
          </w:tcPr>
          <w:p w14:paraId="3E8C38AD"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9.2</w:t>
            </w:r>
          </w:p>
        </w:tc>
      </w:tr>
      <w:tr w:rsidR="00555643" w:rsidRPr="00913602" w14:paraId="4DF992AC" w14:textId="77777777" w:rsidTr="00B245EA">
        <w:trPr>
          <w:trHeight w:val="156"/>
        </w:trPr>
        <w:tc>
          <w:tcPr>
            <w:cnfStyle w:val="001000000000" w:firstRow="0" w:lastRow="0" w:firstColumn="1" w:lastColumn="0" w:oddVBand="0" w:evenVBand="0" w:oddHBand="0" w:evenHBand="0" w:firstRowFirstColumn="0" w:firstRowLastColumn="0" w:lastRowFirstColumn="0" w:lastRowLastColumn="0"/>
            <w:tcW w:w="3074" w:type="dxa"/>
          </w:tcPr>
          <w:p w14:paraId="208774D7"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Number of ISPs</w:t>
            </w:r>
            <w:r w:rsidRPr="006E7298">
              <w:rPr>
                <w:rFonts w:cs="Arial"/>
                <w:color w:val="FFFFFF" w:themeColor="background1"/>
                <w:sz w:val="16"/>
                <w:szCs w:val="16"/>
                <w:vertAlign w:val="superscript"/>
              </w:rPr>
              <w:t>†</w:t>
            </w:r>
          </w:p>
        </w:tc>
        <w:tc>
          <w:tcPr>
            <w:tcW w:w="1045" w:type="dxa"/>
          </w:tcPr>
          <w:p w14:paraId="079A19C6"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81</w:t>
            </w:r>
          </w:p>
        </w:tc>
        <w:tc>
          <w:tcPr>
            <w:tcW w:w="1065" w:type="dxa"/>
          </w:tcPr>
          <w:p w14:paraId="3DDB8736"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77</w:t>
            </w:r>
          </w:p>
        </w:tc>
        <w:tc>
          <w:tcPr>
            <w:tcW w:w="1045" w:type="dxa"/>
          </w:tcPr>
          <w:p w14:paraId="29DF0AFE"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71</w:t>
            </w:r>
          </w:p>
        </w:tc>
        <w:tc>
          <w:tcPr>
            <w:tcW w:w="1065" w:type="dxa"/>
          </w:tcPr>
          <w:p w14:paraId="6CB58D16"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69</w:t>
            </w:r>
          </w:p>
        </w:tc>
        <w:tc>
          <w:tcPr>
            <w:tcW w:w="1071" w:type="dxa"/>
          </w:tcPr>
          <w:p w14:paraId="0BF26487" w14:textId="77777777" w:rsidR="00555643" w:rsidRPr="00913602" w:rsidRDefault="00C31BAD"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44B1B">
              <w:rPr>
                <w:rFonts w:cs="Arial"/>
                <w:szCs w:val="18"/>
              </w:rPr>
              <w:t>66</w:t>
            </w:r>
          </w:p>
        </w:tc>
        <w:tc>
          <w:tcPr>
            <w:tcW w:w="1071" w:type="dxa"/>
          </w:tcPr>
          <w:p w14:paraId="6D07594B" w14:textId="77777777" w:rsidR="00555643" w:rsidRPr="00913602" w:rsidRDefault="0079709D"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w:t>
            </w:r>
            <w:r w:rsidR="00C31BAD" w:rsidRPr="00944B1B">
              <w:rPr>
                <w:rFonts w:cs="Arial"/>
                <w:szCs w:val="18"/>
              </w:rPr>
              <w:t>4.3</w:t>
            </w:r>
          </w:p>
        </w:tc>
      </w:tr>
    </w:tbl>
    <w:p w14:paraId="7A7CB735" w14:textId="77777777" w:rsidR="00555643" w:rsidRPr="00531CD0" w:rsidRDefault="00555643" w:rsidP="00531CD0">
      <w:pPr>
        <w:pStyle w:val="ACMANotes"/>
        <w:rPr>
          <w:vertAlign w:val="superscript"/>
        </w:rPr>
      </w:pPr>
      <w:r w:rsidRPr="00531CD0">
        <w:rPr>
          <w:sz w:val="18"/>
        </w:rPr>
        <w:t>*</w:t>
      </w:r>
      <w:r w:rsidRPr="00531CD0">
        <w:t>Carriers and eligible CSPs to join the TIO scheme. Eligible CSPs are those providers who supply fixed standard telephone, mobile or internet services to residential and small-business customers.</w:t>
      </w:r>
    </w:p>
    <w:p w14:paraId="1D8D6D95" w14:textId="77777777" w:rsidR="00555643" w:rsidRPr="00531CD0" w:rsidRDefault="00555643" w:rsidP="00531CD0">
      <w:pPr>
        <w:pStyle w:val="ACMANotes"/>
        <w:rPr>
          <w:vertAlign w:val="superscript"/>
        </w:rPr>
      </w:pPr>
      <w:r w:rsidRPr="00531CD0">
        <w:rPr>
          <w:vertAlign w:val="superscript"/>
        </w:rPr>
        <w:t>†</w:t>
      </w:r>
      <w:r w:rsidRPr="00531CD0">
        <w:t>ISPs with more than 1,000 subscribers operating in Australia as reported by the ABS.</w:t>
      </w:r>
    </w:p>
    <w:p w14:paraId="55B1B462" w14:textId="77777777" w:rsidR="00555643" w:rsidRPr="00531CD0" w:rsidRDefault="00555643" w:rsidP="00531CD0">
      <w:pPr>
        <w:pStyle w:val="ACMANotes"/>
      </w:pPr>
      <w:r w:rsidRPr="00531CD0">
        <w:t>Source: See Chapter 1. Further explanatory details for this data can be found in the source chapter.</w:t>
      </w:r>
      <w:bookmarkStart w:id="79" w:name="_Toc399331704"/>
      <w:bookmarkStart w:id="80" w:name="_Toc399336885"/>
    </w:p>
    <w:p w14:paraId="1D6209D7" w14:textId="77777777" w:rsidR="00795834" w:rsidRPr="00913602" w:rsidRDefault="00795834" w:rsidP="00795834">
      <w:pPr>
        <w:pStyle w:val="ACMASpaceaftertable"/>
      </w:pPr>
    </w:p>
    <w:p w14:paraId="552048B5" w14:textId="77777777" w:rsidR="00555643" w:rsidRPr="00913602" w:rsidRDefault="00555643" w:rsidP="00531CD0">
      <w:pPr>
        <w:pStyle w:val="Heading2"/>
      </w:pPr>
      <w:bookmarkStart w:id="81" w:name="_Toc462899521"/>
      <w:bookmarkStart w:id="82" w:name="_Toc463529001"/>
      <w:bookmarkStart w:id="83" w:name="_Toc465178913"/>
      <w:bookmarkStart w:id="84" w:name="_Toc465842824"/>
      <w:r w:rsidRPr="00913602">
        <w:t xml:space="preserve">Digital </w:t>
      </w:r>
      <w:bookmarkEnd w:id="79"/>
      <w:bookmarkEnd w:id="80"/>
      <w:r w:rsidRPr="00913602">
        <w:t>services and engagement</w:t>
      </w:r>
      <w:bookmarkEnd w:id="81"/>
      <w:bookmarkEnd w:id="82"/>
      <w:bookmarkEnd w:id="83"/>
      <w:bookmarkEnd w:id="84"/>
    </w:p>
    <w:p w14:paraId="52922C28" w14:textId="77777777" w:rsidR="00555643" w:rsidRPr="00913602" w:rsidRDefault="008E50E0" w:rsidP="00904764">
      <w:pPr>
        <w:pStyle w:val="Heading3"/>
        <w:spacing w:before="0" w:after="80"/>
      </w:pPr>
      <w:bookmarkStart w:id="85" w:name="_Toc462899522"/>
      <w:bookmarkStart w:id="86" w:name="_Toc463529002"/>
      <w:bookmarkStart w:id="87" w:name="_Toc465178914"/>
      <w:bookmarkStart w:id="88" w:name="_Toc465842825"/>
      <w:r>
        <w:t>NBN</w:t>
      </w:r>
      <w:r w:rsidR="002807DC">
        <w:t xml:space="preserve"> network</w:t>
      </w:r>
      <w:r w:rsidR="00555643" w:rsidRPr="00913602">
        <w:t>—</w:t>
      </w:r>
      <w:r w:rsidR="00555643">
        <w:t>p</w:t>
      </w:r>
      <w:r w:rsidR="00555643" w:rsidRPr="00913602">
        <w:t>remises serviceable and activated</w:t>
      </w:r>
      <w:bookmarkEnd w:id="85"/>
      <w:bookmarkEnd w:id="86"/>
      <w:bookmarkEnd w:id="87"/>
      <w:bookmarkEnd w:id="88"/>
    </w:p>
    <w:tbl>
      <w:tblPr>
        <w:tblStyle w:val="Commsreport2014-15TABLE4"/>
        <w:tblW w:w="9468" w:type="dxa"/>
        <w:tblLayout w:type="fixed"/>
        <w:tblCellMar>
          <w:top w:w="57" w:type="dxa"/>
          <w:left w:w="57" w:type="dxa"/>
          <w:bottom w:w="57" w:type="dxa"/>
          <w:right w:w="57" w:type="dxa"/>
        </w:tblCellMar>
        <w:tblLook w:val="04A0" w:firstRow="1" w:lastRow="0" w:firstColumn="1" w:lastColumn="0" w:noHBand="0" w:noVBand="1"/>
        <w:tblCaption w:val="Digital services and engagement: nbn—Premises serviceable and activated"/>
      </w:tblPr>
      <w:tblGrid>
        <w:gridCol w:w="3089"/>
        <w:gridCol w:w="1275"/>
        <w:gridCol w:w="1276"/>
        <w:gridCol w:w="1276"/>
        <w:gridCol w:w="1276"/>
        <w:gridCol w:w="1276"/>
      </w:tblGrid>
      <w:tr w:rsidR="00555643" w:rsidRPr="009962B9" w14:paraId="33ED152F" w14:textId="77777777" w:rsidTr="00AA164C">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3089" w:type="dxa"/>
            <w:shd w:val="clear" w:color="auto" w:fill="auto"/>
          </w:tcPr>
          <w:p w14:paraId="4CB4E3A8" w14:textId="77777777" w:rsidR="00555643" w:rsidRPr="009962B9" w:rsidRDefault="00555643" w:rsidP="00B245EA">
            <w:pPr>
              <w:pStyle w:val="ACMATableText"/>
              <w:spacing w:before="0" w:after="0"/>
              <w:rPr>
                <w:szCs w:val="18"/>
              </w:rPr>
            </w:pPr>
          </w:p>
        </w:tc>
        <w:tc>
          <w:tcPr>
            <w:tcW w:w="1275" w:type="dxa"/>
          </w:tcPr>
          <w:p w14:paraId="528E77CD" w14:textId="77777777" w:rsidR="00555643" w:rsidRPr="00C54921" w:rsidRDefault="002771F4"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 xml:space="preserve">30 </w:t>
            </w:r>
            <w:r w:rsidR="00555643" w:rsidRPr="00C54921">
              <w:rPr>
                <w:b/>
              </w:rPr>
              <w:t>Jun 13</w:t>
            </w:r>
          </w:p>
        </w:tc>
        <w:tc>
          <w:tcPr>
            <w:tcW w:w="1276" w:type="dxa"/>
          </w:tcPr>
          <w:p w14:paraId="3E96D029" w14:textId="77777777" w:rsidR="00555643" w:rsidRPr="00C54921" w:rsidRDefault="002771F4"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 xml:space="preserve">30 </w:t>
            </w:r>
            <w:r w:rsidR="00555643" w:rsidRPr="00C54921">
              <w:rPr>
                <w:b/>
              </w:rPr>
              <w:t>Jun 14</w:t>
            </w:r>
          </w:p>
        </w:tc>
        <w:tc>
          <w:tcPr>
            <w:tcW w:w="1276" w:type="dxa"/>
          </w:tcPr>
          <w:p w14:paraId="3ABC82D2" w14:textId="77777777" w:rsidR="00555643" w:rsidRPr="00C54921" w:rsidRDefault="002771F4"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 xml:space="preserve">30 </w:t>
            </w:r>
            <w:r w:rsidR="00555643" w:rsidRPr="00C54921">
              <w:rPr>
                <w:b/>
              </w:rPr>
              <w:t>Jun 15</w:t>
            </w:r>
          </w:p>
        </w:tc>
        <w:tc>
          <w:tcPr>
            <w:tcW w:w="1276" w:type="dxa"/>
          </w:tcPr>
          <w:p w14:paraId="6CF38887" w14:textId="77777777" w:rsidR="00555643" w:rsidRPr="00C54921" w:rsidRDefault="002771F4"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 xml:space="preserve">30 </w:t>
            </w:r>
            <w:r w:rsidR="00555643" w:rsidRPr="00C54921">
              <w:rPr>
                <w:b/>
              </w:rPr>
              <w:t>Jun 16</w:t>
            </w:r>
          </w:p>
        </w:tc>
        <w:tc>
          <w:tcPr>
            <w:tcW w:w="1276" w:type="dxa"/>
          </w:tcPr>
          <w:p w14:paraId="55C9A5DE"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2015–16 change</w:t>
            </w:r>
            <w:r w:rsidR="002807DC" w:rsidRPr="00C54921">
              <w:rPr>
                <w:b/>
              </w:rPr>
              <w:t xml:space="preserve"> </w:t>
            </w:r>
            <w:r w:rsidRPr="00C54921">
              <w:rPr>
                <w:b/>
              </w:rPr>
              <w:t>(%)</w:t>
            </w:r>
          </w:p>
        </w:tc>
      </w:tr>
      <w:tr w:rsidR="0024312A" w:rsidRPr="009962B9" w14:paraId="50515BD1" w14:textId="77777777" w:rsidTr="00AA164C">
        <w:trPr>
          <w:trHeight w:val="190"/>
        </w:trPr>
        <w:tc>
          <w:tcPr>
            <w:cnfStyle w:val="001000000000" w:firstRow="0" w:lastRow="0" w:firstColumn="1" w:lastColumn="0" w:oddVBand="0" w:evenVBand="0" w:oddHBand="0" w:evenHBand="0" w:firstRowFirstColumn="0" w:firstRowLastColumn="0" w:lastRowFirstColumn="0" w:lastRowLastColumn="0"/>
            <w:tcW w:w="3089" w:type="dxa"/>
          </w:tcPr>
          <w:p w14:paraId="29527641" w14:textId="77777777" w:rsidR="0024312A" w:rsidRPr="006E7298" w:rsidRDefault="0024312A" w:rsidP="00B245EA">
            <w:pPr>
              <w:pStyle w:val="ACMATableText"/>
              <w:spacing w:before="0" w:after="0"/>
              <w:rPr>
                <w:color w:val="FFFFFF" w:themeColor="background1"/>
                <w:szCs w:val="18"/>
              </w:rPr>
            </w:pPr>
            <w:r w:rsidRPr="006E7298">
              <w:rPr>
                <w:color w:val="FFFFFF" w:themeColor="background1"/>
                <w:szCs w:val="18"/>
              </w:rPr>
              <w:t>Premises serviceable</w:t>
            </w:r>
          </w:p>
        </w:tc>
        <w:tc>
          <w:tcPr>
            <w:tcW w:w="1275" w:type="dxa"/>
          </w:tcPr>
          <w:p w14:paraId="5B8F6EB5" w14:textId="77777777" w:rsidR="0024312A" w:rsidRPr="009962B9" w:rsidRDefault="0024312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n/a</w:t>
            </w:r>
          </w:p>
        </w:tc>
        <w:tc>
          <w:tcPr>
            <w:tcW w:w="1276" w:type="dxa"/>
          </w:tcPr>
          <w:p w14:paraId="28970074" w14:textId="77777777" w:rsidR="0024312A" w:rsidRPr="009962B9" w:rsidRDefault="0024312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552,618</w:t>
            </w:r>
          </w:p>
        </w:tc>
        <w:tc>
          <w:tcPr>
            <w:tcW w:w="1276" w:type="dxa"/>
          </w:tcPr>
          <w:p w14:paraId="43F92ECB" w14:textId="77777777" w:rsidR="0024312A" w:rsidRPr="009962B9" w:rsidRDefault="0024312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szCs w:val="18"/>
              </w:rPr>
            </w:pPr>
            <w:r w:rsidRPr="009962B9">
              <w:rPr>
                <w:szCs w:val="18"/>
              </w:rPr>
              <w:t>1,153,077</w:t>
            </w:r>
          </w:p>
        </w:tc>
        <w:tc>
          <w:tcPr>
            <w:tcW w:w="1276" w:type="dxa"/>
          </w:tcPr>
          <w:p w14:paraId="4984F49E" w14:textId="77777777" w:rsidR="0024312A" w:rsidRPr="009962B9" w:rsidRDefault="0024312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szCs w:val="18"/>
              </w:rPr>
            </w:pPr>
            <w:r>
              <w:rPr>
                <w:szCs w:val="18"/>
              </w:rPr>
              <w:t>2,835,687</w:t>
            </w:r>
          </w:p>
        </w:tc>
        <w:tc>
          <w:tcPr>
            <w:tcW w:w="1276" w:type="dxa"/>
          </w:tcPr>
          <w:p w14:paraId="0CA92732" w14:textId="77777777" w:rsidR="0024312A" w:rsidRPr="009962B9" w:rsidRDefault="0024312A"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szCs w:val="18"/>
              </w:rPr>
            </w:pPr>
            <w:r w:rsidRPr="009962B9">
              <w:rPr>
                <w:szCs w:val="18"/>
              </w:rPr>
              <w:t>1</w:t>
            </w:r>
            <w:r>
              <w:rPr>
                <w:szCs w:val="18"/>
              </w:rPr>
              <w:t>45</w:t>
            </w:r>
            <w:r w:rsidRPr="009962B9">
              <w:rPr>
                <w:szCs w:val="18"/>
              </w:rPr>
              <w:t>.9</w:t>
            </w:r>
          </w:p>
        </w:tc>
      </w:tr>
      <w:tr w:rsidR="00555643" w:rsidRPr="009962B9" w14:paraId="6889D4A6" w14:textId="77777777" w:rsidTr="00AA164C">
        <w:trPr>
          <w:trHeight w:val="82"/>
        </w:trPr>
        <w:tc>
          <w:tcPr>
            <w:cnfStyle w:val="001000000000" w:firstRow="0" w:lastRow="0" w:firstColumn="1" w:lastColumn="0" w:oddVBand="0" w:evenVBand="0" w:oddHBand="0" w:evenHBand="0" w:firstRowFirstColumn="0" w:firstRowLastColumn="0" w:lastRowFirstColumn="0" w:lastRowLastColumn="0"/>
            <w:tcW w:w="3089" w:type="dxa"/>
          </w:tcPr>
          <w:p w14:paraId="5C3C32AC" w14:textId="77777777" w:rsidR="00555643" w:rsidRPr="006E7298" w:rsidRDefault="00555643" w:rsidP="00B245EA">
            <w:pPr>
              <w:pStyle w:val="ACMATableText"/>
              <w:spacing w:before="0" w:after="0"/>
              <w:rPr>
                <w:color w:val="FFFFFF" w:themeColor="background1"/>
                <w:szCs w:val="18"/>
              </w:rPr>
            </w:pPr>
            <w:r w:rsidRPr="006E7298">
              <w:rPr>
                <w:color w:val="FFFFFF" w:themeColor="background1"/>
                <w:szCs w:val="18"/>
              </w:rPr>
              <w:t>Premises activated</w:t>
            </w:r>
          </w:p>
        </w:tc>
        <w:tc>
          <w:tcPr>
            <w:tcW w:w="1275" w:type="dxa"/>
          </w:tcPr>
          <w:p w14:paraId="0C70D0D8"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70,100</w:t>
            </w:r>
          </w:p>
        </w:tc>
        <w:tc>
          <w:tcPr>
            <w:tcW w:w="1276" w:type="dxa"/>
          </w:tcPr>
          <w:p w14:paraId="5F08B892"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210,628</w:t>
            </w:r>
          </w:p>
        </w:tc>
        <w:tc>
          <w:tcPr>
            <w:tcW w:w="1276" w:type="dxa"/>
          </w:tcPr>
          <w:p w14:paraId="6C9DAB87"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szCs w:val="18"/>
              </w:rPr>
            </w:pPr>
            <w:r w:rsidRPr="009962B9">
              <w:rPr>
                <w:szCs w:val="18"/>
              </w:rPr>
              <w:t>485,615</w:t>
            </w:r>
          </w:p>
        </w:tc>
        <w:tc>
          <w:tcPr>
            <w:tcW w:w="1276" w:type="dxa"/>
          </w:tcPr>
          <w:p w14:paraId="77CA48DC"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szCs w:val="18"/>
              </w:rPr>
            </w:pPr>
            <w:r w:rsidRPr="009962B9">
              <w:rPr>
                <w:szCs w:val="18"/>
              </w:rPr>
              <w:t>1,098,634</w:t>
            </w:r>
          </w:p>
        </w:tc>
        <w:tc>
          <w:tcPr>
            <w:tcW w:w="1276" w:type="dxa"/>
          </w:tcPr>
          <w:p w14:paraId="265A12A4"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szCs w:val="18"/>
              </w:rPr>
            </w:pPr>
            <w:r w:rsidRPr="009962B9">
              <w:rPr>
                <w:szCs w:val="18"/>
              </w:rPr>
              <w:t>126.2</w:t>
            </w:r>
          </w:p>
        </w:tc>
      </w:tr>
    </w:tbl>
    <w:p w14:paraId="0AAFD18E" w14:textId="77777777" w:rsidR="00555643" w:rsidRPr="00531CD0" w:rsidRDefault="00555643" w:rsidP="00531CD0">
      <w:pPr>
        <w:pStyle w:val="ACMANotes"/>
      </w:pPr>
      <w:r w:rsidRPr="00531CD0">
        <w:t>n/a=not available.</w:t>
      </w:r>
    </w:p>
    <w:p w14:paraId="1606E19F" w14:textId="77777777" w:rsidR="00555643" w:rsidRPr="00531CD0" w:rsidRDefault="00555643" w:rsidP="00531CD0">
      <w:pPr>
        <w:pStyle w:val="ACMANotes"/>
      </w:pPr>
      <w:r w:rsidRPr="00531CD0">
        <w:t>Source: See Chapter 1. Further explanatory details for this data can be found in the source chapter.</w:t>
      </w:r>
    </w:p>
    <w:p w14:paraId="210A4A9C" w14:textId="77777777" w:rsidR="00795834" w:rsidRPr="00913602" w:rsidRDefault="00795834" w:rsidP="00795834">
      <w:pPr>
        <w:pStyle w:val="ACMASpaceaftertable"/>
      </w:pPr>
    </w:p>
    <w:p w14:paraId="22DCFED7" w14:textId="77777777" w:rsidR="00555643" w:rsidRDefault="00555643" w:rsidP="00904764">
      <w:pPr>
        <w:pStyle w:val="Heading3"/>
        <w:spacing w:before="0" w:after="80"/>
      </w:pPr>
      <w:bookmarkStart w:id="89" w:name="_Toc463529003"/>
      <w:bookmarkStart w:id="90" w:name="_Toc462899523"/>
      <w:bookmarkStart w:id="91" w:name="_Toc465178915"/>
      <w:bookmarkStart w:id="92" w:name="_Toc465842826"/>
      <w:r w:rsidRPr="00913602">
        <w:lastRenderedPageBreak/>
        <w:t>Volume of data downloaded</w:t>
      </w:r>
      <w:bookmarkEnd w:id="89"/>
      <w:bookmarkEnd w:id="90"/>
      <w:bookmarkEnd w:id="91"/>
      <w:bookmarkEnd w:id="92"/>
    </w:p>
    <w:tbl>
      <w:tblPr>
        <w:tblStyle w:val="Commsreport2014-15TABLE41"/>
        <w:tblW w:w="9684" w:type="dxa"/>
        <w:tblLayout w:type="fixed"/>
        <w:tblCellMar>
          <w:top w:w="57" w:type="dxa"/>
          <w:left w:w="57" w:type="dxa"/>
          <w:bottom w:w="57" w:type="dxa"/>
          <w:right w:w="57" w:type="dxa"/>
        </w:tblCellMar>
        <w:tblLook w:val="04A0" w:firstRow="1" w:lastRow="0" w:firstColumn="1" w:lastColumn="0" w:noHBand="0" w:noVBand="1"/>
        <w:tblCaption w:val="Digital services and engagement: Volume of data downloaded"/>
      </w:tblPr>
      <w:tblGrid>
        <w:gridCol w:w="3072"/>
        <w:gridCol w:w="1102"/>
        <w:gridCol w:w="1102"/>
        <w:gridCol w:w="1102"/>
        <w:gridCol w:w="1102"/>
        <w:gridCol w:w="1102"/>
        <w:gridCol w:w="1102"/>
      </w:tblGrid>
      <w:tr w:rsidR="00D210BB" w:rsidRPr="009962B9" w14:paraId="01FFC2E0" w14:textId="77777777" w:rsidTr="00AA164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072" w:type="dxa"/>
            <w:shd w:val="clear" w:color="auto" w:fill="auto"/>
          </w:tcPr>
          <w:p w14:paraId="1329527A" w14:textId="77777777" w:rsidR="00D210BB" w:rsidRPr="009962B9" w:rsidRDefault="00D210BB" w:rsidP="00B245EA">
            <w:pPr>
              <w:pStyle w:val="ACMATableText"/>
              <w:keepNext/>
              <w:keepLines/>
              <w:spacing w:before="0" w:after="0"/>
              <w:rPr>
                <w:rFonts w:cs="Arial"/>
                <w:szCs w:val="18"/>
              </w:rPr>
            </w:pPr>
          </w:p>
        </w:tc>
        <w:tc>
          <w:tcPr>
            <w:tcW w:w="1102" w:type="dxa"/>
          </w:tcPr>
          <w:p w14:paraId="334DDA07" w14:textId="77777777" w:rsidR="00D210BB" w:rsidRPr="00C54921" w:rsidRDefault="00D210BB"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Qtr to</w:t>
            </w:r>
            <w:r w:rsidR="002807DC" w:rsidRPr="00C54921">
              <w:rPr>
                <w:b/>
              </w:rPr>
              <w:t xml:space="preserve"> </w:t>
            </w:r>
            <w:r w:rsidRPr="00C54921">
              <w:rPr>
                <w:b/>
              </w:rPr>
              <w:t>Jun 12</w:t>
            </w:r>
            <w:r w:rsidR="00C54921">
              <w:rPr>
                <w:b/>
              </w:rPr>
              <w:t xml:space="preserve"> </w:t>
            </w:r>
            <w:r w:rsidRPr="00C54921">
              <w:rPr>
                <w:b/>
              </w:rPr>
              <w:t>(TB)</w:t>
            </w:r>
          </w:p>
        </w:tc>
        <w:tc>
          <w:tcPr>
            <w:tcW w:w="1102" w:type="dxa"/>
          </w:tcPr>
          <w:p w14:paraId="4CB211DD" w14:textId="77777777" w:rsidR="00D210BB" w:rsidRPr="00C54921" w:rsidRDefault="00D210BB"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Qtr to</w:t>
            </w:r>
            <w:r w:rsidR="002807DC" w:rsidRPr="00C54921">
              <w:rPr>
                <w:b/>
              </w:rPr>
              <w:t xml:space="preserve"> </w:t>
            </w:r>
            <w:r w:rsidRPr="00C54921">
              <w:rPr>
                <w:b/>
              </w:rPr>
              <w:t>Jun 13</w:t>
            </w:r>
            <w:r w:rsidR="00C54921">
              <w:rPr>
                <w:b/>
              </w:rPr>
              <w:t xml:space="preserve"> </w:t>
            </w:r>
            <w:r w:rsidRPr="00C54921">
              <w:rPr>
                <w:b/>
              </w:rPr>
              <w:t>(TB)</w:t>
            </w:r>
          </w:p>
        </w:tc>
        <w:tc>
          <w:tcPr>
            <w:tcW w:w="1102" w:type="dxa"/>
          </w:tcPr>
          <w:p w14:paraId="66642486" w14:textId="77777777" w:rsidR="00D210BB" w:rsidRPr="00C54921" w:rsidRDefault="00D210BB"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Qtr to</w:t>
            </w:r>
            <w:r w:rsidR="002807DC" w:rsidRPr="00C54921">
              <w:rPr>
                <w:b/>
              </w:rPr>
              <w:t xml:space="preserve"> </w:t>
            </w:r>
            <w:r w:rsidRPr="00C54921">
              <w:rPr>
                <w:b/>
              </w:rPr>
              <w:t>Jun</w:t>
            </w:r>
            <w:r w:rsidR="002807DC" w:rsidRPr="00C54921">
              <w:rPr>
                <w:b/>
              </w:rPr>
              <w:t> </w:t>
            </w:r>
            <w:r w:rsidRPr="00C54921">
              <w:rPr>
                <w:b/>
              </w:rPr>
              <w:t>14</w:t>
            </w:r>
            <w:r w:rsidR="00C54921">
              <w:rPr>
                <w:b/>
              </w:rPr>
              <w:t xml:space="preserve"> </w:t>
            </w:r>
            <w:r w:rsidRPr="00C54921">
              <w:rPr>
                <w:b/>
              </w:rPr>
              <w:t>(TB)</w:t>
            </w:r>
          </w:p>
        </w:tc>
        <w:tc>
          <w:tcPr>
            <w:tcW w:w="1102" w:type="dxa"/>
          </w:tcPr>
          <w:p w14:paraId="2ADA0F55" w14:textId="77777777" w:rsidR="00D210BB" w:rsidRPr="00C54921" w:rsidRDefault="00D210BB"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Qtr to</w:t>
            </w:r>
            <w:r w:rsidR="002807DC" w:rsidRPr="00C54921">
              <w:rPr>
                <w:b/>
              </w:rPr>
              <w:t xml:space="preserve"> </w:t>
            </w:r>
            <w:r w:rsidRPr="00C54921">
              <w:rPr>
                <w:b/>
              </w:rPr>
              <w:t>Jun</w:t>
            </w:r>
            <w:r w:rsidR="002807DC" w:rsidRPr="00C54921">
              <w:rPr>
                <w:b/>
              </w:rPr>
              <w:t> </w:t>
            </w:r>
            <w:r w:rsidRPr="00C54921">
              <w:rPr>
                <w:b/>
              </w:rPr>
              <w:t>15</w:t>
            </w:r>
            <w:r w:rsidR="00C54921">
              <w:rPr>
                <w:b/>
              </w:rPr>
              <w:t xml:space="preserve"> </w:t>
            </w:r>
            <w:r w:rsidRPr="00C54921">
              <w:rPr>
                <w:b/>
              </w:rPr>
              <w:t>(TB)</w:t>
            </w:r>
          </w:p>
        </w:tc>
        <w:tc>
          <w:tcPr>
            <w:tcW w:w="1102" w:type="dxa"/>
          </w:tcPr>
          <w:p w14:paraId="0A8B03E1" w14:textId="77777777" w:rsidR="00D210BB" w:rsidRPr="00C54921" w:rsidRDefault="00D210BB"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Qtr to</w:t>
            </w:r>
            <w:r w:rsidR="002807DC" w:rsidRPr="00C54921">
              <w:rPr>
                <w:b/>
              </w:rPr>
              <w:t xml:space="preserve"> </w:t>
            </w:r>
            <w:r w:rsidRPr="00C54921">
              <w:rPr>
                <w:b/>
              </w:rPr>
              <w:t>Jun</w:t>
            </w:r>
            <w:r w:rsidR="002807DC" w:rsidRPr="00C54921">
              <w:rPr>
                <w:b/>
              </w:rPr>
              <w:t> </w:t>
            </w:r>
            <w:r w:rsidRPr="00C54921">
              <w:rPr>
                <w:b/>
              </w:rPr>
              <w:t>16</w:t>
            </w:r>
            <w:r w:rsidR="00C54921">
              <w:rPr>
                <w:b/>
              </w:rPr>
              <w:t xml:space="preserve"> </w:t>
            </w:r>
            <w:r w:rsidRPr="00C54921">
              <w:rPr>
                <w:b/>
              </w:rPr>
              <w:t>(TB)</w:t>
            </w:r>
          </w:p>
        </w:tc>
        <w:tc>
          <w:tcPr>
            <w:tcW w:w="1102" w:type="dxa"/>
          </w:tcPr>
          <w:p w14:paraId="1220739B" w14:textId="77777777" w:rsidR="00D210BB" w:rsidRPr="00C54921" w:rsidRDefault="00D210BB"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2015–16 change</w:t>
            </w:r>
            <w:r w:rsidR="002807DC" w:rsidRPr="00C54921">
              <w:rPr>
                <w:b/>
              </w:rPr>
              <w:t xml:space="preserve"> </w:t>
            </w:r>
            <w:r w:rsidRPr="00C54921">
              <w:rPr>
                <w:b/>
              </w:rPr>
              <w:t>(%)</w:t>
            </w:r>
          </w:p>
        </w:tc>
      </w:tr>
      <w:tr w:rsidR="00D210BB" w:rsidRPr="009962B9" w14:paraId="620E34C0" w14:textId="77777777" w:rsidTr="00AA164C">
        <w:trPr>
          <w:trHeight w:val="253"/>
        </w:trPr>
        <w:tc>
          <w:tcPr>
            <w:cnfStyle w:val="001000000000" w:firstRow="0" w:lastRow="0" w:firstColumn="1" w:lastColumn="0" w:oddVBand="0" w:evenVBand="0" w:oddHBand="0" w:evenHBand="0" w:firstRowFirstColumn="0" w:firstRowLastColumn="0" w:lastRowFirstColumn="0" w:lastRowLastColumn="0"/>
            <w:tcW w:w="3072" w:type="dxa"/>
          </w:tcPr>
          <w:p w14:paraId="4BE3BC61" w14:textId="77777777" w:rsidR="00D210BB" w:rsidRPr="006E7298" w:rsidRDefault="00D210BB"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Fixed-line broadband*</w:t>
            </w:r>
          </w:p>
        </w:tc>
        <w:tc>
          <w:tcPr>
            <w:tcW w:w="1102" w:type="dxa"/>
          </w:tcPr>
          <w:p w14:paraId="7ABEA722"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389,130</w:t>
            </w:r>
          </w:p>
        </w:tc>
        <w:tc>
          <w:tcPr>
            <w:tcW w:w="1102" w:type="dxa"/>
          </w:tcPr>
          <w:p w14:paraId="7F1EC8A5"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629,964</w:t>
            </w:r>
          </w:p>
        </w:tc>
        <w:tc>
          <w:tcPr>
            <w:tcW w:w="1102" w:type="dxa"/>
          </w:tcPr>
          <w:p w14:paraId="5B04678A"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963,429</w:t>
            </w:r>
          </w:p>
        </w:tc>
        <w:tc>
          <w:tcPr>
            <w:tcW w:w="1102" w:type="dxa"/>
          </w:tcPr>
          <w:p w14:paraId="5304EDE0"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1,349,975</w:t>
            </w:r>
          </w:p>
        </w:tc>
        <w:tc>
          <w:tcPr>
            <w:tcW w:w="1102" w:type="dxa"/>
          </w:tcPr>
          <w:p w14:paraId="7F2694EB"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2,049,553</w:t>
            </w:r>
          </w:p>
        </w:tc>
        <w:tc>
          <w:tcPr>
            <w:tcW w:w="1102" w:type="dxa"/>
          </w:tcPr>
          <w:p w14:paraId="062C06D1"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52</w:t>
            </w:r>
          </w:p>
        </w:tc>
      </w:tr>
      <w:tr w:rsidR="00D210BB" w:rsidRPr="009962B9" w14:paraId="2FF0D74D" w14:textId="77777777" w:rsidTr="00AA164C">
        <w:trPr>
          <w:trHeight w:val="117"/>
        </w:trPr>
        <w:tc>
          <w:tcPr>
            <w:cnfStyle w:val="001000000000" w:firstRow="0" w:lastRow="0" w:firstColumn="1" w:lastColumn="0" w:oddVBand="0" w:evenVBand="0" w:oddHBand="0" w:evenHBand="0" w:firstRowFirstColumn="0" w:firstRowLastColumn="0" w:lastRowFirstColumn="0" w:lastRowLastColumn="0"/>
            <w:tcW w:w="3072" w:type="dxa"/>
          </w:tcPr>
          <w:p w14:paraId="560A85C3" w14:textId="77777777" w:rsidR="00D210BB" w:rsidRPr="006E7298" w:rsidRDefault="00D210BB"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Wireless broadband</w:t>
            </w:r>
            <w:r w:rsidRPr="006E7298">
              <w:rPr>
                <w:rFonts w:cs="Arial"/>
                <w:color w:val="FFFFFF" w:themeColor="background1"/>
                <w:szCs w:val="18"/>
                <w:vertAlign w:val="superscript"/>
              </w:rPr>
              <w:t>†</w:t>
            </w:r>
          </w:p>
        </w:tc>
        <w:tc>
          <w:tcPr>
            <w:tcW w:w="1102" w:type="dxa"/>
          </w:tcPr>
          <w:p w14:paraId="6CBA65C6"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25,301</w:t>
            </w:r>
          </w:p>
        </w:tc>
        <w:tc>
          <w:tcPr>
            <w:tcW w:w="1102" w:type="dxa"/>
          </w:tcPr>
          <w:p w14:paraId="45DF5843"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27,232</w:t>
            </w:r>
          </w:p>
        </w:tc>
        <w:tc>
          <w:tcPr>
            <w:tcW w:w="1102" w:type="dxa"/>
          </w:tcPr>
          <w:p w14:paraId="2449DB95"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32,731</w:t>
            </w:r>
          </w:p>
        </w:tc>
        <w:tc>
          <w:tcPr>
            <w:tcW w:w="1102" w:type="dxa"/>
          </w:tcPr>
          <w:p w14:paraId="4079A36B"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38,673</w:t>
            </w:r>
          </w:p>
        </w:tc>
        <w:tc>
          <w:tcPr>
            <w:tcW w:w="1102" w:type="dxa"/>
          </w:tcPr>
          <w:p w14:paraId="157F13DE"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48,100</w:t>
            </w:r>
          </w:p>
        </w:tc>
        <w:tc>
          <w:tcPr>
            <w:tcW w:w="1102" w:type="dxa"/>
          </w:tcPr>
          <w:p w14:paraId="4729F6E0"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24</w:t>
            </w:r>
          </w:p>
        </w:tc>
      </w:tr>
      <w:tr w:rsidR="00D210BB" w:rsidRPr="009962B9" w14:paraId="1C272DA9" w14:textId="77777777" w:rsidTr="00AA164C">
        <w:trPr>
          <w:trHeight w:val="151"/>
        </w:trPr>
        <w:tc>
          <w:tcPr>
            <w:cnfStyle w:val="001000000000" w:firstRow="0" w:lastRow="0" w:firstColumn="1" w:lastColumn="0" w:oddVBand="0" w:evenVBand="0" w:oddHBand="0" w:evenHBand="0" w:firstRowFirstColumn="0" w:firstRowLastColumn="0" w:lastRowFirstColumn="0" w:lastRowLastColumn="0"/>
            <w:tcW w:w="3072" w:type="dxa"/>
          </w:tcPr>
          <w:p w14:paraId="45807C57" w14:textId="77777777" w:rsidR="00D210BB" w:rsidRPr="006E7298" w:rsidRDefault="00D210BB"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Mobile handset internet</w:t>
            </w:r>
          </w:p>
        </w:tc>
        <w:tc>
          <w:tcPr>
            <w:tcW w:w="1102" w:type="dxa"/>
          </w:tcPr>
          <w:p w14:paraId="6D2EE780"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9,943</w:t>
            </w:r>
          </w:p>
        </w:tc>
        <w:tc>
          <w:tcPr>
            <w:tcW w:w="1102" w:type="dxa"/>
          </w:tcPr>
          <w:p w14:paraId="3B7407CC"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19,636</w:t>
            </w:r>
          </w:p>
        </w:tc>
        <w:tc>
          <w:tcPr>
            <w:tcW w:w="1102" w:type="dxa"/>
          </w:tcPr>
          <w:p w14:paraId="6D5BDEF8"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38,734</w:t>
            </w:r>
          </w:p>
        </w:tc>
        <w:tc>
          <w:tcPr>
            <w:tcW w:w="1102" w:type="dxa"/>
          </w:tcPr>
          <w:p w14:paraId="7885C355"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71,572</w:t>
            </w:r>
          </w:p>
        </w:tc>
        <w:tc>
          <w:tcPr>
            <w:tcW w:w="1102" w:type="dxa"/>
          </w:tcPr>
          <w:p w14:paraId="3EA37BCE"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121,147</w:t>
            </w:r>
          </w:p>
        </w:tc>
        <w:tc>
          <w:tcPr>
            <w:tcW w:w="1102" w:type="dxa"/>
          </w:tcPr>
          <w:p w14:paraId="20D16548"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69</w:t>
            </w:r>
          </w:p>
        </w:tc>
      </w:tr>
      <w:tr w:rsidR="00D210BB" w:rsidRPr="009962B9" w14:paraId="49A21CEF" w14:textId="77777777" w:rsidTr="00AA164C">
        <w:trPr>
          <w:trHeight w:val="23"/>
        </w:trPr>
        <w:tc>
          <w:tcPr>
            <w:cnfStyle w:val="001000000000" w:firstRow="0" w:lastRow="0" w:firstColumn="1" w:lastColumn="0" w:oddVBand="0" w:evenVBand="0" w:oddHBand="0" w:evenHBand="0" w:firstRowFirstColumn="0" w:firstRowLastColumn="0" w:lastRowFirstColumn="0" w:lastRowLastColumn="0"/>
            <w:tcW w:w="3072" w:type="dxa"/>
          </w:tcPr>
          <w:p w14:paraId="260F7035" w14:textId="77777777" w:rsidR="00D210BB" w:rsidRPr="006E7298" w:rsidRDefault="00D210BB"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Total volume of data downloaded</w:t>
            </w:r>
            <w:r w:rsidRPr="006E7298">
              <w:rPr>
                <w:rFonts w:cs="Arial"/>
                <w:color w:val="FFFFFF" w:themeColor="background1"/>
                <w:szCs w:val="18"/>
                <w:vertAlign w:val="superscript"/>
              </w:rPr>
              <w:t>‡</w:t>
            </w:r>
          </w:p>
        </w:tc>
        <w:tc>
          <w:tcPr>
            <w:tcW w:w="1102" w:type="dxa"/>
            <w:shd w:val="clear" w:color="auto" w:fill="7FB8CB"/>
          </w:tcPr>
          <w:p w14:paraId="3950637E" w14:textId="77777777" w:rsidR="00D210BB" w:rsidRPr="007C73B2"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7C73B2">
              <w:rPr>
                <w:rFonts w:cs="Arial"/>
                <w:color w:val="FFFFFF" w:themeColor="background1"/>
                <w:szCs w:val="18"/>
              </w:rPr>
              <w:t>424,374</w:t>
            </w:r>
          </w:p>
        </w:tc>
        <w:tc>
          <w:tcPr>
            <w:tcW w:w="1102" w:type="dxa"/>
            <w:shd w:val="clear" w:color="auto" w:fill="7FB8CB"/>
          </w:tcPr>
          <w:p w14:paraId="5C05A220" w14:textId="77777777" w:rsidR="00D210BB" w:rsidRPr="007C73B2"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7C73B2">
              <w:rPr>
                <w:rFonts w:cs="Arial"/>
                <w:color w:val="FFFFFF" w:themeColor="background1"/>
                <w:szCs w:val="18"/>
              </w:rPr>
              <w:t>676,898</w:t>
            </w:r>
          </w:p>
        </w:tc>
        <w:tc>
          <w:tcPr>
            <w:tcW w:w="1102" w:type="dxa"/>
            <w:shd w:val="clear" w:color="auto" w:fill="7FB8CB"/>
          </w:tcPr>
          <w:p w14:paraId="5F299F28" w14:textId="77777777" w:rsidR="00D210BB" w:rsidRPr="007C73B2"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7C73B2">
              <w:rPr>
                <w:rFonts w:cs="Arial"/>
                <w:color w:val="FFFFFF" w:themeColor="background1"/>
                <w:szCs w:val="18"/>
              </w:rPr>
              <w:t>1,034,959</w:t>
            </w:r>
          </w:p>
        </w:tc>
        <w:tc>
          <w:tcPr>
            <w:tcW w:w="1102" w:type="dxa"/>
            <w:shd w:val="clear" w:color="auto" w:fill="7FB8CB"/>
          </w:tcPr>
          <w:p w14:paraId="5ACBB332" w14:textId="77777777" w:rsidR="00D210BB" w:rsidRPr="007C73B2"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7C73B2">
              <w:rPr>
                <w:rFonts w:cs="Arial"/>
                <w:color w:val="FFFFFF" w:themeColor="background1"/>
                <w:szCs w:val="18"/>
              </w:rPr>
              <w:t>1,460,269</w:t>
            </w:r>
          </w:p>
        </w:tc>
        <w:tc>
          <w:tcPr>
            <w:tcW w:w="1102" w:type="dxa"/>
            <w:shd w:val="clear" w:color="auto" w:fill="7FB8CB"/>
          </w:tcPr>
          <w:p w14:paraId="53A6740F" w14:textId="77777777" w:rsidR="00D210BB" w:rsidRPr="007C73B2"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7C73B2">
              <w:rPr>
                <w:rFonts w:cs="Arial"/>
                <w:color w:val="FFFFFF" w:themeColor="background1"/>
                <w:szCs w:val="18"/>
              </w:rPr>
              <w:t>2,218,829</w:t>
            </w:r>
          </w:p>
        </w:tc>
        <w:tc>
          <w:tcPr>
            <w:tcW w:w="1102" w:type="dxa"/>
            <w:shd w:val="clear" w:color="auto" w:fill="7FB8CB"/>
          </w:tcPr>
          <w:p w14:paraId="33BF36B2" w14:textId="77777777" w:rsidR="00D210BB" w:rsidRPr="007C73B2"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7C73B2">
              <w:rPr>
                <w:rFonts w:cs="Arial"/>
                <w:color w:val="FFFFFF" w:themeColor="background1"/>
                <w:szCs w:val="18"/>
              </w:rPr>
              <w:t>52</w:t>
            </w:r>
          </w:p>
        </w:tc>
      </w:tr>
      <w:tr w:rsidR="00D210BB" w:rsidRPr="009962B9" w14:paraId="3F02E7F9" w14:textId="77777777" w:rsidTr="00AA164C">
        <w:trPr>
          <w:trHeight w:val="90"/>
        </w:trPr>
        <w:tc>
          <w:tcPr>
            <w:cnfStyle w:val="001000000000" w:firstRow="0" w:lastRow="0" w:firstColumn="1" w:lastColumn="0" w:oddVBand="0" w:evenVBand="0" w:oddHBand="0" w:evenHBand="0" w:firstRowFirstColumn="0" w:firstRowLastColumn="0" w:lastRowFirstColumn="0" w:lastRowLastColumn="0"/>
            <w:tcW w:w="3072" w:type="dxa"/>
            <w:shd w:val="clear" w:color="auto" w:fill="auto"/>
          </w:tcPr>
          <w:p w14:paraId="6B3CE798" w14:textId="77777777" w:rsidR="00D210BB" w:rsidRPr="006E7298" w:rsidRDefault="00D210BB" w:rsidP="00B245EA">
            <w:pPr>
              <w:pStyle w:val="ACMATableText"/>
              <w:keepNext/>
              <w:keepLines/>
              <w:spacing w:before="0" w:after="0"/>
              <w:rPr>
                <w:rFonts w:cs="Arial"/>
                <w:color w:val="FFFFFF" w:themeColor="background1"/>
                <w:szCs w:val="18"/>
              </w:rPr>
            </w:pPr>
          </w:p>
        </w:tc>
        <w:tc>
          <w:tcPr>
            <w:tcW w:w="1102" w:type="dxa"/>
            <w:shd w:val="clear" w:color="auto" w:fill="007298"/>
          </w:tcPr>
          <w:p w14:paraId="1A8DAC34" w14:textId="77777777" w:rsidR="00D210BB" w:rsidRPr="004200C4" w:rsidRDefault="00D210BB"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(GB)</w:t>
            </w:r>
          </w:p>
        </w:tc>
        <w:tc>
          <w:tcPr>
            <w:tcW w:w="1102" w:type="dxa"/>
            <w:shd w:val="clear" w:color="auto" w:fill="007298"/>
          </w:tcPr>
          <w:p w14:paraId="481415A4" w14:textId="77777777" w:rsidR="00D210BB" w:rsidRPr="004200C4" w:rsidRDefault="00D210BB"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(GB)</w:t>
            </w:r>
          </w:p>
        </w:tc>
        <w:tc>
          <w:tcPr>
            <w:tcW w:w="1102" w:type="dxa"/>
            <w:shd w:val="clear" w:color="auto" w:fill="007298"/>
          </w:tcPr>
          <w:p w14:paraId="458F0ABF" w14:textId="77777777" w:rsidR="00D210BB" w:rsidRPr="004200C4" w:rsidRDefault="00D210BB"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(GB)</w:t>
            </w:r>
          </w:p>
        </w:tc>
        <w:tc>
          <w:tcPr>
            <w:tcW w:w="1102" w:type="dxa"/>
            <w:shd w:val="clear" w:color="auto" w:fill="007298"/>
          </w:tcPr>
          <w:p w14:paraId="1B9C16E2" w14:textId="77777777" w:rsidR="00D210BB" w:rsidRPr="004200C4" w:rsidRDefault="00D210BB"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(GB)</w:t>
            </w:r>
          </w:p>
        </w:tc>
        <w:tc>
          <w:tcPr>
            <w:tcW w:w="1102" w:type="dxa"/>
            <w:shd w:val="clear" w:color="auto" w:fill="007298"/>
          </w:tcPr>
          <w:p w14:paraId="4E26993E" w14:textId="77777777" w:rsidR="00D210BB" w:rsidRPr="004200C4" w:rsidRDefault="00D210BB"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(GB)</w:t>
            </w:r>
          </w:p>
        </w:tc>
        <w:tc>
          <w:tcPr>
            <w:tcW w:w="1102" w:type="dxa"/>
            <w:shd w:val="clear" w:color="auto" w:fill="007298"/>
          </w:tcPr>
          <w:p w14:paraId="39D1C1C1" w14:textId="77777777" w:rsidR="00D210BB" w:rsidRPr="004200C4" w:rsidRDefault="00D210BB"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(GB)</w:t>
            </w:r>
          </w:p>
        </w:tc>
      </w:tr>
      <w:tr w:rsidR="00D210BB" w:rsidRPr="009962B9" w14:paraId="517D8455" w14:textId="77777777" w:rsidTr="00AA164C">
        <w:trPr>
          <w:trHeight w:val="139"/>
        </w:trPr>
        <w:tc>
          <w:tcPr>
            <w:cnfStyle w:val="001000000000" w:firstRow="0" w:lastRow="0" w:firstColumn="1" w:lastColumn="0" w:oddVBand="0" w:evenVBand="0" w:oddHBand="0" w:evenHBand="0" w:firstRowFirstColumn="0" w:firstRowLastColumn="0" w:lastRowFirstColumn="0" w:lastRowLastColumn="0"/>
            <w:tcW w:w="3072" w:type="dxa"/>
          </w:tcPr>
          <w:p w14:paraId="6D8A13A5" w14:textId="77777777" w:rsidR="00D210BB" w:rsidRPr="006E7298" w:rsidRDefault="00D210BB"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Average per fixed-line broadband subscriber</w:t>
            </w:r>
          </w:p>
        </w:tc>
        <w:tc>
          <w:tcPr>
            <w:tcW w:w="1102" w:type="dxa"/>
          </w:tcPr>
          <w:p w14:paraId="65209920"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69.4</w:t>
            </w:r>
          </w:p>
        </w:tc>
        <w:tc>
          <w:tcPr>
            <w:tcW w:w="1102" w:type="dxa"/>
          </w:tcPr>
          <w:p w14:paraId="2E9F47F4"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107.9</w:t>
            </w:r>
          </w:p>
        </w:tc>
        <w:tc>
          <w:tcPr>
            <w:tcW w:w="1102" w:type="dxa"/>
          </w:tcPr>
          <w:p w14:paraId="2F9821A0"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155.0</w:t>
            </w:r>
          </w:p>
        </w:tc>
        <w:tc>
          <w:tcPr>
            <w:tcW w:w="1102" w:type="dxa"/>
          </w:tcPr>
          <w:p w14:paraId="7A4EC3A0"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207.0</w:t>
            </w:r>
          </w:p>
        </w:tc>
        <w:tc>
          <w:tcPr>
            <w:tcW w:w="1102" w:type="dxa"/>
          </w:tcPr>
          <w:p w14:paraId="3AB3BC6C"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6701FD">
              <w:rPr>
                <w:rFonts w:cs="Arial"/>
                <w:szCs w:val="18"/>
              </w:rPr>
              <w:t>291.9</w:t>
            </w:r>
          </w:p>
        </w:tc>
        <w:tc>
          <w:tcPr>
            <w:tcW w:w="1102" w:type="dxa"/>
          </w:tcPr>
          <w:p w14:paraId="1C505946"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41</w:t>
            </w:r>
          </w:p>
        </w:tc>
      </w:tr>
      <w:tr w:rsidR="00D210BB" w:rsidRPr="009962B9" w14:paraId="439F41CC" w14:textId="77777777" w:rsidTr="00AA164C">
        <w:trPr>
          <w:trHeight w:val="274"/>
        </w:trPr>
        <w:tc>
          <w:tcPr>
            <w:cnfStyle w:val="001000000000" w:firstRow="0" w:lastRow="0" w:firstColumn="1" w:lastColumn="0" w:oddVBand="0" w:evenVBand="0" w:oddHBand="0" w:evenHBand="0" w:firstRowFirstColumn="0" w:firstRowLastColumn="0" w:lastRowFirstColumn="0" w:lastRowLastColumn="0"/>
            <w:tcW w:w="3072" w:type="dxa"/>
          </w:tcPr>
          <w:p w14:paraId="574A89AB" w14:textId="77777777" w:rsidR="00D210BB" w:rsidRPr="006E7298" w:rsidRDefault="00D210BB"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Average per mobile phone handset internet subscriber</w:t>
            </w:r>
          </w:p>
        </w:tc>
        <w:tc>
          <w:tcPr>
            <w:tcW w:w="1102" w:type="dxa"/>
          </w:tcPr>
          <w:p w14:paraId="61904853"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0.6</w:t>
            </w:r>
          </w:p>
        </w:tc>
        <w:tc>
          <w:tcPr>
            <w:tcW w:w="1102" w:type="dxa"/>
          </w:tcPr>
          <w:p w14:paraId="773384DF"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1.0</w:t>
            </w:r>
          </w:p>
        </w:tc>
        <w:tc>
          <w:tcPr>
            <w:tcW w:w="1102" w:type="dxa"/>
          </w:tcPr>
          <w:p w14:paraId="0E7D4E5C"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1.9</w:t>
            </w:r>
          </w:p>
        </w:tc>
        <w:tc>
          <w:tcPr>
            <w:tcW w:w="1102" w:type="dxa"/>
          </w:tcPr>
          <w:p w14:paraId="7833CFE6"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3.4</w:t>
            </w:r>
          </w:p>
        </w:tc>
        <w:tc>
          <w:tcPr>
            <w:tcW w:w="1102" w:type="dxa"/>
          </w:tcPr>
          <w:p w14:paraId="76BB9866"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6701FD">
              <w:rPr>
                <w:rFonts w:cs="Arial"/>
                <w:szCs w:val="18"/>
              </w:rPr>
              <w:t>5.5</w:t>
            </w:r>
          </w:p>
        </w:tc>
        <w:tc>
          <w:tcPr>
            <w:tcW w:w="1102" w:type="dxa"/>
          </w:tcPr>
          <w:p w14:paraId="15D265FC" w14:textId="77777777" w:rsidR="00D210BB" w:rsidRPr="009962B9" w:rsidRDefault="00D210BB"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62</w:t>
            </w:r>
          </w:p>
        </w:tc>
      </w:tr>
    </w:tbl>
    <w:p w14:paraId="4FAC135D" w14:textId="77777777" w:rsidR="00555643" w:rsidRPr="00531CD0" w:rsidRDefault="00555643" w:rsidP="00531CD0">
      <w:pPr>
        <w:pStyle w:val="ACMANotes"/>
      </w:pPr>
      <w:r w:rsidRPr="009A7FAF">
        <w:t>TB=terabyte</w:t>
      </w:r>
      <w:r w:rsidR="00367292">
        <w:t xml:space="preserve">, </w:t>
      </w:r>
      <w:r w:rsidRPr="00531CD0">
        <w:t>GB=gigabyte.</w:t>
      </w:r>
    </w:p>
    <w:p w14:paraId="176FB1FA" w14:textId="77777777" w:rsidR="00555643" w:rsidRPr="00531CD0" w:rsidRDefault="00555643" w:rsidP="00531CD0">
      <w:pPr>
        <w:pStyle w:val="ACMANotes"/>
      </w:pPr>
      <w:r w:rsidRPr="00531CD0">
        <w:t>*ADSL, cable, fibre and other fixed-line broadband.</w:t>
      </w:r>
    </w:p>
    <w:p w14:paraId="330B7978" w14:textId="77777777" w:rsidR="00555643" w:rsidRPr="00531CD0" w:rsidRDefault="00555643" w:rsidP="00531CD0">
      <w:pPr>
        <w:pStyle w:val="ACMANotes"/>
      </w:pPr>
      <w:r w:rsidRPr="00531CD0">
        <w:rPr>
          <w:vertAlign w:val="superscript"/>
        </w:rPr>
        <w:t>†</w:t>
      </w:r>
      <w:r w:rsidRPr="00531CD0">
        <w:t>Includes satellite</w:t>
      </w:r>
      <w:r w:rsidR="00367292">
        <w:t>;</w:t>
      </w:r>
      <w:r w:rsidRPr="00531CD0">
        <w:t xml:space="preserve"> fixed wireless</w:t>
      </w:r>
      <w:r w:rsidR="00367292">
        <w:t>;</w:t>
      </w:r>
      <w:r w:rsidRPr="00531CD0">
        <w:t xml:space="preserve"> mobile wireless via a datacard, dongle or USB modem</w:t>
      </w:r>
      <w:r w:rsidR="00367292">
        <w:t>;</w:t>
      </w:r>
      <w:r w:rsidRPr="00531CD0">
        <w:t xml:space="preserve"> and other wireless broadband. </w:t>
      </w:r>
    </w:p>
    <w:p w14:paraId="5A3FCC88" w14:textId="77777777" w:rsidR="00555643" w:rsidRPr="00531CD0" w:rsidRDefault="00555643" w:rsidP="00531CD0">
      <w:pPr>
        <w:pStyle w:val="ACMANotes"/>
        <w:rPr>
          <w:vertAlign w:val="superscript"/>
        </w:rPr>
      </w:pPr>
      <w:r w:rsidRPr="00531CD0">
        <w:t>Excludes subscriptions via mobile handsets.</w:t>
      </w:r>
      <w:r w:rsidRPr="00531CD0">
        <w:rPr>
          <w:vertAlign w:val="superscript"/>
        </w:rPr>
        <w:t xml:space="preserve"> </w:t>
      </w:r>
    </w:p>
    <w:p w14:paraId="5C965260" w14:textId="77777777" w:rsidR="00555643" w:rsidRPr="00531CD0" w:rsidRDefault="00555643" w:rsidP="00531CD0">
      <w:pPr>
        <w:pStyle w:val="ACMANotes"/>
      </w:pPr>
      <w:r w:rsidRPr="00531CD0">
        <w:rPr>
          <w:vertAlign w:val="superscript"/>
        </w:rPr>
        <w:t>‡</w:t>
      </w:r>
      <w:r w:rsidRPr="00531CD0">
        <w:t>Total includes dial-up volume.</w:t>
      </w:r>
    </w:p>
    <w:p w14:paraId="0DE305F8" w14:textId="77777777" w:rsidR="00555643" w:rsidRPr="00531CD0" w:rsidRDefault="00555643" w:rsidP="00531CD0">
      <w:pPr>
        <w:pStyle w:val="ACMANotes"/>
      </w:pPr>
      <w:r w:rsidRPr="00531CD0">
        <w:t>Source: See Chapter 2. Further explanatory details for this data can be found in the source chapter.</w:t>
      </w:r>
    </w:p>
    <w:p w14:paraId="5968AD72" w14:textId="77777777" w:rsidR="00795834" w:rsidRPr="00913602" w:rsidRDefault="00795834" w:rsidP="00795834">
      <w:pPr>
        <w:pStyle w:val="ACMASpaceaftertable"/>
      </w:pPr>
    </w:p>
    <w:p w14:paraId="1FD2CAA7" w14:textId="77777777" w:rsidR="00555643" w:rsidRPr="00913602" w:rsidRDefault="00555643" w:rsidP="00904764">
      <w:pPr>
        <w:pStyle w:val="Heading3"/>
        <w:spacing w:before="0" w:after="80"/>
      </w:pPr>
      <w:bookmarkStart w:id="93" w:name="_Toc462899524"/>
      <w:bookmarkStart w:id="94" w:name="_Toc463529004"/>
      <w:bookmarkStart w:id="95" w:name="_Toc465178916"/>
      <w:bookmarkStart w:id="96" w:name="_Toc465842827"/>
      <w:r w:rsidRPr="00913602">
        <w:t>Professionally produced online content services</w:t>
      </w:r>
      <w:bookmarkEnd w:id="93"/>
      <w:bookmarkEnd w:id="94"/>
      <w:bookmarkEnd w:id="95"/>
      <w:bookmarkEnd w:id="96"/>
    </w:p>
    <w:tbl>
      <w:tblPr>
        <w:tblStyle w:val="Commsreport2014-15TABLE4"/>
        <w:tblW w:w="9609" w:type="dxa"/>
        <w:tblLayout w:type="fixed"/>
        <w:tblCellMar>
          <w:top w:w="57" w:type="dxa"/>
          <w:left w:w="57" w:type="dxa"/>
          <w:bottom w:w="57" w:type="dxa"/>
          <w:right w:w="57" w:type="dxa"/>
        </w:tblCellMar>
        <w:tblLook w:val="04A0" w:firstRow="1" w:lastRow="0" w:firstColumn="1" w:lastColumn="0" w:noHBand="0" w:noVBand="1"/>
        <w:tblCaption w:val="Digital services and engagement: Professionally produced online content services"/>
      </w:tblPr>
      <w:tblGrid>
        <w:gridCol w:w="3089"/>
        <w:gridCol w:w="1304"/>
        <w:gridCol w:w="1304"/>
        <w:gridCol w:w="1304"/>
        <w:gridCol w:w="1304"/>
        <w:gridCol w:w="1304"/>
      </w:tblGrid>
      <w:tr w:rsidR="00555643" w:rsidRPr="009962B9" w14:paraId="741FFE84" w14:textId="77777777" w:rsidTr="00AA164C">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089" w:type="dxa"/>
            <w:shd w:val="clear" w:color="auto" w:fill="auto"/>
          </w:tcPr>
          <w:p w14:paraId="74B53325" w14:textId="77777777" w:rsidR="00555643" w:rsidRPr="009962B9" w:rsidRDefault="00555643" w:rsidP="00B245EA">
            <w:pPr>
              <w:pStyle w:val="ACMATableText"/>
              <w:spacing w:before="0" w:after="0"/>
              <w:rPr>
                <w:szCs w:val="18"/>
              </w:rPr>
            </w:pPr>
          </w:p>
        </w:tc>
        <w:tc>
          <w:tcPr>
            <w:tcW w:w="1304" w:type="dxa"/>
          </w:tcPr>
          <w:p w14:paraId="66780168"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May 13</w:t>
            </w:r>
            <w:r w:rsidR="002807DC" w:rsidRPr="00C54921">
              <w:rPr>
                <w:b/>
              </w:rPr>
              <w:t xml:space="preserve"> </w:t>
            </w:r>
            <w:r w:rsidR="00817707" w:rsidRPr="00C54921">
              <w:rPr>
                <w:b/>
              </w:rPr>
              <w:t>(million)</w:t>
            </w:r>
          </w:p>
        </w:tc>
        <w:tc>
          <w:tcPr>
            <w:tcW w:w="1304" w:type="dxa"/>
          </w:tcPr>
          <w:p w14:paraId="24DAF36F"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May 14</w:t>
            </w:r>
            <w:r w:rsidR="002807DC" w:rsidRPr="00C54921">
              <w:rPr>
                <w:b/>
              </w:rPr>
              <w:t xml:space="preserve"> </w:t>
            </w:r>
            <w:r w:rsidR="00817707" w:rsidRPr="00C54921">
              <w:rPr>
                <w:b/>
              </w:rPr>
              <w:t>(million)</w:t>
            </w:r>
          </w:p>
        </w:tc>
        <w:tc>
          <w:tcPr>
            <w:tcW w:w="1304" w:type="dxa"/>
          </w:tcPr>
          <w:p w14:paraId="7EB9BE70"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May 15</w:t>
            </w:r>
            <w:r w:rsidR="002807DC" w:rsidRPr="00C54921">
              <w:rPr>
                <w:b/>
              </w:rPr>
              <w:t xml:space="preserve"> </w:t>
            </w:r>
            <w:r w:rsidR="00817707" w:rsidRPr="00C54921">
              <w:rPr>
                <w:b/>
              </w:rPr>
              <w:t>(million)</w:t>
            </w:r>
          </w:p>
        </w:tc>
        <w:tc>
          <w:tcPr>
            <w:tcW w:w="1304" w:type="dxa"/>
          </w:tcPr>
          <w:p w14:paraId="36CBDC14" w14:textId="77777777" w:rsidR="00555643" w:rsidRPr="00C54921" w:rsidRDefault="000662CC"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Pr>
                <w:b/>
              </w:rPr>
              <w:t>Jun</w:t>
            </w:r>
            <w:r w:rsidRPr="00C54921">
              <w:rPr>
                <w:b/>
              </w:rPr>
              <w:t xml:space="preserve"> </w:t>
            </w:r>
            <w:r w:rsidR="00555643" w:rsidRPr="00C54921">
              <w:rPr>
                <w:b/>
              </w:rPr>
              <w:t>16</w:t>
            </w:r>
            <w:r w:rsidR="002807DC" w:rsidRPr="00C54921">
              <w:rPr>
                <w:b/>
              </w:rPr>
              <w:t xml:space="preserve"> </w:t>
            </w:r>
            <w:r w:rsidR="00817707" w:rsidRPr="00C54921">
              <w:rPr>
                <w:b/>
              </w:rPr>
              <w:t>(million)</w:t>
            </w:r>
          </w:p>
        </w:tc>
        <w:tc>
          <w:tcPr>
            <w:tcW w:w="1304" w:type="dxa"/>
          </w:tcPr>
          <w:p w14:paraId="45C6BBD0"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C54921">
              <w:rPr>
                <w:b/>
              </w:rPr>
              <w:t>2015–16 change</w:t>
            </w:r>
            <w:r w:rsidR="00AA164C">
              <w:rPr>
                <w:b/>
              </w:rPr>
              <w:t xml:space="preserve"> </w:t>
            </w:r>
            <w:r w:rsidRPr="00C54921">
              <w:rPr>
                <w:b/>
              </w:rPr>
              <w:t>(%)</w:t>
            </w:r>
          </w:p>
        </w:tc>
      </w:tr>
      <w:tr w:rsidR="00555643" w:rsidRPr="009962B9" w14:paraId="4D257661" w14:textId="77777777" w:rsidTr="00AA164C">
        <w:trPr>
          <w:trHeight w:val="174"/>
        </w:trPr>
        <w:tc>
          <w:tcPr>
            <w:cnfStyle w:val="001000000000" w:firstRow="0" w:lastRow="0" w:firstColumn="1" w:lastColumn="0" w:oddVBand="0" w:evenVBand="0" w:oddHBand="0" w:evenHBand="0" w:firstRowFirstColumn="0" w:firstRowLastColumn="0" w:lastRowFirstColumn="0" w:lastRowLastColumn="0"/>
            <w:tcW w:w="3089" w:type="dxa"/>
          </w:tcPr>
          <w:p w14:paraId="0A73F3A2"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Accessed professionally produced online video content</w:t>
            </w:r>
          </w:p>
        </w:tc>
        <w:tc>
          <w:tcPr>
            <w:tcW w:w="1304" w:type="dxa"/>
          </w:tcPr>
          <w:p w14:paraId="1D565410"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 xml:space="preserve">7.86 </w:t>
            </w:r>
          </w:p>
        </w:tc>
        <w:tc>
          <w:tcPr>
            <w:tcW w:w="1304" w:type="dxa"/>
          </w:tcPr>
          <w:p w14:paraId="13E3A4DC"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 xml:space="preserve">8.22 </w:t>
            </w:r>
          </w:p>
        </w:tc>
        <w:tc>
          <w:tcPr>
            <w:tcW w:w="1304" w:type="dxa"/>
          </w:tcPr>
          <w:p w14:paraId="1F38447F"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9.62*</w:t>
            </w:r>
          </w:p>
        </w:tc>
        <w:tc>
          <w:tcPr>
            <w:tcW w:w="1304" w:type="dxa"/>
          </w:tcPr>
          <w:p w14:paraId="4CA874EF"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vertAlign w:val="superscript"/>
              </w:rPr>
            </w:pPr>
            <w:r w:rsidRPr="009962B9">
              <w:rPr>
                <w:rFonts w:cs="Arial"/>
                <w:szCs w:val="18"/>
              </w:rPr>
              <w:t>11.50</w:t>
            </w:r>
          </w:p>
        </w:tc>
        <w:tc>
          <w:tcPr>
            <w:tcW w:w="1304" w:type="dxa"/>
          </w:tcPr>
          <w:p w14:paraId="759AC286" w14:textId="77777777" w:rsidR="00555643" w:rsidRPr="009962B9" w:rsidRDefault="00EE30ED"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EE30ED">
              <w:rPr>
                <w:rFonts w:cs="Arial"/>
                <w:szCs w:val="18"/>
              </w:rPr>
              <w:t>n/a</w:t>
            </w:r>
            <w:r w:rsidR="00555643" w:rsidRPr="009962B9">
              <w:rPr>
                <w:rFonts w:cs="Arial"/>
                <w:szCs w:val="18"/>
                <w:vertAlign w:val="superscript"/>
              </w:rPr>
              <w:t>†</w:t>
            </w:r>
          </w:p>
        </w:tc>
      </w:tr>
      <w:tr w:rsidR="00555643" w:rsidRPr="009962B9" w14:paraId="0716C218" w14:textId="77777777" w:rsidTr="00AA164C">
        <w:trPr>
          <w:trHeight w:val="27"/>
        </w:trPr>
        <w:tc>
          <w:tcPr>
            <w:cnfStyle w:val="001000000000" w:firstRow="0" w:lastRow="0" w:firstColumn="1" w:lastColumn="0" w:oddVBand="0" w:evenVBand="0" w:oddHBand="0" w:evenHBand="0" w:firstRowFirstColumn="0" w:firstRowLastColumn="0" w:lastRowFirstColumn="0" w:lastRowLastColumn="0"/>
            <w:tcW w:w="3089" w:type="dxa"/>
          </w:tcPr>
          <w:p w14:paraId="313B5010"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Accessed online news sites</w:t>
            </w:r>
          </w:p>
        </w:tc>
        <w:tc>
          <w:tcPr>
            <w:tcW w:w="1304" w:type="dxa"/>
          </w:tcPr>
          <w:p w14:paraId="4B7B5412"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 xml:space="preserve">11.39 </w:t>
            </w:r>
          </w:p>
        </w:tc>
        <w:tc>
          <w:tcPr>
            <w:tcW w:w="1304" w:type="dxa"/>
          </w:tcPr>
          <w:p w14:paraId="555523B5"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 xml:space="preserve">10.79 </w:t>
            </w:r>
          </w:p>
        </w:tc>
        <w:tc>
          <w:tcPr>
            <w:tcW w:w="1304" w:type="dxa"/>
          </w:tcPr>
          <w:p w14:paraId="3E47C98B"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10.28</w:t>
            </w:r>
          </w:p>
        </w:tc>
        <w:tc>
          <w:tcPr>
            <w:tcW w:w="1304" w:type="dxa"/>
          </w:tcPr>
          <w:p w14:paraId="630BBDD3"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13.01</w:t>
            </w:r>
          </w:p>
        </w:tc>
        <w:tc>
          <w:tcPr>
            <w:tcW w:w="1304" w:type="dxa"/>
          </w:tcPr>
          <w:p w14:paraId="547E29CF" w14:textId="77777777" w:rsidR="00555643" w:rsidRPr="009962B9" w:rsidRDefault="00EE30ED"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EE30ED">
              <w:rPr>
                <w:rFonts w:cs="Arial"/>
                <w:szCs w:val="18"/>
              </w:rPr>
              <w:t>n/a</w:t>
            </w:r>
            <w:r w:rsidRPr="009962B9">
              <w:rPr>
                <w:rFonts w:cs="Arial"/>
                <w:szCs w:val="18"/>
                <w:vertAlign w:val="superscript"/>
              </w:rPr>
              <w:t xml:space="preserve"> </w:t>
            </w:r>
            <w:r w:rsidR="00555643" w:rsidRPr="009962B9">
              <w:rPr>
                <w:rFonts w:cs="Arial"/>
                <w:szCs w:val="18"/>
                <w:vertAlign w:val="superscript"/>
              </w:rPr>
              <w:t>†</w:t>
            </w:r>
          </w:p>
        </w:tc>
      </w:tr>
      <w:tr w:rsidR="00555643" w:rsidRPr="009962B9" w14:paraId="6994D285" w14:textId="77777777" w:rsidTr="00AA164C">
        <w:trPr>
          <w:trHeight w:val="23"/>
        </w:trPr>
        <w:tc>
          <w:tcPr>
            <w:cnfStyle w:val="001000000000" w:firstRow="0" w:lastRow="0" w:firstColumn="1" w:lastColumn="0" w:oddVBand="0" w:evenVBand="0" w:oddHBand="0" w:evenHBand="0" w:firstRowFirstColumn="0" w:firstRowLastColumn="0" w:lastRowFirstColumn="0" w:lastRowLastColumn="0"/>
            <w:tcW w:w="3089" w:type="dxa"/>
          </w:tcPr>
          <w:p w14:paraId="0F20C8AC"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Paid for an online news subscription</w:t>
            </w:r>
          </w:p>
        </w:tc>
        <w:tc>
          <w:tcPr>
            <w:tcW w:w="1304" w:type="dxa"/>
          </w:tcPr>
          <w:p w14:paraId="77BF1991"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 xml:space="preserve">1.08 </w:t>
            </w:r>
          </w:p>
        </w:tc>
        <w:tc>
          <w:tcPr>
            <w:tcW w:w="1304" w:type="dxa"/>
          </w:tcPr>
          <w:p w14:paraId="7944BA85"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 xml:space="preserve">1.18 </w:t>
            </w:r>
          </w:p>
        </w:tc>
        <w:tc>
          <w:tcPr>
            <w:tcW w:w="1304" w:type="dxa"/>
          </w:tcPr>
          <w:p w14:paraId="5CB4816B"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1.24</w:t>
            </w:r>
          </w:p>
        </w:tc>
        <w:tc>
          <w:tcPr>
            <w:tcW w:w="1304" w:type="dxa"/>
          </w:tcPr>
          <w:p w14:paraId="13D5BE84"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1.39</w:t>
            </w:r>
          </w:p>
        </w:tc>
        <w:tc>
          <w:tcPr>
            <w:tcW w:w="1304" w:type="dxa"/>
          </w:tcPr>
          <w:p w14:paraId="09FA7CDD" w14:textId="77777777" w:rsidR="00555643" w:rsidRPr="009962B9" w:rsidRDefault="00EE30ED"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EE30ED">
              <w:rPr>
                <w:rFonts w:cs="Arial"/>
                <w:szCs w:val="18"/>
              </w:rPr>
              <w:t>n/a</w:t>
            </w:r>
            <w:r w:rsidRPr="009962B9">
              <w:rPr>
                <w:rFonts w:cs="Arial"/>
                <w:szCs w:val="18"/>
                <w:vertAlign w:val="superscript"/>
              </w:rPr>
              <w:t xml:space="preserve"> </w:t>
            </w:r>
            <w:r w:rsidR="00555643" w:rsidRPr="009962B9">
              <w:rPr>
                <w:rFonts w:cs="Arial"/>
                <w:szCs w:val="18"/>
                <w:vertAlign w:val="superscript"/>
              </w:rPr>
              <w:t>†</w:t>
            </w:r>
          </w:p>
        </w:tc>
      </w:tr>
    </w:tbl>
    <w:p w14:paraId="0D5D26EA" w14:textId="77777777" w:rsidR="00555643" w:rsidRPr="00531CD0" w:rsidRDefault="00555643" w:rsidP="00531CD0">
      <w:pPr>
        <w:pStyle w:val="ACMANotes"/>
      </w:pPr>
      <w:r w:rsidRPr="00531CD0">
        <w:t xml:space="preserve">*Calculated on changed basis from 2015. Data is at June </w:t>
      </w:r>
      <w:r w:rsidR="00367292">
        <w:t>20</w:t>
      </w:r>
      <w:r w:rsidRPr="00531CD0">
        <w:t>15.</w:t>
      </w:r>
    </w:p>
    <w:p w14:paraId="49AA9661" w14:textId="77777777" w:rsidR="00555643" w:rsidRPr="00531CD0" w:rsidRDefault="00555643" w:rsidP="00531CD0">
      <w:pPr>
        <w:pStyle w:val="ACMANotes"/>
      </w:pPr>
      <w:r w:rsidRPr="00531CD0">
        <w:rPr>
          <w:vertAlign w:val="superscript"/>
        </w:rPr>
        <w:t>†</w:t>
      </w:r>
      <w:r w:rsidRPr="00531CD0">
        <w:t>2016 data is not comparable with previous years due to a change in methodology.</w:t>
      </w:r>
    </w:p>
    <w:p w14:paraId="3057E9FF" w14:textId="77777777" w:rsidR="00555643" w:rsidRPr="00531CD0" w:rsidRDefault="00555643" w:rsidP="00531CD0">
      <w:pPr>
        <w:pStyle w:val="ACMANotes"/>
      </w:pPr>
      <w:r w:rsidRPr="00531CD0">
        <w:t>Note: Content accessed in the six months to each date.</w:t>
      </w:r>
    </w:p>
    <w:p w14:paraId="37B89E8C" w14:textId="77777777" w:rsidR="00555643" w:rsidRPr="00531CD0" w:rsidRDefault="00555643" w:rsidP="00531CD0">
      <w:pPr>
        <w:pStyle w:val="ACMANotes"/>
      </w:pPr>
      <w:r w:rsidRPr="00531CD0">
        <w:t xml:space="preserve">Base: Australians aged 18 years and over. </w:t>
      </w:r>
    </w:p>
    <w:p w14:paraId="40A74291" w14:textId="77777777" w:rsidR="00555643" w:rsidRPr="00531CD0" w:rsidRDefault="00555643" w:rsidP="00531CD0">
      <w:pPr>
        <w:pStyle w:val="ACMANotes"/>
      </w:pPr>
      <w:r w:rsidRPr="00531CD0">
        <w:t>Source: See Chapter 3. Further explanatory details for this data can be found in the source chapter.</w:t>
      </w:r>
    </w:p>
    <w:p w14:paraId="6BB1891E" w14:textId="77777777" w:rsidR="009A7FAF" w:rsidRDefault="009A7FAF" w:rsidP="009C1BE9">
      <w:pPr>
        <w:pStyle w:val="ACMASpaceaftertable"/>
        <w:rPr>
          <w:b/>
          <w:bCs/>
          <w:szCs w:val="26"/>
        </w:rPr>
      </w:pPr>
      <w:bookmarkStart w:id="97" w:name="_Toc462899525"/>
      <w:bookmarkStart w:id="98" w:name="_Toc463529005"/>
    </w:p>
    <w:p w14:paraId="14E638F0" w14:textId="77777777" w:rsidR="00555643" w:rsidRPr="00913602" w:rsidRDefault="00555643" w:rsidP="00904764">
      <w:pPr>
        <w:pStyle w:val="Heading3"/>
        <w:spacing w:before="0" w:after="80"/>
      </w:pPr>
      <w:bookmarkStart w:id="99" w:name="_Toc465178917"/>
      <w:bookmarkStart w:id="100" w:name="_Toc465842828"/>
      <w:r w:rsidRPr="00913602">
        <w:lastRenderedPageBreak/>
        <w:t>Online participation by Australians</w:t>
      </w:r>
      <w:bookmarkEnd w:id="97"/>
      <w:bookmarkEnd w:id="98"/>
      <w:bookmarkEnd w:id="99"/>
      <w:bookmarkEnd w:id="100"/>
    </w:p>
    <w:tbl>
      <w:tblPr>
        <w:tblStyle w:val="Commsreport2014-15TABLE4"/>
        <w:tblW w:w="9429" w:type="dxa"/>
        <w:tblLayout w:type="fixed"/>
        <w:tblCellMar>
          <w:top w:w="57" w:type="dxa"/>
          <w:left w:w="57" w:type="dxa"/>
          <w:bottom w:w="57" w:type="dxa"/>
          <w:right w:w="57" w:type="dxa"/>
        </w:tblCellMar>
        <w:tblLook w:val="04A0" w:firstRow="1" w:lastRow="0" w:firstColumn="1" w:lastColumn="0" w:noHBand="0" w:noVBand="1"/>
        <w:tblCaption w:val="Digital services and engagement: Online participation by Australians"/>
      </w:tblPr>
      <w:tblGrid>
        <w:gridCol w:w="3063"/>
        <w:gridCol w:w="1061"/>
        <w:gridCol w:w="1061"/>
        <w:gridCol w:w="1061"/>
        <w:gridCol w:w="1061"/>
        <w:gridCol w:w="1061"/>
        <w:gridCol w:w="1061"/>
      </w:tblGrid>
      <w:tr w:rsidR="00555643" w:rsidRPr="009962B9" w14:paraId="19225EEF" w14:textId="77777777" w:rsidTr="00B245EA">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tcPr>
          <w:p w14:paraId="5F231E89" w14:textId="77777777" w:rsidR="00555643" w:rsidRPr="009962B9" w:rsidRDefault="00555643" w:rsidP="00B245EA">
            <w:pPr>
              <w:pStyle w:val="ACMATableText"/>
              <w:keepNext/>
              <w:keepLines/>
              <w:spacing w:before="0" w:after="0"/>
              <w:rPr>
                <w:rFonts w:cs="Arial"/>
                <w:szCs w:val="18"/>
              </w:rPr>
            </w:pPr>
          </w:p>
        </w:tc>
        <w:tc>
          <w:tcPr>
            <w:tcW w:w="1061" w:type="dxa"/>
          </w:tcPr>
          <w:p w14:paraId="61575552"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Jun 12</w:t>
            </w:r>
            <w:r w:rsidR="00CE7DB9" w:rsidRPr="00C54921">
              <w:rPr>
                <w:b/>
              </w:rPr>
              <w:t xml:space="preserve"> </w:t>
            </w:r>
            <w:r w:rsidR="00817707" w:rsidRPr="00C54921">
              <w:rPr>
                <w:b/>
              </w:rPr>
              <w:t>(million)</w:t>
            </w:r>
          </w:p>
        </w:tc>
        <w:tc>
          <w:tcPr>
            <w:tcW w:w="1061" w:type="dxa"/>
          </w:tcPr>
          <w:p w14:paraId="6E7105AD"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Jun 13</w:t>
            </w:r>
            <w:r w:rsidR="00CE7DB9" w:rsidRPr="00C54921">
              <w:rPr>
                <w:b/>
              </w:rPr>
              <w:t xml:space="preserve"> </w:t>
            </w:r>
            <w:r w:rsidR="00817707" w:rsidRPr="00C54921">
              <w:rPr>
                <w:b/>
              </w:rPr>
              <w:t>(million)</w:t>
            </w:r>
          </w:p>
        </w:tc>
        <w:tc>
          <w:tcPr>
            <w:tcW w:w="1061" w:type="dxa"/>
          </w:tcPr>
          <w:p w14:paraId="00F3A45B"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Jun 14</w:t>
            </w:r>
            <w:r w:rsidR="00CE7DB9" w:rsidRPr="00C54921">
              <w:rPr>
                <w:b/>
              </w:rPr>
              <w:t xml:space="preserve"> </w:t>
            </w:r>
            <w:r w:rsidR="00817707" w:rsidRPr="00C54921">
              <w:rPr>
                <w:b/>
              </w:rPr>
              <w:t>(million)</w:t>
            </w:r>
          </w:p>
        </w:tc>
        <w:tc>
          <w:tcPr>
            <w:tcW w:w="1061" w:type="dxa"/>
          </w:tcPr>
          <w:p w14:paraId="1DF4D6C1"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Jun 15</w:t>
            </w:r>
            <w:r w:rsidR="00CE7DB9" w:rsidRPr="00C54921">
              <w:rPr>
                <w:b/>
              </w:rPr>
              <w:t xml:space="preserve"> </w:t>
            </w:r>
            <w:r w:rsidR="00817707" w:rsidRPr="00C54921">
              <w:rPr>
                <w:b/>
              </w:rPr>
              <w:t>(million)</w:t>
            </w:r>
          </w:p>
        </w:tc>
        <w:tc>
          <w:tcPr>
            <w:tcW w:w="1061" w:type="dxa"/>
          </w:tcPr>
          <w:p w14:paraId="54DF7D95"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Jun 16</w:t>
            </w:r>
            <w:r w:rsidR="00CE7DB9" w:rsidRPr="00C54921">
              <w:rPr>
                <w:b/>
              </w:rPr>
              <w:t xml:space="preserve"> </w:t>
            </w:r>
            <w:r w:rsidR="00817707" w:rsidRPr="00C54921">
              <w:rPr>
                <w:b/>
              </w:rPr>
              <w:t>(million)</w:t>
            </w:r>
          </w:p>
        </w:tc>
        <w:tc>
          <w:tcPr>
            <w:tcW w:w="1061" w:type="dxa"/>
          </w:tcPr>
          <w:p w14:paraId="1CE1AFCF" w14:textId="77777777" w:rsidR="00555643" w:rsidRPr="00C54921"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pPr>
            <w:r w:rsidRPr="00C54921">
              <w:rPr>
                <w:b/>
              </w:rPr>
              <w:t>2015–16 change</w:t>
            </w:r>
            <w:r w:rsidR="00CE7DB9" w:rsidRPr="00C54921">
              <w:rPr>
                <w:b/>
              </w:rPr>
              <w:t xml:space="preserve"> </w:t>
            </w:r>
            <w:r w:rsidRPr="00C54921">
              <w:rPr>
                <w:b/>
              </w:rPr>
              <w:t>(%)</w:t>
            </w:r>
          </w:p>
        </w:tc>
      </w:tr>
      <w:tr w:rsidR="00555643" w:rsidRPr="009962B9" w14:paraId="6A7EDDA2" w14:textId="77777777" w:rsidTr="00B245EA">
        <w:trPr>
          <w:trHeight w:val="111"/>
        </w:trPr>
        <w:tc>
          <w:tcPr>
            <w:cnfStyle w:val="001000000000" w:firstRow="0" w:lastRow="0" w:firstColumn="1" w:lastColumn="0" w:oddVBand="0" w:evenVBand="0" w:oddHBand="0" w:evenHBand="0" w:firstRowFirstColumn="0" w:firstRowLastColumn="0" w:lastRowFirstColumn="0" w:lastRowLastColumn="0"/>
            <w:tcW w:w="3063" w:type="dxa"/>
          </w:tcPr>
          <w:p w14:paraId="56A0BC48" w14:textId="77777777" w:rsidR="00555643" w:rsidRPr="006E7298" w:rsidRDefault="00555643"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Have an internet connection at home</w:t>
            </w:r>
          </w:p>
        </w:tc>
        <w:tc>
          <w:tcPr>
            <w:tcW w:w="1061" w:type="dxa"/>
          </w:tcPr>
          <w:p w14:paraId="6F63FE9B"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13.97</w:t>
            </w:r>
          </w:p>
        </w:tc>
        <w:tc>
          <w:tcPr>
            <w:tcW w:w="1061" w:type="dxa"/>
          </w:tcPr>
          <w:p w14:paraId="6A2B6216"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14.24</w:t>
            </w:r>
          </w:p>
        </w:tc>
        <w:tc>
          <w:tcPr>
            <w:tcW w:w="1061" w:type="dxa"/>
          </w:tcPr>
          <w:p w14:paraId="1D5EE7D8"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14.72</w:t>
            </w:r>
          </w:p>
        </w:tc>
        <w:tc>
          <w:tcPr>
            <w:tcW w:w="1061" w:type="dxa"/>
          </w:tcPr>
          <w:p w14:paraId="5CF11AFD"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15.80</w:t>
            </w:r>
          </w:p>
        </w:tc>
        <w:tc>
          <w:tcPr>
            <w:tcW w:w="1061" w:type="dxa"/>
          </w:tcPr>
          <w:p w14:paraId="28A54DBA"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15.78</w:t>
            </w:r>
          </w:p>
        </w:tc>
        <w:tc>
          <w:tcPr>
            <w:tcW w:w="1061" w:type="dxa"/>
          </w:tcPr>
          <w:p w14:paraId="68A3AF09"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&lt;</w:t>
            </w:r>
            <w:r w:rsidR="003865E5">
              <w:rPr>
                <w:rFonts w:cs="Arial"/>
                <w:szCs w:val="18"/>
              </w:rPr>
              <w:t>–</w:t>
            </w:r>
            <w:r w:rsidRPr="009962B9">
              <w:rPr>
                <w:rFonts w:cs="Arial"/>
                <w:szCs w:val="18"/>
              </w:rPr>
              <w:t>1</w:t>
            </w:r>
          </w:p>
        </w:tc>
      </w:tr>
      <w:tr w:rsidR="00555643" w:rsidRPr="009962B9" w14:paraId="049AD88E" w14:textId="77777777" w:rsidTr="00B245EA">
        <w:trPr>
          <w:trHeight w:val="159"/>
        </w:trPr>
        <w:tc>
          <w:tcPr>
            <w:cnfStyle w:val="001000000000" w:firstRow="0" w:lastRow="0" w:firstColumn="1" w:lastColumn="0" w:oddVBand="0" w:evenVBand="0" w:oddHBand="0" w:evenHBand="0" w:firstRowFirstColumn="0" w:firstRowLastColumn="0" w:lastRowFirstColumn="0" w:lastRowLastColumn="0"/>
            <w:tcW w:w="3063" w:type="dxa"/>
          </w:tcPr>
          <w:p w14:paraId="2009893D" w14:textId="77777777" w:rsidR="00555643" w:rsidRPr="006E7298" w:rsidRDefault="00555643"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 xml:space="preserve">Have a broadband connection at home </w:t>
            </w:r>
          </w:p>
        </w:tc>
        <w:tc>
          <w:tcPr>
            <w:tcW w:w="1061" w:type="dxa"/>
          </w:tcPr>
          <w:p w14:paraId="28E2A687"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12.25</w:t>
            </w:r>
          </w:p>
        </w:tc>
        <w:tc>
          <w:tcPr>
            <w:tcW w:w="1061" w:type="dxa"/>
          </w:tcPr>
          <w:p w14:paraId="1A1B59D1"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13.15</w:t>
            </w:r>
          </w:p>
        </w:tc>
        <w:tc>
          <w:tcPr>
            <w:tcW w:w="1061" w:type="dxa"/>
          </w:tcPr>
          <w:p w14:paraId="2651796C"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14.64</w:t>
            </w:r>
          </w:p>
        </w:tc>
        <w:tc>
          <w:tcPr>
            <w:tcW w:w="1061" w:type="dxa"/>
          </w:tcPr>
          <w:p w14:paraId="1EABFD8D"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15.7</w:t>
            </w:r>
            <w:r w:rsidR="003865E5">
              <w:rPr>
                <w:rFonts w:cs="Arial"/>
                <w:szCs w:val="18"/>
              </w:rPr>
              <w:t>2</w:t>
            </w:r>
          </w:p>
        </w:tc>
        <w:tc>
          <w:tcPr>
            <w:tcW w:w="1061" w:type="dxa"/>
          </w:tcPr>
          <w:p w14:paraId="472AD17B"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15.76</w:t>
            </w:r>
          </w:p>
        </w:tc>
        <w:tc>
          <w:tcPr>
            <w:tcW w:w="1061" w:type="dxa"/>
          </w:tcPr>
          <w:p w14:paraId="50B32B8E" w14:textId="77777777" w:rsidR="00555643" w:rsidRPr="009962B9" w:rsidRDefault="003865E5"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&lt;1</w:t>
            </w:r>
          </w:p>
        </w:tc>
      </w:tr>
      <w:tr w:rsidR="00555643" w:rsidRPr="009962B9" w14:paraId="2377CBE1" w14:textId="77777777" w:rsidTr="00B245EA">
        <w:trPr>
          <w:trHeight w:val="23"/>
        </w:trPr>
        <w:tc>
          <w:tcPr>
            <w:cnfStyle w:val="001000000000" w:firstRow="0" w:lastRow="0" w:firstColumn="1" w:lastColumn="0" w:oddVBand="0" w:evenVBand="0" w:oddHBand="0" w:evenHBand="0" w:firstRowFirstColumn="0" w:firstRowLastColumn="0" w:lastRowFirstColumn="0" w:lastRowLastColumn="0"/>
            <w:tcW w:w="3063" w:type="dxa"/>
          </w:tcPr>
          <w:p w14:paraId="43727DA0" w14:textId="77777777" w:rsidR="00555643" w:rsidRPr="006E7298" w:rsidRDefault="00555643"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 xml:space="preserve">Accessed internet via mobile phone during last </w:t>
            </w:r>
            <w:r w:rsidR="00367292" w:rsidRPr="006E7298">
              <w:rPr>
                <w:rFonts w:cs="Arial"/>
                <w:color w:val="FFFFFF" w:themeColor="background1"/>
                <w:szCs w:val="18"/>
              </w:rPr>
              <w:t>six</w:t>
            </w:r>
            <w:r w:rsidRPr="006E7298">
              <w:rPr>
                <w:rFonts w:cs="Arial"/>
                <w:color w:val="FFFFFF" w:themeColor="background1"/>
                <w:szCs w:val="18"/>
              </w:rPr>
              <w:t xml:space="preserve"> months*</w:t>
            </w:r>
          </w:p>
        </w:tc>
        <w:tc>
          <w:tcPr>
            <w:tcW w:w="1061" w:type="dxa"/>
          </w:tcPr>
          <w:p w14:paraId="1A4A4C41"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5.62</w:t>
            </w:r>
          </w:p>
        </w:tc>
        <w:tc>
          <w:tcPr>
            <w:tcW w:w="1061" w:type="dxa"/>
          </w:tcPr>
          <w:p w14:paraId="2F5C0705"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10.91</w:t>
            </w:r>
          </w:p>
        </w:tc>
        <w:tc>
          <w:tcPr>
            <w:tcW w:w="1061" w:type="dxa"/>
          </w:tcPr>
          <w:p w14:paraId="78862780"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12.50</w:t>
            </w:r>
          </w:p>
        </w:tc>
        <w:tc>
          <w:tcPr>
            <w:tcW w:w="1061" w:type="dxa"/>
          </w:tcPr>
          <w:p w14:paraId="4DA64DCA"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13.21</w:t>
            </w:r>
          </w:p>
        </w:tc>
        <w:tc>
          <w:tcPr>
            <w:tcW w:w="1061" w:type="dxa"/>
          </w:tcPr>
          <w:p w14:paraId="000314A1"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12.75</w:t>
            </w:r>
          </w:p>
        </w:tc>
        <w:tc>
          <w:tcPr>
            <w:tcW w:w="1061" w:type="dxa"/>
          </w:tcPr>
          <w:p w14:paraId="113B1A97" w14:textId="77777777" w:rsidR="00555643" w:rsidRPr="009962B9" w:rsidRDefault="00EE30ED"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EE30ED">
              <w:rPr>
                <w:rFonts w:cs="Arial"/>
                <w:szCs w:val="18"/>
              </w:rPr>
              <w:t>n/a</w:t>
            </w:r>
            <w:r w:rsidR="00555643" w:rsidRPr="009962B9">
              <w:rPr>
                <w:rFonts w:cs="Arial"/>
                <w:szCs w:val="18"/>
              </w:rPr>
              <w:t>*</w:t>
            </w:r>
          </w:p>
        </w:tc>
      </w:tr>
      <w:tr w:rsidR="00555643" w:rsidRPr="009962B9" w14:paraId="4D02F3FB" w14:textId="77777777" w:rsidTr="00B245EA">
        <w:trPr>
          <w:trHeight w:val="104"/>
        </w:trPr>
        <w:tc>
          <w:tcPr>
            <w:cnfStyle w:val="001000000000" w:firstRow="0" w:lastRow="0" w:firstColumn="1" w:lastColumn="0" w:oddVBand="0" w:evenVBand="0" w:oddHBand="0" w:evenHBand="0" w:firstRowFirstColumn="0" w:firstRowLastColumn="0" w:lastRowFirstColumn="0" w:lastRowLastColumn="0"/>
            <w:tcW w:w="3063" w:type="dxa"/>
          </w:tcPr>
          <w:p w14:paraId="45D540CE" w14:textId="77777777" w:rsidR="00555643" w:rsidRPr="006E7298" w:rsidRDefault="00555643"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Number of ‘.au’ domain name registrations</w:t>
            </w:r>
            <w:r w:rsidRPr="006E7298">
              <w:rPr>
                <w:rFonts w:cs="Arial"/>
                <w:color w:val="FFFFFF" w:themeColor="background1"/>
                <w:szCs w:val="18"/>
                <w:vertAlign w:val="superscript"/>
              </w:rPr>
              <w:t>†</w:t>
            </w:r>
          </w:p>
        </w:tc>
        <w:tc>
          <w:tcPr>
            <w:tcW w:w="1061" w:type="dxa"/>
          </w:tcPr>
          <w:p w14:paraId="2123FAAA"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2.44</w:t>
            </w:r>
          </w:p>
        </w:tc>
        <w:tc>
          <w:tcPr>
            <w:tcW w:w="1061" w:type="dxa"/>
          </w:tcPr>
          <w:p w14:paraId="7C54030D"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2.67</w:t>
            </w:r>
          </w:p>
        </w:tc>
        <w:tc>
          <w:tcPr>
            <w:tcW w:w="1061" w:type="dxa"/>
          </w:tcPr>
          <w:p w14:paraId="3E060BE0"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2.86</w:t>
            </w:r>
          </w:p>
        </w:tc>
        <w:tc>
          <w:tcPr>
            <w:tcW w:w="1061" w:type="dxa"/>
          </w:tcPr>
          <w:p w14:paraId="0902577C"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2.97</w:t>
            </w:r>
          </w:p>
        </w:tc>
        <w:tc>
          <w:tcPr>
            <w:tcW w:w="1061" w:type="dxa"/>
          </w:tcPr>
          <w:p w14:paraId="39E2F1FC"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3.04</w:t>
            </w:r>
          </w:p>
        </w:tc>
        <w:tc>
          <w:tcPr>
            <w:tcW w:w="1061" w:type="dxa"/>
          </w:tcPr>
          <w:p w14:paraId="526A2464"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2.4</w:t>
            </w:r>
          </w:p>
        </w:tc>
      </w:tr>
      <w:tr w:rsidR="00555643" w:rsidRPr="009962B9" w14:paraId="4B217401" w14:textId="77777777" w:rsidTr="00B245EA">
        <w:trPr>
          <w:trHeight w:val="240"/>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tcPr>
          <w:p w14:paraId="0556D45B" w14:textId="77777777" w:rsidR="00555643" w:rsidRPr="006E7298" w:rsidRDefault="00555643" w:rsidP="00B245EA">
            <w:pPr>
              <w:pStyle w:val="ACMATableText"/>
              <w:keepNext/>
              <w:keepLines/>
              <w:spacing w:before="0" w:after="0"/>
              <w:rPr>
                <w:rFonts w:cs="Arial"/>
                <w:color w:val="FFFFFF" w:themeColor="background1"/>
                <w:szCs w:val="18"/>
              </w:rPr>
            </w:pPr>
          </w:p>
        </w:tc>
        <w:tc>
          <w:tcPr>
            <w:tcW w:w="1061" w:type="dxa"/>
            <w:shd w:val="clear" w:color="auto" w:fill="007298"/>
          </w:tcPr>
          <w:p w14:paraId="6F1D574F" w14:textId="77777777" w:rsidR="00555643" w:rsidRPr="004200C4" w:rsidRDefault="00555643"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4200C4">
              <w:t>2011–12</w:t>
            </w:r>
            <w:r w:rsidR="00CE7DB9" w:rsidRPr="00C54921">
              <w:t xml:space="preserve"> </w:t>
            </w:r>
            <w:r w:rsidRPr="009C1BE9">
              <w:t>(b</w:t>
            </w:r>
            <w:r w:rsidR="007649AA" w:rsidRPr="009C1BE9">
              <w:t>illion</w:t>
            </w:r>
            <w:r w:rsidRPr="009C1BE9">
              <w:t>)</w:t>
            </w:r>
          </w:p>
        </w:tc>
        <w:tc>
          <w:tcPr>
            <w:tcW w:w="1061" w:type="dxa"/>
            <w:shd w:val="clear" w:color="auto" w:fill="007298"/>
          </w:tcPr>
          <w:p w14:paraId="53AB7100" w14:textId="77777777" w:rsidR="00555643" w:rsidRPr="004200C4" w:rsidRDefault="00555643"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2012–13</w:t>
            </w:r>
            <w:r w:rsidR="00CE7DB9" w:rsidRPr="00C54921">
              <w:t xml:space="preserve"> </w:t>
            </w:r>
            <w:r w:rsidR="007649AA" w:rsidRPr="009C1BE9">
              <w:t>(billion)</w:t>
            </w:r>
          </w:p>
        </w:tc>
        <w:tc>
          <w:tcPr>
            <w:tcW w:w="1061" w:type="dxa"/>
            <w:shd w:val="clear" w:color="auto" w:fill="007298"/>
          </w:tcPr>
          <w:p w14:paraId="731AFE37" w14:textId="77777777" w:rsidR="00555643" w:rsidRPr="004200C4" w:rsidRDefault="00555643"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2013–14</w:t>
            </w:r>
            <w:r w:rsidR="00CE7DB9" w:rsidRPr="00C54921">
              <w:t xml:space="preserve"> </w:t>
            </w:r>
            <w:r w:rsidR="007649AA" w:rsidRPr="009C1BE9">
              <w:t>(billion)</w:t>
            </w:r>
          </w:p>
        </w:tc>
        <w:tc>
          <w:tcPr>
            <w:tcW w:w="1061" w:type="dxa"/>
            <w:shd w:val="clear" w:color="auto" w:fill="007298"/>
          </w:tcPr>
          <w:p w14:paraId="6D976F6D" w14:textId="77777777" w:rsidR="00555643" w:rsidRPr="004200C4" w:rsidRDefault="00555643"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2014–15</w:t>
            </w:r>
            <w:r w:rsidR="00CE7DB9" w:rsidRPr="00C54921">
              <w:t xml:space="preserve"> </w:t>
            </w:r>
            <w:r w:rsidR="007649AA" w:rsidRPr="009C1BE9">
              <w:t>(billion)</w:t>
            </w:r>
          </w:p>
        </w:tc>
        <w:tc>
          <w:tcPr>
            <w:tcW w:w="1061" w:type="dxa"/>
            <w:shd w:val="clear" w:color="auto" w:fill="007298"/>
          </w:tcPr>
          <w:p w14:paraId="659A94B8" w14:textId="77777777" w:rsidR="00555643" w:rsidRPr="004200C4" w:rsidRDefault="00555643"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2015–16</w:t>
            </w:r>
            <w:r w:rsidR="00CE7DB9" w:rsidRPr="00C54921">
              <w:t xml:space="preserve"> </w:t>
            </w:r>
            <w:r w:rsidR="007649AA" w:rsidRPr="009C1BE9">
              <w:t>(billion)</w:t>
            </w:r>
          </w:p>
        </w:tc>
        <w:tc>
          <w:tcPr>
            <w:tcW w:w="1061" w:type="dxa"/>
            <w:shd w:val="clear" w:color="auto" w:fill="007298"/>
          </w:tcPr>
          <w:p w14:paraId="764834E0" w14:textId="77777777" w:rsidR="00555643" w:rsidRPr="004200C4" w:rsidRDefault="007649AA" w:rsidP="00FC618C">
            <w:pPr>
              <w:pStyle w:val="TableHeading"/>
              <w:spacing w:before="0"/>
              <w:cnfStyle w:val="000000000000" w:firstRow="0" w:lastRow="0" w:firstColumn="0" w:lastColumn="0" w:oddVBand="0" w:evenVBand="0" w:oddHBand="0" w:evenHBand="0" w:firstRowFirstColumn="0" w:firstRowLastColumn="0" w:lastRowFirstColumn="0" w:lastRowLastColumn="0"/>
            </w:pPr>
            <w:r w:rsidRPr="009C1BE9">
              <w:t>2015–16 change</w:t>
            </w:r>
            <w:r w:rsidRPr="009C1BE9" w:rsidDel="007649AA">
              <w:t xml:space="preserve"> </w:t>
            </w:r>
            <w:r w:rsidR="00555643" w:rsidRPr="009C1BE9">
              <w:t>(%)</w:t>
            </w:r>
          </w:p>
        </w:tc>
      </w:tr>
      <w:tr w:rsidR="00555643" w:rsidRPr="009962B9" w14:paraId="4C3F1698" w14:textId="77777777" w:rsidTr="00B245EA">
        <w:trPr>
          <w:trHeight w:val="293"/>
        </w:trPr>
        <w:tc>
          <w:tcPr>
            <w:cnfStyle w:val="001000000000" w:firstRow="0" w:lastRow="0" w:firstColumn="1" w:lastColumn="0" w:oddVBand="0" w:evenVBand="0" w:oddHBand="0" w:evenHBand="0" w:firstRowFirstColumn="0" w:firstRowLastColumn="0" w:lastRowFirstColumn="0" w:lastRowLastColumn="0"/>
            <w:tcW w:w="3063" w:type="dxa"/>
          </w:tcPr>
          <w:p w14:paraId="5D6C234D" w14:textId="77777777" w:rsidR="00555643" w:rsidRPr="006E7298" w:rsidRDefault="00555643"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Value of internet commerce ($A)</w:t>
            </w:r>
            <w:r w:rsidRPr="006E7298">
              <w:rPr>
                <w:rFonts w:cs="Arial"/>
                <w:color w:val="FFFFFF" w:themeColor="background1"/>
                <w:szCs w:val="18"/>
                <w:vertAlign w:val="superscript"/>
              </w:rPr>
              <w:t>‡</w:t>
            </w:r>
            <w:r w:rsidRPr="006E7298">
              <w:rPr>
                <w:rFonts w:cs="Arial"/>
                <w:color w:val="FFFFFF" w:themeColor="background1"/>
                <w:szCs w:val="18"/>
              </w:rPr>
              <w:t xml:space="preserve"> </w:t>
            </w:r>
          </w:p>
        </w:tc>
        <w:tc>
          <w:tcPr>
            <w:tcW w:w="1061" w:type="dxa"/>
          </w:tcPr>
          <w:p w14:paraId="1893321E"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n/a</w:t>
            </w:r>
          </w:p>
        </w:tc>
        <w:tc>
          <w:tcPr>
            <w:tcW w:w="1061" w:type="dxa"/>
          </w:tcPr>
          <w:p w14:paraId="61F66703"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$246</w:t>
            </w:r>
          </w:p>
        </w:tc>
        <w:tc>
          <w:tcPr>
            <w:tcW w:w="1061" w:type="dxa"/>
          </w:tcPr>
          <w:p w14:paraId="44DACE2F"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$267</w:t>
            </w:r>
          </w:p>
        </w:tc>
        <w:tc>
          <w:tcPr>
            <w:tcW w:w="1061" w:type="dxa"/>
          </w:tcPr>
          <w:p w14:paraId="1924B0BA"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$286</w:t>
            </w:r>
          </w:p>
        </w:tc>
        <w:tc>
          <w:tcPr>
            <w:tcW w:w="1061" w:type="dxa"/>
          </w:tcPr>
          <w:p w14:paraId="2F9C8645"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n/a</w:t>
            </w:r>
          </w:p>
        </w:tc>
        <w:tc>
          <w:tcPr>
            <w:tcW w:w="1061" w:type="dxa"/>
          </w:tcPr>
          <w:p w14:paraId="22D7CF79"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7.1</w:t>
            </w:r>
          </w:p>
        </w:tc>
      </w:tr>
    </w:tbl>
    <w:p w14:paraId="2B52A38E" w14:textId="77777777" w:rsidR="00555643" w:rsidRPr="00531CD0" w:rsidRDefault="00555643" w:rsidP="00531CD0">
      <w:pPr>
        <w:pStyle w:val="ACMANotes"/>
      </w:pPr>
      <w:r w:rsidRPr="00531CD0">
        <w:t>n/a=not available.</w:t>
      </w:r>
    </w:p>
    <w:p w14:paraId="1C594C5D" w14:textId="77777777" w:rsidR="00555643" w:rsidRPr="00531CD0" w:rsidRDefault="00555643" w:rsidP="00531CD0">
      <w:pPr>
        <w:pStyle w:val="ACMANotes"/>
      </w:pPr>
      <w:r w:rsidRPr="00531CD0">
        <w:t xml:space="preserve">*In </w:t>
      </w:r>
      <w:r w:rsidRPr="003A2F3A">
        <w:t xml:space="preserve">six </w:t>
      </w:r>
      <w:r w:rsidRPr="00604073">
        <w:t>months to May 2013 and May 2014.</w:t>
      </w:r>
      <w:r w:rsidRPr="00531CD0">
        <w:t xml:space="preserve"> Change of methodology in 2016 means that 2016 figure is not comparable to previous years.</w:t>
      </w:r>
    </w:p>
    <w:p w14:paraId="28D35418" w14:textId="77777777" w:rsidR="00555643" w:rsidRPr="00531CD0" w:rsidRDefault="00555643" w:rsidP="00531CD0">
      <w:pPr>
        <w:pStyle w:val="ACMANotes"/>
      </w:pPr>
      <w:r w:rsidRPr="00531CD0">
        <w:rPr>
          <w:vertAlign w:val="superscript"/>
        </w:rPr>
        <w:t>†</w:t>
      </w:r>
      <w:r w:rsidRPr="00531CD0">
        <w:t xml:space="preserve">Excludes domain names registered under </w:t>
      </w:r>
      <w:r w:rsidR="00367292">
        <w:t>‘</w:t>
      </w:r>
      <w:r w:rsidRPr="00913602">
        <w:t>.</w:t>
      </w:r>
      <w:r w:rsidRPr="00531CD0">
        <w:t>gov.au</w:t>
      </w:r>
      <w:r w:rsidR="00367292">
        <w:t>’</w:t>
      </w:r>
      <w:r w:rsidRPr="00531CD0">
        <w:t>.</w:t>
      </w:r>
    </w:p>
    <w:p w14:paraId="4E4DDB0F" w14:textId="77777777" w:rsidR="00555643" w:rsidRPr="00531CD0" w:rsidRDefault="00555643" w:rsidP="00531CD0">
      <w:pPr>
        <w:pStyle w:val="ACMANotes"/>
      </w:pPr>
      <w:r w:rsidRPr="00531CD0">
        <w:rPr>
          <w:vertAlign w:val="superscript"/>
        </w:rPr>
        <w:t>‡</w:t>
      </w:r>
      <w:r w:rsidRPr="00531CD0">
        <w:t xml:space="preserve">The ABS defines internet e-commerce as the purchase/order of goods and services online regardless of whether or not the purchases were paid for online. </w:t>
      </w:r>
    </w:p>
    <w:p w14:paraId="1BD9AD16" w14:textId="77777777" w:rsidR="00555643" w:rsidRPr="00531CD0" w:rsidRDefault="00555643" w:rsidP="00531CD0">
      <w:pPr>
        <w:pStyle w:val="ACMANotes"/>
      </w:pPr>
      <w:r w:rsidRPr="00531CD0">
        <w:t>Note: Data relates to people aged 18 years and over.</w:t>
      </w:r>
    </w:p>
    <w:p w14:paraId="08D1E848" w14:textId="77777777" w:rsidR="00555643" w:rsidRPr="00531CD0" w:rsidRDefault="00555643" w:rsidP="00531CD0">
      <w:pPr>
        <w:pStyle w:val="ACMANotes"/>
      </w:pPr>
      <w:r w:rsidRPr="00531CD0">
        <w:t>Source: See Chapter 2. Further explanatory details for this data can be found in the source chapter.</w:t>
      </w:r>
    </w:p>
    <w:p w14:paraId="77C8C9FA" w14:textId="77777777" w:rsidR="00795834" w:rsidRPr="00913602" w:rsidRDefault="00795834" w:rsidP="00795834">
      <w:pPr>
        <w:pStyle w:val="ACMASpaceaftertable"/>
      </w:pPr>
    </w:p>
    <w:p w14:paraId="6CF96205" w14:textId="77777777" w:rsidR="00555643" w:rsidRPr="00913602" w:rsidRDefault="00555643" w:rsidP="00531CD0">
      <w:pPr>
        <w:pStyle w:val="Heading2"/>
      </w:pPr>
      <w:bookmarkStart w:id="101" w:name="_Toc399331705"/>
      <w:bookmarkStart w:id="102" w:name="_Toc399336886"/>
      <w:bookmarkStart w:id="103" w:name="_Toc462899526"/>
      <w:bookmarkStart w:id="104" w:name="_Toc463529006"/>
      <w:bookmarkStart w:id="105" w:name="_Toc465178918"/>
      <w:bookmarkStart w:id="106" w:name="_Toc465842829"/>
      <w:r w:rsidRPr="00913602">
        <w:t>Broadcasting l</w:t>
      </w:r>
      <w:bookmarkEnd w:id="101"/>
      <w:bookmarkEnd w:id="102"/>
      <w:r w:rsidRPr="00913602">
        <w:t>icences</w:t>
      </w:r>
      <w:bookmarkEnd w:id="103"/>
      <w:bookmarkEnd w:id="104"/>
      <w:bookmarkEnd w:id="105"/>
      <w:bookmarkEnd w:id="106"/>
    </w:p>
    <w:p w14:paraId="363250BB" w14:textId="77777777" w:rsidR="00555643" w:rsidRPr="003D5984" w:rsidRDefault="00555643" w:rsidP="00904764">
      <w:pPr>
        <w:pStyle w:val="Heading3"/>
        <w:spacing w:before="0" w:after="80"/>
      </w:pPr>
      <w:bookmarkStart w:id="107" w:name="_Toc462899527"/>
      <w:bookmarkStart w:id="108" w:name="_Toc463529007"/>
      <w:bookmarkStart w:id="109" w:name="_Toc465178919"/>
      <w:bookmarkStart w:id="110" w:name="_Toc465842830"/>
      <w:r w:rsidRPr="00913602">
        <w:t>Commercial broadcasting and subscription television</w:t>
      </w:r>
      <w:bookmarkEnd w:id="107"/>
      <w:bookmarkEnd w:id="108"/>
      <w:bookmarkEnd w:id="109"/>
      <w:bookmarkEnd w:id="110"/>
    </w:p>
    <w:tbl>
      <w:tblPr>
        <w:tblStyle w:val="Commsreport2014-15TABLE4"/>
        <w:tblW w:w="9430" w:type="dxa"/>
        <w:tblLayout w:type="fixed"/>
        <w:tblCellMar>
          <w:top w:w="57" w:type="dxa"/>
          <w:left w:w="57" w:type="dxa"/>
          <w:bottom w:w="57" w:type="dxa"/>
          <w:right w:w="57" w:type="dxa"/>
        </w:tblCellMar>
        <w:tblLook w:val="04A0" w:firstRow="1" w:lastRow="0" w:firstColumn="1" w:lastColumn="0" w:noHBand="0" w:noVBand="1"/>
        <w:tblCaption w:val="Broadcasting licences: Commercial broadcasting and subscription television"/>
      </w:tblPr>
      <w:tblGrid>
        <w:gridCol w:w="3058"/>
        <w:gridCol w:w="1062"/>
        <w:gridCol w:w="1062"/>
        <w:gridCol w:w="1062"/>
        <w:gridCol w:w="1062"/>
        <w:gridCol w:w="1062"/>
        <w:gridCol w:w="1062"/>
      </w:tblGrid>
      <w:tr w:rsidR="00555643" w:rsidRPr="009962B9" w14:paraId="647CB74D" w14:textId="77777777" w:rsidTr="00B245EA">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3058" w:type="dxa"/>
            <w:shd w:val="clear" w:color="auto" w:fill="auto"/>
          </w:tcPr>
          <w:p w14:paraId="434FD39A" w14:textId="77777777" w:rsidR="00555643" w:rsidRPr="009962B9" w:rsidRDefault="00555643" w:rsidP="00B245EA">
            <w:pPr>
              <w:pStyle w:val="ACMATableText"/>
              <w:spacing w:before="0" w:after="0"/>
              <w:rPr>
                <w:szCs w:val="18"/>
              </w:rPr>
            </w:pPr>
          </w:p>
        </w:tc>
        <w:tc>
          <w:tcPr>
            <w:tcW w:w="1062" w:type="dxa"/>
          </w:tcPr>
          <w:p w14:paraId="6875813A" w14:textId="77777777" w:rsidR="00555643" w:rsidRPr="00ED2E02"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ED2E02">
              <w:rPr>
                <w:b/>
              </w:rPr>
              <w:t>30 Jun 2012</w:t>
            </w:r>
          </w:p>
        </w:tc>
        <w:tc>
          <w:tcPr>
            <w:tcW w:w="1062" w:type="dxa"/>
          </w:tcPr>
          <w:p w14:paraId="7EEB7671" w14:textId="77777777" w:rsidR="00555643" w:rsidRPr="00ED2E02"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ED2E02">
              <w:rPr>
                <w:b/>
              </w:rPr>
              <w:t>30 Jun 2013</w:t>
            </w:r>
          </w:p>
        </w:tc>
        <w:tc>
          <w:tcPr>
            <w:tcW w:w="1062" w:type="dxa"/>
          </w:tcPr>
          <w:p w14:paraId="2A2BCE3B" w14:textId="77777777" w:rsidR="00555643" w:rsidRPr="00ED2E02"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ED2E02">
              <w:rPr>
                <w:b/>
              </w:rPr>
              <w:t>30 Jun 2014</w:t>
            </w:r>
          </w:p>
        </w:tc>
        <w:tc>
          <w:tcPr>
            <w:tcW w:w="1062" w:type="dxa"/>
          </w:tcPr>
          <w:p w14:paraId="6D93669A" w14:textId="77777777" w:rsidR="00555643" w:rsidRPr="00ED2E02"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ED2E02">
              <w:rPr>
                <w:b/>
              </w:rPr>
              <w:t>30 Jun 2015</w:t>
            </w:r>
          </w:p>
        </w:tc>
        <w:tc>
          <w:tcPr>
            <w:tcW w:w="1062" w:type="dxa"/>
          </w:tcPr>
          <w:p w14:paraId="4AD4127D" w14:textId="77777777" w:rsidR="00555643" w:rsidRPr="00ED2E02"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ED2E02">
              <w:rPr>
                <w:b/>
              </w:rPr>
              <w:t>30 Jun 2016</w:t>
            </w:r>
          </w:p>
        </w:tc>
        <w:tc>
          <w:tcPr>
            <w:tcW w:w="1062" w:type="dxa"/>
          </w:tcPr>
          <w:p w14:paraId="44D618A8" w14:textId="77777777" w:rsidR="00555643" w:rsidRPr="00ED2E02" w:rsidRDefault="00555643" w:rsidP="00FC618C">
            <w:pPr>
              <w:pStyle w:val="TableHeading"/>
              <w:spacing w:before="0"/>
              <w:cnfStyle w:val="100000000000" w:firstRow="1" w:lastRow="0" w:firstColumn="0" w:lastColumn="0" w:oddVBand="0" w:evenVBand="0" w:oddHBand="0" w:evenHBand="0" w:firstRowFirstColumn="0" w:firstRowLastColumn="0" w:lastRowFirstColumn="0" w:lastRowLastColumn="0"/>
              <w:rPr>
                <w:b/>
              </w:rPr>
            </w:pPr>
            <w:r w:rsidRPr="00ED2E02">
              <w:rPr>
                <w:b/>
              </w:rPr>
              <w:t>2015–16 change</w:t>
            </w:r>
            <w:r w:rsidR="00CE7DB9" w:rsidRPr="00ED2E02">
              <w:rPr>
                <w:b/>
              </w:rPr>
              <w:t xml:space="preserve"> </w:t>
            </w:r>
            <w:r w:rsidRPr="00ED2E02">
              <w:rPr>
                <w:b/>
              </w:rPr>
              <w:t>(%)</w:t>
            </w:r>
          </w:p>
        </w:tc>
      </w:tr>
      <w:tr w:rsidR="00555643" w:rsidRPr="009962B9" w14:paraId="0FB1B6FC" w14:textId="77777777" w:rsidTr="00B245EA">
        <w:trPr>
          <w:trHeight w:val="205"/>
        </w:trPr>
        <w:tc>
          <w:tcPr>
            <w:cnfStyle w:val="001000000000" w:firstRow="0" w:lastRow="0" w:firstColumn="1" w:lastColumn="0" w:oddVBand="0" w:evenVBand="0" w:oddHBand="0" w:evenHBand="0" w:firstRowFirstColumn="0" w:firstRowLastColumn="0" w:lastRowFirstColumn="0" w:lastRowLastColumn="0"/>
            <w:tcW w:w="3058" w:type="dxa"/>
          </w:tcPr>
          <w:p w14:paraId="1F90EFBF"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Commercial radio</w:t>
            </w:r>
          </w:p>
        </w:tc>
        <w:tc>
          <w:tcPr>
            <w:tcW w:w="1062" w:type="dxa"/>
          </w:tcPr>
          <w:p w14:paraId="164A4602"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273</w:t>
            </w:r>
          </w:p>
        </w:tc>
        <w:tc>
          <w:tcPr>
            <w:tcW w:w="1062" w:type="dxa"/>
          </w:tcPr>
          <w:p w14:paraId="3A6C897A"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273</w:t>
            </w:r>
          </w:p>
        </w:tc>
        <w:tc>
          <w:tcPr>
            <w:tcW w:w="1062" w:type="dxa"/>
          </w:tcPr>
          <w:p w14:paraId="70E2E37C"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273</w:t>
            </w:r>
          </w:p>
        </w:tc>
        <w:tc>
          <w:tcPr>
            <w:tcW w:w="1062" w:type="dxa"/>
          </w:tcPr>
          <w:p w14:paraId="4B3E07E7"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273</w:t>
            </w:r>
          </w:p>
        </w:tc>
        <w:tc>
          <w:tcPr>
            <w:tcW w:w="1062" w:type="dxa"/>
          </w:tcPr>
          <w:p w14:paraId="25C20C80"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273</w:t>
            </w:r>
          </w:p>
        </w:tc>
        <w:tc>
          <w:tcPr>
            <w:tcW w:w="1062" w:type="dxa"/>
          </w:tcPr>
          <w:p w14:paraId="20664D57"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0.0</w:t>
            </w:r>
          </w:p>
        </w:tc>
      </w:tr>
      <w:tr w:rsidR="00555643" w:rsidRPr="009962B9" w14:paraId="3B17C535" w14:textId="77777777" w:rsidTr="00B245EA">
        <w:trPr>
          <w:trHeight w:val="110"/>
        </w:trPr>
        <w:tc>
          <w:tcPr>
            <w:cnfStyle w:val="001000000000" w:firstRow="0" w:lastRow="0" w:firstColumn="1" w:lastColumn="0" w:oddVBand="0" w:evenVBand="0" w:oddHBand="0" w:evenHBand="0" w:firstRowFirstColumn="0" w:firstRowLastColumn="0" w:lastRowFirstColumn="0" w:lastRowLastColumn="0"/>
            <w:tcW w:w="3058" w:type="dxa"/>
          </w:tcPr>
          <w:p w14:paraId="2FC593C0"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Commercial television</w:t>
            </w:r>
          </w:p>
        </w:tc>
        <w:tc>
          <w:tcPr>
            <w:tcW w:w="1062" w:type="dxa"/>
          </w:tcPr>
          <w:p w14:paraId="49C1FB0D"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69</w:t>
            </w:r>
          </w:p>
        </w:tc>
        <w:tc>
          <w:tcPr>
            <w:tcW w:w="1062" w:type="dxa"/>
          </w:tcPr>
          <w:p w14:paraId="31C8F472"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69</w:t>
            </w:r>
          </w:p>
        </w:tc>
        <w:tc>
          <w:tcPr>
            <w:tcW w:w="1062" w:type="dxa"/>
          </w:tcPr>
          <w:p w14:paraId="05568146"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69</w:t>
            </w:r>
          </w:p>
        </w:tc>
        <w:tc>
          <w:tcPr>
            <w:tcW w:w="1062" w:type="dxa"/>
          </w:tcPr>
          <w:p w14:paraId="62AA1552"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69</w:t>
            </w:r>
          </w:p>
        </w:tc>
        <w:tc>
          <w:tcPr>
            <w:tcW w:w="1062" w:type="dxa"/>
          </w:tcPr>
          <w:p w14:paraId="3200E227"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69</w:t>
            </w:r>
          </w:p>
        </w:tc>
        <w:tc>
          <w:tcPr>
            <w:tcW w:w="1062" w:type="dxa"/>
          </w:tcPr>
          <w:p w14:paraId="66F0B334"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0.0</w:t>
            </w:r>
          </w:p>
        </w:tc>
      </w:tr>
      <w:tr w:rsidR="00555643" w:rsidRPr="009962B9" w14:paraId="4537C04B" w14:textId="77777777" w:rsidTr="00B245EA">
        <w:trPr>
          <w:trHeight w:val="102"/>
        </w:trPr>
        <w:tc>
          <w:tcPr>
            <w:cnfStyle w:val="001000000000" w:firstRow="0" w:lastRow="0" w:firstColumn="1" w:lastColumn="0" w:oddVBand="0" w:evenVBand="0" w:oddHBand="0" w:evenHBand="0" w:firstRowFirstColumn="0" w:firstRowLastColumn="0" w:lastRowFirstColumn="0" w:lastRowLastColumn="0"/>
            <w:tcW w:w="3058" w:type="dxa"/>
          </w:tcPr>
          <w:p w14:paraId="19F54AA3" w14:textId="77777777" w:rsidR="00555643" w:rsidRPr="006E7298" w:rsidRDefault="00555643" w:rsidP="00B245EA">
            <w:pPr>
              <w:pStyle w:val="ACMATableText"/>
              <w:spacing w:before="0" w:after="0"/>
              <w:rPr>
                <w:rFonts w:cs="Arial"/>
                <w:color w:val="FFFFFF" w:themeColor="background1"/>
                <w:szCs w:val="18"/>
              </w:rPr>
            </w:pPr>
            <w:r w:rsidRPr="006E7298">
              <w:rPr>
                <w:rFonts w:cs="Arial"/>
                <w:color w:val="FFFFFF" w:themeColor="background1"/>
                <w:szCs w:val="18"/>
              </w:rPr>
              <w:t>Subscription television*</w:t>
            </w:r>
          </w:p>
        </w:tc>
        <w:tc>
          <w:tcPr>
            <w:tcW w:w="1062" w:type="dxa"/>
          </w:tcPr>
          <w:p w14:paraId="723D1485"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2,719</w:t>
            </w:r>
          </w:p>
        </w:tc>
        <w:tc>
          <w:tcPr>
            <w:tcW w:w="1062" w:type="dxa"/>
          </w:tcPr>
          <w:p w14:paraId="2C493332"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2,735</w:t>
            </w:r>
          </w:p>
        </w:tc>
        <w:tc>
          <w:tcPr>
            <w:tcW w:w="1062" w:type="dxa"/>
          </w:tcPr>
          <w:p w14:paraId="0F3DC8D4"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2,735</w:t>
            </w:r>
          </w:p>
        </w:tc>
        <w:tc>
          <w:tcPr>
            <w:tcW w:w="1062" w:type="dxa"/>
          </w:tcPr>
          <w:p w14:paraId="504E2151"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2,735</w:t>
            </w:r>
          </w:p>
        </w:tc>
        <w:tc>
          <w:tcPr>
            <w:tcW w:w="1062" w:type="dxa"/>
          </w:tcPr>
          <w:p w14:paraId="6060F205" w14:textId="77777777" w:rsidR="00555643" w:rsidRPr="009962B9"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w:t>
            </w:r>
            <w:r w:rsidR="00A40132">
              <w:rPr>
                <w:rFonts w:cs="Arial"/>
                <w:szCs w:val="18"/>
              </w:rPr>
              <w:t>8</w:t>
            </w:r>
            <w:r w:rsidRPr="009962B9">
              <w:rPr>
                <w:rFonts w:cs="Arial"/>
                <w:szCs w:val="18"/>
              </w:rPr>
              <w:t>35</w:t>
            </w:r>
          </w:p>
        </w:tc>
        <w:tc>
          <w:tcPr>
            <w:tcW w:w="1062" w:type="dxa"/>
          </w:tcPr>
          <w:p w14:paraId="0231A29B" w14:textId="77777777" w:rsidR="00555643" w:rsidRPr="009962B9" w:rsidRDefault="00155BF5"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3.7</w:t>
            </w:r>
          </w:p>
        </w:tc>
      </w:tr>
    </w:tbl>
    <w:p w14:paraId="06D8C8A1" w14:textId="77777777" w:rsidR="00555643" w:rsidRPr="00531CD0" w:rsidRDefault="00555643" w:rsidP="00531CD0">
      <w:pPr>
        <w:pStyle w:val="ACMANotes"/>
      </w:pPr>
      <w:r w:rsidRPr="00531CD0">
        <w:t>*Each subscription service is licensed separately.</w:t>
      </w:r>
    </w:p>
    <w:p w14:paraId="459588A0" w14:textId="77777777" w:rsidR="00555643" w:rsidRPr="00531CD0" w:rsidRDefault="00555643" w:rsidP="00531CD0">
      <w:pPr>
        <w:pStyle w:val="ACMANotes"/>
      </w:pPr>
      <w:r w:rsidRPr="00531CD0">
        <w:t>Source: See Chapter 1. Further explanatory details for this data can be found in the source chapter.</w:t>
      </w:r>
      <w:bookmarkStart w:id="111" w:name="_Toc308517086"/>
      <w:bookmarkStart w:id="112" w:name="_Toc308523546"/>
      <w:bookmarkStart w:id="113" w:name="_Toc310326773"/>
      <w:bookmarkStart w:id="114" w:name="_Toc341428274"/>
      <w:bookmarkStart w:id="115" w:name="_Toc370381855"/>
      <w:bookmarkStart w:id="116" w:name="_Toc371588969"/>
      <w:bookmarkStart w:id="117" w:name="_Toc373149031"/>
      <w:bookmarkStart w:id="118" w:name="_Toc399331706"/>
      <w:bookmarkStart w:id="119" w:name="_Toc399336887"/>
    </w:p>
    <w:p w14:paraId="14A74E8D" w14:textId="77777777" w:rsidR="00795834" w:rsidRPr="00913602" w:rsidRDefault="00795834" w:rsidP="00795834">
      <w:pPr>
        <w:pStyle w:val="ACMASpaceaftertable"/>
      </w:pPr>
    </w:p>
    <w:p w14:paraId="717D2454" w14:textId="77777777" w:rsidR="00555643" w:rsidRPr="00913602" w:rsidRDefault="00555643" w:rsidP="00531CD0">
      <w:pPr>
        <w:pStyle w:val="Heading2"/>
      </w:pPr>
      <w:bookmarkStart w:id="120" w:name="_Toc462899528"/>
      <w:bookmarkStart w:id="121" w:name="_Toc463529008"/>
      <w:bookmarkStart w:id="122" w:name="_Toc465178920"/>
      <w:bookmarkStart w:id="123" w:name="_Toc465842831"/>
      <w:r w:rsidRPr="00913602">
        <w:lastRenderedPageBreak/>
        <w:t>Number portability</w:t>
      </w:r>
      <w:bookmarkEnd w:id="120"/>
      <w:bookmarkEnd w:id="121"/>
      <w:bookmarkEnd w:id="122"/>
      <w:bookmarkEnd w:id="123"/>
      <w:r w:rsidRPr="00913602">
        <w:t xml:space="preserve"> </w:t>
      </w:r>
      <w:bookmarkEnd w:id="111"/>
      <w:bookmarkEnd w:id="112"/>
      <w:bookmarkEnd w:id="113"/>
      <w:bookmarkEnd w:id="114"/>
      <w:bookmarkEnd w:id="115"/>
      <w:bookmarkEnd w:id="116"/>
      <w:bookmarkEnd w:id="117"/>
      <w:bookmarkEnd w:id="118"/>
      <w:bookmarkEnd w:id="119"/>
    </w:p>
    <w:p w14:paraId="68E791B1" w14:textId="77777777" w:rsidR="00555643" w:rsidRPr="00913602" w:rsidRDefault="00555643" w:rsidP="00904764">
      <w:pPr>
        <w:pStyle w:val="Heading3"/>
        <w:spacing w:before="0" w:after="80"/>
      </w:pPr>
      <w:bookmarkStart w:id="124" w:name="_Toc462899529"/>
      <w:bookmarkStart w:id="125" w:name="_Toc463529009"/>
      <w:bookmarkStart w:id="126" w:name="_Toc465178921"/>
      <w:bookmarkStart w:id="127" w:name="_Toc465842832"/>
      <w:r w:rsidRPr="00913602">
        <w:t>Local and mobile numbers ported</w:t>
      </w:r>
      <w:bookmarkEnd w:id="124"/>
      <w:bookmarkEnd w:id="125"/>
      <w:bookmarkEnd w:id="126"/>
      <w:bookmarkEnd w:id="127"/>
    </w:p>
    <w:tbl>
      <w:tblPr>
        <w:tblStyle w:val="Commsreport2014-15TABLE4"/>
        <w:tblW w:w="9435" w:type="dxa"/>
        <w:tblLayout w:type="fixed"/>
        <w:tblCellMar>
          <w:top w:w="57" w:type="dxa"/>
          <w:left w:w="57" w:type="dxa"/>
          <w:bottom w:w="57" w:type="dxa"/>
          <w:right w:w="57" w:type="dxa"/>
        </w:tblCellMar>
        <w:tblLook w:val="04A0" w:firstRow="1" w:lastRow="0" w:firstColumn="1" w:lastColumn="0" w:noHBand="0" w:noVBand="1"/>
        <w:tblCaption w:val="Number portability: Local and mobile numbers ported"/>
      </w:tblPr>
      <w:tblGrid>
        <w:gridCol w:w="3063"/>
        <w:gridCol w:w="1062"/>
        <w:gridCol w:w="1062"/>
        <w:gridCol w:w="1062"/>
        <w:gridCol w:w="1062"/>
        <w:gridCol w:w="1062"/>
        <w:gridCol w:w="1062"/>
      </w:tblGrid>
      <w:tr w:rsidR="00555643" w:rsidRPr="009962B9" w14:paraId="039C3E98" w14:textId="77777777" w:rsidTr="00AA164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tcPr>
          <w:p w14:paraId="16CD11CA" w14:textId="77777777" w:rsidR="00555643" w:rsidRPr="009962B9" w:rsidRDefault="00555643" w:rsidP="00B245EA">
            <w:pPr>
              <w:pStyle w:val="ACMATableText"/>
              <w:keepNext/>
              <w:keepLines/>
              <w:spacing w:before="0" w:after="0"/>
              <w:rPr>
                <w:szCs w:val="18"/>
              </w:rPr>
            </w:pPr>
          </w:p>
        </w:tc>
        <w:tc>
          <w:tcPr>
            <w:tcW w:w="1062" w:type="dxa"/>
          </w:tcPr>
          <w:p w14:paraId="543027BB"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Jun 12</w:t>
            </w:r>
          </w:p>
        </w:tc>
        <w:tc>
          <w:tcPr>
            <w:tcW w:w="1062" w:type="dxa"/>
          </w:tcPr>
          <w:p w14:paraId="5671175C"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Jun 13</w:t>
            </w:r>
          </w:p>
        </w:tc>
        <w:tc>
          <w:tcPr>
            <w:tcW w:w="1062" w:type="dxa"/>
          </w:tcPr>
          <w:p w14:paraId="4B9A09E0"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Jun 14</w:t>
            </w:r>
          </w:p>
        </w:tc>
        <w:tc>
          <w:tcPr>
            <w:tcW w:w="1062" w:type="dxa"/>
          </w:tcPr>
          <w:p w14:paraId="6F79ADF7"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Jun 15</w:t>
            </w:r>
          </w:p>
        </w:tc>
        <w:tc>
          <w:tcPr>
            <w:tcW w:w="1062" w:type="dxa"/>
          </w:tcPr>
          <w:p w14:paraId="2A13C389"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Jun 16</w:t>
            </w:r>
          </w:p>
        </w:tc>
        <w:tc>
          <w:tcPr>
            <w:tcW w:w="1062" w:type="dxa"/>
          </w:tcPr>
          <w:p w14:paraId="53411A56"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2015–16 change</w:t>
            </w:r>
            <w:r w:rsidR="00CE7DB9" w:rsidRPr="00ED2E02">
              <w:rPr>
                <w:color w:val="FFFFFF" w:themeColor="background1"/>
                <w:szCs w:val="24"/>
                <w:lang w:eastAsia="en-AU"/>
              </w:rPr>
              <w:t xml:space="preserve"> </w:t>
            </w:r>
            <w:r w:rsidRPr="00ED2E02">
              <w:rPr>
                <w:color w:val="FFFFFF" w:themeColor="background1"/>
                <w:szCs w:val="24"/>
                <w:lang w:eastAsia="en-AU"/>
              </w:rPr>
              <w:t>(%)</w:t>
            </w:r>
          </w:p>
        </w:tc>
      </w:tr>
      <w:tr w:rsidR="00555643" w:rsidRPr="009962B9" w14:paraId="1768E8C9" w14:textId="77777777" w:rsidTr="00AA164C">
        <w:trPr>
          <w:trHeight w:val="145"/>
        </w:trPr>
        <w:tc>
          <w:tcPr>
            <w:cnfStyle w:val="001000000000" w:firstRow="0" w:lastRow="0" w:firstColumn="1" w:lastColumn="0" w:oddVBand="0" w:evenVBand="0" w:oddHBand="0" w:evenHBand="0" w:firstRowFirstColumn="0" w:firstRowLastColumn="0" w:lastRowFirstColumn="0" w:lastRowLastColumn="0"/>
            <w:tcW w:w="3063" w:type="dxa"/>
          </w:tcPr>
          <w:p w14:paraId="1C1A0F88" w14:textId="77777777" w:rsidR="00555643" w:rsidRPr="006E7298" w:rsidRDefault="00555643" w:rsidP="00B245EA">
            <w:pPr>
              <w:pStyle w:val="ACMATableText"/>
              <w:keepNext/>
              <w:keepLines/>
              <w:spacing w:before="0" w:after="0"/>
              <w:rPr>
                <w:rFonts w:cs="Arial"/>
                <w:i/>
                <w:color w:val="FFFFFF" w:themeColor="background1"/>
                <w:szCs w:val="18"/>
              </w:rPr>
            </w:pPr>
            <w:r w:rsidRPr="006E7298">
              <w:rPr>
                <w:rFonts w:cs="Arial"/>
                <w:color w:val="FFFFFF" w:themeColor="background1"/>
                <w:szCs w:val="18"/>
              </w:rPr>
              <w:t>Local geographic numbers</w:t>
            </w:r>
          </w:p>
        </w:tc>
        <w:tc>
          <w:tcPr>
            <w:tcW w:w="1062" w:type="dxa"/>
          </w:tcPr>
          <w:p w14:paraId="2ED2A4BB"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627,160</w:t>
            </w:r>
          </w:p>
        </w:tc>
        <w:tc>
          <w:tcPr>
            <w:tcW w:w="1062" w:type="dxa"/>
          </w:tcPr>
          <w:p w14:paraId="620668FB"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763,422</w:t>
            </w:r>
          </w:p>
        </w:tc>
        <w:tc>
          <w:tcPr>
            <w:tcW w:w="1062" w:type="dxa"/>
          </w:tcPr>
          <w:p w14:paraId="2AF6573A"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865,522</w:t>
            </w:r>
          </w:p>
        </w:tc>
        <w:tc>
          <w:tcPr>
            <w:tcW w:w="1062" w:type="dxa"/>
          </w:tcPr>
          <w:p w14:paraId="477D1114"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1,223,599</w:t>
            </w:r>
          </w:p>
        </w:tc>
        <w:tc>
          <w:tcPr>
            <w:tcW w:w="1062" w:type="dxa"/>
          </w:tcPr>
          <w:p w14:paraId="24051145"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991,011</w:t>
            </w:r>
          </w:p>
        </w:tc>
        <w:tc>
          <w:tcPr>
            <w:tcW w:w="1062" w:type="dxa"/>
          </w:tcPr>
          <w:p w14:paraId="71745835" w14:textId="77777777" w:rsidR="00555643" w:rsidRPr="009962B9" w:rsidRDefault="003865E5"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w:t>
            </w:r>
            <w:r w:rsidR="00555643" w:rsidRPr="009962B9">
              <w:rPr>
                <w:rFonts w:cs="Arial"/>
                <w:szCs w:val="18"/>
              </w:rPr>
              <w:t>19.0</w:t>
            </w:r>
          </w:p>
        </w:tc>
      </w:tr>
      <w:tr w:rsidR="00555643" w:rsidRPr="009962B9" w14:paraId="3B8E547D" w14:textId="77777777" w:rsidTr="00AA164C">
        <w:trPr>
          <w:trHeight w:val="51"/>
        </w:trPr>
        <w:tc>
          <w:tcPr>
            <w:cnfStyle w:val="001000000000" w:firstRow="0" w:lastRow="0" w:firstColumn="1" w:lastColumn="0" w:oddVBand="0" w:evenVBand="0" w:oddHBand="0" w:evenHBand="0" w:firstRowFirstColumn="0" w:firstRowLastColumn="0" w:lastRowFirstColumn="0" w:lastRowLastColumn="0"/>
            <w:tcW w:w="3063" w:type="dxa"/>
          </w:tcPr>
          <w:p w14:paraId="2EB7207E" w14:textId="77777777" w:rsidR="00555643" w:rsidRPr="006E7298" w:rsidRDefault="00555643"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Mobile numbers</w:t>
            </w:r>
          </w:p>
        </w:tc>
        <w:tc>
          <w:tcPr>
            <w:tcW w:w="1062" w:type="dxa"/>
          </w:tcPr>
          <w:p w14:paraId="42664176"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2,627,350</w:t>
            </w:r>
          </w:p>
        </w:tc>
        <w:tc>
          <w:tcPr>
            <w:tcW w:w="1062" w:type="dxa"/>
          </w:tcPr>
          <w:p w14:paraId="67EA34D7"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1,743,485</w:t>
            </w:r>
          </w:p>
        </w:tc>
        <w:tc>
          <w:tcPr>
            <w:tcW w:w="1062" w:type="dxa"/>
          </w:tcPr>
          <w:p w14:paraId="1EFA084E"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1,668,163</w:t>
            </w:r>
          </w:p>
        </w:tc>
        <w:tc>
          <w:tcPr>
            <w:tcW w:w="1062" w:type="dxa"/>
          </w:tcPr>
          <w:p w14:paraId="791D56E6"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1,721,284</w:t>
            </w:r>
          </w:p>
        </w:tc>
        <w:tc>
          <w:tcPr>
            <w:tcW w:w="1062" w:type="dxa"/>
          </w:tcPr>
          <w:p w14:paraId="759BA917"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1,416,500</w:t>
            </w:r>
          </w:p>
        </w:tc>
        <w:tc>
          <w:tcPr>
            <w:tcW w:w="1062" w:type="dxa"/>
          </w:tcPr>
          <w:p w14:paraId="6FB2DB27" w14:textId="77777777" w:rsidR="00555643" w:rsidRPr="009962B9" w:rsidRDefault="003865E5"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w:t>
            </w:r>
            <w:r w:rsidR="00555643" w:rsidRPr="009962B9">
              <w:rPr>
                <w:rFonts w:cs="Arial"/>
                <w:szCs w:val="18"/>
              </w:rPr>
              <w:t>17.7</w:t>
            </w:r>
          </w:p>
        </w:tc>
      </w:tr>
      <w:tr w:rsidR="00555643" w:rsidRPr="009962B9" w14:paraId="4A76670A" w14:textId="77777777" w:rsidTr="00ED6390">
        <w:trPr>
          <w:trHeight w:val="84"/>
        </w:trPr>
        <w:tc>
          <w:tcPr>
            <w:cnfStyle w:val="001000000000" w:firstRow="0" w:lastRow="0" w:firstColumn="1" w:lastColumn="0" w:oddVBand="0" w:evenVBand="0" w:oddHBand="0" w:evenHBand="0" w:firstRowFirstColumn="0" w:firstRowLastColumn="0" w:lastRowFirstColumn="0" w:lastRowLastColumn="0"/>
            <w:tcW w:w="3063" w:type="dxa"/>
          </w:tcPr>
          <w:p w14:paraId="5E4C19D9" w14:textId="77777777" w:rsidR="00555643" w:rsidRPr="006E7298" w:rsidRDefault="00555643" w:rsidP="00B245EA">
            <w:pPr>
              <w:pStyle w:val="ACMATableText"/>
              <w:keepNext/>
              <w:keepLines/>
              <w:spacing w:before="0" w:after="0"/>
              <w:rPr>
                <w:rFonts w:cs="Arial"/>
                <w:color w:val="FFFFFF" w:themeColor="background1"/>
                <w:szCs w:val="18"/>
              </w:rPr>
            </w:pPr>
            <w:r w:rsidRPr="006E7298">
              <w:rPr>
                <w:rFonts w:cs="Arial"/>
                <w:color w:val="FFFFFF" w:themeColor="background1"/>
                <w:szCs w:val="18"/>
              </w:rPr>
              <w:t>Freephone and local rate</w:t>
            </w:r>
          </w:p>
        </w:tc>
        <w:tc>
          <w:tcPr>
            <w:tcW w:w="1062" w:type="dxa"/>
          </w:tcPr>
          <w:p w14:paraId="28887CE4"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12,814</w:t>
            </w:r>
          </w:p>
        </w:tc>
        <w:tc>
          <w:tcPr>
            <w:tcW w:w="1062" w:type="dxa"/>
          </w:tcPr>
          <w:p w14:paraId="172BEF40"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13,096</w:t>
            </w:r>
          </w:p>
        </w:tc>
        <w:tc>
          <w:tcPr>
            <w:tcW w:w="1062" w:type="dxa"/>
          </w:tcPr>
          <w:p w14:paraId="0B863B7A"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11,088</w:t>
            </w:r>
          </w:p>
        </w:tc>
        <w:tc>
          <w:tcPr>
            <w:tcW w:w="1062" w:type="dxa"/>
          </w:tcPr>
          <w:p w14:paraId="37A466E7"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12,495</w:t>
            </w:r>
          </w:p>
        </w:tc>
        <w:tc>
          <w:tcPr>
            <w:tcW w:w="1062" w:type="dxa"/>
          </w:tcPr>
          <w:p w14:paraId="390C6C82" w14:textId="77777777" w:rsidR="00555643" w:rsidRPr="009962B9"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962B9">
              <w:rPr>
                <w:rFonts w:cs="Arial"/>
                <w:szCs w:val="18"/>
              </w:rPr>
              <w:t>11,991</w:t>
            </w:r>
          </w:p>
        </w:tc>
        <w:tc>
          <w:tcPr>
            <w:tcW w:w="1062" w:type="dxa"/>
          </w:tcPr>
          <w:p w14:paraId="2CAB80BC" w14:textId="77777777" w:rsidR="00555643" w:rsidRPr="009962B9" w:rsidRDefault="003865E5"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w:t>
            </w:r>
            <w:r w:rsidR="00555643" w:rsidRPr="009962B9">
              <w:rPr>
                <w:rFonts w:cs="Arial"/>
                <w:szCs w:val="18"/>
              </w:rPr>
              <w:t>4.0</w:t>
            </w:r>
          </w:p>
        </w:tc>
      </w:tr>
    </w:tbl>
    <w:p w14:paraId="3B5BD40F" w14:textId="77777777" w:rsidR="00555643" w:rsidRPr="00531CD0" w:rsidRDefault="00555643" w:rsidP="00531CD0">
      <w:pPr>
        <w:pStyle w:val="ACMANotes"/>
      </w:pPr>
      <w:r w:rsidRPr="00531CD0">
        <w:t>Source: See Chapter 5. Further explanatory details for this data can be found in the source chapter.</w:t>
      </w:r>
    </w:p>
    <w:p w14:paraId="4CE30CBB" w14:textId="77777777" w:rsidR="00555643" w:rsidRPr="00531CD0" w:rsidRDefault="00555643" w:rsidP="00531CD0">
      <w:pPr>
        <w:pStyle w:val="ACMASpaceaftertable"/>
      </w:pPr>
    </w:p>
    <w:p w14:paraId="3D6C2E23" w14:textId="77777777" w:rsidR="00555643" w:rsidRPr="00531CD0" w:rsidRDefault="00555643" w:rsidP="00531CD0">
      <w:pPr>
        <w:pStyle w:val="Heading2"/>
      </w:pPr>
      <w:bookmarkStart w:id="128" w:name="_Toc308517087"/>
      <w:bookmarkStart w:id="129" w:name="_Toc308523547"/>
      <w:bookmarkStart w:id="130" w:name="_Toc310326774"/>
      <w:bookmarkStart w:id="131" w:name="_Toc341428275"/>
      <w:bookmarkStart w:id="132" w:name="_Toc370381856"/>
      <w:bookmarkStart w:id="133" w:name="_Toc371588970"/>
      <w:bookmarkStart w:id="134" w:name="_Toc373149032"/>
      <w:bookmarkStart w:id="135" w:name="_Toc399331707"/>
      <w:bookmarkStart w:id="136" w:name="_Toc399336888"/>
      <w:bookmarkStart w:id="137" w:name="_Toc465178922"/>
      <w:bookmarkStart w:id="138" w:name="_Toc465842833"/>
      <w:r w:rsidRPr="00531CD0">
        <w:t>National interest matters</w:t>
      </w:r>
      <w:bookmarkEnd w:id="128"/>
      <w:bookmarkEnd w:id="129"/>
      <w:bookmarkEnd w:id="130"/>
      <w:bookmarkEnd w:id="131"/>
      <w:bookmarkEnd w:id="132"/>
      <w:bookmarkEnd w:id="133"/>
      <w:bookmarkEnd w:id="134"/>
      <w:bookmarkEnd w:id="135"/>
      <w:bookmarkEnd w:id="136"/>
      <w:bookmarkEnd w:id="137"/>
      <w:bookmarkEnd w:id="138"/>
    </w:p>
    <w:p w14:paraId="7A32C423" w14:textId="77777777" w:rsidR="00555643" w:rsidRPr="00913602" w:rsidRDefault="00555643" w:rsidP="00904764">
      <w:pPr>
        <w:pStyle w:val="Heading3"/>
        <w:spacing w:before="0" w:after="80"/>
      </w:pPr>
      <w:bookmarkStart w:id="139" w:name="_Toc462899530"/>
      <w:bookmarkStart w:id="140" w:name="_Toc463529010"/>
      <w:bookmarkStart w:id="141" w:name="_Toc465178923"/>
      <w:bookmarkStart w:id="142" w:name="_Toc465842834"/>
      <w:r w:rsidRPr="00913602">
        <w:t>Call volumes to emergency call service numbers Triple Zero and 112</w:t>
      </w:r>
      <w:bookmarkEnd w:id="139"/>
      <w:bookmarkEnd w:id="140"/>
      <w:bookmarkEnd w:id="141"/>
      <w:bookmarkEnd w:id="142"/>
    </w:p>
    <w:tbl>
      <w:tblPr>
        <w:tblStyle w:val="Commsreport2014-15TABLE4"/>
        <w:tblW w:w="9435" w:type="dxa"/>
        <w:tblLayout w:type="fixed"/>
        <w:tblCellMar>
          <w:top w:w="57" w:type="dxa"/>
          <w:left w:w="57" w:type="dxa"/>
          <w:bottom w:w="57" w:type="dxa"/>
          <w:right w:w="57" w:type="dxa"/>
        </w:tblCellMar>
        <w:tblLook w:val="04A0" w:firstRow="1" w:lastRow="0" w:firstColumn="1" w:lastColumn="0" w:noHBand="0" w:noVBand="1"/>
        <w:tblCaption w:val="National interest matters: Call volumes to emergency call service numbers Triple Zero and 112"/>
      </w:tblPr>
      <w:tblGrid>
        <w:gridCol w:w="3089"/>
        <w:gridCol w:w="1057"/>
        <w:gridCol w:w="1058"/>
        <w:gridCol w:w="1058"/>
        <w:gridCol w:w="1057"/>
        <w:gridCol w:w="1058"/>
        <w:gridCol w:w="1058"/>
      </w:tblGrid>
      <w:tr w:rsidR="00200E77" w:rsidRPr="00913602" w14:paraId="684B55DB" w14:textId="77777777" w:rsidTr="00AA164C">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3089" w:type="dxa"/>
            <w:shd w:val="clear" w:color="auto" w:fill="auto"/>
          </w:tcPr>
          <w:p w14:paraId="089B613D" w14:textId="77777777" w:rsidR="00555643" w:rsidRPr="00531CD0" w:rsidRDefault="00555643" w:rsidP="001B7940">
            <w:pPr>
              <w:spacing w:after="0"/>
            </w:pPr>
          </w:p>
        </w:tc>
        <w:tc>
          <w:tcPr>
            <w:tcW w:w="1057" w:type="dxa"/>
          </w:tcPr>
          <w:p w14:paraId="4BEE11A3"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2011–12</w:t>
            </w:r>
          </w:p>
        </w:tc>
        <w:tc>
          <w:tcPr>
            <w:tcW w:w="1058" w:type="dxa"/>
          </w:tcPr>
          <w:p w14:paraId="07278810"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2012–13</w:t>
            </w:r>
          </w:p>
        </w:tc>
        <w:tc>
          <w:tcPr>
            <w:tcW w:w="1058" w:type="dxa"/>
          </w:tcPr>
          <w:p w14:paraId="129B8C3B"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2013–14</w:t>
            </w:r>
          </w:p>
        </w:tc>
        <w:tc>
          <w:tcPr>
            <w:tcW w:w="1057" w:type="dxa"/>
          </w:tcPr>
          <w:p w14:paraId="745F72AC"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2014–15</w:t>
            </w:r>
          </w:p>
        </w:tc>
        <w:tc>
          <w:tcPr>
            <w:tcW w:w="1058" w:type="dxa"/>
          </w:tcPr>
          <w:p w14:paraId="0CBF1604"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2015–16</w:t>
            </w:r>
          </w:p>
        </w:tc>
        <w:tc>
          <w:tcPr>
            <w:tcW w:w="1058" w:type="dxa"/>
          </w:tcPr>
          <w:p w14:paraId="19BC4FBA"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 xml:space="preserve">2014–15 to </w:t>
            </w:r>
            <w:r w:rsidRPr="00ED2E02">
              <w:rPr>
                <w:color w:val="FFFFFF" w:themeColor="background1"/>
                <w:szCs w:val="24"/>
                <w:lang w:eastAsia="en-AU"/>
              </w:rPr>
              <w:br/>
              <w:t>2015–16 change</w:t>
            </w:r>
            <w:r w:rsidR="00E86CA6" w:rsidRPr="00ED2E02">
              <w:rPr>
                <w:color w:val="FFFFFF" w:themeColor="background1"/>
                <w:szCs w:val="24"/>
                <w:lang w:eastAsia="en-AU"/>
              </w:rPr>
              <w:t xml:space="preserve"> </w:t>
            </w:r>
            <w:r w:rsidRPr="00ED2E02">
              <w:rPr>
                <w:color w:val="FFFFFF" w:themeColor="background1"/>
                <w:szCs w:val="24"/>
                <w:lang w:eastAsia="en-AU"/>
              </w:rPr>
              <w:t>(%)</w:t>
            </w:r>
          </w:p>
        </w:tc>
      </w:tr>
      <w:tr w:rsidR="00200E77" w:rsidRPr="00913602" w14:paraId="597FC334" w14:textId="77777777" w:rsidTr="00AA164C">
        <w:trPr>
          <w:trHeight w:val="156"/>
        </w:trPr>
        <w:tc>
          <w:tcPr>
            <w:cnfStyle w:val="001000000000" w:firstRow="0" w:lastRow="0" w:firstColumn="1" w:lastColumn="0" w:oddVBand="0" w:evenVBand="0" w:oddHBand="0" w:evenHBand="0" w:firstRowFirstColumn="0" w:firstRowLastColumn="0" w:lastRowFirstColumn="0" w:lastRowLastColumn="0"/>
            <w:tcW w:w="3089" w:type="dxa"/>
          </w:tcPr>
          <w:p w14:paraId="2D2990BF" w14:textId="77777777" w:rsidR="00555643" w:rsidRPr="006E7298" w:rsidRDefault="00555643" w:rsidP="001B7940">
            <w:pPr>
              <w:spacing w:after="0"/>
              <w:rPr>
                <w:rFonts w:cs="Arial"/>
                <w:color w:val="FFFFFF" w:themeColor="background1"/>
              </w:rPr>
            </w:pPr>
            <w:r w:rsidRPr="006E7298">
              <w:rPr>
                <w:rFonts w:cs="Arial"/>
                <w:color w:val="FFFFFF" w:themeColor="background1"/>
              </w:rPr>
              <w:t>Total number of calls offered</w:t>
            </w:r>
          </w:p>
        </w:tc>
        <w:tc>
          <w:tcPr>
            <w:tcW w:w="1057" w:type="dxa"/>
          </w:tcPr>
          <w:p w14:paraId="2EA2AF3A"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rPr>
                <w:sz w:val="17"/>
              </w:rPr>
            </w:pPr>
            <w:r w:rsidRPr="00531CD0">
              <w:rPr>
                <w:sz w:val="17"/>
              </w:rPr>
              <w:t>9,429,595</w:t>
            </w:r>
          </w:p>
        </w:tc>
        <w:tc>
          <w:tcPr>
            <w:tcW w:w="1058" w:type="dxa"/>
          </w:tcPr>
          <w:p w14:paraId="3229149F"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rPr>
                <w:sz w:val="17"/>
              </w:rPr>
            </w:pPr>
            <w:r w:rsidRPr="00531CD0">
              <w:rPr>
                <w:sz w:val="17"/>
              </w:rPr>
              <w:t>8,854,728</w:t>
            </w:r>
          </w:p>
        </w:tc>
        <w:tc>
          <w:tcPr>
            <w:tcW w:w="1058" w:type="dxa"/>
          </w:tcPr>
          <w:p w14:paraId="6D08D55A"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rPr>
                <w:sz w:val="17"/>
              </w:rPr>
            </w:pPr>
            <w:r w:rsidRPr="00531CD0">
              <w:rPr>
                <w:sz w:val="17"/>
              </w:rPr>
              <w:t>8,481,470</w:t>
            </w:r>
          </w:p>
        </w:tc>
        <w:tc>
          <w:tcPr>
            <w:tcW w:w="1057" w:type="dxa"/>
          </w:tcPr>
          <w:p w14:paraId="06EDC360"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rPr>
                <w:sz w:val="17"/>
              </w:rPr>
            </w:pPr>
            <w:r w:rsidRPr="00531CD0">
              <w:rPr>
                <w:sz w:val="17"/>
              </w:rPr>
              <w:t>8,377,394</w:t>
            </w:r>
          </w:p>
        </w:tc>
        <w:tc>
          <w:tcPr>
            <w:tcW w:w="1058" w:type="dxa"/>
          </w:tcPr>
          <w:p w14:paraId="6A6D0015"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rPr>
                <w:sz w:val="17"/>
              </w:rPr>
            </w:pPr>
            <w:r w:rsidRPr="00531CD0">
              <w:rPr>
                <w:sz w:val="17"/>
              </w:rPr>
              <w:t>8,350,745</w:t>
            </w:r>
          </w:p>
        </w:tc>
        <w:tc>
          <w:tcPr>
            <w:tcW w:w="1058" w:type="dxa"/>
          </w:tcPr>
          <w:p w14:paraId="72A90708"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rPr>
                <w:sz w:val="17"/>
              </w:rPr>
            </w:pPr>
            <w:r w:rsidRPr="00531CD0">
              <w:rPr>
                <w:sz w:val="17"/>
              </w:rPr>
              <w:t>&lt;</w:t>
            </w:r>
            <w:r w:rsidR="003865E5">
              <w:rPr>
                <w:sz w:val="17"/>
              </w:rPr>
              <w:t>–</w:t>
            </w:r>
            <w:r w:rsidRPr="00531CD0">
              <w:rPr>
                <w:sz w:val="17"/>
              </w:rPr>
              <w:t>1</w:t>
            </w:r>
          </w:p>
        </w:tc>
      </w:tr>
      <w:tr w:rsidR="00200E77" w:rsidRPr="00913602" w14:paraId="3F41AB36" w14:textId="77777777" w:rsidTr="00AA164C">
        <w:trPr>
          <w:trHeight w:val="76"/>
        </w:trPr>
        <w:tc>
          <w:tcPr>
            <w:cnfStyle w:val="001000000000" w:firstRow="0" w:lastRow="0" w:firstColumn="1" w:lastColumn="0" w:oddVBand="0" w:evenVBand="0" w:oddHBand="0" w:evenHBand="0" w:firstRowFirstColumn="0" w:firstRowLastColumn="0" w:lastRowFirstColumn="0" w:lastRowLastColumn="0"/>
            <w:tcW w:w="3089" w:type="dxa"/>
          </w:tcPr>
          <w:p w14:paraId="15708121" w14:textId="77777777" w:rsidR="00555643" w:rsidRPr="006E7298" w:rsidRDefault="00555643" w:rsidP="001B7940">
            <w:pPr>
              <w:spacing w:after="0"/>
              <w:rPr>
                <w:rFonts w:cs="Arial"/>
                <w:color w:val="FFFFFF" w:themeColor="background1"/>
              </w:rPr>
            </w:pPr>
            <w:r w:rsidRPr="006E7298">
              <w:rPr>
                <w:rFonts w:cs="Arial"/>
                <w:color w:val="FFFFFF" w:themeColor="background1"/>
              </w:rPr>
              <w:t>Total percentage of calls answered</w:t>
            </w:r>
          </w:p>
        </w:tc>
        <w:tc>
          <w:tcPr>
            <w:tcW w:w="1057" w:type="dxa"/>
          </w:tcPr>
          <w:p w14:paraId="18167D4C"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pPr>
            <w:r w:rsidRPr="00531CD0">
              <w:t>96.0%</w:t>
            </w:r>
          </w:p>
        </w:tc>
        <w:tc>
          <w:tcPr>
            <w:tcW w:w="1058" w:type="dxa"/>
          </w:tcPr>
          <w:p w14:paraId="31D189D4"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pPr>
            <w:r w:rsidRPr="00531CD0">
              <w:t>96.0%</w:t>
            </w:r>
          </w:p>
        </w:tc>
        <w:tc>
          <w:tcPr>
            <w:tcW w:w="1058" w:type="dxa"/>
          </w:tcPr>
          <w:p w14:paraId="4EA14CDA"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pPr>
            <w:r w:rsidRPr="00531CD0">
              <w:t>96.0%</w:t>
            </w:r>
          </w:p>
        </w:tc>
        <w:tc>
          <w:tcPr>
            <w:tcW w:w="1057" w:type="dxa"/>
          </w:tcPr>
          <w:p w14:paraId="1D0E21F0"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pPr>
            <w:r w:rsidRPr="00531CD0">
              <w:t>96.0%</w:t>
            </w:r>
          </w:p>
        </w:tc>
        <w:tc>
          <w:tcPr>
            <w:tcW w:w="1058" w:type="dxa"/>
          </w:tcPr>
          <w:p w14:paraId="4238A664"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pPr>
            <w:r w:rsidRPr="00531CD0">
              <w:t>96.0%</w:t>
            </w:r>
          </w:p>
        </w:tc>
        <w:tc>
          <w:tcPr>
            <w:tcW w:w="1058" w:type="dxa"/>
          </w:tcPr>
          <w:p w14:paraId="125418A2" w14:textId="77777777" w:rsidR="00555643" w:rsidRPr="00531CD0" w:rsidRDefault="00555643" w:rsidP="00FC618C">
            <w:pPr>
              <w:spacing w:after="0"/>
              <w:cnfStyle w:val="000000000000" w:firstRow="0" w:lastRow="0" w:firstColumn="0" w:lastColumn="0" w:oddVBand="0" w:evenVBand="0" w:oddHBand="0" w:evenHBand="0" w:firstRowFirstColumn="0" w:firstRowLastColumn="0" w:lastRowFirstColumn="0" w:lastRowLastColumn="0"/>
            </w:pPr>
            <w:r w:rsidRPr="00531CD0">
              <w:t>0.0</w:t>
            </w:r>
          </w:p>
        </w:tc>
      </w:tr>
    </w:tbl>
    <w:p w14:paraId="5551FE79" w14:textId="77777777" w:rsidR="00555643" w:rsidRPr="00531CD0" w:rsidRDefault="00555643" w:rsidP="00531CD0">
      <w:pPr>
        <w:pStyle w:val="ACMANotes"/>
      </w:pPr>
      <w:r w:rsidRPr="00531CD0">
        <w:t>Note: Calls offered refers to the number of calls waiting (at time zero) at the instant the four-second recorded voice announcement finished.</w:t>
      </w:r>
    </w:p>
    <w:p w14:paraId="459C4937" w14:textId="77777777" w:rsidR="00555643" w:rsidRPr="00531CD0" w:rsidRDefault="00555643" w:rsidP="00531CD0">
      <w:pPr>
        <w:pStyle w:val="ACMANotes"/>
      </w:pPr>
      <w:r w:rsidRPr="00531CD0">
        <w:t>Source: See Chapter 4. Further explanatory details for this data can be found in the source chapter.</w:t>
      </w:r>
    </w:p>
    <w:p w14:paraId="17B193FB" w14:textId="77777777" w:rsidR="00795834" w:rsidRPr="00913602" w:rsidRDefault="00795834" w:rsidP="00795834">
      <w:pPr>
        <w:pStyle w:val="ACMASpaceaftertable"/>
      </w:pPr>
    </w:p>
    <w:p w14:paraId="1286C539" w14:textId="77777777" w:rsidR="00555643" w:rsidRPr="00913602" w:rsidRDefault="00555643" w:rsidP="00904764">
      <w:pPr>
        <w:pStyle w:val="Heading3"/>
        <w:spacing w:before="0" w:after="80"/>
      </w:pPr>
      <w:bookmarkStart w:id="143" w:name="_Toc462899531"/>
      <w:bookmarkStart w:id="144" w:name="_Toc463529011"/>
      <w:bookmarkStart w:id="145" w:name="_Toc465178924"/>
      <w:bookmarkStart w:id="146" w:name="_Toc465842835"/>
      <w:r w:rsidRPr="00913602">
        <w:t>Disclosures of customer information by carriers and CSPs to support law enforcement and national security agencies</w:t>
      </w:r>
      <w:bookmarkEnd w:id="143"/>
      <w:bookmarkEnd w:id="144"/>
      <w:bookmarkEnd w:id="145"/>
      <w:bookmarkEnd w:id="146"/>
    </w:p>
    <w:tbl>
      <w:tblPr>
        <w:tblStyle w:val="Commsreport2014-15TABLE4"/>
        <w:tblW w:w="9435" w:type="dxa"/>
        <w:tblLayout w:type="fixed"/>
        <w:tblCellMar>
          <w:top w:w="57" w:type="dxa"/>
          <w:left w:w="57" w:type="dxa"/>
          <w:bottom w:w="57" w:type="dxa"/>
          <w:right w:w="57" w:type="dxa"/>
        </w:tblCellMar>
        <w:tblLook w:val="04A0" w:firstRow="1" w:lastRow="0" w:firstColumn="1" w:lastColumn="0" w:noHBand="0" w:noVBand="1"/>
        <w:tblCaption w:val="National interest matters: Disclosures of customer information by carriers and CSPs to support law enforcement and national security agencies"/>
      </w:tblPr>
      <w:tblGrid>
        <w:gridCol w:w="3063"/>
        <w:gridCol w:w="1062"/>
        <w:gridCol w:w="1062"/>
        <w:gridCol w:w="1062"/>
        <w:gridCol w:w="1062"/>
        <w:gridCol w:w="1062"/>
        <w:gridCol w:w="1062"/>
      </w:tblGrid>
      <w:tr w:rsidR="00555643" w:rsidRPr="00913602" w14:paraId="4A2A571E" w14:textId="77777777" w:rsidTr="00AA164C">
        <w:trPr>
          <w:cnfStyle w:val="100000000000" w:firstRow="1" w:lastRow="0" w:firstColumn="0" w:lastColumn="0" w:oddVBand="0" w:evenVBand="0" w:oddHBand="0" w:evenHBand="0" w:firstRowFirstColumn="0" w:firstRowLastColumn="0" w:lastRowFirstColumn="0" w:lastRowLastColumn="0"/>
          <w:trHeight w:val="633"/>
          <w:tblHeader/>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tcPr>
          <w:p w14:paraId="5748E8A8" w14:textId="77777777" w:rsidR="00555643" w:rsidRPr="00913602" w:rsidRDefault="00555643" w:rsidP="001B7940">
            <w:pPr>
              <w:pStyle w:val="ACMATableText"/>
              <w:spacing w:before="0" w:after="0"/>
            </w:pPr>
          </w:p>
        </w:tc>
        <w:tc>
          <w:tcPr>
            <w:tcW w:w="1062" w:type="dxa"/>
          </w:tcPr>
          <w:p w14:paraId="231263C7"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2011–12</w:t>
            </w:r>
          </w:p>
        </w:tc>
        <w:tc>
          <w:tcPr>
            <w:tcW w:w="1062" w:type="dxa"/>
          </w:tcPr>
          <w:p w14:paraId="138A8E9B"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2012–13</w:t>
            </w:r>
          </w:p>
        </w:tc>
        <w:tc>
          <w:tcPr>
            <w:tcW w:w="1062" w:type="dxa"/>
          </w:tcPr>
          <w:p w14:paraId="458D8475"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2013–14</w:t>
            </w:r>
          </w:p>
        </w:tc>
        <w:tc>
          <w:tcPr>
            <w:tcW w:w="1062" w:type="dxa"/>
          </w:tcPr>
          <w:p w14:paraId="611F6687"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2014–15</w:t>
            </w:r>
          </w:p>
        </w:tc>
        <w:tc>
          <w:tcPr>
            <w:tcW w:w="1062" w:type="dxa"/>
          </w:tcPr>
          <w:p w14:paraId="0CAD23B6"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2015–16</w:t>
            </w:r>
          </w:p>
        </w:tc>
        <w:tc>
          <w:tcPr>
            <w:tcW w:w="1062" w:type="dxa"/>
          </w:tcPr>
          <w:p w14:paraId="693FA859" w14:textId="77777777" w:rsidR="00555643" w:rsidRPr="00ED2E02"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ED2E02">
              <w:rPr>
                <w:color w:val="FFFFFF" w:themeColor="background1"/>
                <w:szCs w:val="24"/>
                <w:lang w:eastAsia="en-AU"/>
              </w:rPr>
              <w:t xml:space="preserve">2014–15 to </w:t>
            </w:r>
            <w:r w:rsidRPr="00ED2E02">
              <w:rPr>
                <w:color w:val="FFFFFF" w:themeColor="background1"/>
                <w:szCs w:val="24"/>
                <w:lang w:eastAsia="en-AU"/>
              </w:rPr>
              <w:br/>
              <w:t>2015–16 change</w:t>
            </w:r>
            <w:r w:rsidR="00200E77" w:rsidRPr="00ED2E02">
              <w:rPr>
                <w:color w:val="FFFFFF" w:themeColor="background1"/>
                <w:szCs w:val="24"/>
                <w:lang w:eastAsia="en-AU"/>
              </w:rPr>
              <w:t xml:space="preserve"> </w:t>
            </w:r>
            <w:r w:rsidRPr="00ED2E02">
              <w:rPr>
                <w:color w:val="FFFFFF" w:themeColor="background1"/>
                <w:szCs w:val="24"/>
                <w:lang w:eastAsia="en-AU"/>
              </w:rPr>
              <w:t>(%)</w:t>
            </w:r>
          </w:p>
        </w:tc>
      </w:tr>
      <w:tr w:rsidR="00555643" w:rsidRPr="00913602" w14:paraId="5B27F299" w14:textId="77777777" w:rsidTr="00AA164C">
        <w:trPr>
          <w:trHeight w:val="194"/>
        </w:trPr>
        <w:tc>
          <w:tcPr>
            <w:cnfStyle w:val="001000000000" w:firstRow="0" w:lastRow="0" w:firstColumn="1" w:lastColumn="0" w:oddVBand="0" w:evenVBand="0" w:oddHBand="0" w:evenHBand="0" w:firstRowFirstColumn="0" w:firstRowLastColumn="0" w:lastRowFirstColumn="0" w:lastRowLastColumn="0"/>
            <w:tcW w:w="3063" w:type="dxa"/>
          </w:tcPr>
          <w:p w14:paraId="555CEC3E" w14:textId="77777777" w:rsidR="00555643" w:rsidRPr="00913602" w:rsidRDefault="00555643" w:rsidP="001B7940">
            <w:pPr>
              <w:pStyle w:val="ACMATableText"/>
              <w:spacing w:before="0" w:after="0"/>
            </w:pPr>
            <w:r w:rsidRPr="006E7298">
              <w:rPr>
                <w:color w:val="FFFFFF" w:themeColor="background1"/>
                <w:szCs w:val="18"/>
              </w:rPr>
              <w:t>Total number of disclosures</w:t>
            </w:r>
          </w:p>
        </w:tc>
        <w:tc>
          <w:tcPr>
            <w:tcW w:w="1062" w:type="dxa"/>
          </w:tcPr>
          <w:p w14:paraId="68DFF843"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697,431</w:t>
            </w:r>
          </w:p>
        </w:tc>
        <w:tc>
          <w:tcPr>
            <w:tcW w:w="1062" w:type="dxa"/>
          </w:tcPr>
          <w:p w14:paraId="73441833"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685,757</w:t>
            </w:r>
          </w:p>
        </w:tc>
        <w:tc>
          <w:tcPr>
            <w:tcW w:w="1062" w:type="dxa"/>
          </w:tcPr>
          <w:p w14:paraId="16615205"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748,079</w:t>
            </w:r>
          </w:p>
        </w:tc>
        <w:tc>
          <w:tcPr>
            <w:tcW w:w="1062" w:type="dxa"/>
          </w:tcPr>
          <w:p w14:paraId="2E94361A"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824,841</w:t>
            </w:r>
          </w:p>
        </w:tc>
        <w:tc>
          <w:tcPr>
            <w:tcW w:w="1062" w:type="dxa"/>
          </w:tcPr>
          <w:p w14:paraId="06EC4456" w14:textId="77777777" w:rsidR="00555643" w:rsidRPr="00913602" w:rsidRDefault="00555643"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rsidRPr="00913602">
              <w:t>667,792</w:t>
            </w:r>
          </w:p>
        </w:tc>
        <w:tc>
          <w:tcPr>
            <w:tcW w:w="1062" w:type="dxa"/>
          </w:tcPr>
          <w:p w14:paraId="31065642" w14:textId="77777777" w:rsidR="00555643" w:rsidRPr="00913602" w:rsidRDefault="003865E5" w:rsidP="00FC618C">
            <w:pPr>
              <w:pStyle w:val="ACMATableText"/>
              <w:spacing w:before="0" w:after="0"/>
              <w:cnfStyle w:val="000000000000" w:firstRow="0" w:lastRow="0" w:firstColumn="0" w:lastColumn="0" w:oddVBand="0" w:evenVBand="0" w:oddHBand="0" w:evenHBand="0" w:firstRowFirstColumn="0" w:firstRowLastColumn="0" w:lastRowFirstColumn="0" w:lastRowLastColumn="0"/>
            </w:pPr>
            <w:r>
              <w:t>–</w:t>
            </w:r>
            <w:r w:rsidR="00555643" w:rsidRPr="00913602">
              <w:t>19</w:t>
            </w:r>
          </w:p>
        </w:tc>
      </w:tr>
    </w:tbl>
    <w:p w14:paraId="2692C282" w14:textId="77777777" w:rsidR="00555643" w:rsidRPr="00531CD0" w:rsidRDefault="00555643" w:rsidP="00531CD0">
      <w:pPr>
        <w:pStyle w:val="ACMANotes"/>
      </w:pPr>
      <w:r w:rsidRPr="00531CD0">
        <w:t>Source: See Chapter 4. Further explanatory details for this data can be found in the source chapter.</w:t>
      </w:r>
    </w:p>
    <w:p w14:paraId="673CB06B" w14:textId="77777777" w:rsidR="00795834" w:rsidRPr="00ED2E02" w:rsidRDefault="00795834" w:rsidP="00ED2E02">
      <w:pPr>
        <w:pStyle w:val="ACMASpaceaftertable"/>
      </w:pPr>
    </w:p>
    <w:p w14:paraId="1E48E5BF" w14:textId="77777777" w:rsidR="00555643" w:rsidRPr="00913602" w:rsidRDefault="00555643" w:rsidP="00904764">
      <w:pPr>
        <w:pStyle w:val="Heading2"/>
        <w:keepLines/>
      </w:pPr>
      <w:bookmarkStart w:id="147" w:name="_Toc399331708"/>
      <w:bookmarkStart w:id="148" w:name="_Toc399336889"/>
      <w:bookmarkStart w:id="149" w:name="_Toc462899532"/>
      <w:bookmarkStart w:id="150" w:name="_Toc463529012"/>
      <w:bookmarkStart w:id="151" w:name="_Toc465178925"/>
      <w:bookmarkStart w:id="152" w:name="_Toc465842836"/>
      <w:r w:rsidRPr="00913602">
        <w:lastRenderedPageBreak/>
        <w:t>C</w:t>
      </w:r>
      <w:bookmarkStart w:id="153" w:name="_Toc287540088"/>
      <w:bookmarkStart w:id="154" w:name="_Toc308517088"/>
      <w:bookmarkStart w:id="155" w:name="_Toc308523548"/>
      <w:bookmarkStart w:id="156" w:name="_Toc310326775"/>
      <w:bookmarkStart w:id="157" w:name="_Toc341428276"/>
      <w:bookmarkStart w:id="158" w:name="_Toc370381857"/>
      <w:bookmarkStart w:id="159" w:name="_Toc371588971"/>
      <w:bookmarkStart w:id="160" w:name="_Toc373149033"/>
      <w:r w:rsidRPr="00913602">
        <w:t>omplaints and investigations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6DA280F0" w14:textId="77777777" w:rsidR="00555643" w:rsidRPr="00913602" w:rsidRDefault="00555643" w:rsidP="00904764">
      <w:pPr>
        <w:pStyle w:val="Heading3"/>
        <w:keepLines/>
        <w:spacing w:before="0" w:after="80"/>
      </w:pPr>
      <w:bookmarkStart w:id="161" w:name="_Toc462899533"/>
      <w:bookmarkStart w:id="162" w:name="_Toc463529013"/>
      <w:bookmarkStart w:id="163" w:name="_Toc465178926"/>
      <w:bookmarkStart w:id="164" w:name="_Toc465842837"/>
      <w:r w:rsidRPr="00913602">
        <w:t>TIO, telemarketing and spam complaints/reports/enquiries</w:t>
      </w:r>
      <w:bookmarkEnd w:id="161"/>
      <w:bookmarkEnd w:id="162"/>
      <w:bookmarkEnd w:id="163"/>
      <w:bookmarkEnd w:id="164"/>
    </w:p>
    <w:tbl>
      <w:tblPr>
        <w:tblStyle w:val="Commsreport2014-15TABLE4"/>
        <w:tblW w:w="9435" w:type="dxa"/>
        <w:tblLayout w:type="fixed"/>
        <w:tblCellMar>
          <w:top w:w="57" w:type="dxa"/>
          <w:left w:w="57" w:type="dxa"/>
          <w:bottom w:w="57" w:type="dxa"/>
          <w:right w:w="57" w:type="dxa"/>
        </w:tblCellMar>
        <w:tblLook w:val="01E0" w:firstRow="1" w:lastRow="1" w:firstColumn="1" w:lastColumn="1" w:noHBand="0" w:noVBand="0"/>
        <w:tblCaption w:val="Complaints and investigations: TIO, telemarketing and spam complaints/reports/enquiries"/>
      </w:tblPr>
      <w:tblGrid>
        <w:gridCol w:w="3063"/>
        <w:gridCol w:w="1062"/>
        <w:gridCol w:w="1062"/>
        <w:gridCol w:w="1062"/>
        <w:gridCol w:w="1062"/>
        <w:gridCol w:w="1062"/>
        <w:gridCol w:w="1062"/>
      </w:tblGrid>
      <w:tr w:rsidR="00555643" w:rsidRPr="00913602" w14:paraId="639138A7" w14:textId="77777777" w:rsidTr="00AA164C">
        <w:trPr>
          <w:cnfStyle w:val="100000000000" w:firstRow="1" w:lastRow="0" w:firstColumn="0" w:lastColumn="0" w:oddVBand="0" w:evenVBand="0" w:oddHBand="0" w:evenHBand="0" w:firstRowFirstColumn="0" w:firstRowLastColumn="0" w:lastRowFirstColumn="0" w:lastRowLastColumn="0"/>
          <w:trHeight w:val="658"/>
          <w:tblHeader/>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tcPr>
          <w:p w14:paraId="0E396C01" w14:textId="77777777" w:rsidR="00555643" w:rsidRPr="00913602" w:rsidRDefault="00555643" w:rsidP="00904764">
            <w:pPr>
              <w:pStyle w:val="ACMATableText"/>
              <w:keepNext/>
              <w:keepLines/>
              <w:spacing w:before="0" w:after="0"/>
            </w:pPr>
          </w:p>
        </w:tc>
        <w:tc>
          <w:tcPr>
            <w:tcW w:w="1062" w:type="dxa"/>
          </w:tcPr>
          <w:p w14:paraId="4BF11CBB" w14:textId="77777777" w:rsidR="00555643" w:rsidRPr="00C125DC"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2011–12</w:t>
            </w:r>
          </w:p>
        </w:tc>
        <w:tc>
          <w:tcPr>
            <w:tcW w:w="1062" w:type="dxa"/>
          </w:tcPr>
          <w:p w14:paraId="7BE81EE0" w14:textId="77777777" w:rsidR="00555643" w:rsidRPr="00C125DC"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2012–13</w:t>
            </w:r>
          </w:p>
        </w:tc>
        <w:tc>
          <w:tcPr>
            <w:tcW w:w="1062" w:type="dxa"/>
          </w:tcPr>
          <w:p w14:paraId="12F57BA0" w14:textId="77777777" w:rsidR="00555643" w:rsidRPr="00C125DC"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2013–14</w:t>
            </w:r>
          </w:p>
        </w:tc>
        <w:tc>
          <w:tcPr>
            <w:tcW w:w="1062" w:type="dxa"/>
          </w:tcPr>
          <w:p w14:paraId="6E947387" w14:textId="77777777" w:rsidR="00555643" w:rsidRPr="00C125DC"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2014–15</w:t>
            </w:r>
          </w:p>
        </w:tc>
        <w:tc>
          <w:tcPr>
            <w:tcW w:w="1062" w:type="dxa"/>
          </w:tcPr>
          <w:p w14:paraId="5020EA0B" w14:textId="77777777" w:rsidR="00555643" w:rsidRPr="00C125DC"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2015–16</w:t>
            </w:r>
          </w:p>
        </w:tc>
        <w:tc>
          <w:tcPr>
            <w:tcW w:w="1062" w:type="dxa"/>
          </w:tcPr>
          <w:p w14:paraId="19BF8655" w14:textId="77777777" w:rsidR="00555643" w:rsidRPr="00C125DC" w:rsidRDefault="00555643"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 xml:space="preserve">2014–15 to </w:t>
            </w:r>
            <w:r w:rsidRPr="00C125DC">
              <w:rPr>
                <w:color w:val="FFFFFF" w:themeColor="background1"/>
                <w:szCs w:val="24"/>
                <w:lang w:eastAsia="en-AU"/>
              </w:rPr>
              <w:br/>
              <w:t>2015–16 change</w:t>
            </w:r>
            <w:r w:rsidR="00200E77" w:rsidRPr="00C125DC">
              <w:rPr>
                <w:color w:val="FFFFFF" w:themeColor="background1"/>
                <w:szCs w:val="24"/>
                <w:lang w:eastAsia="en-AU"/>
              </w:rPr>
              <w:t xml:space="preserve"> </w:t>
            </w:r>
            <w:r w:rsidRPr="00C125DC">
              <w:rPr>
                <w:color w:val="FFFFFF" w:themeColor="background1"/>
                <w:szCs w:val="24"/>
                <w:lang w:eastAsia="en-AU"/>
              </w:rPr>
              <w:t>(%)</w:t>
            </w:r>
          </w:p>
        </w:tc>
      </w:tr>
      <w:tr w:rsidR="00555643" w:rsidRPr="00913602" w14:paraId="7E865718" w14:textId="77777777" w:rsidTr="00AA164C">
        <w:trPr>
          <w:trHeight w:val="219"/>
        </w:trPr>
        <w:tc>
          <w:tcPr>
            <w:cnfStyle w:val="001000000000" w:firstRow="0" w:lastRow="0" w:firstColumn="1" w:lastColumn="0" w:oddVBand="0" w:evenVBand="0" w:oddHBand="0" w:evenHBand="0" w:firstRowFirstColumn="0" w:firstRowLastColumn="0" w:lastRowFirstColumn="0" w:lastRowLastColumn="0"/>
            <w:tcW w:w="3063" w:type="dxa"/>
          </w:tcPr>
          <w:p w14:paraId="55374D56" w14:textId="77777777" w:rsidR="00555643" w:rsidRPr="006E7298" w:rsidRDefault="00555643" w:rsidP="00904764">
            <w:pPr>
              <w:pStyle w:val="ACMATableText"/>
              <w:keepNext/>
              <w:keepLines/>
              <w:spacing w:before="0" w:after="0"/>
              <w:rPr>
                <w:color w:val="FFFFFF" w:themeColor="background1"/>
                <w:szCs w:val="26"/>
              </w:rPr>
            </w:pPr>
            <w:r w:rsidRPr="006E7298">
              <w:rPr>
                <w:color w:val="FFFFFF" w:themeColor="background1"/>
                <w:szCs w:val="26"/>
              </w:rPr>
              <w:t>TIO new complaints</w:t>
            </w:r>
          </w:p>
        </w:tc>
        <w:tc>
          <w:tcPr>
            <w:tcW w:w="1062" w:type="dxa"/>
          </w:tcPr>
          <w:p w14:paraId="459EC0F2"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193,702</w:t>
            </w:r>
          </w:p>
        </w:tc>
        <w:tc>
          <w:tcPr>
            <w:tcW w:w="1062" w:type="dxa"/>
          </w:tcPr>
          <w:p w14:paraId="765CE28C"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158,652</w:t>
            </w:r>
          </w:p>
        </w:tc>
        <w:tc>
          <w:tcPr>
            <w:tcW w:w="1062" w:type="dxa"/>
          </w:tcPr>
          <w:p w14:paraId="646BFE82"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138,946</w:t>
            </w:r>
          </w:p>
        </w:tc>
        <w:tc>
          <w:tcPr>
            <w:tcW w:w="1062" w:type="dxa"/>
          </w:tcPr>
          <w:p w14:paraId="1E0F9F90"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124,417</w:t>
            </w:r>
          </w:p>
        </w:tc>
        <w:tc>
          <w:tcPr>
            <w:tcW w:w="1062" w:type="dxa"/>
          </w:tcPr>
          <w:p w14:paraId="58692516"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122,511</w:t>
            </w:r>
          </w:p>
        </w:tc>
        <w:tc>
          <w:tcPr>
            <w:tcW w:w="1062" w:type="dxa"/>
          </w:tcPr>
          <w:p w14:paraId="54C0ABA9" w14:textId="77777777" w:rsidR="00555643" w:rsidRPr="00913602" w:rsidRDefault="003865E5"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00555643" w:rsidRPr="00913602">
              <w:rPr>
                <w:rFonts w:cs="Arial"/>
              </w:rPr>
              <w:t>9.6</w:t>
            </w:r>
          </w:p>
        </w:tc>
      </w:tr>
      <w:tr w:rsidR="00555643" w:rsidRPr="00913602" w14:paraId="50448547" w14:textId="77777777" w:rsidTr="00AA164C">
        <w:trPr>
          <w:trHeight w:val="110"/>
        </w:trPr>
        <w:tc>
          <w:tcPr>
            <w:cnfStyle w:val="001000000000" w:firstRow="0" w:lastRow="0" w:firstColumn="1" w:lastColumn="0" w:oddVBand="0" w:evenVBand="0" w:oddHBand="0" w:evenHBand="0" w:firstRowFirstColumn="0" w:firstRowLastColumn="0" w:lastRowFirstColumn="0" w:lastRowLastColumn="0"/>
            <w:tcW w:w="3063" w:type="dxa"/>
          </w:tcPr>
          <w:p w14:paraId="02C838B8" w14:textId="77777777" w:rsidR="00555643" w:rsidRPr="006E7298" w:rsidRDefault="00555643" w:rsidP="00904764">
            <w:pPr>
              <w:pStyle w:val="ACMATableText"/>
              <w:keepNext/>
              <w:keepLines/>
              <w:spacing w:before="0" w:after="0"/>
              <w:rPr>
                <w:color w:val="FFFFFF" w:themeColor="background1"/>
                <w:szCs w:val="18"/>
              </w:rPr>
            </w:pPr>
            <w:r w:rsidRPr="006E7298">
              <w:rPr>
                <w:color w:val="FFFFFF" w:themeColor="background1"/>
                <w:szCs w:val="18"/>
              </w:rPr>
              <w:t>Telemarketing complaints and enquiries</w:t>
            </w:r>
          </w:p>
        </w:tc>
        <w:tc>
          <w:tcPr>
            <w:tcW w:w="1062" w:type="dxa"/>
          </w:tcPr>
          <w:p w14:paraId="5634AE34" w14:textId="77777777" w:rsidR="00555643" w:rsidRPr="00913602" w:rsidDel="00346CD0"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n/a</w:t>
            </w:r>
          </w:p>
        </w:tc>
        <w:tc>
          <w:tcPr>
            <w:tcW w:w="1062" w:type="dxa"/>
          </w:tcPr>
          <w:p w14:paraId="3E0BE60C"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rPr>
              <w:t>30,604</w:t>
            </w:r>
          </w:p>
        </w:tc>
        <w:tc>
          <w:tcPr>
            <w:tcW w:w="1062" w:type="dxa"/>
          </w:tcPr>
          <w:p w14:paraId="69852D14"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rPr>
              <w:t>31,797</w:t>
            </w:r>
          </w:p>
        </w:tc>
        <w:tc>
          <w:tcPr>
            <w:tcW w:w="1062" w:type="dxa"/>
          </w:tcPr>
          <w:p w14:paraId="351F467C"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30,293</w:t>
            </w:r>
          </w:p>
        </w:tc>
        <w:tc>
          <w:tcPr>
            <w:tcW w:w="1062" w:type="dxa"/>
          </w:tcPr>
          <w:p w14:paraId="0BDFE44F"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29,799</w:t>
            </w:r>
          </w:p>
        </w:tc>
        <w:tc>
          <w:tcPr>
            <w:tcW w:w="1062" w:type="dxa"/>
          </w:tcPr>
          <w:p w14:paraId="27465556" w14:textId="77777777" w:rsidR="00555643" w:rsidRPr="00913602" w:rsidDel="00346CD0" w:rsidRDefault="003865E5"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w:t>
            </w:r>
            <w:r w:rsidR="00555643" w:rsidRPr="00913602">
              <w:rPr>
                <w:rFonts w:cs="Arial"/>
                <w:szCs w:val="18"/>
              </w:rPr>
              <w:t>1.6</w:t>
            </w:r>
          </w:p>
        </w:tc>
      </w:tr>
      <w:tr w:rsidR="00555643" w:rsidRPr="00913602" w14:paraId="4DD6B841" w14:textId="77777777" w:rsidTr="00AA164C">
        <w:trPr>
          <w:trHeight w:val="232"/>
        </w:trPr>
        <w:tc>
          <w:tcPr>
            <w:cnfStyle w:val="001000000000" w:firstRow="0" w:lastRow="0" w:firstColumn="1" w:lastColumn="0" w:oddVBand="0" w:evenVBand="0" w:oddHBand="0" w:evenHBand="0" w:firstRowFirstColumn="0" w:firstRowLastColumn="0" w:lastRowFirstColumn="0" w:lastRowLastColumn="0"/>
            <w:tcW w:w="3063" w:type="dxa"/>
          </w:tcPr>
          <w:p w14:paraId="6FB9E81B" w14:textId="77777777" w:rsidR="00555643" w:rsidRPr="006E7298" w:rsidRDefault="00555643" w:rsidP="00904764">
            <w:pPr>
              <w:pStyle w:val="ACMATableText"/>
              <w:keepNext/>
              <w:keepLines/>
              <w:spacing w:before="0" w:after="0"/>
              <w:rPr>
                <w:color w:val="FFFFFF" w:themeColor="background1"/>
                <w:szCs w:val="18"/>
              </w:rPr>
            </w:pPr>
            <w:r w:rsidRPr="006E7298">
              <w:rPr>
                <w:color w:val="FFFFFF" w:themeColor="background1"/>
                <w:szCs w:val="18"/>
              </w:rPr>
              <w:t>Spam complaints, reports and enquiries</w:t>
            </w:r>
          </w:p>
        </w:tc>
        <w:tc>
          <w:tcPr>
            <w:tcW w:w="1062" w:type="dxa"/>
          </w:tcPr>
          <w:p w14:paraId="4A0A428D"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226,816</w:t>
            </w:r>
          </w:p>
        </w:tc>
        <w:tc>
          <w:tcPr>
            <w:tcW w:w="1062" w:type="dxa"/>
          </w:tcPr>
          <w:p w14:paraId="06A8070C"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rPr>
              <w:t>412,725</w:t>
            </w:r>
          </w:p>
        </w:tc>
        <w:tc>
          <w:tcPr>
            <w:tcW w:w="1062" w:type="dxa"/>
          </w:tcPr>
          <w:p w14:paraId="77231971"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rPr>
              <w:t>349,319</w:t>
            </w:r>
          </w:p>
        </w:tc>
        <w:tc>
          <w:tcPr>
            <w:tcW w:w="1062" w:type="dxa"/>
          </w:tcPr>
          <w:p w14:paraId="18940C33"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352,362</w:t>
            </w:r>
          </w:p>
        </w:tc>
        <w:tc>
          <w:tcPr>
            <w:tcW w:w="1062" w:type="dxa"/>
          </w:tcPr>
          <w:p w14:paraId="02A4B5A8"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535,198</w:t>
            </w:r>
          </w:p>
        </w:tc>
        <w:tc>
          <w:tcPr>
            <w:tcW w:w="1062" w:type="dxa"/>
          </w:tcPr>
          <w:p w14:paraId="03D99932" w14:textId="77777777" w:rsidR="00555643" w:rsidRPr="00913602" w:rsidRDefault="00555643" w:rsidP="00FC618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913602">
              <w:rPr>
                <w:rFonts w:cs="Arial"/>
                <w:szCs w:val="18"/>
              </w:rPr>
              <w:t>51.9</w:t>
            </w:r>
          </w:p>
        </w:tc>
      </w:tr>
    </w:tbl>
    <w:p w14:paraId="41678313" w14:textId="77777777" w:rsidR="00555643" w:rsidRPr="00531CD0" w:rsidRDefault="00555643" w:rsidP="00904764">
      <w:pPr>
        <w:pStyle w:val="ACMANotes"/>
        <w:keepNext/>
        <w:keepLines/>
      </w:pPr>
      <w:r w:rsidRPr="00531CD0">
        <w:t>n/a=not available.</w:t>
      </w:r>
    </w:p>
    <w:p w14:paraId="3B1C48EB" w14:textId="77777777" w:rsidR="00555643" w:rsidRPr="00531CD0" w:rsidRDefault="00555643" w:rsidP="00904764">
      <w:pPr>
        <w:pStyle w:val="ACMANotes"/>
        <w:keepNext/>
        <w:keepLines/>
      </w:pPr>
      <w:r w:rsidRPr="00531CD0">
        <w:t>Source: See Chapter 5. Further explanatory details for this data can be found in the source chapter.</w:t>
      </w:r>
    </w:p>
    <w:p w14:paraId="4726311E" w14:textId="77777777" w:rsidR="00795834" w:rsidRPr="00913602" w:rsidRDefault="00795834" w:rsidP="00904764">
      <w:pPr>
        <w:pStyle w:val="ACMASpaceaftertable"/>
        <w:keepNext/>
        <w:keepLines/>
      </w:pPr>
    </w:p>
    <w:p w14:paraId="1F372C42" w14:textId="77777777" w:rsidR="00555643" w:rsidRPr="00913602" w:rsidRDefault="00555643" w:rsidP="00904764">
      <w:pPr>
        <w:pStyle w:val="Heading3"/>
        <w:keepLines/>
        <w:spacing w:before="0" w:after="80"/>
      </w:pPr>
      <w:bookmarkStart w:id="165" w:name="_Toc462899534"/>
      <w:bookmarkStart w:id="166" w:name="_Toc463529014"/>
      <w:bookmarkStart w:id="167" w:name="_Toc465178927"/>
      <w:bookmarkStart w:id="168" w:name="_Toc465842838"/>
      <w:r w:rsidRPr="00913602">
        <w:t>Broadcasting complaints</w:t>
      </w:r>
      <w:bookmarkEnd w:id="165"/>
      <w:bookmarkEnd w:id="166"/>
      <w:bookmarkEnd w:id="167"/>
      <w:bookmarkEnd w:id="168"/>
    </w:p>
    <w:tbl>
      <w:tblPr>
        <w:tblStyle w:val="Commsreport2014-15TABLE4"/>
        <w:tblW w:w="9435" w:type="dxa"/>
        <w:tblLayout w:type="fixed"/>
        <w:tblCellMar>
          <w:top w:w="57" w:type="dxa"/>
          <w:left w:w="57" w:type="dxa"/>
          <w:bottom w:w="57" w:type="dxa"/>
          <w:right w:w="57" w:type="dxa"/>
        </w:tblCellMar>
        <w:tblLook w:val="01E0" w:firstRow="1" w:lastRow="1" w:firstColumn="1" w:lastColumn="1" w:noHBand="0" w:noVBand="0"/>
        <w:tblCaption w:val="Complaints and investigations: Broadcasting and internet content complaints"/>
      </w:tblPr>
      <w:tblGrid>
        <w:gridCol w:w="3045"/>
        <w:gridCol w:w="1065"/>
        <w:gridCol w:w="1065"/>
        <w:gridCol w:w="1065"/>
        <w:gridCol w:w="1065"/>
        <w:gridCol w:w="1065"/>
        <w:gridCol w:w="1065"/>
      </w:tblGrid>
      <w:tr w:rsidR="000319E1" w:rsidRPr="00913602" w14:paraId="60D81C33" w14:textId="77777777" w:rsidTr="00AA164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045" w:type="dxa"/>
            <w:shd w:val="clear" w:color="auto" w:fill="auto"/>
          </w:tcPr>
          <w:p w14:paraId="22A9AA15" w14:textId="77777777" w:rsidR="000319E1" w:rsidRPr="00913602" w:rsidRDefault="000319E1" w:rsidP="001B7940">
            <w:pPr>
              <w:pStyle w:val="ACMATableText"/>
              <w:spacing w:before="0" w:after="0"/>
            </w:pPr>
          </w:p>
        </w:tc>
        <w:tc>
          <w:tcPr>
            <w:tcW w:w="1065" w:type="dxa"/>
          </w:tcPr>
          <w:p w14:paraId="61EEB3C1" w14:textId="77777777" w:rsidR="000319E1" w:rsidRPr="00C125DC" w:rsidRDefault="000319E1"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2011–12</w:t>
            </w:r>
          </w:p>
        </w:tc>
        <w:tc>
          <w:tcPr>
            <w:tcW w:w="1065" w:type="dxa"/>
          </w:tcPr>
          <w:p w14:paraId="1D72E1EF" w14:textId="77777777" w:rsidR="000319E1" w:rsidRPr="00C125DC" w:rsidRDefault="000319E1"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2012–13</w:t>
            </w:r>
          </w:p>
        </w:tc>
        <w:tc>
          <w:tcPr>
            <w:tcW w:w="1065" w:type="dxa"/>
          </w:tcPr>
          <w:p w14:paraId="5B525A1A" w14:textId="77777777" w:rsidR="000319E1" w:rsidRPr="00C125DC" w:rsidRDefault="000319E1"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2013–14</w:t>
            </w:r>
          </w:p>
        </w:tc>
        <w:tc>
          <w:tcPr>
            <w:tcW w:w="1065" w:type="dxa"/>
          </w:tcPr>
          <w:p w14:paraId="01576DD7" w14:textId="77777777" w:rsidR="000319E1" w:rsidRPr="00C125DC" w:rsidRDefault="000319E1"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2014–15</w:t>
            </w:r>
          </w:p>
        </w:tc>
        <w:tc>
          <w:tcPr>
            <w:tcW w:w="1065" w:type="dxa"/>
          </w:tcPr>
          <w:p w14:paraId="121D9525" w14:textId="77777777" w:rsidR="000319E1" w:rsidRPr="00C125DC" w:rsidRDefault="000319E1"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2015–16</w:t>
            </w:r>
          </w:p>
        </w:tc>
        <w:tc>
          <w:tcPr>
            <w:tcW w:w="1065" w:type="dxa"/>
          </w:tcPr>
          <w:p w14:paraId="13EF5D39" w14:textId="77777777" w:rsidR="000319E1" w:rsidRPr="00C125DC" w:rsidRDefault="000319E1" w:rsidP="00FC618C">
            <w:pPr>
              <w:pStyle w:val="ACMATableText"/>
              <w:keepNext/>
              <w:keepLines/>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C125DC">
              <w:rPr>
                <w:color w:val="FFFFFF" w:themeColor="background1"/>
                <w:szCs w:val="24"/>
                <w:lang w:eastAsia="en-AU"/>
              </w:rPr>
              <w:t xml:space="preserve">2014–15 to </w:t>
            </w:r>
            <w:r w:rsidRPr="00C125DC">
              <w:rPr>
                <w:color w:val="FFFFFF" w:themeColor="background1"/>
                <w:szCs w:val="24"/>
                <w:lang w:eastAsia="en-AU"/>
              </w:rPr>
              <w:br/>
              <w:t>2015–16 change (%)</w:t>
            </w:r>
          </w:p>
        </w:tc>
      </w:tr>
      <w:tr w:rsidR="000319E1" w:rsidRPr="00913602" w14:paraId="33D5ACD1" w14:textId="77777777" w:rsidTr="00AA164C">
        <w:trPr>
          <w:trHeight w:val="290"/>
        </w:trPr>
        <w:tc>
          <w:tcPr>
            <w:cnfStyle w:val="001000000000" w:firstRow="0" w:lastRow="0" w:firstColumn="1" w:lastColumn="0" w:oddVBand="0" w:evenVBand="0" w:oddHBand="0" w:evenHBand="0" w:firstRowFirstColumn="0" w:firstRowLastColumn="0" w:lastRowFirstColumn="0" w:lastRowLastColumn="0"/>
            <w:tcW w:w="3045" w:type="dxa"/>
            <w:hideMark/>
          </w:tcPr>
          <w:p w14:paraId="5DBEB378" w14:textId="77777777" w:rsidR="000319E1" w:rsidRPr="00913602" w:rsidRDefault="000319E1" w:rsidP="001B7940">
            <w:pPr>
              <w:pStyle w:val="ACMATableText"/>
              <w:spacing w:before="0" w:after="0"/>
              <w:rPr>
                <w:rFonts w:cs="Arial"/>
              </w:rPr>
            </w:pPr>
            <w:r w:rsidRPr="006E7298">
              <w:rPr>
                <w:rFonts w:cs="Arial"/>
                <w:color w:val="FFFFFF" w:themeColor="background1"/>
              </w:rPr>
              <w:t>Broadcasting written enquiries and complaints</w:t>
            </w:r>
          </w:p>
        </w:tc>
        <w:tc>
          <w:tcPr>
            <w:tcW w:w="1065" w:type="dxa"/>
          </w:tcPr>
          <w:p w14:paraId="77F7EA24" w14:textId="77777777" w:rsidR="000319E1" w:rsidRPr="00913602" w:rsidRDefault="000319E1"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2,273</w:t>
            </w:r>
          </w:p>
        </w:tc>
        <w:tc>
          <w:tcPr>
            <w:tcW w:w="1065" w:type="dxa"/>
          </w:tcPr>
          <w:p w14:paraId="7CDE6853" w14:textId="77777777" w:rsidR="000319E1" w:rsidRPr="00913602" w:rsidRDefault="000319E1"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2,178</w:t>
            </w:r>
            <w:r w:rsidRPr="00913602">
              <w:rPr>
                <w:rFonts w:cs="Arial"/>
                <w:vertAlign w:val="superscript"/>
              </w:rPr>
              <w:t>*</w:t>
            </w:r>
          </w:p>
        </w:tc>
        <w:tc>
          <w:tcPr>
            <w:tcW w:w="1065" w:type="dxa"/>
          </w:tcPr>
          <w:p w14:paraId="7B554517" w14:textId="77777777" w:rsidR="000319E1" w:rsidRPr="00913602" w:rsidRDefault="000319E1"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1,593</w:t>
            </w:r>
          </w:p>
        </w:tc>
        <w:tc>
          <w:tcPr>
            <w:tcW w:w="1065" w:type="dxa"/>
          </w:tcPr>
          <w:p w14:paraId="114876D3" w14:textId="77777777" w:rsidR="000319E1" w:rsidRPr="00913602" w:rsidRDefault="000319E1"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1,012</w:t>
            </w:r>
          </w:p>
        </w:tc>
        <w:tc>
          <w:tcPr>
            <w:tcW w:w="1065" w:type="dxa"/>
          </w:tcPr>
          <w:p w14:paraId="24032CAF" w14:textId="77777777" w:rsidR="000319E1" w:rsidRPr="00913602" w:rsidRDefault="000319E1"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1,232</w:t>
            </w:r>
          </w:p>
        </w:tc>
        <w:tc>
          <w:tcPr>
            <w:tcW w:w="1065" w:type="dxa"/>
          </w:tcPr>
          <w:p w14:paraId="28D5F99C" w14:textId="77777777" w:rsidR="000319E1" w:rsidRPr="00913602" w:rsidRDefault="000319E1" w:rsidP="00FC618C">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rPr>
            </w:pPr>
            <w:r w:rsidRPr="00913602">
              <w:rPr>
                <w:rFonts w:cs="Arial"/>
              </w:rPr>
              <w:t>21.7</w:t>
            </w:r>
          </w:p>
        </w:tc>
      </w:tr>
    </w:tbl>
    <w:p w14:paraId="27538AEB" w14:textId="77777777" w:rsidR="00555643" w:rsidRPr="00C125DC" w:rsidRDefault="00555643" w:rsidP="00C125DC">
      <w:pPr>
        <w:pStyle w:val="ACMANotes"/>
      </w:pPr>
      <w:r w:rsidRPr="00C125DC">
        <w:t>*This does not include 2,680 complaints and enquiries received about 2DAY’s Summer 30 program broadcast on 4 December 2012.</w:t>
      </w:r>
    </w:p>
    <w:p w14:paraId="4B052DAA" w14:textId="77777777" w:rsidR="00555643" w:rsidRPr="00C125DC" w:rsidRDefault="00555643" w:rsidP="00C125DC">
      <w:pPr>
        <w:pStyle w:val="ACMANotes"/>
      </w:pPr>
      <w:r w:rsidRPr="00C125DC">
        <w:t>Source: See Chapter 3. Further explanatory details for this data can be found in the source chapter.</w:t>
      </w:r>
    </w:p>
    <w:p w14:paraId="20B5B9DD" w14:textId="77777777" w:rsidR="00244C97" w:rsidRPr="00FD7E86" w:rsidRDefault="00244C97" w:rsidP="00531CD0">
      <w:pPr>
        <w:pStyle w:val="ACMASpaceaftertable"/>
      </w:pPr>
    </w:p>
    <w:p w14:paraId="76A8045C" w14:textId="77777777" w:rsidR="00172A9C" w:rsidRPr="004B4478" w:rsidRDefault="00172A9C" w:rsidP="00EA149D">
      <w:pPr>
        <w:pStyle w:val="Heading1"/>
        <w:numPr>
          <w:ilvl w:val="0"/>
          <w:numId w:val="12"/>
        </w:numPr>
        <w:ind w:left="851" w:hanging="851"/>
      </w:pPr>
      <w:bookmarkStart w:id="169" w:name="_Toc399257334"/>
      <w:bookmarkStart w:id="170" w:name="_Toc402337477"/>
      <w:bookmarkStart w:id="171" w:name="_Toc462132187"/>
      <w:bookmarkStart w:id="172" w:name="_Toc462899535"/>
      <w:bookmarkStart w:id="173" w:name="_Toc463529015"/>
      <w:bookmarkStart w:id="174" w:name="_Toc465842839"/>
      <w:bookmarkEnd w:id="0"/>
      <w:bookmarkEnd w:id="169"/>
      <w:bookmarkEnd w:id="170"/>
      <w:r w:rsidRPr="004B4478">
        <w:lastRenderedPageBreak/>
        <w:t>Industry supply of communications services</w:t>
      </w:r>
      <w:bookmarkEnd w:id="171"/>
      <w:bookmarkEnd w:id="172"/>
      <w:bookmarkEnd w:id="173"/>
      <w:bookmarkEnd w:id="174"/>
    </w:p>
    <w:p w14:paraId="26BC3CA7" w14:textId="77777777" w:rsidR="000A1CD9" w:rsidRPr="002B6F51" w:rsidRDefault="000A1CD9" w:rsidP="000A1CD9">
      <w:pPr>
        <w:pStyle w:val="Heading2"/>
        <w:numPr>
          <w:ilvl w:val="1"/>
          <w:numId w:val="12"/>
        </w:numPr>
        <w:ind w:hanging="792"/>
      </w:pPr>
      <w:bookmarkStart w:id="175" w:name="_Toc308517103"/>
      <w:bookmarkStart w:id="176" w:name="_Toc308523563"/>
      <w:bookmarkStart w:id="177" w:name="_Toc312157076"/>
      <w:bookmarkStart w:id="178" w:name="_Toc371588975"/>
      <w:bookmarkStart w:id="179" w:name="_Toc373149037"/>
      <w:bookmarkStart w:id="180" w:name="_Toc399331710"/>
      <w:bookmarkStart w:id="181" w:name="_Toc399336891"/>
      <w:bookmarkStart w:id="182" w:name="_Toc402337489"/>
      <w:bookmarkStart w:id="183" w:name="_Toc462132188"/>
      <w:bookmarkStart w:id="184" w:name="_Toc462899536"/>
      <w:bookmarkStart w:id="185" w:name="_Toc433790288"/>
      <w:bookmarkStart w:id="186" w:name="_Toc463529016"/>
      <w:bookmarkStart w:id="187" w:name="_Toc465842840"/>
      <w:r w:rsidRPr="00FD7E86">
        <w:t>Overview</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1E6F96A1" w14:textId="77777777" w:rsidR="000A1CD9" w:rsidRPr="00FD5B7C" w:rsidRDefault="000A1CD9" w:rsidP="000A1CD9">
      <w:pPr>
        <w:spacing w:line="240" w:lineRule="auto"/>
        <w:rPr>
          <w:rFonts w:cs="Arial"/>
        </w:rPr>
      </w:pPr>
      <w:r w:rsidRPr="00FD7E86">
        <w:rPr>
          <w:rFonts w:cs="Arial"/>
        </w:rPr>
        <w:t>This chapter addresses regulatory requirements to report on the</w:t>
      </w:r>
      <w:r>
        <w:rPr>
          <w:rFonts w:cs="Arial"/>
        </w:rPr>
        <w:t xml:space="preserve"> adequacy and </w:t>
      </w:r>
      <w:r w:rsidRPr="00FD7E86">
        <w:rPr>
          <w:rFonts w:cs="Arial"/>
        </w:rPr>
        <w:t>effici</w:t>
      </w:r>
      <w:r>
        <w:rPr>
          <w:rFonts w:cs="Arial"/>
        </w:rPr>
        <w:t xml:space="preserve">ency of the supply </w:t>
      </w:r>
      <w:r w:rsidRPr="00FD7E86">
        <w:rPr>
          <w:rFonts w:cs="Arial"/>
        </w:rPr>
        <w:t>of communications services</w:t>
      </w:r>
      <w:r>
        <w:rPr>
          <w:rFonts w:cs="Arial"/>
        </w:rPr>
        <w:t>. It examines</w:t>
      </w:r>
      <w:r w:rsidRPr="00FD7E86">
        <w:rPr>
          <w:rFonts w:cs="Arial"/>
        </w:rPr>
        <w:t xml:space="preserve"> the major developments that have occurred in the availability and use of communications and media services in Australia. This includes </w:t>
      </w:r>
      <w:r>
        <w:rPr>
          <w:rFonts w:cs="Arial"/>
        </w:rPr>
        <w:t xml:space="preserve">communications products and services, consumer </w:t>
      </w:r>
      <w:r w:rsidRPr="00FD5B7C">
        <w:rPr>
          <w:rFonts w:cs="Arial"/>
        </w:rPr>
        <w:t xml:space="preserve">take-up </w:t>
      </w:r>
      <w:r>
        <w:rPr>
          <w:rFonts w:cs="Arial"/>
        </w:rPr>
        <w:t xml:space="preserve">and use </w:t>
      </w:r>
      <w:r w:rsidRPr="00FD5B7C">
        <w:rPr>
          <w:rFonts w:cs="Arial"/>
        </w:rPr>
        <w:t>of services, and communications infrastructure developments.</w:t>
      </w:r>
    </w:p>
    <w:p w14:paraId="39F26EAA" w14:textId="77777777" w:rsidR="000A1CD9" w:rsidRDefault="000A1CD9" w:rsidP="000A1CD9">
      <w:pPr>
        <w:spacing w:line="240" w:lineRule="auto"/>
        <w:rPr>
          <w:rFonts w:cs="Arial"/>
        </w:rPr>
      </w:pPr>
      <w:r>
        <w:rPr>
          <w:rFonts w:cs="Arial"/>
        </w:rPr>
        <w:t xml:space="preserve">In 2015–16, telecommunications companies continued to invest in emerging mobile technologies and prepare their networks for increased data usage, including from content downloads and the increased connectivity arising in the Internet of Things (IoT) environment. </w:t>
      </w:r>
    </w:p>
    <w:p w14:paraId="248C30DF" w14:textId="77777777" w:rsidR="000A1CD9" w:rsidRPr="00FD7E86" w:rsidRDefault="000A1CD9" w:rsidP="000A1CD9">
      <w:pPr>
        <w:spacing w:line="240" w:lineRule="auto"/>
        <w:rPr>
          <w:rFonts w:cs="Arial"/>
        </w:rPr>
      </w:pPr>
      <w:r>
        <w:rPr>
          <w:rFonts w:cs="Arial"/>
        </w:rPr>
        <w:t>While mobile phone and tablet sales are declining, mobile operators reported continued strong growth in M2M communications services, along with growth in broadband services. However, the downward trend in t</w:t>
      </w:r>
      <w:r w:rsidRPr="00FD5B7C">
        <w:rPr>
          <w:rFonts w:cs="Arial"/>
        </w:rPr>
        <w:t>he number of fixed-line telephone services in operation continued</w:t>
      </w:r>
      <w:r>
        <w:rPr>
          <w:rFonts w:cs="Arial"/>
        </w:rPr>
        <w:t xml:space="preserve"> </w:t>
      </w:r>
      <w:r w:rsidRPr="00FD5B7C">
        <w:rPr>
          <w:rFonts w:cs="Arial"/>
        </w:rPr>
        <w:t>in 2015–16</w:t>
      </w:r>
      <w:r>
        <w:rPr>
          <w:rFonts w:cs="Arial"/>
        </w:rPr>
        <w:t>. Increasingly, growth is being driven by increased data traffic rather than growth in access.</w:t>
      </w:r>
    </w:p>
    <w:p w14:paraId="313BAEEF" w14:textId="77777777" w:rsidR="000A1CD9" w:rsidRPr="00145BA2" w:rsidRDefault="000A1CD9" w:rsidP="000A1CD9">
      <w:pPr>
        <w:rPr>
          <w:rStyle w:val="Strong"/>
          <w:b w:val="0"/>
          <w:bCs w:val="0"/>
          <w:i/>
          <w:szCs w:val="22"/>
        </w:rPr>
      </w:pPr>
      <w:r>
        <w:t>Some key infrastructure changes were announced during 2015–16 that reflect the ongoing investment in higher data rate broadband networks and rationalisation of networks supporting older technologies</w:t>
      </w:r>
      <w:r w:rsidRPr="00531CD0">
        <w:t xml:space="preserve">. </w:t>
      </w:r>
      <w:r w:rsidRPr="00145BA2">
        <w:rPr>
          <w:rStyle w:val="Strong"/>
          <w:b w:val="0"/>
        </w:rPr>
        <w:t>In July 2014, Telstra announced that it would be closing its 2G (GSM) network before the end of 2016, with closure later confirmed for 1 December 2016. Optus</w:t>
      </w:r>
      <w:r w:rsidR="00F01CFD">
        <w:rPr>
          <w:rStyle w:val="Strong"/>
          <w:b w:val="0"/>
        </w:rPr>
        <w:t xml:space="preserve"> and </w:t>
      </w:r>
      <w:r w:rsidR="00500383" w:rsidRPr="000F787F">
        <w:rPr>
          <w:rStyle w:val="Strong"/>
          <w:b w:val="0"/>
        </w:rPr>
        <w:t xml:space="preserve">Vodafone </w:t>
      </w:r>
      <w:r w:rsidRPr="00145BA2">
        <w:rPr>
          <w:rStyle w:val="Strong"/>
          <w:b w:val="0"/>
        </w:rPr>
        <w:t>ha</w:t>
      </w:r>
      <w:r w:rsidR="00F01CFD">
        <w:rPr>
          <w:rStyle w:val="Strong"/>
          <w:b w:val="0"/>
        </w:rPr>
        <w:t>ve</w:t>
      </w:r>
      <w:r w:rsidRPr="00145BA2">
        <w:rPr>
          <w:rStyle w:val="Strong"/>
          <w:b w:val="0"/>
        </w:rPr>
        <w:t xml:space="preserve"> also announced plans to shut down </w:t>
      </w:r>
      <w:r w:rsidR="00F01CFD">
        <w:rPr>
          <w:rStyle w:val="Strong"/>
          <w:b w:val="0"/>
        </w:rPr>
        <w:t>their</w:t>
      </w:r>
      <w:r w:rsidR="00F01CFD" w:rsidRPr="00145BA2">
        <w:rPr>
          <w:rStyle w:val="Strong"/>
          <w:b w:val="0"/>
        </w:rPr>
        <w:t xml:space="preserve"> </w:t>
      </w:r>
      <w:r w:rsidRPr="00145BA2">
        <w:rPr>
          <w:rStyle w:val="Strong"/>
          <w:b w:val="0"/>
        </w:rPr>
        <w:t>2G network</w:t>
      </w:r>
      <w:r w:rsidR="00F01CFD">
        <w:rPr>
          <w:rStyle w:val="Strong"/>
          <w:b w:val="0"/>
        </w:rPr>
        <w:t>s</w:t>
      </w:r>
      <w:r w:rsidRPr="00145BA2">
        <w:rPr>
          <w:rStyle w:val="Strong"/>
          <w:b w:val="0"/>
        </w:rPr>
        <w:t xml:space="preserve">, which </w:t>
      </w:r>
      <w:r w:rsidR="00500383">
        <w:rPr>
          <w:rStyle w:val="Strong"/>
          <w:b w:val="0"/>
        </w:rPr>
        <w:t>are</w:t>
      </w:r>
      <w:r w:rsidRPr="00145BA2">
        <w:rPr>
          <w:rStyle w:val="Strong"/>
          <w:b w:val="0"/>
        </w:rPr>
        <w:t xml:space="preserve"> scheduled to take effect in April 2017 </w:t>
      </w:r>
      <w:r w:rsidR="00F01CFD">
        <w:rPr>
          <w:rStyle w:val="Strong"/>
          <w:b w:val="0"/>
        </w:rPr>
        <w:t>and September 2017</w:t>
      </w:r>
      <w:r w:rsidR="00500383">
        <w:rPr>
          <w:rStyle w:val="Strong"/>
          <w:b w:val="0"/>
        </w:rPr>
        <w:t xml:space="preserve">, respectively. </w:t>
      </w:r>
      <w:r w:rsidRPr="00145BA2">
        <w:rPr>
          <w:rStyle w:val="Strong"/>
          <w:b w:val="0"/>
        </w:rPr>
        <w:t xml:space="preserve">Many </w:t>
      </w:r>
      <w:r>
        <w:rPr>
          <w:rStyle w:val="Strong"/>
          <w:b w:val="0"/>
        </w:rPr>
        <w:t>internet service providers (</w:t>
      </w:r>
      <w:r w:rsidRPr="00145BA2">
        <w:rPr>
          <w:rStyle w:val="Strong"/>
          <w:b w:val="0"/>
        </w:rPr>
        <w:t>ISPs</w:t>
      </w:r>
      <w:r>
        <w:rPr>
          <w:rStyle w:val="Strong"/>
          <w:b w:val="0"/>
        </w:rPr>
        <w:t>)</w:t>
      </w:r>
      <w:r w:rsidRPr="00145BA2">
        <w:rPr>
          <w:rStyle w:val="Strong"/>
          <w:b w:val="0"/>
        </w:rPr>
        <w:t>, including TPG and Telstra, have ceased to provide dial-up services.</w:t>
      </w:r>
    </w:p>
    <w:p w14:paraId="59B2CB15" w14:textId="77777777" w:rsidR="000A1CD9" w:rsidRPr="00FD7E86" w:rsidRDefault="000A1CD9" w:rsidP="000A1CD9">
      <w:pPr>
        <w:spacing w:after="80"/>
      </w:pPr>
      <w:r w:rsidRPr="00FD7E86">
        <w:t xml:space="preserve">In summary: </w:t>
      </w:r>
    </w:p>
    <w:p w14:paraId="3B25D0AD" w14:textId="77777777" w:rsidR="000E3AF0" w:rsidRPr="00F7555C" w:rsidRDefault="000E3AF0" w:rsidP="000E3AF0">
      <w:pPr>
        <w:pStyle w:val="ListBullet"/>
      </w:pPr>
      <w:r w:rsidRPr="00F7555C">
        <w:t>There were 8.2 million fixed</w:t>
      </w:r>
      <w:r w:rsidR="00F7555C">
        <w:t>-</w:t>
      </w:r>
      <w:r w:rsidRPr="00F7555C">
        <w:t xml:space="preserve">line telephone services in operation at June 2016. </w:t>
      </w:r>
    </w:p>
    <w:p w14:paraId="34C353D7" w14:textId="77777777" w:rsidR="000A1CD9" w:rsidRDefault="000A1CD9" w:rsidP="000A1CD9">
      <w:pPr>
        <w:pStyle w:val="ListBullet"/>
      </w:pPr>
      <w:r>
        <w:t>T</w:t>
      </w:r>
      <w:r w:rsidRPr="0039790D">
        <w:t>he number of Australian adults with a mobile phone but without a fixed-line telephone service in the home continued to increase, reaching 5.8 million (31 per cent) at June 2016, an increase of two percentage points since June 2015</w:t>
      </w:r>
      <w:r>
        <w:t>.</w:t>
      </w:r>
    </w:p>
    <w:p w14:paraId="44743486" w14:textId="77777777" w:rsidR="000A1CD9" w:rsidRDefault="000A1CD9" w:rsidP="000A1CD9">
      <w:pPr>
        <w:pStyle w:val="ListBullet"/>
      </w:pPr>
      <w:r>
        <w:t>T</w:t>
      </w:r>
      <w:r w:rsidRPr="0039790D">
        <w:t xml:space="preserve">here was increased growth in the number of mobile handset internet services in operation, reaching </w:t>
      </w:r>
      <w:r w:rsidRPr="00944B1B">
        <w:t xml:space="preserve">21.97 </w:t>
      </w:r>
      <w:r w:rsidRPr="0039790D">
        <w:t>million at June 2016, up from 20.99 million in June 2015</w:t>
      </w:r>
      <w:r>
        <w:t>.</w:t>
      </w:r>
    </w:p>
    <w:p w14:paraId="390FD538" w14:textId="77777777" w:rsidR="000A1CD9" w:rsidRPr="0039790D" w:rsidRDefault="000A1CD9" w:rsidP="000A1CD9">
      <w:pPr>
        <w:pStyle w:val="ListBullet"/>
      </w:pPr>
      <w:r>
        <w:t>U</w:t>
      </w:r>
      <w:r w:rsidRPr="0039790D">
        <w:t>se of mobile phones to make calls and send text messages has remained steady since 2013, at 93</w:t>
      </w:r>
      <w:r>
        <w:t> </w:t>
      </w:r>
      <w:r w:rsidRPr="0039790D">
        <w:t>per cent</w:t>
      </w:r>
      <w:r>
        <w:t>.</w:t>
      </w:r>
    </w:p>
    <w:p w14:paraId="2F738555" w14:textId="77777777" w:rsidR="000A1CD9" w:rsidRPr="0039790D" w:rsidRDefault="000A1CD9" w:rsidP="000A1CD9">
      <w:pPr>
        <w:pStyle w:val="ListBullet"/>
      </w:pPr>
      <w:r>
        <w:t>T</w:t>
      </w:r>
      <w:r w:rsidRPr="0039790D">
        <w:t>he geographic reach of key communications infrastructure continued to expand with:</w:t>
      </w:r>
    </w:p>
    <w:p w14:paraId="7DCEEC5C" w14:textId="77777777" w:rsidR="000A1CD9" w:rsidRDefault="000A1CD9" w:rsidP="000A1CD9">
      <w:pPr>
        <w:pStyle w:val="ListBullet2"/>
      </w:pPr>
      <w:r w:rsidRPr="00FD7E86">
        <w:t xml:space="preserve">operators of 4G mobile networks covering </w:t>
      </w:r>
      <w:r w:rsidR="00C80B78" w:rsidRPr="00A64CE2">
        <w:t>98 per</w:t>
      </w:r>
      <w:r w:rsidR="00C80B78" w:rsidRPr="00A64CE2" w:rsidDel="00EF7E69">
        <w:t xml:space="preserve"> </w:t>
      </w:r>
      <w:r w:rsidR="00C80B78" w:rsidRPr="00A64CE2">
        <w:t xml:space="preserve">cent </w:t>
      </w:r>
      <w:r w:rsidRPr="00A64CE2">
        <w:t>of</w:t>
      </w:r>
      <w:r w:rsidRPr="00FD7E86">
        <w:t xml:space="preserve"> the population</w:t>
      </w:r>
    </w:p>
    <w:p w14:paraId="064E8780" w14:textId="77777777" w:rsidR="000A1CD9" w:rsidRDefault="000A1CD9" w:rsidP="000A1CD9">
      <w:pPr>
        <w:pStyle w:val="ListBullet2"/>
      </w:pPr>
      <w:r>
        <w:t>mobile operators committing to a commercial 5G mobile network deployment in 2020 and continuing to explore the use of emerging mobile technologies, including Voice over LTE (VoLTE), Wi-Fi calling and messaging, and LTE-broadcast (LTE-B) technology</w:t>
      </w:r>
    </w:p>
    <w:p w14:paraId="0DB0F991" w14:textId="77777777" w:rsidR="000A1CD9" w:rsidRDefault="00052298" w:rsidP="000A1CD9">
      <w:pPr>
        <w:pStyle w:val="ListBullet2"/>
      </w:pPr>
      <w:r>
        <w:t xml:space="preserve">Round 1 of the Mobile Black Spot </w:t>
      </w:r>
      <w:r w:rsidR="00235976">
        <w:t xml:space="preserve">Program </w:t>
      </w:r>
      <w:r>
        <w:t>is underway, with 60 mobile base stations activated by Telstra and two by Vodafone (at August 2016)</w:t>
      </w:r>
    </w:p>
    <w:p w14:paraId="5962EEC4" w14:textId="77777777" w:rsidR="000A1CD9" w:rsidRPr="004A669E" w:rsidRDefault="000A1CD9" w:rsidP="000A1CD9">
      <w:pPr>
        <w:pStyle w:val="ListBullet2"/>
      </w:pPr>
      <w:r>
        <w:t xml:space="preserve">the </w:t>
      </w:r>
      <w:r w:rsidRPr="004A669E">
        <w:t xml:space="preserve">continued rollout of the </w:t>
      </w:r>
      <w:r>
        <w:t>NBN</w:t>
      </w:r>
      <w:r w:rsidRPr="004A669E">
        <w:t xml:space="preserve">, with </w:t>
      </w:r>
      <w:r>
        <w:t>over</w:t>
      </w:r>
      <w:r w:rsidRPr="004A669E">
        <w:t xml:space="preserve"> </w:t>
      </w:r>
      <w:r>
        <w:t xml:space="preserve">one </w:t>
      </w:r>
      <w:r w:rsidRPr="004A669E">
        <w:t>million premises now connected</w:t>
      </w:r>
      <w:r>
        <w:t xml:space="preserve">—more than double the </w:t>
      </w:r>
      <w:r w:rsidR="00C80B78">
        <w:t>number connected last year</w:t>
      </w:r>
    </w:p>
    <w:p w14:paraId="436EACCB" w14:textId="77777777" w:rsidR="000A1CD9" w:rsidRDefault="000A1CD9" w:rsidP="000A1CD9">
      <w:pPr>
        <w:pStyle w:val="ListBullet2"/>
      </w:pPr>
      <w:r>
        <w:t>the rollout of the NBN scheduled for completion by 2020, with plans to connect eight million premises.</w:t>
      </w:r>
    </w:p>
    <w:p w14:paraId="07E7CE8D" w14:textId="77777777" w:rsidR="000A1CD9" w:rsidRPr="00211F98" w:rsidRDefault="000A1CD9" w:rsidP="000A1CD9">
      <w:pPr>
        <w:pStyle w:val="ListBullet"/>
      </w:pPr>
      <w:r>
        <w:t xml:space="preserve">The number of </w:t>
      </w:r>
      <w:r w:rsidRPr="00FD7E86">
        <w:t>internet subscriber</w:t>
      </w:r>
      <w:r>
        <w:t>s</w:t>
      </w:r>
      <w:r w:rsidRPr="00FD7E86">
        <w:t xml:space="preserve"> gr</w:t>
      </w:r>
      <w:r>
        <w:t>ew</w:t>
      </w:r>
      <w:r w:rsidRPr="00FD7E86">
        <w:t xml:space="preserve"> </w:t>
      </w:r>
      <w:r>
        <w:t xml:space="preserve">by 4.5 per cent to reach 35.26 million at June 2016, largely attributable to the strong growth in fibre internet connections. </w:t>
      </w:r>
    </w:p>
    <w:p w14:paraId="62EBB2CA" w14:textId="77777777" w:rsidR="000A1CD9" w:rsidRPr="00E90B81" w:rsidRDefault="000A1CD9" w:rsidP="000A1CD9">
      <w:pPr>
        <w:pStyle w:val="ListBullet"/>
      </w:pPr>
      <w:r>
        <w:t>The top four</w:t>
      </w:r>
      <w:r w:rsidRPr="00FD7E86">
        <w:t xml:space="preserve"> ISPs by number of subscribers in </w:t>
      </w:r>
      <w:r w:rsidRPr="008D0D0A">
        <w:t>the Australian market all reported growth in the total number of broadband subscribers</w:t>
      </w:r>
      <w:r>
        <w:t>.</w:t>
      </w:r>
    </w:p>
    <w:p w14:paraId="0736D8BC" w14:textId="77777777" w:rsidR="000A1CD9" w:rsidRPr="00E90B81" w:rsidRDefault="000A1CD9" w:rsidP="000A1CD9">
      <w:pPr>
        <w:pStyle w:val="ListBullet"/>
      </w:pPr>
      <w:r>
        <w:lastRenderedPageBreak/>
        <w:t>T</w:t>
      </w:r>
      <w:r w:rsidRPr="00B2549F">
        <w:t xml:space="preserve">he number of registered </w:t>
      </w:r>
      <w:r>
        <w:t>‘</w:t>
      </w:r>
      <w:r w:rsidRPr="00B2549F">
        <w:t>.au</w:t>
      </w:r>
      <w:r>
        <w:t>’</w:t>
      </w:r>
      <w:r w:rsidRPr="00B2549F">
        <w:t xml:space="preserve"> domain names rose by two </w:t>
      </w:r>
      <w:r>
        <w:t xml:space="preserve">per </w:t>
      </w:r>
      <w:r w:rsidRPr="00B2549F">
        <w:t>cent to 3.04 million. The ‘.com.au’ domain now accounts for 88 per cent of second-level domains</w:t>
      </w:r>
      <w:r>
        <w:t>.</w:t>
      </w:r>
    </w:p>
    <w:p w14:paraId="5E25669B" w14:textId="77777777" w:rsidR="000A1CD9" w:rsidRDefault="000A1CD9" w:rsidP="000A1CD9">
      <w:pPr>
        <w:pStyle w:val="ListBullet"/>
      </w:pPr>
      <w:r>
        <w:t>Major operators launched n</w:t>
      </w:r>
      <w:r w:rsidRPr="00E90B81">
        <w:t>ew</w:t>
      </w:r>
      <w:r>
        <w:t xml:space="preserve"> software-defined networking (SDN) and cloud-based solutions, including Cloud Gateway by Telstra and Cloud-N by Optus Wholesale. With global revenues from public cloud services set to reach $195 billion by 2020, the Australian public cloud infrastructure had an estimated value of $366 million in 2015. </w:t>
      </w:r>
    </w:p>
    <w:p w14:paraId="5BDE3EFE" w14:textId="77777777" w:rsidR="000A1CD9" w:rsidRPr="008C4072" w:rsidRDefault="000A1CD9" w:rsidP="000A1CD9">
      <w:pPr>
        <w:pStyle w:val="ListBullet"/>
      </w:pPr>
      <w:r>
        <w:t xml:space="preserve">There was </w:t>
      </w:r>
      <w:r w:rsidRPr="001941E8">
        <w:t>continued consolidation of the Australian telecommunications market</w:t>
      </w:r>
      <w:r>
        <w:t>, with the total value of mergers and acquisitions over 2015–16 totalling more than</w:t>
      </w:r>
      <w:r w:rsidRPr="001941E8">
        <w:t xml:space="preserve"> </w:t>
      </w:r>
      <w:r w:rsidR="009B5743">
        <w:t>$7.5 billion</w:t>
      </w:r>
      <w:r>
        <w:t>.</w:t>
      </w:r>
    </w:p>
    <w:p w14:paraId="78238BAF" w14:textId="77777777" w:rsidR="000A1CD9" w:rsidRPr="00211F98" w:rsidRDefault="000A1CD9" w:rsidP="000A1CD9">
      <w:pPr>
        <w:pStyle w:val="ListBullet"/>
      </w:pPr>
      <w:r>
        <w:t>T</w:t>
      </w:r>
      <w:r w:rsidRPr="00211F98">
        <w:t xml:space="preserve">here were 27 per cent fewer radiocommunications interference complaints than in 2014−15, </w:t>
      </w:r>
      <w:r>
        <w:t xml:space="preserve">with the number </w:t>
      </w:r>
      <w:r w:rsidRPr="00211F98">
        <w:t>dropping to 621 in 2015–16</w:t>
      </w:r>
      <w:r>
        <w:t>.</w:t>
      </w:r>
    </w:p>
    <w:p w14:paraId="06B2AA9E" w14:textId="77777777" w:rsidR="000A1CD9" w:rsidRPr="00211F98" w:rsidRDefault="000A1CD9" w:rsidP="000A1CD9">
      <w:pPr>
        <w:pStyle w:val="ListBullet"/>
      </w:pPr>
      <w:r>
        <w:t>T</w:t>
      </w:r>
      <w:r w:rsidRPr="00211F98">
        <w:t xml:space="preserve">he ACMA received </w:t>
      </w:r>
      <w:r>
        <w:t xml:space="preserve">and is considering </w:t>
      </w:r>
      <w:r w:rsidRPr="00211F98">
        <w:t>a request to declare a new protection zone off the Sunshine Coast in Queensland.</w:t>
      </w:r>
    </w:p>
    <w:p w14:paraId="0F483490" w14:textId="77777777" w:rsidR="000A1CD9" w:rsidRPr="0036374A" w:rsidRDefault="000A1CD9" w:rsidP="000A1CD9">
      <w:pPr>
        <w:pStyle w:val="ListBullet"/>
      </w:pPr>
      <w:r>
        <w:t xml:space="preserve">No changes were recorded in the number of commercial broadcasting licences in operation for television and radio over the 2015–16 reporting period—with the exception of community television licences, which reduced by one to 53, and community radio licences, which increased by two to 360. </w:t>
      </w:r>
    </w:p>
    <w:p w14:paraId="60151E86" w14:textId="77777777" w:rsidR="000A1CD9" w:rsidRDefault="000A1CD9" w:rsidP="000A1CD9">
      <w:pPr>
        <w:pStyle w:val="ListBulletLast"/>
      </w:pPr>
      <w:r>
        <w:t>O</w:t>
      </w:r>
      <w:r w:rsidRPr="000D2328">
        <w:t>nline advertising expe</w:t>
      </w:r>
      <w:r w:rsidRPr="006A2EA5">
        <w:t xml:space="preserve">nditure increased by </w:t>
      </w:r>
      <w:r w:rsidRPr="00673AE4">
        <w:t>25</w:t>
      </w:r>
      <w:r w:rsidRPr="000D2328">
        <w:t xml:space="preserve"> per cen</w:t>
      </w:r>
      <w:r w:rsidRPr="006A2EA5">
        <w:t xml:space="preserve">t to </w:t>
      </w:r>
      <w:r w:rsidRPr="00673AE4">
        <w:t>$6.02</w:t>
      </w:r>
      <w:r w:rsidRPr="000D2328">
        <w:t xml:space="preserve"> billion over the 2015</w:t>
      </w:r>
      <w:r w:rsidRPr="006A2EA5">
        <w:t xml:space="preserve"> calendar year</w:t>
      </w:r>
      <w:r w:rsidRPr="000D2328">
        <w:t>, along with an increase in total advertising expenditure across the main media categories—print, television, radio, online, outdoor and cinema—</w:t>
      </w:r>
      <w:r>
        <w:t xml:space="preserve">which grew </w:t>
      </w:r>
      <w:r w:rsidRPr="000D2328">
        <w:t xml:space="preserve">by </w:t>
      </w:r>
      <w:r w:rsidRPr="00673AE4">
        <w:t>11.7</w:t>
      </w:r>
      <w:r w:rsidRPr="000D2328">
        <w:t xml:space="preserve"> per cent in 2015</w:t>
      </w:r>
      <w:r w:rsidRPr="006A2EA5">
        <w:t xml:space="preserve"> to </w:t>
      </w:r>
      <w:r w:rsidRPr="00673AE4">
        <w:t>$14.5</w:t>
      </w:r>
      <w:r w:rsidRPr="000D2328">
        <w:t xml:space="preserve"> bill</w:t>
      </w:r>
      <w:r w:rsidRPr="006A2EA5">
        <w:t>ion</w:t>
      </w:r>
      <w:r w:rsidRPr="00F76693">
        <w:t xml:space="preserve">. Advertising expenditure for television and radio revenue remains </w:t>
      </w:r>
      <w:r w:rsidRPr="00036342">
        <w:t xml:space="preserve">generally </w:t>
      </w:r>
      <w:r w:rsidRPr="00101030">
        <w:t>stable</w:t>
      </w:r>
      <w:r w:rsidRPr="00F76693">
        <w:t>.</w:t>
      </w:r>
    </w:p>
    <w:p w14:paraId="2540ECF3" w14:textId="77777777" w:rsidR="000A1CD9" w:rsidRPr="00FD7E86" w:rsidRDefault="000A1CD9" w:rsidP="00216F0E">
      <w:pPr>
        <w:pStyle w:val="Heading2"/>
        <w:numPr>
          <w:ilvl w:val="1"/>
          <w:numId w:val="12"/>
        </w:numPr>
        <w:ind w:hanging="792"/>
      </w:pPr>
      <w:bookmarkStart w:id="188" w:name="_Toc399331711"/>
      <w:bookmarkStart w:id="189" w:name="_Toc399336892"/>
      <w:bookmarkStart w:id="190" w:name="_Toc402337491"/>
      <w:bookmarkStart w:id="191" w:name="_Toc462132189"/>
      <w:bookmarkStart w:id="192" w:name="_Toc462899537"/>
      <w:bookmarkStart w:id="193" w:name="_Toc433790289"/>
      <w:bookmarkStart w:id="194" w:name="_Toc463529017"/>
      <w:bookmarkStart w:id="195" w:name="_Toc465842841"/>
      <w:r w:rsidRPr="00FD7E86">
        <w:t>Fixed-line service availability</w:t>
      </w:r>
      <w:bookmarkEnd w:id="188"/>
      <w:bookmarkEnd w:id="189"/>
      <w:bookmarkEnd w:id="190"/>
      <w:bookmarkEnd w:id="191"/>
      <w:bookmarkEnd w:id="192"/>
      <w:bookmarkEnd w:id="193"/>
      <w:bookmarkEnd w:id="194"/>
      <w:bookmarkEnd w:id="195"/>
      <w:r w:rsidRPr="00FD7E86">
        <w:t xml:space="preserve"> </w:t>
      </w:r>
    </w:p>
    <w:p w14:paraId="46CED9D4" w14:textId="77777777" w:rsidR="000A1CD9" w:rsidRPr="00FD7E86" w:rsidRDefault="000A1CD9" w:rsidP="000A1CD9">
      <w:pPr>
        <w:pStyle w:val="Heading3"/>
      </w:pPr>
      <w:bookmarkStart w:id="196" w:name="_Toc399331712"/>
      <w:bookmarkStart w:id="197" w:name="_Toc399336893"/>
      <w:bookmarkStart w:id="198" w:name="_Toc402337492"/>
      <w:bookmarkStart w:id="199" w:name="_Toc462132190"/>
      <w:bookmarkStart w:id="200" w:name="_Toc462899538"/>
      <w:bookmarkStart w:id="201" w:name="_Toc433790290"/>
      <w:bookmarkStart w:id="202" w:name="_Toc463529018"/>
      <w:bookmarkStart w:id="203" w:name="_Toc465842842"/>
      <w:r w:rsidRPr="00FD7E86">
        <w:t>Number of services in operation</w:t>
      </w:r>
      <w:bookmarkEnd w:id="196"/>
      <w:bookmarkEnd w:id="197"/>
      <w:bookmarkEnd w:id="198"/>
      <w:bookmarkEnd w:id="199"/>
      <w:bookmarkEnd w:id="200"/>
      <w:bookmarkEnd w:id="201"/>
      <w:bookmarkEnd w:id="202"/>
      <w:bookmarkEnd w:id="203"/>
    </w:p>
    <w:p w14:paraId="088772A9" w14:textId="77777777" w:rsidR="000A1CD9" w:rsidRDefault="000A1CD9" w:rsidP="000A1CD9">
      <w:pPr>
        <w:rPr>
          <w:rFonts w:cs="Arial"/>
        </w:rPr>
      </w:pPr>
      <w:r>
        <w:rPr>
          <w:rFonts w:cs="Arial"/>
        </w:rPr>
        <w:t xml:space="preserve">Fixed-line services continued to decline in 2016. </w:t>
      </w:r>
    </w:p>
    <w:p w14:paraId="4F466C4D" w14:textId="77777777" w:rsidR="00D43856" w:rsidRPr="00F7555C" w:rsidRDefault="00D43856" w:rsidP="00D43856">
      <w:r w:rsidRPr="00F7555C">
        <w:rPr>
          <w:rFonts w:cs="Arial"/>
        </w:rPr>
        <w:t xml:space="preserve">There were 8.18 million retail and resale fixed-line telephone services in operation at June 2016, compared to 8.50 million services at June 2015 (Table 1.1), a net decline of four per cent. </w:t>
      </w:r>
      <w:r w:rsidRPr="00F7555C">
        <w:t>Telstra retail services accounted for 69 per cent of fixed-line telephone retail and resale services at June 2016.</w:t>
      </w:r>
    </w:p>
    <w:p w14:paraId="5BB59492" w14:textId="77777777" w:rsidR="000A1CD9" w:rsidRDefault="000A1CD9" w:rsidP="000A1CD9">
      <w:r>
        <w:t>In 2016</w:t>
      </w:r>
      <w:r w:rsidRPr="005D5F52">
        <w:t>,</w:t>
      </w:r>
      <w:r>
        <w:t xml:space="preserve"> Telstra experienced a further decline in the number of retail fixed voice lines in operation, reporting a loss of 271,000 services—a reduction of 4.5 per cent. This was similar to the rate of decline in 2014–15 (Table 1.1). </w:t>
      </w:r>
    </w:p>
    <w:p w14:paraId="601193A2" w14:textId="77777777" w:rsidR="000A1CD9" w:rsidRDefault="000A1CD9" w:rsidP="000A1CD9">
      <w:r>
        <w:t xml:space="preserve">Telstra’s fixed voice revenue decreased by 8.2 per cent </w:t>
      </w:r>
      <w:r w:rsidRPr="00C210AB">
        <w:t xml:space="preserve">to </w:t>
      </w:r>
      <w:r w:rsidRPr="009C1BE9">
        <w:t>$3.4 billion</w:t>
      </w:r>
      <w:r>
        <w:t xml:space="preserve">. However, the decline in fixed-voice revenue was partially offset by the growth in fixed-data revenue of 5.6 per cent </w:t>
      </w:r>
      <w:r w:rsidRPr="00C210AB">
        <w:t xml:space="preserve">to </w:t>
      </w:r>
      <w:r w:rsidRPr="009C1BE9">
        <w:t>$2.5 billion</w:t>
      </w:r>
      <w:r>
        <w:t>, which was the result of growth in subscribers.</w:t>
      </w:r>
      <w:r>
        <w:rPr>
          <w:rStyle w:val="EndnoteReference"/>
        </w:rPr>
        <w:endnoteReference w:id="2"/>
      </w:r>
      <w:r>
        <w:t xml:space="preserve"> </w:t>
      </w:r>
    </w:p>
    <w:p w14:paraId="1D598B97" w14:textId="77777777" w:rsidR="000A1CD9" w:rsidRDefault="000A1CD9" w:rsidP="009C1BE9">
      <w:pPr>
        <w:pStyle w:val="ACMATableHeader"/>
        <w:keepNext/>
        <w:keepLines/>
        <w:numPr>
          <w:ilvl w:val="0"/>
          <w:numId w:val="0"/>
        </w:numPr>
      </w:pPr>
      <w:r w:rsidRPr="0021106E">
        <w:t>Table 1.1</w:t>
      </w:r>
      <w:r>
        <w:tab/>
      </w:r>
      <w:r w:rsidRPr="0021106E">
        <w:t>Number of fixed-line telephone services in operation</w:t>
      </w:r>
    </w:p>
    <w:tbl>
      <w:tblPr>
        <w:tblW w:w="894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57" w:type="dxa"/>
          <w:left w:w="57" w:type="dxa"/>
          <w:bottom w:w="57" w:type="dxa"/>
          <w:right w:w="57" w:type="dxa"/>
        </w:tblCellMar>
        <w:tblLook w:val="01E0" w:firstRow="1" w:lastRow="1" w:firstColumn="1" w:lastColumn="1" w:noHBand="0" w:noVBand="0"/>
        <w:tblCaption w:val="Table 1.1 Number of fixed-line telephone services in operation"/>
      </w:tblPr>
      <w:tblGrid>
        <w:gridCol w:w="1839"/>
        <w:gridCol w:w="1210"/>
        <w:gridCol w:w="1210"/>
        <w:gridCol w:w="1210"/>
        <w:gridCol w:w="1210"/>
        <w:gridCol w:w="1130"/>
        <w:gridCol w:w="1134"/>
      </w:tblGrid>
      <w:tr w:rsidR="000A1CD9" w:rsidRPr="00B16C40" w14:paraId="7C3E2039" w14:textId="77777777" w:rsidTr="001B7940">
        <w:trPr>
          <w:trHeight w:val="454"/>
          <w:tblHeader/>
        </w:trPr>
        <w:tc>
          <w:tcPr>
            <w:tcW w:w="1839" w:type="dxa"/>
            <w:shd w:val="clear" w:color="auto" w:fill="FFFFFF" w:themeFill="background1"/>
          </w:tcPr>
          <w:p w14:paraId="0F4CDC40" w14:textId="77777777" w:rsidR="000A1CD9" w:rsidRPr="00101030" w:rsidRDefault="000A1CD9" w:rsidP="001B7940">
            <w:pPr>
              <w:pStyle w:val="ACMATableText"/>
              <w:keepNext/>
              <w:keepLines/>
              <w:spacing w:before="0" w:after="0"/>
              <w:rPr>
                <w:sz w:val="18"/>
                <w:szCs w:val="18"/>
              </w:rPr>
            </w:pPr>
          </w:p>
        </w:tc>
        <w:tc>
          <w:tcPr>
            <w:tcW w:w="1210" w:type="dxa"/>
            <w:shd w:val="clear" w:color="auto" w:fill="007298"/>
            <w:vAlign w:val="center"/>
          </w:tcPr>
          <w:p w14:paraId="12AA462A" w14:textId="77777777" w:rsidR="000A1CD9" w:rsidRPr="00A476E2" w:rsidRDefault="000A1CD9" w:rsidP="00FC618C">
            <w:pPr>
              <w:pStyle w:val="ACMATableText"/>
              <w:keepNext/>
              <w:keepLines/>
              <w:spacing w:before="0" w:after="0"/>
              <w:jc w:val="right"/>
              <w:rPr>
                <w:b/>
                <w:color w:val="FFFFFF" w:themeColor="background1"/>
                <w:sz w:val="18"/>
                <w:szCs w:val="24"/>
                <w:lang w:eastAsia="en-AU"/>
              </w:rPr>
            </w:pPr>
            <w:r w:rsidRPr="00A476E2">
              <w:rPr>
                <w:b/>
                <w:color w:val="FFFFFF" w:themeColor="background1"/>
                <w:sz w:val="18"/>
                <w:szCs w:val="24"/>
                <w:lang w:eastAsia="en-AU"/>
              </w:rPr>
              <w:t>Jun 12</w:t>
            </w:r>
            <w:r w:rsidRPr="00A476E2">
              <w:rPr>
                <w:b/>
                <w:color w:val="FFFFFF" w:themeColor="background1"/>
                <w:sz w:val="18"/>
                <w:szCs w:val="24"/>
                <w:lang w:eastAsia="en-AU"/>
              </w:rPr>
              <w:br/>
              <w:t>(million)</w:t>
            </w:r>
          </w:p>
        </w:tc>
        <w:tc>
          <w:tcPr>
            <w:tcW w:w="1210" w:type="dxa"/>
            <w:shd w:val="clear" w:color="auto" w:fill="007298"/>
            <w:vAlign w:val="center"/>
          </w:tcPr>
          <w:p w14:paraId="2952749A" w14:textId="77777777" w:rsidR="000A1CD9" w:rsidRPr="00A476E2" w:rsidRDefault="000A1CD9" w:rsidP="00FC618C">
            <w:pPr>
              <w:pStyle w:val="ACMATableText"/>
              <w:keepNext/>
              <w:keepLines/>
              <w:spacing w:before="0" w:after="0"/>
              <w:jc w:val="right"/>
              <w:rPr>
                <w:b/>
                <w:color w:val="FFFFFF" w:themeColor="background1"/>
                <w:sz w:val="18"/>
                <w:szCs w:val="24"/>
                <w:lang w:eastAsia="en-AU"/>
              </w:rPr>
            </w:pPr>
            <w:r w:rsidRPr="00A476E2">
              <w:rPr>
                <w:b/>
                <w:color w:val="FFFFFF" w:themeColor="background1"/>
                <w:sz w:val="18"/>
                <w:szCs w:val="24"/>
                <w:lang w:eastAsia="en-AU"/>
              </w:rPr>
              <w:t>Jun 13</w:t>
            </w:r>
            <w:r w:rsidRPr="00A476E2">
              <w:rPr>
                <w:b/>
                <w:color w:val="FFFFFF" w:themeColor="background1"/>
                <w:sz w:val="18"/>
                <w:szCs w:val="24"/>
                <w:lang w:eastAsia="en-AU"/>
              </w:rPr>
              <w:br/>
              <w:t>(million)</w:t>
            </w:r>
          </w:p>
        </w:tc>
        <w:tc>
          <w:tcPr>
            <w:tcW w:w="1210" w:type="dxa"/>
            <w:shd w:val="clear" w:color="auto" w:fill="007298"/>
            <w:vAlign w:val="center"/>
          </w:tcPr>
          <w:p w14:paraId="5B500C63" w14:textId="77777777" w:rsidR="000A1CD9" w:rsidRPr="00A476E2" w:rsidRDefault="000A1CD9" w:rsidP="00FC618C">
            <w:pPr>
              <w:pStyle w:val="ACMATableText"/>
              <w:keepNext/>
              <w:keepLines/>
              <w:spacing w:before="0" w:after="0"/>
              <w:jc w:val="right"/>
              <w:rPr>
                <w:b/>
                <w:color w:val="FFFFFF" w:themeColor="background1"/>
                <w:sz w:val="18"/>
                <w:szCs w:val="24"/>
                <w:lang w:eastAsia="en-AU"/>
              </w:rPr>
            </w:pPr>
            <w:r w:rsidRPr="00A476E2">
              <w:rPr>
                <w:b/>
                <w:color w:val="FFFFFF" w:themeColor="background1"/>
                <w:sz w:val="18"/>
                <w:szCs w:val="24"/>
                <w:lang w:eastAsia="en-AU"/>
              </w:rPr>
              <w:t>Jun 14</w:t>
            </w:r>
            <w:r w:rsidRPr="00A476E2">
              <w:rPr>
                <w:b/>
                <w:color w:val="FFFFFF" w:themeColor="background1"/>
                <w:sz w:val="18"/>
                <w:szCs w:val="24"/>
                <w:lang w:eastAsia="en-AU"/>
              </w:rPr>
              <w:br/>
              <w:t>(million)</w:t>
            </w:r>
          </w:p>
        </w:tc>
        <w:tc>
          <w:tcPr>
            <w:tcW w:w="1210" w:type="dxa"/>
            <w:shd w:val="clear" w:color="auto" w:fill="007298"/>
            <w:vAlign w:val="center"/>
          </w:tcPr>
          <w:p w14:paraId="28F82701" w14:textId="77777777" w:rsidR="000A1CD9" w:rsidRPr="00A476E2" w:rsidRDefault="000A1CD9" w:rsidP="00FC618C">
            <w:pPr>
              <w:pStyle w:val="ACMATableText"/>
              <w:keepNext/>
              <w:keepLines/>
              <w:spacing w:before="0" w:after="0"/>
              <w:jc w:val="right"/>
              <w:rPr>
                <w:b/>
                <w:color w:val="FFFFFF" w:themeColor="background1"/>
                <w:sz w:val="18"/>
                <w:szCs w:val="24"/>
                <w:lang w:eastAsia="en-AU"/>
              </w:rPr>
            </w:pPr>
            <w:r w:rsidRPr="00A476E2">
              <w:rPr>
                <w:b/>
                <w:color w:val="FFFFFF" w:themeColor="background1"/>
                <w:sz w:val="18"/>
                <w:szCs w:val="24"/>
                <w:lang w:eastAsia="en-AU"/>
              </w:rPr>
              <w:t>Jun 15</w:t>
            </w:r>
            <w:r w:rsidRPr="00A476E2">
              <w:rPr>
                <w:b/>
                <w:color w:val="FFFFFF" w:themeColor="background1"/>
                <w:sz w:val="18"/>
                <w:szCs w:val="24"/>
                <w:lang w:eastAsia="en-AU"/>
              </w:rPr>
              <w:br/>
              <w:t>(million)</w:t>
            </w:r>
          </w:p>
        </w:tc>
        <w:tc>
          <w:tcPr>
            <w:tcW w:w="1130" w:type="dxa"/>
            <w:shd w:val="clear" w:color="auto" w:fill="007298"/>
            <w:vAlign w:val="center"/>
          </w:tcPr>
          <w:p w14:paraId="52FD2090" w14:textId="77777777" w:rsidR="000A1CD9" w:rsidRPr="00A476E2" w:rsidRDefault="000A1CD9" w:rsidP="00FC618C">
            <w:pPr>
              <w:pStyle w:val="ACMATableText"/>
              <w:keepNext/>
              <w:keepLines/>
              <w:spacing w:before="0" w:after="0"/>
              <w:jc w:val="right"/>
              <w:rPr>
                <w:b/>
                <w:color w:val="FFFFFF" w:themeColor="background1"/>
                <w:sz w:val="18"/>
                <w:szCs w:val="24"/>
                <w:lang w:eastAsia="en-AU"/>
              </w:rPr>
            </w:pPr>
            <w:r w:rsidRPr="00A476E2">
              <w:rPr>
                <w:b/>
                <w:color w:val="FFFFFF" w:themeColor="background1"/>
                <w:sz w:val="18"/>
                <w:szCs w:val="24"/>
                <w:lang w:eastAsia="en-AU"/>
              </w:rPr>
              <w:t>Jun 16</w:t>
            </w:r>
            <w:r w:rsidRPr="00A476E2">
              <w:rPr>
                <w:b/>
                <w:color w:val="FFFFFF" w:themeColor="background1"/>
                <w:sz w:val="18"/>
                <w:szCs w:val="24"/>
                <w:lang w:eastAsia="en-AU"/>
              </w:rPr>
              <w:br/>
              <w:t>(million)</w:t>
            </w:r>
          </w:p>
        </w:tc>
        <w:tc>
          <w:tcPr>
            <w:tcW w:w="1134" w:type="dxa"/>
            <w:shd w:val="clear" w:color="auto" w:fill="007298"/>
            <w:vAlign w:val="center"/>
            <w:hideMark/>
          </w:tcPr>
          <w:p w14:paraId="53D70DED" w14:textId="77777777" w:rsidR="000A1CD9" w:rsidRPr="00A476E2" w:rsidRDefault="000A1CD9" w:rsidP="00FC618C">
            <w:pPr>
              <w:pStyle w:val="ACMATableText"/>
              <w:keepNext/>
              <w:keepLines/>
              <w:spacing w:before="0" w:after="0"/>
              <w:jc w:val="right"/>
              <w:rPr>
                <w:b/>
                <w:color w:val="FFFFFF" w:themeColor="background1"/>
                <w:sz w:val="18"/>
                <w:szCs w:val="24"/>
                <w:lang w:eastAsia="en-AU"/>
              </w:rPr>
            </w:pPr>
            <w:r w:rsidRPr="00A476E2">
              <w:rPr>
                <w:b/>
                <w:color w:val="FFFFFF" w:themeColor="background1"/>
                <w:sz w:val="18"/>
                <w:szCs w:val="24"/>
                <w:lang w:eastAsia="en-AU"/>
              </w:rPr>
              <w:t>2015–16 change (%)</w:t>
            </w:r>
          </w:p>
        </w:tc>
      </w:tr>
      <w:tr w:rsidR="000A1CD9" w:rsidRPr="00B16C40" w14:paraId="6C9E6EA8" w14:textId="77777777" w:rsidTr="001B7940">
        <w:trPr>
          <w:trHeight w:val="86"/>
        </w:trPr>
        <w:tc>
          <w:tcPr>
            <w:tcW w:w="1839" w:type="dxa"/>
            <w:shd w:val="clear" w:color="auto" w:fill="7FB8CB"/>
          </w:tcPr>
          <w:p w14:paraId="766736D2" w14:textId="77777777" w:rsidR="000A1CD9" w:rsidRPr="006E7298" w:rsidRDefault="000A1CD9" w:rsidP="001B7940">
            <w:pPr>
              <w:pStyle w:val="ACMATableText"/>
              <w:keepNext/>
              <w:keepLines/>
              <w:spacing w:before="0" w:after="0"/>
              <w:rPr>
                <w:color w:val="FFFFFF" w:themeColor="background1"/>
                <w:sz w:val="18"/>
                <w:szCs w:val="18"/>
              </w:rPr>
            </w:pPr>
            <w:r w:rsidRPr="006E7298">
              <w:rPr>
                <w:color w:val="FFFFFF" w:themeColor="background1"/>
                <w:sz w:val="18"/>
                <w:szCs w:val="18"/>
              </w:rPr>
              <w:t xml:space="preserve">Total retail </w:t>
            </w:r>
            <w:r w:rsidRPr="006E7298">
              <w:rPr>
                <w:color w:val="FFFFFF" w:themeColor="background1"/>
                <w:sz w:val="18"/>
                <w:szCs w:val="18"/>
              </w:rPr>
              <w:br/>
              <w:t>and resale</w:t>
            </w:r>
          </w:p>
        </w:tc>
        <w:tc>
          <w:tcPr>
            <w:tcW w:w="1210" w:type="dxa"/>
            <w:shd w:val="clear" w:color="auto" w:fill="D2E1E9"/>
          </w:tcPr>
          <w:p w14:paraId="70AF09E7" w14:textId="77777777" w:rsidR="000A1CD9" w:rsidRPr="00101030" w:rsidRDefault="000A1CD9" w:rsidP="00FC618C">
            <w:pPr>
              <w:pStyle w:val="ACMATableText"/>
              <w:keepNext/>
              <w:keepLines/>
              <w:spacing w:before="0" w:after="0"/>
              <w:jc w:val="right"/>
              <w:rPr>
                <w:sz w:val="18"/>
                <w:szCs w:val="18"/>
              </w:rPr>
            </w:pPr>
            <w:r w:rsidRPr="00101030">
              <w:rPr>
                <w:sz w:val="18"/>
                <w:szCs w:val="18"/>
              </w:rPr>
              <w:t xml:space="preserve">9.67 </w:t>
            </w:r>
          </w:p>
        </w:tc>
        <w:tc>
          <w:tcPr>
            <w:tcW w:w="1210" w:type="dxa"/>
            <w:shd w:val="clear" w:color="auto" w:fill="D2E1E9"/>
          </w:tcPr>
          <w:p w14:paraId="061BC740" w14:textId="77777777" w:rsidR="000A1CD9" w:rsidRPr="00101030" w:rsidRDefault="000A1CD9" w:rsidP="00FC618C">
            <w:pPr>
              <w:pStyle w:val="ACMATableText"/>
              <w:keepNext/>
              <w:keepLines/>
              <w:spacing w:before="0" w:after="0"/>
              <w:jc w:val="right"/>
              <w:rPr>
                <w:sz w:val="18"/>
                <w:szCs w:val="18"/>
              </w:rPr>
            </w:pPr>
            <w:r w:rsidRPr="00101030">
              <w:rPr>
                <w:sz w:val="18"/>
                <w:szCs w:val="18"/>
              </w:rPr>
              <w:t xml:space="preserve">9.42 </w:t>
            </w:r>
          </w:p>
        </w:tc>
        <w:tc>
          <w:tcPr>
            <w:tcW w:w="1210" w:type="dxa"/>
            <w:shd w:val="clear" w:color="auto" w:fill="D2E1E9"/>
          </w:tcPr>
          <w:p w14:paraId="72B79E1D" w14:textId="77777777" w:rsidR="000A1CD9" w:rsidRPr="00101030" w:rsidRDefault="000A1CD9" w:rsidP="00FC618C">
            <w:pPr>
              <w:pStyle w:val="ACMATableText"/>
              <w:keepNext/>
              <w:keepLines/>
              <w:spacing w:before="0" w:after="0"/>
              <w:jc w:val="right"/>
              <w:rPr>
                <w:sz w:val="18"/>
                <w:szCs w:val="18"/>
              </w:rPr>
            </w:pPr>
            <w:r w:rsidRPr="00101030">
              <w:rPr>
                <w:sz w:val="18"/>
                <w:szCs w:val="18"/>
              </w:rPr>
              <w:t xml:space="preserve">9.19 </w:t>
            </w:r>
          </w:p>
        </w:tc>
        <w:tc>
          <w:tcPr>
            <w:tcW w:w="1210" w:type="dxa"/>
            <w:shd w:val="clear" w:color="auto" w:fill="D2E1E9"/>
          </w:tcPr>
          <w:p w14:paraId="0939C3C3" w14:textId="77777777" w:rsidR="000A1CD9" w:rsidRPr="00F7555C" w:rsidRDefault="00D43856" w:rsidP="00FC618C">
            <w:pPr>
              <w:pStyle w:val="ACMATableText"/>
              <w:keepNext/>
              <w:keepLines/>
              <w:spacing w:before="0" w:after="0"/>
              <w:jc w:val="right"/>
              <w:rPr>
                <w:sz w:val="18"/>
                <w:szCs w:val="18"/>
              </w:rPr>
            </w:pPr>
            <w:r w:rsidRPr="00F7555C">
              <w:rPr>
                <w:sz w:val="18"/>
                <w:szCs w:val="18"/>
              </w:rPr>
              <w:t>8.50</w:t>
            </w:r>
            <w:r w:rsidR="000A1CD9" w:rsidRPr="00F7555C">
              <w:rPr>
                <w:sz w:val="18"/>
                <w:szCs w:val="18"/>
              </w:rPr>
              <w:t xml:space="preserve"> </w:t>
            </w:r>
          </w:p>
        </w:tc>
        <w:tc>
          <w:tcPr>
            <w:tcW w:w="1130" w:type="dxa"/>
            <w:shd w:val="clear" w:color="auto" w:fill="D2E1E9"/>
          </w:tcPr>
          <w:p w14:paraId="0817C1D2" w14:textId="77777777" w:rsidR="000A1CD9" w:rsidRPr="00F7555C" w:rsidRDefault="00D43856" w:rsidP="00FC618C">
            <w:pPr>
              <w:pStyle w:val="ACMATableText"/>
              <w:keepNext/>
              <w:keepLines/>
              <w:spacing w:before="0" w:after="0"/>
              <w:jc w:val="right"/>
              <w:rPr>
                <w:sz w:val="18"/>
                <w:szCs w:val="18"/>
              </w:rPr>
            </w:pPr>
            <w:r w:rsidRPr="00F7555C">
              <w:rPr>
                <w:sz w:val="18"/>
                <w:szCs w:val="18"/>
              </w:rPr>
              <w:t>8.18</w:t>
            </w:r>
          </w:p>
        </w:tc>
        <w:tc>
          <w:tcPr>
            <w:tcW w:w="1134" w:type="dxa"/>
            <w:shd w:val="clear" w:color="auto" w:fill="D2E1E9"/>
          </w:tcPr>
          <w:p w14:paraId="12734EB0" w14:textId="77777777" w:rsidR="000A1CD9" w:rsidRPr="00F7555C" w:rsidRDefault="00D43856" w:rsidP="00FC618C">
            <w:pPr>
              <w:pStyle w:val="ACMATableText"/>
              <w:keepNext/>
              <w:keepLines/>
              <w:spacing w:before="0" w:after="0"/>
              <w:jc w:val="right"/>
              <w:rPr>
                <w:sz w:val="18"/>
                <w:szCs w:val="18"/>
              </w:rPr>
            </w:pPr>
            <w:r w:rsidRPr="00F7555C">
              <w:rPr>
                <w:sz w:val="18"/>
                <w:szCs w:val="18"/>
              </w:rPr>
              <w:t>–</w:t>
            </w:r>
            <w:r w:rsidR="00EE00D1" w:rsidRPr="00F7555C">
              <w:rPr>
                <w:sz w:val="18"/>
                <w:szCs w:val="18"/>
              </w:rPr>
              <w:t>3</w:t>
            </w:r>
            <w:r w:rsidRPr="00F7555C">
              <w:rPr>
                <w:sz w:val="18"/>
                <w:szCs w:val="18"/>
              </w:rPr>
              <w:t>.</w:t>
            </w:r>
            <w:r w:rsidR="00EE00D1" w:rsidRPr="00F7555C">
              <w:rPr>
                <w:sz w:val="18"/>
                <w:szCs w:val="18"/>
              </w:rPr>
              <w:t>8</w:t>
            </w:r>
          </w:p>
        </w:tc>
      </w:tr>
      <w:tr w:rsidR="000A1CD9" w:rsidRPr="00B16C40" w14:paraId="1C6B54E1" w14:textId="77777777" w:rsidTr="001B7940">
        <w:trPr>
          <w:trHeight w:val="207"/>
        </w:trPr>
        <w:tc>
          <w:tcPr>
            <w:tcW w:w="1839" w:type="dxa"/>
            <w:shd w:val="clear" w:color="auto" w:fill="7FB8CB"/>
          </w:tcPr>
          <w:p w14:paraId="15081021" w14:textId="77777777" w:rsidR="000A1CD9" w:rsidRPr="006E7298" w:rsidRDefault="000A1CD9" w:rsidP="001B7940">
            <w:pPr>
              <w:pStyle w:val="ACMATableText"/>
              <w:keepNext/>
              <w:keepLines/>
              <w:spacing w:before="0" w:after="0"/>
              <w:rPr>
                <w:color w:val="FFFFFF" w:themeColor="background1"/>
                <w:sz w:val="18"/>
                <w:szCs w:val="18"/>
              </w:rPr>
            </w:pPr>
            <w:r w:rsidRPr="006E7298">
              <w:rPr>
                <w:color w:val="FFFFFF" w:themeColor="background1"/>
                <w:sz w:val="18"/>
                <w:szCs w:val="18"/>
              </w:rPr>
              <w:t xml:space="preserve">Total Telstra </w:t>
            </w:r>
            <w:r w:rsidRPr="006E7298">
              <w:rPr>
                <w:color w:val="FFFFFF" w:themeColor="background1"/>
                <w:sz w:val="18"/>
                <w:szCs w:val="18"/>
              </w:rPr>
              <w:br/>
              <w:t>(retail only)</w:t>
            </w:r>
          </w:p>
        </w:tc>
        <w:tc>
          <w:tcPr>
            <w:tcW w:w="1210" w:type="dxa"/>
            <w:shd w:val="clear" w:color="auto" w:fill="D2E1E9"/>
          </w:tcPr>
          <w:p w14:paraId="715F8772" w14:textId="77777777" w:rsidR="000A1CD9" w:rsidRPr="00101030" w:rsidRDefault="000A1CD9" w:rsidP="00FC618C">
            <w:pPr>
              <w:pStyle w:val="ACMATableText"/>
              <w:keepNext/>
              <w:keepLines/>
              <w:spacing w:before="0" w:after="0"/>
              <w:jc w:val="right"/>
              <w:rPr>
                <w:sz w:val="18"/>
                <w:szCs w:val="18"/>
              </w:rPr>
            </w:pPr>
            <w:r w:rsidRPr="00101030">
              <w:rPr>
                <w:sz w:val="18"/>
                <w:szCs w:val="18"/>
              </w:rPr>
              <w:t xml:space="preserve">6.88 </w:t>
            </w:r>
          </w:p>
        </w:tc>
        <w:tc>
          <w:tcPr>
            <w:tcW w:w="1210" w:type="dxa"/>
            <w:shd w:val="clear" w:color="auto" w:fill="D2E1E9"/>
          </w:tcPr>
          <w:p w14:paraId="78DC08DC" w14:textId="77777777" w:rsidR="000A1CD9" w:rsidRPr="00101030" w:rsidRDefault="000A1CD9" w:rsidP="00FC618C">
            <w:pPr>
              <w:pStyle w:val="ACMATableText"/>
              <w:keepNext/>
              <w:keepLines/>
              <w:spacing w:before="0" w:after="0"/>
              <w:jc w:val="right"/>
              <w:rPr>
                <w:sz w:val="18"/>
                <w:szCs w:val="18"/>
              </w:rPr>
            </w:pPr>
            <w:r w:rsidRPr="00101030">
              <w:rPr>
                <w:sz w:val="18"/>
                <w:szCs w:val="18"/>
              </w:rPr>
              <w:t xml:space="preserve">6.53 </w:t>
            </w:r>
          </w:p>
        </w:tc>
        <w:tc>
          <w:tcPr>
            <w:tcW w:w="1210" w:type="dxa"/>
            <w:shd w:val="clear" w:color="auto" w:fill="D2E1E9"/>
          </w:tcPr>
          <w:p w14:paraId="2C4CE838" w14:textId="77777777" w:rsidR="000A1CD9" w:rsidRPr="00101030" w:rsidRDefault="000A1CD9" w:rsidP="00FC618C">
            <w:pPr>
              <w:pStyle w:val="ACMATableText"/>
              <w:keepNext/>
              <w:keepLines/>
              <w:spacing w:before="0" w:after="0"/>
              <w:jc w:val="right"/>
              <w:rPr>
                <w:sz w:val="18"/>
                <w:szCs w:val="18"/>
              </w:rPr>
            </w:pPr>
            <w:r w:rsidRPr="00101030">
              <w:rPr>
                <w:sz w:val="18"/>
                <w:szCs w:val="18"/>
              </w:rPr>
              <w:t xml:space="preserve">6.25 </w:t>
            </w:r>
          </w:p>
        </w:tc>
        <w:tc>
          <w:tcPr>
            <w:tcW w:w="1210" w:type="dxa"/>
            <w:shd w:val="clear" w:color="auto" w:fill="D2E1E9"/>
          </w:tcPr>
          <w:p w14:paraId="1D756F68" w14:textId="77777777" w:rsidR="000A1CD9" w:rsidRPr="00101030" w:rsidRDefault="000A1CD9" w:rsidP="00FC618C">
            <w:pPr>
              <w:pStyle w:val="ACMATableText"/>
              <w:keepNext/>
              <w:keepLines/>
              <w:spacing w:before="0" w:after="0"/>
              <w:jc w:val="right"/>
              <w:rPr>
                <w:sz w:val="18"/>
                <w:szCs w:val="18"/>
              </w:rPr>
            </w:pPr>
            <w:r w:rsidRPr="00101030">
              <w:rPr>
                <w:sz w:val="18"/>
                <w:szCs w:val="18"/>
              </w:rPr>
              <w:t xml:space="preserve">5.98 </w:t>
            </w:r>
          </w:p>
        </w:tc>
        <w:tc>
          <w:tcPr>
            <w:tcW w:w="1130" w:type="dxa"/>
            <w:shd w:val="clear" w:color="auto" w:fill="D2E1E9"/>
          </w:tcPr>
          <w:p w14:paraId="3D3FB210" w14:textId="77777777" w:rsidR="000A1CD9" w:rsidRPr="00101030" w:rsidRDefault="000A1CD9" w:rsidP="00FC618C">
            <w:pPr>
              <w:pStyle w:val="ACMATableText"/>
              <w:keepNext/>
              <w:keepLines/>
              <w:spacing w:before="0" w:after="0"/>
              <w:jc w:val="right"/>
              <w:rPr>
                <w:sz w:val="18"/>
                <w:szCs w:val="18"/>
                <w:highlight w:val="yellow"/>
              </w:rPr>
            </w:pPr>
            <w:r w:rsidRPr="00101030">
              <w:rPr>
                <w:sz w:val="18"/>
                <w:szCs w:val="18"/>
              </w:rPr>
              <w:t xml:space="preserve">5.71 </w:t>
            </w:r>
          </w:p>
        </w:tc>
        <w:tc>
          <w:tcPr>
            <w:tcW w:w="1134" w:type="dxa"/>
            <w:shd w:val="clear" w:color="auto" w:fill="D2E1E9"/>
          </w:tcPr>
          <w:p w14:paraId="4F9EDC04" w14:textId="77777777" w:rsidR="000A1CD9" w:rsidRPr="00101030" w:rsidRDefault="00D1767F" w:rsidP="00FC618C">
            <w:pPr>
              <w:pStyle w:val="ACMATableText"/>
              <w:keepNext/>
              <w:keepLines/>
              <w:spacing w:before="0" w:after="0"/>
              <w:jc w:val="right"/>
              <w:rPr>
                <w:sz w:val="18"/>
                <w:szCs w:val="18"/>
                <w:highlight w:val="yellow"/>
              </w:rPr>
            </w:pPr>
            <w:r>
              <w:rPr>
                <w:rFonts w:cs="Arial"/>
                <w:sz w:val="18"/>
                <w:szCs w:val="18"/>
              </w:rPr>
              <w:t>−</w:t>
            </w:r>
            <w:r w:rsidR="000A1CD9" w:rsidRPr="00101030">
              <w:rPr>
                <w:sz w:val="18"/>
                <w:szCs w:val="18"/>
              </w:rPr>
              <w:t>4.5</w:t>
            </w:r>
          </w:p>
        </w:tc>
      </w:tr>
    </w:tbl>
    <w:p w14:paraId="5CA403E5" w14:textId="77777777" w:rsidR="000273F4" w:rsidRPr="00F7555C" w:rsidRDefault="000273F4" w:rsidP="009C1BE9">
      <w:pPr>
        <w:pStyle w:val="ACMANotes"/>
        <w:keepNext/>
        <w:keepLines/>
      </w:pPr>
      <w:r w:rsidRPr="00F7555C">
        <w:t>*Due to a change in methodology in 2016, data reported here differs from data reported in previous communications reports.</w:t>
      </w:r>
      <w:r w:rsidR="00F7555C">
        <w:t xml:space="preserve"> </w:t>
      </w:r>
      <w:r w:rsidRPr="00F7555C">
        <w:t>2015 data has been revised to reflect this change.</w:t>
      </w:r>
    </w:p>
    <w:p w14:paraId="1B363EF6" w14:textId="77777777" w:rsidR="000A1CD9" w:rsidRPr="00B25349" w:rsidRDefault="000A1CD9" w:rsidP="009C1BE9">
      <w:pPr>
        <w:pStyle w:val="ACMANotes"/>
        <w:keepNext/>
        <w:keepLines/>
      </w:pPr>
      <w:r w:rsidRPr="00B25349">
        <w:t>Note: Percentage changes are calculated on non-rounded data.</w:t>
      </w:r>
    </w:p>
    <w:p w14:paraId="0B1A23E2" w14:textId="6F586AD8" w:rsidR="000A1CD9" w:rsidRDefault="000A1CD9" w:rsidP="009C1BE9">
      <w:pPr>
        <w:pStyle w:val="ACMANotes"/>
        <w:keepNext/>
        <w:keepLines/>
      </w:pPr>
      <w:r w:rsidRPr="005D29B0">
        <w:t xml:space="preserve">Source: </w:t>
      </w:r>
      <w:r w:rsidR="000273F4" w:rsidRPr="00F7555C">
        <w:t xml:space="preserve">2016 figure is ACCC retail and resale data collected from the providers stated in the Division 12 Record Keeping Rules. 2015 </w:t>
      </w:r>
      <w:r w:rsidR="00FD39F8" w:rsidRPr="00F7555C">
        <w:t xml:space="preserve">data </w:t>
      </w:r>
      <w:r w:rsidR="000273F4" w:rsidRPr="00F7555C">
        <w:t>has been revised to be consistent with the 2016 data collection method. 2014 is ACCC and ACMA retail and resale data</w:t>
      </w:r>
      <w:r w:rsidR="006A6038">
        <w:t> </w:t>
      </w:r>
      <w:r w:rsidR="000273F4" w:rsidRPr="00F7555C">
        <w:t>collected from the top six service providers. 2012 and 2013 figures are ACMA retail and resale data collected from these service providers.</w:t>
      </w:r>
      <w:bookmarkStart w:id="204" w:name="_Toc371588978"/>
      <w:bookmarkStart w:id="205" w:name="_Toc373149040"/>
      <w:bookmarkStart w:id="206" w:name="_Toc399331713"/>
      <w:bookmarkStart w:id="207" w:name="_Toc399336894"/>
    </w:p>
    <w:p w14:paraId="04DF57A4" w14:textId="77777777" w:rsidR="000A1CD9" w:rsidRPr="00795834" w:rsidRDefault="000A1CD9" w:rsidP="000A1CD9">
      <w:pPr>
        <w:pStyle w:val="ACMASpaceaftertable"/>
      </w:pPr>
    </w:p>
    <w:p w14:paraId="0731ED72" w14:textId="77777777" w:rsidR="000A1CD9" w:rsidRPr="00FD7E86" w:rsidRDefault="000A1CD9" w:rsidP="000A1CD9">
      <w:pPr>
        <w:pStyle w:val="Heading3"/>
      </w:pPr>
      <w:bookmarkStart w:id="208" w:name="_Toc462132191"/>
      <w:bookmarkStart w:id="209" w:name="_Toc465842843"/>
      <w:bookmarkEnd w:id="204"/>
      <w:bookmarkEnd w:id="205"/>
      <w:bookmarkEnd w:id="206"/>
      <w:bookmarkEnd w:id="207"/>
      <w:r w:rsidRPr="00FD7E86">
        <w:lastRenderedPageBreak/>
        <w:t xml:space="preserve">Growth in </w:t>
      </w:r>
      <w:r w:rsidRPr="00795834">
        <w:t>mobile</w:t>
      </w:r>
      <w:r w:rsidR="001E01E9">
        <w:t xml:space="preserve"> </w:t>
      </w:r>
      <w:r w:rsidRPr="00FD7E86">
        <w:t>phone-only consumers</w:t>
      </w:r>
      <w:bookmarkEnd w:id="208"/>
      <w:bookmarkEnd w:id="209"/>
    </w:p>
    <w:p w14:paraId="216EF11A" w14:textId="77777777" w:rsidR="000A1CD9" w:rsidRPr="00FD7E86" w:rsidRDefault="00EE30ED" w:rsidP="00A476E2">
      <w:pPr>
        <w:keepLines/>
        <w:rPr>
          <w:rFonts w:cs="Arial"/>
        </w:rPr>
      </w:pPr>
      <w:r>
        <w:rPr>
          <w:rFonts w:cs="Arial"/>
        </w:rPr>
        <w:t xml:space="preserve">In 2015–16, the number of adults with a mobile phone and no fixed-line telephone at home increased further (fixed internet not included, see Chapter 2 for fixed internet use). </w:t>
      </w:r>
      <w:r w:rsidR="000A1CD9">
        <w:rPr>
          <w:rFonts w:cs="Arial"/>
        </w:rPr>
        <w:t>At June 2016</w:t>
      </w:r>
      <w:r w:rsidR="000A1CD9" w:rsidRPr="005905F2">
        <w:rPr>
          <w:rFonts w:cs="Arial"/>
        </w:rPr>
        <w:t>, 31 per cent of the total adult population—</w:t>
      </w:r>
      <w:r w:rsidR="000A1CD9">
        <w:rPr>
          <w:rFonts w:cs="Arial"/>
        </w:rPr>
        <w:t>5.8</w:t>
      </w:r>
      <w:r w:rsidR="000A1CD9" w:rsidRPr="005905F2">
        <w:rPr>
          <w:rFonts w:cs="Arial"/>
        </w:rPr>
        <w:t xml:space="preserve"> million Australians aged 18 years and over—</w:t>
      </w:r>
      <w:r w:rsidR="002D5F5C">
        <w:rPr>
          <w:rFonts w:cs="Arial"/>
        </w:rPr>
        <w:t>was</w:t>
      </w:r>
      <w:r w:rsidR="002D5F5C" w:rsidRPr="00FD7E86">
        <w:rPr>
          <w:rFonts w:cs="Arial"/>
        </w:rPr>
        <w:t xml:space="preserve"> </w:t>
      </w:r>
      <w:r w:rsidR="000A1CD9" w:rsidRPr="00FD7E86">
        <w:rPr>
          <w:rFonts w:cs="Arial"/>
        </w:rPr>
        <w:t xml:space="preserve">estimated to be without a fixed-line telephone service in the home, an increase of </w:t>
      </w:r>
      <w:r w:rsidR="000A1CD9">
        <w:rPr>
          <w:rFonts w:cs="Arial"/>
        </w:rPr>
        <w:t>two</w:t>
      </w:r>
      <w:r w:rsidR="000A1CD9" w:rsidRPr="00FD7E86">
        <w:rPr>
          <w:rFonts w:cs="Arial"/>
        </w:rPr>
        <w:t xml:space="preserve"> p</w:t>
      </w:r>
      <w:r w:rsidR="000A1CD9">
        <w:rPr>
          <w:rFonts w:cs="Arial"/>
        </w:rPr>
        <w:t xml:space="preserve">ercentage points since June 2015 (similar to the previous year; see </w:t>
      </w:r>
      <w:r w:rsidR="000A1CD9" w:rsidRPr="00FD7E86">
        <w:rPr>
          <w:rFonts w:cs="Arial"/>
        </w:rPr>
        <w:t xml:space="preserve">Figure 1.1). </w:t>
      </w:r>
      <w:bookmarkStart w:id="210" w:name="_Ref398119410"/>
    </w:p>
    <w:p w14:paraId="38243F3F" w14:textId="77777777" w:rsidR="000A1CD9" w:rsidRPr="007B185A" w:rsidRDefault="000A1CD9" w:rsidP="00604073">
      <w:pPr>
        <w:pStyle w:val="ACMAFigureHeader"/>
        <w:keepNext/>
      </w:pPr>
      <w:r w:rsidRPr="00645B4A">
        <w:t>Figure</w:t>
      </w:r>
      <w:r w:rsidRPr="00321270">
        <w:t xml:space="preserve"> 1.</w:t>
      </w:r>
      <w:r w:rsidR="00484C11">
        <w:fldChar w:fldCharType="begin"/>
      </w:r>
      <w:r w:rsidR="00484C11">
        <w:instrText xml:space="preserve"> SEQ Figure \* ARABIC </w:instrText>
      </w:r>
      <w:r w:rsidR="00484C11">
        <w:fldChar w:fldCharType="separate"/>
      </w:r>
      <w:r w:rsidR="00625DDF">
        <w:rPr>
          <w:noProof/>
        </w:rPr>
        <w:t>1</w:t>
      </w:r>
      <w:r w:rsidR="00484C11">
        <w:rPr>
          <w:noProof/>
        </w:rPr>
        <w:fldChar w:fldCharType="end"/>
      </w:r>
      <w:bookmarkEnd w:id="210"/>
      <w:r>
        <w:tab/>
      </w:r>
      <w:r w:rsidRPr="00321270">
        <w:t xml:space="preserve">Growth in population with a mobile phone and no fixed-line telephone </w:t>
      </w:r>
      <w:r w:rsidRPr="009C1BE9">
        <w:t>(millions)</w:t>
      </w:r>
    </w:p>
    <w:p w14:paraId="619B34B1" w14:textId="77777777" w:rsidR="000A1CD9" w:rsidRPr="00231854" w:rsidRDefault="00A50C4C" w:rsidP="00DA5CD2">
      <w:pPr>
        <w:pStyle w:val="ACMATableText"/>
        <w:spacing w:before="0"/>
      </w:pPr>
      <w:r>
        <w:rPr>
          <w:noProof/>
          <w:lang w:eastAsia="en-AU"/>
        </w:rPr>
        <w:drawing>
          <wp:inline distT="0" distB="0" distL="0" distR="0" wp14:anchorId="372E4344" wp14:editId="0E82F33B">
            <wp:extent cx="6176010" cy="3067200"/>
            <wp:effectExtent l="0" t="0" r="0" b="0"/>
            <wp:docPr id="17" name="Picture 17" descr="Data for Figure 1.1 is in the .ods file for Chapter 1 on the landing page ‘Communications report 2015-16’, available from the ACMA website." title="Figure 1.1  Growth in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1_Figure 1.1.png"/>
                    <pic:cNvPicPr/>
                  </pic:nvPicPr>
                  <pic:blipFill rotWithShape="1">
                    <a:blip r:embed="rId34">
                      <a:extLst>
                        <a:ext uri="{28A0092B-C50C-407E-A947-70E740481C1C}">
                          <a14:useLocalDpi xmlns:a14="http://schemas.microsoft.com/office/drawing/2010/main" val="0"/>
                        </a:ext>
                      </a:extLst>
                    </a:blip>
                    <a:srcRect l="809" t="916" b="1464"/>
                    <a:stretch/>
                  </pic:blipFill>
                  <pic:spPr bwMode="auto">
                    <a:xfrm>
                      <a:off x="0" y="0"/>
                      <a:ext cx="6177590" cy="3067985"/>
                    </a:xfrm>
                    <a:prstGeom prst="rect">
                      <a:avLst/>
                    </a:prstGeom>
                    <a:ln>
                      <a:noFill/>
                    </a:ln>
                    <a:extLst>
                      <a:ext uri="{53640926-AAD7-44D8-BBD7-CCE9431645EC}">
                        <a14:shadowObscured xmlns:a14="http://schemas.microsoft.com/office/drawing/2010/main"/>
                      </a:ext>
                    </a:extLst>
                  </pic:spPr>
                </pic:pic>
              </a:graphicData>
            </a:graphic>
          </wp:inline>
        </w:drawing>
      </w:r>
    </w:p>
    <w:p w14:paraId="1A415E38" w14:textId="77777777" w:rsidR="000A1CD9" w:rsidRPr="00795834" w:rsidRDefault="000A1CD9" w:rsidP="000A1CD9">
      <w:pPr>
        <w:pStyle w:val="ACMANotes"/>
      </w:pPr>
      <w:r w:rsidRPr="00795834">
        <w:t>*</w:t>
      </w:r>
      <w:r w:rsidR="000454AE">
        <w:t>Data measures reported</w:t>
      </w:r>
      <w:r w:rsidR="00A251B2">
        <w:t xml:space="preserve"> </w:t>
      </w:r>
      <w:r w:rsidR="000454AE">
        <w:t>may differ to measures reported in previous years due to a weighting methodology change</w:t>
      </w:r>
      <w:r w:rsidRPr="00795834">
        <w:t xml:space="preserve">. </w:t>
      </w:r>
    </w:p>
    <w:p w14:paraId="58C83DBE" w14:textId="77777777" w:rsidR="000A1CD9" w:rsidRPr="00795834" w:rsidRDefault="000A1CD9" w:rsidP="000A1CD9">
      <w:pPr>
        <w:pStyle w:val="ACMANotes"/>
      </w:pPr>
      <w:r w:rsidRPr="00795834">
        <w:t xml:space="preserve">Base: Data relates to people aged 18 years and </w:t>
      </w:r>
      <w:r w:rsidRPr="00AC59D6">
        <w:t>over</w:t>
      </w:r>
      <w:r w:rsidRPr="00795834">
        <w:t xml:space="preserve"> in the 12 months to June of each year. </w:t>
      </w:r>
    </w:p>
    <w:p w14:paraId="14F59318" w14:textId="77777777" w:rsidR="000A1CD9" w:rsidRDefault="000A1CD9" w:rsidP="000A1CD9">
      <w:pPr>
        <w:pStyle w:val="ACMANotes"/>
      </w:pPr>
      <w:r w:rsidRPr="00795834">
        <w:t>Source: Roy Morgan Single Source.</w:t>
      </w:r>
    </w:p>
    <w:p w14:paraId="2C18B6DE" w14:textId="77777777" w:rsidR="000A1CD9" w:rsidRPr="00795834" w:rsidRDefault="000A1CD9" w:rsidP="000A1CD9">
      <w:pPr>
        <w:pStyle w:val="ACMASpaceaftertable"/>
      </w:pPr>
    </w:p>
    <w:p w14:paraId="4B2C3080" w14:textId="77777777" w:rsidR="00BC726F" w:rsidRPr="00FD7E86" w:rsidRDefault="0093085F" w:rsidP="00BC726F">
      <w:pPr>
        <w:pStyle w:val="Heading3"/>
      </w:pPr>
      <w:bookmarkStart w:id="211" w:name="_Toc433790292"/>
      <w:bookmarkStart w:id="212" w:name="_Toc462132192"/>
      <w:bookmarkStart w:id="213" w:name="_Toc463372208"/>
      <w:bookmarkStart w:id="214" w:name="_Toc465842844"/>
      <w:r>
        <w:t xml:space="preserve">Use of fixed-line telephone and </w:t>
      </w:r>
      <w:r w:rsidR="00BC726F" w:rsidRPr="00FD7E86">
        <w:t xml:space="preserve">OTT </w:t>
      </w:r>
      <w:r w:rsidR="00BC726F">
        <w:t xml:space="preserve">communications </w:t>
      </w:r>
      <w:r w:rsidR="00BC726F" w:rsidRPr="00FD7E86">
        <w:t>services</w:t>
      </w:r>
      <w:bookmarkEnd w:id="211"/>
      <w:bookmarkEnd w:id="212"/>
      <w:bookmarkEnd w:id="213"/>
      <w:bookmarkEnd w:id="214"/>
    </w:p>
    <w:p w14:paraId="794D6DC5" w14:textId="77777777" w:rsidR="000A1CD9" w:rsidRDefault="000A1CD9" w:rsidP="000A1CD9">
      <w:r>
        <w:t>The use of fixed-line telephone services continued to further decline—68 per cent of adults had a fixed-line telephone at June 2016, down from 78 per cent five years ago (Figure 1.2).</w:t>
      </w:r>
    </w:p>
    <w:p w14:paraId="2A792584" w14:textId="77777777" w:rsidR="000A1CD9" w:rsidRDefault="000A1CD9" w:rsidP="000A1CD9">
      <w:r>
        <w:t xml:space="preserve">In contrast, there has been a slow increase in the percentage of Australian adults using over-the-top (OTT) </w:t>
      </w:r>
      <w:r w:rsidR="00BC726F">
        <w:t>communications service</w:t>
      </w:r>
      <w:r>
        <w:t>.</w:t>
      </w:r>
      <w:r>
        <w:rPr>
          <w:rStyle w:val="EndnoteReference"/>
        </w:rPr>
        <w:endnoteReference w:id="3"/>
      </w:r>
      <w:r>
        <w:t xml:space="preserve"> Some 4.6 million adult Australians (25 per cent) reported using some OTT </w:t>
      </w:r>
      <w:r w:rsidR="00BC726F">
        <w:t xml:space="preserve">communications </w:t>
      </w:r>
      <w:r>
        <w:t>service at June 2016—an increase from 24 per cent on the previous year (Figure</w:t>
      </w:r>
      <w:r w:rsidR="00AC59D6">
        <w:t> </w:t>
      </w:r>
      <w:r>
        <w:t xml:space="preserve">1.2). </w:t>
      </w:r>
    </w:p>
    <w:p w14:paraId="04A0F1AE" w14:textId="77777777" w:rsidR="000A1CD9" w:rsidRPr="00FF2F87" w:rsidRDefault="000A1CD9" w:rsidP="000A1CD9">
      <w:r w:rsidRPr="008857CF">
        <w:t xml:space="preserve">OTT communication services include mobile phone or computer apps that </w:t>
      </w:r>
      <w:r>
        <w:t>offer</w:t>
      </w:r>
      <w:r w:rsidRPr="008857CF">
        <w:t xml:space="preserve"> messaging, voice </w:t>
      </w:r>
      <w:r>
        <w:t xml:space="preserve">or video </w:t>
      </w:r>
      <w:r w:rsidRPr="008857CF">
        <w:t xml:space="preserve">call services that are not provided by the phone or </w:t>
      </w:r>
      <w:r>
        <w:t>ISP</w:t>
      </w:r>
      <w:r w:rsidRPr="008857CF">
        <w:t>.</w:t>
      </w:r>
      <w:r w:rsidRPr="008857CF">
        <w:rPr>
          <w:rStyle w:val="EndnoteReference"/>
        </w:rPr>
        <w:endnoteReference w:id="4"/>
      </w:r>
      <w:r>
        <w:t xml:space="preserve"> Examples of OTT</w:t>
      </w:r>
      <w:r w:rsidR="00BC726F">
        <w:t xml:space="preserve"> communications</w:t>
      </w:r>
      <w:r>
        <w:t xml:space="preserve"> services include iMessage, Facetime, WhatsApp, Skype, Facebook </w:t>
      </w:r>
      <w:r w:rsidRPr="00AC59D6">
        <w:t>Messenger</w:t>
      </w:r>
      <w:r w:rsidR="00FF2F87" w:rsidRPr="009C1BE9">
        <w:t xml:space="preserve"> and</w:t>
      </w:r>
      <w:r w:rsidR="00D44B86" w:rsidRPr="009C1BE9">
        <w:t xml:space="preserve"> </w:t>
      </w:r>
      <w:r w:rsidRPr="009C1BE9">
        <w:t>Viber.</w:t>
      </w:r>
    </w:p>
    <w:p w14:paraId="2D644095" w14:textId="77777777" w:rsidR="000A1CD9" w:rsidRPr="00FD7E86" w:rsidRDefault="000A1CD9" w:rsidP="007A4882">
      <w:pPr>
        <w:pStyle w:val="ACMAFigureHeader"/>
        <w:keepNext/>
        <w:ind w:left="284" w:hanging="284"/>
      </w:pPr>
      <w:r>
        <w:lastRenderedPageBreak/>
        <w:t>F</w:t>
      </w:r>
      <w:r w:rsidRPr="009B0700">
        <w:t>igure 1.</w:t>
      </w:r>
      <w:r w:rsidR="00484C11">
        <w:fldChar w:fldCharType="begin"/>
      </w:r>
      <w:r w:rsidR="00484C11">
        <w:instrText xml:space="preserve"> SEQ Figure \* ARABIC </w:instrText>
      </w:r>
      <w:r w:rsidR="00484C11">
        <w:fldChar w:fldCharType="separate"/>
      </w:r>
      <w:r w:rsidR="00625DDF">
        <w:rPr>
          <w:noProof/>
        </w:rPr>
        <w:t>2</w:t>
      </w:r>
      <w:r w:rsidR="00484C11">
        <w:rPr>
          <w:noProof/>
        </w:rPr>
        <w:fldChar w:fldCharType="end"/>
      </w:r>
      <w:r>
        <w:tab/>
      </w:r>
      <w:r w:rsidRPr="009B0700">
        <w:t>Use of fixed-line telephone and VoIP services (percentage)</w:t>
      </w:r>
    </w:p>
    <w:p w14:paraId="7A0E5996" w14:textId="77777777" w:rsidR="000A1CD9" w:rsidRPr="00231854" w:rsidRDefault="00A50C4C" w:rsidP="007A4882">
      <w:pPr>
        <w:spacing w:after="0" w:line="240" w:lineRule="auto"/>
      </w:pPr>
      <w:r>
        <w:rPr>
          <w:noProof/>
        </w:rPr>
        <w:drawing>
          <wp:inline distT="0" distB="0" distL="0" distR="0" wp14:anchorId="5597E53C" wp14:editId="2BBD5EE0">
            <wp:extent cx="5716800" cy="2564101"/>
            <wp:effectExtent l="0" t="0" r="0" b="8255"/>
            <wp:docPr id="22" name="Picture 22" descr="Data for Figure 1.2 is in the .ods file for Chapter 1 on the landing page ‘Communications report 2015-16’, available from the ACMA website." title="Figure 1.2  Use of fixed-line telephone and VoIP services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2_Figure 1.2.png"/>
                    <pic:cNvPicPr/>
                  </pic:nvPicPr>
                  <pic:blipFill rotWithShape="1">
                    <a:blip r:embed="rId35">
                      <a:extLst>
                        <a:ext uri="{28A0092B-C50C-407E-A947-70E740481C1C}">
                          <a14:useLocalDpi xmlns:a14="http://schemas.microsoft.com/office/drawing/2010/main" val="0"/>
                        </a:ext>
                      </a:extLst>
                    </a:blip>
                    <a:srcRect l="849" t="1344"/>
                    <a:stretch/>
                  </pic:blipFill>
                  <pic:spPr bwMode="auto">
                    <a:xfrm>
                      <a:off x="0" y="0"/>
                      <a:ext cx="5724516" cy="2567562"/>
                    </a:xfrm>
                    <a:prstGeom prst="rect">
                      <a:avLst/>
                    </a:prstGeom>
                    <a:ln>
                      <a:noFill/>
                    </a:ln>
                    <a:extLst>
                      <a:ext uri="{53640926-AAD7-44D8-BBD7-CCE9431645EC}">
                        <a14:shadowObscured xmlns:a14="http://schemas.microsoft.com/office/drawing/2010/main"/>
                      </a:ext>
                    </a:extLst>
                  </pic:spPr>
                </pic:pic>
              </a:graphicData>
            </a:graphic>
          </wp:inline>
        </w:drawing>
      </w:r>
    </w:p>
    <w:p w14:paraId="138FB7F2" w14:textId="77777777" w:rsidR="000A1CD9" w:rsidRPr="004E0B3E" w:rsidRDefault="000A1CD9" w:rsidP="000A1CD9">
      <w:pPr>
        <w:pStyle w:val="ACMANotes"/>
      </w:pPr>
      <w:r w:rsidRPr="004E0B3E">
        <w:t>Base: Data relates to people aged 18 years and over, in the 12 months to June of each year.</w:t>
      </w:r>
    </w:p>
    <w:p w14:paraId="0B907A7C" w14:textId="77777777" w:rsidR="000A1CD9" w:rsidRPr="004E0B3E" w:rsidRDefault="000A1CD9" w:rsidP="000A1CD9">
      <w:pPr>
        <w:pStyle w:val="ACMANotes"/>
      </w:pPr>
      <w:r w:rsidRPr="004E0B3E">
        <w:t>Note: Fixed-line telephone services include managed VoIP services. Those who report using a home fixed-line telephone to access VoIP are understood to be using a managed VoIP service, while those using PC/laptop, tablet computer and mobile phone to access VoIP are understood to be using an OTT VoIP service.</w:t>
      </w:r>
    </w:p>
    <w:p w14:paraId="40B7AA08" w14:textId="77777777" w:rsidR="000A1CD9" w:rsidRPr="004E0B3E" w:rsidRDefault="000A1CD9" w:rsidP="000A1CD9">
      <w:pPr>
        <w:pStyle w:val="ACMANotes"/>
      </w:pPr>
      <w:r w:rsidRPr="004E0B3E">
        <w:t>Source: Roy Morgan Single Source.</w:t>
      </w:r>
    </w:p>
    <w:p w14:paraId="6102DD94" w14:textId="77777777" w:rsidR="000A1CD9" w:rsidRDefault="000A1CD9" w:rsidP="007A4882">
      <w:pPr>
        <w:pStyle w:val="ACMASpaceaftertable"/>
        <w:spacing w:after="220"/>
      </w:pPr>
    </w:p>
    <w:p w14:paraId="45FB6D74" w14:textId="77777777" w:rsidR="000A1CD9" w:rsidRDefault="000A1CD9" w:rsidP="00E70D1D">
      <w:r>
        <w:t xml:space="preserve">Adult Australians still preferred the more traditional devices of PCs and laptop </w:t>
      </w:r>
      <w:r w:rsidRPr="00552502">
        <w:t>computer</w:t>
      </w:r>
      <w:r>
        <w:t xml:space="preserve">s </w:t>
      </w:r>
      <w:r w:rsidRPr="00FD7E86">
        <w:t>to access OTT VoIP services</w:t>
      </w:r>
      <w:r>
        <w:t xml:space="preserve">. However, </w:t>
      </w:r>
      <w:r w:rsidRPr="00552502">
        <w:t>mobile phones continue</w:t>
      </w:r>
      <w:r>
        <w:t>d</w:t>
      </w:r>
      <w:r w:rsidRPr="00552502">
        <w:t xml:space="preserve"> </w:t>
      </w:r>
      <w:r>
        <w:t xml:space="preserve">to increase in </w:t>
      </w:r>
      <w:r w:rsidRPr="00552502">
        <w:t>popular</w:t>
      </w:r>
      <w:r>
        <w:t xml:space="preserve">ity as a preferred OTT VoIP access device, growing by three percentage points in the 12 months to June 2016. Tablet computers appeared to stabilise in use </w:t>
      </w:r>
      <w:r w:rsidRPr="00FD7E86">
        <w:t>(Figure 1.3).</w:t>
      </w:r>
    </w:p>
    <w:p w14:paraId="59A2CA30" w14:textId="77777777" w:rsidR="000A1CD9" w:rsidRPr="00FD7E86" w:rsidRDefault="000A1CD9" w:rsidP="006A6038">
      <w:pPr>
        <w:pStyle w:val="ACMAFigureHeader"/>
      </w:pPr>
      <w:r w:rsidRPr="009C17AF">
        <w:t>Figure 1.3</w:t>
      </w:r>
      <w:r w:rsidRPr="009C17AF">
        <w:tab/>
        <w:t>Devices used for OTT VoIP (percentage)</w:t>
      </w:r>
    </w:p>
    <w:p w14:paraId="5533857A" w14:textId="77777777" w:rsidR="000A1CD9" w:rsidRPr="00231854" w:rsidRDefault="00F6345C" w:rsidP="006A6038">
      <w:pPr>
        <w:spacing w:after="0"/>
      </w:pPr>
      <w:r>
        <w:rPr>
          <w:noProof/>
        </w:rPr>
        <w:drawing>
          <wp:inline distT="0" distB="0" distL="0" distR="0" wp14:anchorId="6762B812" wp14:editId="5D7E7F0D">
            <wp:extent cx="5696122" cy="3333600"/>
            <wp:effectExtent l="0" t="0" r="0" b="635"/>
            <wp:docPr id="13" name="Picture 13" descr="Data for Figure 1.3 is in the .ods file for Chapter 1 on the landing page ‘Communications report 2015-16’, available from the ACMA website." title="Figure 1.3 Devices used for OTT VoIP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3_Figure 1.3.png"/>
                    <pic:cNvPicPr/>
                  </pic:nvPicPr>
                  <pic:blipFill rotWithShape="1">
                    <a:blip r:embed="rId36">
                      <a:extLst>
                        <a:ext uri="{28A0092B-C50C-407E-A947-70E740481C1C}">
                          <a14:useLocalDpi xmlns:a14="http://schemas.microsoft.com/office/drawing/2010/main" val="0"/>
                        </a:ext>
                      </a:extLst>
                    </a:blip>
                    <a:srcRect l="3255" t="467" r="1590" b="3728"/>
                    <a:stretch/>
                  </pic:blipFill>
                  <pic:spPr bwMode="auto">
                    <a:xfrm>
                      <a:off x="0" y="0"/>
                      <a:ext cx="5711274" cy="3342467"/>
                    </a:xfrm>
                    <a:prstGeom prst="rect">
                      <a:avLst/>
                    </a:prstGeom>
                    <a:ln>
                      <a:noFill/>
                    </a:ln>
                    <a:extLst>
                      <a:ext uri="{53640926-AAD7-44D8-BBD7-CCE9431645EC}">
                        <a14:shadowObscured xmlns:a14="http://schemas.microsoft.com/office/drawing/2010/main"/>
                      </a:ext>
                    </a:extLst>
                  </pic:spPr>
                </pic:pic>
              </a:graphicData>
            </a:graphic>
          </wp:inline>
        </w:drawing>
      </w:r>
    </w:p>
    <w:p w14:paraId="349484B2" w14:textId="77777777" w:rsidR="000454AE" w:rsidRPr="00795834" w:rsidRDefault="000454AE" w:rsidP="006A6038">
      <w:pPr>
        <w:pStyle w:val="ACMANotes"/>
      </w:pPr>
      <w:r w:rsidRPr="00795834">
        <w:t>*</w:t>
      </w:r>
      <w:r>
        <w:t>Data measures reported may differ to measures reported in previous years due to a weighting methodology change</w:t>
      </w:r>
      <w:r w:rsidRPr="00795834">
        <w:t xml:space="preserve">. </w:t>
      </w:r>
    </w:p>
    <w:p w14:paraId="40B35F4E" w14:textId="77777777" w:rsidR="000A1CD9" w:rsidRPr="004E0B3E" w:rsidRDefault="000A1CD9" w:rsidP="006A6038">
      <w:pPr>
        <w:pStyle w:val="ACMANotes"/>
      </w:pPr>
      <w:r w:rsidRPr="004E0B3E">
        <w:t>Base: Data relates to people aged 18 years and over, in the 12 months to June of each year.</w:t>
      </w:r>
    </w:p>
    <w:p w14:paraId="3C5C077B" w14:textId="77777777" w:rsidR="000A1CD9" w:rsidRPr="004E0B3E" w:rsidRDefault="000A1CD9" w:rsidP="006A6038">
      <w:pPr>
        <w:pStyle w:val="ACMANotes"/>
        <w:spacing w:after="240"/>
      </w:pPr>
      <w:r w:rsidRPr="004E0B3E">
        <w:t>Source: Roy Morgan Single Source.</w:t>
      </w:r>
    </w:p>
    <w:p w14:paraId="3197D2D9" w14:textId="77777777" w:rsidR="000A1CD9" w:rsidRDefault="000A1CD9" w:rsidP="007A4882">
      <w:pPr>
        <w:rPr>
          <w:rFonts w:cs="Arial"/>
        </w:rPr>
      </w:pPr>
      <w:r>
        <w:rPr>
          <w:rFonts w:cs="Arial"/>
        </w:rPr>
        <w:lastRenderedPageBreak/>
        <w:t xml:space="preserve">The shift towards an increased use of OTT services contributed to demand for more data, which saw telecommunications service providers respond with offers of more generous data plans for mobile phones. Mobile phone data plans reached double-digits in terms of gigabytes (GB) of data offered to customers on monthly plans. </w:t>
      </w:r>
    </w:p>
    <w:p w14:paraId="2880AE84" w14:textId="77777777" w:rsidR="000A1CD9" w:rsidRDefault="000A1CD9" w:rsidP="000A1CD9">
      <w:pPr>
        <w:rPr>
          <w:rFonts w:cs="Arial"/>
        </w:rPr>
      </w:pPr>
      <w:r w:rsidRPr="009C1BE9">
        <w:rPr>
          <w:rFonts w:cs="Arial"/>
        </w:rPr>
        <w:t>This is consistent with the mobile data trends reported by the</w:t>
      </w:r>
      <w:r w:rsidR="00200325">
        <w:rPr>
          <w:rFonts w:cs="Arial"/>
        </w:rPr>
        <w:t xml:space="preserve"> Australian Bureau of Statistics (</w:t>
      </w:r>
      <w:r w:rsidRPr="009C1BE9">
        <w:rPr>
          <w:rFonts w:cs="Arial"/>
        </w:rPr>
        <w:t>ABS</w:t>
      </w:r>
      <w:r w:rsidR="00200325">
        <w:rPr>
          <w:rFonts w:cs="Arial"/>
        </w:rPr>
        <w:t>)</w:t>
      </w:r>
      <w:r w:rsidRPr="009C1BE9">
        <w:rPr>
          <w:rFonts w:cs="Arial"/>
        </w:rPr>
        <w:t>. The volume of data downloaded over mobile handsets ha</w:t>
      </w:r>
      <w:r w:rsidR="00E52907">
        <w:rPr>
          <w:rFonts w:cs="Arial"/>
        </w:rPr>
        <w:t>s</w:t>
      </w:r>
      <w:r w:rsidRPr="009C1BE9">
        <w:rPr>
          <w:rFonts w:cs="Arial"/>
        </w:rPr>
        <w:t xml:space="preserve"> experienced exponential growth over the last four years. During the June quarter 2012, Australians downloaded 9,943 terabytes of data over mobile handsets. In 2016, this number ha</w:t>
      </w:r>
      <w:r w:rsidR="00E52907">
        <w:rPr>
          <w:rFonts w:cs="Arial"/>
        </w:rPr>
        <w:t>d</w:t>
      </w:r>
      <w:r w:rsidRPr="009C1BE9">
        <w:rPr>
          <w:rFonts w:cs="Arial"/>
        </w:rPr>
        <w:t xml:space="preserve"> </w:t>
      </w:r>
      <w:r w:rsidR="00690CE6" w:rsidRPr="009C1BE9">
        <w:rPr>
          <w:rFonts w:cs="Arial"/>
        </w:rPr>
        <w:t xml:space="preserve">grown </w:t>
      </w:r>
      <w:r w:rsidRPr="009C1BE9">
        <w:rPr>
          <w:rFonts w:cs="Arial"/>
        </w:rPr>
        <w:t>to 121,147 terabytes for the June quarter.</w:t>
      </w:r>
      <w:r w:rsidRPr="009C1BE9">
        <w:rPr>
          <w:rStyle w:val="EndnoteReference"/>
          <w:rFonts w:cs="Arial"/>
        </w:rPr>
        <w:endnoteReference w:id="5"/>
      </w:r>
    </w:p>
    <w:p w14:paraId="6BB3D611" w14:textId="77777777" w:rsidR="000A1CD9" w:rsidRDefault="000A1CD9" w:rsidP="000A1CD9">
      <w:pPr>
        <w:rPr>
          <w:rFonts w:cs="Arial"/>
        </w:rPr>
      </w:pPr>
      <w:r w:rsidRPr="009C1BE9">
        <w:rPr>
          <w:rFonts w:cs="Arial"/>
        </w:rPr>
        <w:t>Despite the strong growth in the volume of data downloaded over mobile handsets,</w:t>
      </w:r>
      <w:r w:rsidRPr="00E52907">
        <w:rPr>
          <w:rFonts w:cs="Arial"/>
        </w:rPr>
        <w:t xml:space="preserve"> there are no unlimited mobile phone data plans on offer in Australia. </w:t>
      </w:r>
      <w:r w:rsidRPr="009C1BE9">
        <w:rPr>
          <w:rFonts w:cs="Arial"/>
        </w:rPr>
        <w:t>Providers do, however, offer plans with unlimited calls and messages.</w:t>
      </w:r>
      <w:r w:rsidRPr="009C1BE9">
        <w:rPr>
          <w:rStyle w:val="EndnoteReference"/>
          <w:rFonts w:cs="Arial"/>
        </w:rPr>
        <w:endnoteReference w:id="6"/>
      </w:r>
    </w:p>
    <w:p w14:paraId="6D283B64" w14:textId="77777777" w:rsidR="000A1CD9" w:rsidRDefault="000A1CD9" w:rsidP="000A1CD9">
      <w:pPr>
        <w:rPr>
          <w:rFonts w:cs="Arial"/>
        </w:rPr>
      </w:pPr>
      <w:r w:rsidRPr="009C1BE9">
        <w:rPr>
          <w:rFonts w:cs="Arial"/>
        </w:rPr>
        <w:t>More information on data downloads can be found in Chapter 2.</w:t>
      </w:r>
    </w:p>
    <w:p w14:paraId="3B7B56DA" w14:textId="77777777" w:rsidR="000A1CD9" w:rsidRDefault="000A1CD9" w:rsidP="000A1CD9">
      <w:pPr>
        <w:rPr>
          <w:rFonts w:cs="Arial"/>
        </w:rPr>
      </w:pPr>
      <w:r>
        <w:rPr>
          <w:rFonts w:cs="Arial"/>
        </w:rPr>
        <w:t>However, with the growing popularity of video streaming, OTT services are only partially responsible for the increased appetite for more data. In August 2016, Telstra announced that it would offer free three-month access to the popular video streaming services Netflix, Stan and Presto on its more costly mobile plans.</w:t>
      </w:r>
      <w:r>
        <w:rPr>
          <w:rStyle w:val="EndnoteReference"/>
          <w:rFonts w:cs="Arial"/>
        </w:rPr>
        <w:endnoteReference w:id="7"/>
      </w:r>
      <w:r>
        <w:rPr>
          <w:rFonts w:cs="Arial"/>
        </w:rPr>
        <w:t xml:space="preserve"> </w:t>
      </w:r>
      <w:r w:rsidRPr="00211F98">
        <w:rPr>
          <w:rFonts w:cs="Arial"/>
        </w:rPr>
        <w:t xml:space="preserve">Optus launched its Optus Sport service in 2016. This service offers </w:t>
      </w:r>
      <w:r>
        <w:rPr>
          <w:rFonts w:cs="Arial"/>
        </w:rPr>
        <w:t>10</w:t>
      </w:r>
      <w:r w:rsidRPr="00211F98">
        <w:rPr>
          <w:rFonts w:cs="Arial"/>
        </w:rPr>
        <w:t xml:space="preserve"> streaming channels of English Premier League (EPL) content in 2016.</w:t>
      </w:r>
      <w:r w:rsidRPr="00211F98">
        <w:rPr>
          <w:rStyle w:val="EndnoteReference"/>
          <w:rFonts w:cs="Arial"/>
        </w:rPr>
        <w:endnoteReference w:id="8"/>
      </w:r>
    </w:p>
    <w:p w14:paraId="05BFB5DA" w14:textId="77777777" w:rsidR="000A1CD9" w:rsidRDefault="000A1CD9" w:rsidP="000A1CD9">
      <w:pPr>
        <w:rPr>
          <w:rFonts w:cs="Arial"/>
        </w:rPr>
      </w:pPr>
      <w:r>
        <w:rPr>
          <w:rFonts w:cs="Arial"/>
        </w:rPr>
        <w:t>Telstra also reported continual customer migration to higher minimum monthly data plans, and noted that almost three in four post-paid mobile phone customers were on Extra Data plans (at June 2016).</w:t>
      </w:r>
      <w:r>
        <w:rPr>
          <w:rStyle w:val="EndnoteReference"/>
          <w:rFonts w:cs="Arial"/>
        </w:rPr>
        <w:endnoteReference w:id="9"/>
      </w:r>
      <w:r w:rsidRPr="003F2304">
        <w:rPr>
          <w:rFonts w:cs="Arial"/>
          <w:vertAlign w:val="superscript"/>
        </w:rPr>
        <w:t>,</w:t>
      </w:r>
      <w:r w:rsidR="008F3F55">
        <w:rPr>
          <w:rFonts w:cs="Arial"/>
          <w:vertAlign w:val="superscript"/>
        </w:rPr>
        <w:t xml:space="preserve"> </w:t>
      </w:r>
      <w:r>
        <w:rPr>
          <w:rStyle w:val="EndnoteReference"/>
          <w:rFonts w:cs="Arial"/>
        </w:rPr>
        <w:endnoteReference w:id="10"/>
      </w:r>
      <w:r>
        <w:rPr>
          <w:rFonts w:cs="Arial"/>
        </w:rPr>
        <w:t xml:space="preserve"> </w:t>
      </w:r>
    </w:p>
    <w:p w14:paraId="26B018B4" w14:textId="77777777" w:rsidR="000A1CD9" w:rsidRDefault="000A1CD9" w:rsidP="00216F0E">
      <w:pPr>
        <w:pStyle w:val="Heading2"/>
        <w:numPr>
          <w:ilvl w:val="1"/>
          <w:numId w:val="12"/>
        </w:numPr>
        <w:ind w:hanging="792"/>
      </w:pPr>
      <w:bookmarkStart w:id="215" w:name="_Toc462132193"/>
      <w:bookmarkStart w:id="216" w:name="_Toc462899540"/>
      <w:bookmarkStart w:id="217" w:name="_Toc433790293"/>
      <w:bookmarkStart w:id="218" w:name="_Toc463529020"/>
      <w:bookmarkStart w:id="219" w:name="_Toc465842845"/>
      <w:r w:rsidRPr="00FD7E86">
        <w:t>Mobile service availability</w:t>
      </w:r>
      <w:bookmarkEnd w:id="215"/>
      <w:bookmarkEnd w:id="216"/>
      <w:bookmarkEnd w:id="217"/>
      <w:bookmarkEnd w:id="218"/>
      <w:bookmarkEnd w:id="219"/>
    </w:p>
    <w:p w14:paraId="4CB0872F" w14:textId="77777777" w:rsidR="000A1CD9" w:rsidRPr="00FD7E86" w:rsidRDefault="000A1CD9" w:rsidP="000A1CD9">
      <w:pPr>
        <w:pStyle w:val="Heading3"/>
      </w:pPr>
      <w:bookmarkStart w:id="220" w:name="_Toc462132194"/>
      <w:bookmarkStart w:id="221" w:name="_Toc462899541"/>
      <w:bookmarkStart w:id="222" w:name="_Toc463529021"/>
      <w:bookmarkStart w:id="223" w:name="_Toc465842846"/>
      <w:bookmarkStart w:id="224" w:name="_Toc433790294"/>
      <w:r w:rsidRPr="00FD7E86">
        <w:t>Number of services in operation</w:t>
      </w:r>
      <w:bookmarkEnd w:id="220"/>
      <w:bookmarkEnd w:id="221"/>
      <w:bookmarkEnd w:id="222"/>
      <w:bookmarkEnd w:id="223"/>
      <w:r w:rsidRPr="00FD7E86">
        <w:t xml:space="preserve"> </w:t>
      </w:r>
      <w:bookmarkEnd w:id="224"/>
    </w:p>
    <w:p w14:paraId="2B3EEF17" w14:textId="77777777" w:rsidR="000A1CD9" w:rsidRDefault="000A1CD9" w:rsidP="000A1CD9">
      <w:pPr>
        <w:rPr>
          <w:rFonts w:cs="Arial"/>
        </w:rPr>
      </w:pPr>
      <w:r>
        <w:rPr>
          <w:rFonts w:cs="Arial"/>
        </w:rPr>
        <w:t>A</w:t>
      </w:r>
      <w:r w:rsidRPr="00FD7E86">
        <w:rPr>
          <w:rFonts w:cs="Arial"/>
        </w:rPr>
        <w:t xml:space="preserve">n </w:t>
      </w:r>
      <w:r w:rsidRPr="00CE7E94">
        <w:rPr>
          <w:rFonts w:cs="Arial"/>
        </w:rPr>
        <w:t>estimated 3</w:t>
      </w:r>
      <w:r>
        <w:rPr>
          <w:rFonts w:cs="Arial"/>
        </w:rPr>
        <w:t>2.59</w:t>
      </w:r>
      <w:r w:rsidRPr="00CE7E94">
        <w:rPr>
          <w:rFonts w:cs="Arial"/>
        </w:rPr>
        <w:t xml:space="preserve"> million</w:t>
      </w:r>
      <w:r w:rsidRPr="004D25D4">
        <w:rPr>
          <w:rFonts w:cs="Arial"/>
        </w:rPr>
        <w:t xml:space="preserve"> mobile voice and data services </w:t>
      </w:r>
      <w:r>
        <w:rPr>
          <w:rFonts w:cs="Arial"/>
        </w:rPr>
        <w:t xml:space="preserve">were </w:t>
      </w:r>
      <w:r w:rsidRPr="004D25D4">
        <w:rPr>
          <w:rFonts w:cs="Arial"/>
        </w:rPr>
        <w:t xml:space="preserve">in operation in Australia </w:t>
      </w:r>
      <w:r>
        <w:rPr>
          <w:rFonts w:cs="Arial"/>
        </w:rPr>
        <w:t xml:space="preserve">at June 2016 </w:t>
      </w:r>
      <w:r w:rsidRPr="004D25D4">
        <w:rPr>
          <w:rFonts w:cs="Arial"/>
        </w:rPr>
        <w:t xml:space="preserve">(Figure 1.4). </w:t>
      </w:r>
    </w:p>
    <w:p w14:paraId="2867171B" w14:textId="77777777" w:rsidR="000A1CD9" w:rsidRDefault="000A1CD9" w:rsidP="000A1CD9">
      <w:pPr>
        <w:rPr>
          <w:rFonts w:cs="Arial"/>
        </w:rPr>
      </w:pPr>
      <w:r w:rsidRPr="004D25D4">
        <w:rPr>
          <w:rFonts w:cs="Arial"/>
        </w:rPr>
        <w:t>This total figure</w:t>
      </w:r>
      <w:r w:rsidRPr="00FD7E86">
        <w:rPr>
          <w:rFonts w:cs="Arial"/>
        </w:rPr>
        <w:t xml:space="preserve"> comprises all voice and data services available </w:t>
      </w:r>
      <w:r w:rsidRPr="00443D8C">
        <w:rPr>
          <w:rFonts w:cs="Arial"/>
        </w:rPr>
        <w:t>over 2G,</w:t>
      </w:r>
      <w:r w:rsidRPr="00FD7E86">
        <w:rPr>
          <w:rFonts w:cs="Arial"/>
        </w:rPr>
        <w:t xml:space="preserve"> 3G and 4G ser</w:t>
      </w:r>
      <w:r>
        <w:rPr>
          <w:rFonts w:cs="Arial"/>
        </w:rPr>
        <w:t xml:space="preserve">vices, and includes </w:t>
      </w:r>
      <w:r w:rsidR="00B065BE">
        <w:rPr>
          <w:rFonts w:cs="Arial"/>
        </w:rPr>
        <w:t xml:space="preserve">retail (excluding resale) and wholesale </w:t>
      </w:r>
      <w:r>
        <w:rPr>
          <w:rFonts w:cs="Arial"/>
        </w:rPr>
        <w:t>mobile services. The retail services component includes post-paid and pre-paid mobile services, mobile broadband, M2M and satellite services.</w:t>
      </w:r>
    </w:p>
    <w:p w14:paraId="15EE20CE" w14:textId="77777777" w:rsidR="000A1CD9" w:rsidRDefault="000A1CD9" w:rsidP="000A1CD9">
      <w:pPr>
        <w:rPr>
          <w:rFonts w:cs="Arial"/>
        </w:rPr>
      </w:pPr>
      <w:r w:rsidRPr="009C1BE9">
        <w:rPr>
          <w:rFonts w:cs="Arial"/>
        </w:rPr>
        <w:t>As at June</w:t>
      </w:r>
      <w:r>
        <w:rPr>
          <w:rFonts w:cs="Arial"/>
        </w:rPr>
        <w:t xml:space="preserve"> 2016, the number of mobile services in operation </w:t>
      </w:r>
      <w:r w:rsidRPr="00FD7E86">
        <w:rPr>
          <w:rFonts w:cs="Arial"/>
        </w:rPr>
        <w:t>increase</w:t>
      </w:r>
      <w:r>
        <w:rPr>
          <w:rFonts w:cs="Arial"/>
        </w:rPr>
        <w:t>d by</w:t>
      </w:r>
      <w:r w:rsidRPr="00FD7E86">
        <w:rPr>
          <w:rFonts w:cs="Arial"/>
        </w:rPr>
        <w:t xml:space="preserve"> </w:t>
      </w:r>
      <w:r w:rsidRPr="00443D8C">
        <w:rPr>
          <w:rFonts w:cs="Arial"/>
        </w:rPr>
        <w:t xml:space="preserve">2.6 </w:t>
      </w:r>
      <w:r>
        <w:rPr>
          <w:rFonts w:cs="Arial"/>
        </w:rPr>
        <w:t xml:space="preserve">per cent on the previous </w:t>
      </w:r>
      <w:r w:rsidRPr="009C1BE9">
        <w:rPr>
          <w:rFonts w:cs="Arial"/>
        </w:rPr>
        <w:t>financial</w:t>
      </w:r>
      <w:r>
        <w:rPr>
          <w:rFonts w:cs="Arial"/>
        </w:rPr>
        <w:t xml:space="preserve"> year</w:t>
      </w:r>
      <w:r w:rsidRPr="00443D8C">
        <w:rPr>
          <w:rFonts w:cs="Arial"/>
        </w:rPr>
        <w:t>, with</w:t>
      </w:r>
      <w:r w:rsidRPr="00FD7E86">
        <w:rPr>
          <w:rFonts w:cs="Arial"/>
        </w:rPr>
        <w:t xml:space="preserve"> some </w:t>
      </w:r>
      <w:r>
        <w:rPr>
          <w:rFonts w:cs="Arial"/>
        </w:rPr>
        <w:t xml:space="preserve">service </w:t>
      </w:r>
      <w:r w:rsidRPr="00FD7E86">
        <w:rPr>
          <w:rFonts w:cs="Arial"/>
        </w:rPr>
        <w:t xml:space="preserve">providers reporting that </w:t>
      </w:r>
      <w:r>
        <w:rPr>
          <w:rFonts w:cs="Arial"/>
        </w:rPr>
        <w:t xml:space="preserve">large </w:t>
      </w:r>
      <w:r w:rsidRPr="00FD7E86">
        <w:rPr>
          <w:rFonts w:cs="Arial"/>
        </w:rPr>
        <w:t>increases</w:t>
      </w:r>
      <w:r>
        <w:rPr>
          <w:rFonts w:cs="Arial"/>
        </w:rPr>
        <w:t xml:space="preserve"> in M2M communications </w:t>
      </w:r>
      <w:r w:rsidRPr="00FD7E86">
        <w:rPr>
          <w:rFonts w:cs="Arial"/>
        </w:rPr>
        <w:t>and wholesale services contributed to the growth.</w:t>
      </w:r>
      <w:r w:rsidRPr="00FD7E86">
        <w:rPr>
          <w:rFonts w:cs="Arial"/>
          <w:vertAlign w:val="superscript"/>
        </w:rPr>
        <w:endnoteReference w:id="11"/>
      </w:r>
      <w:r w:rsidRPr="003F2304">
        <w:rPr>
          <w:rFonts w:cs="Arial"/>
          <w:vertAlign w:val="superscript"/>
        </w:rPr>
        <w:t>,</w:t>
      </w:r>
      <w:r w:rsidR="008F3F55">
        <w:rPr>
          <w:rFonts w:cs="Arial"/>
          <w:vertAlign w:val="superscript"/>
        </w:rPr>
        <w:t xml:space="preserve"> </w:t>
      </w:r>
      <w:r>
        <w:rPr>
          <w:rStyle w:val="EndnoteReference"/>
          <w:rFonts w:cs="Arial"/>
        </w:rPr>
        <w:endnoteReference w:id="12"/>
      </w:r>
    </w:p>
    <w:p w14:paraId="6B6D48F0" w14:textId="77777777" w:rsidR="000A1CD9" w:rsidRPr="00FD7E86" w:rsidRDefault="000A1CD9" w:rsidP="00EA149D">
      <w:pPr>
        <w:pStyle w:val="ACMAFigureHeader"/>
        <w:keepNext/>
        <w:keepLines/>
      </w:pPr>
      <w:bookmarkStart w:id="225" w:name="_Ref398814651"/>
      <w:r w:rsidRPr="003F31EF">
        <w:lastRenderedPageBreak/>
        <w:t>Figure 1.</w:t>
      </w:r>
      <w:bookmarkEnd w:id="225"/>
      <w:r>
        <w:t>4</w:t>
      </w:r>
      <w:r>
        <w:tab/>
      </w:r>
      <w:r w:rsidRPr="003F31EF">
        <w:t>Mobile services in operation (millions)</w:t>
      </w:r>
    </w:p>
    <w:p w14:paraId="5A9411AD" w14:textId="77777777" w:rsidR="000A1CD9" w:rsidRPr="00FD7E86" w:rsidRDefault="00727899" w:rsidP="000A1CD9">
      <w:pPr>
        <w:keepNext/>
        <w:keepLines/>
        <w:spacing w:after="0"/>
        <w:rPr>
          <w:rFonts w:cs="Arial"/>
        </w:rPr>
      </w:pPr>
      <w:r>
        <w:rPr>
          <w:rFonts w:cs="Arial"/>
          <w:noProof/>
        </w:rPr>
        <w:drawing>
          <wp:inline distT="0" distB="0" distL="0" distR="0" wp14:anchorId="15792830" wp14:editId="64077C59">
            <wp:extent cx="5180400" cy="2379600"/>
            <wp:effectExtent l="0" t="0" r="0" b="1905"/>
            <wp:docPr id="114" name="Picture 114" descr="Data for Figure 1.4 is in the .ods file for Chapter 1 on the landing page ‘Communications report 2015-16’, available from the ACMA website." title="Figure 1.4  Mobile services in operation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igure 1.4_FIgure 1.4.png"/>
                    <pic:cNvPicPr/>
                  </pic:nvPicPr>
                  <pic:blipFill>
                    <a:blip r:embed="rId37">
                      <a:extLst>
                        <a:ext uri="{28A0092B-C50C-407E-A947-70E740481C1C}">
                          <a14:useLocalDpi xmlns:a14="http://schemas.microsoft.com/office/drawing/2010/main" val="0"/>
                        </a:ext>
                      </a:extLst>
                    </a:blip>
                    <a:stretch>
                      <a:fillRect/>
                    </a:stretch>
                  </pic:blipFill>
                  <pic:spPr>
                    <a:xfrm>
                      <a:off x="0" y="0"/>
                      <a:ext cx="5180400" cy="2379600"/>
                    </a:xfrm>
                    <a:prstGeom prst="rect">
                      <a:avLst/>
                    </a:prstGeom>
                  </pic:spPr>
                </pic:pic>
              </a:graphicData>
            </a:graphic>
          </wp:inline>
        </w:drawing>
      </w:r>
    </w:p>
    <w:p w14:paraId="7D7708AA" w14:textId="77777777" w:rsidR="000A1CD9" w:rsidRPr="00FD7E86" w:rsidRDefault="000A1CD9" w:rsidP="000A1CD9">
      <w:pPr>
        <w:pStyle w:val="ACMANotes"/>
        <w:keepNext/>
        <w:keepLines/>
      </w:pPr>
      <w:r w:rsidRPr="00FD7E86">
        <w:t>Note: Figures include wholesale and retail services and mobile wireless internet services provided via data cards, dongles or USB</w:t>
      </w:r>
      <w:r w:rsidR="00092336">
        <w:t> </w:t>
      </w:r>
      <w:r w:rsidRPr="00FD7E86">
        <w:t xml:space="preserve">modems. </w:t>
      </w:r>
    </w:p>
    <w:p w14:paraId="5A945466" w14:textId="77777777" w:rsidR="000A1CD9" w:rsidRDefault="000A1CD9" w:rsidP="000A1CD9">
      <w:pPr>
        <w:pStyle w:val="ACMANotes"/>
        <w:keepNext/>
        <w:keepLines/>
      </w:pPr>
      <w:r w:rsidRPr="00FD7E86">
        <w:t>Source: Prior to 2013–14, data was sourced from an ACMA annual industry data request. From 2013–14, this data was sourced from company annual reports and press releases.</w:t>
      </w:r>
    </w:p>
    <w:p w14:paraId="0776A39A" w14:textId="77777777" w:rsidR="000A1CD9" w:rsidRDefault="000A1CD9" w:rsidP="000A1CD9">
      <w:pPr>
        <w:pStyle w:val="ACMASpaceaftertable"/>
      </w:pPr>
    </w:p>
    <w:p w14:paraId="6D6EF68D" w14:textId="77777777" w:rsidR="000A1CD9" w:rsidRPr="00FA7DD4" w:rsidRDefault="000A1CD9" w:rsidP="000A1CD9">
      <w:pPr>
        <w:rPr>
          <w:rFonts w:cs="Arial"/>
        </w:rPr>
      </w:pPr>
      <w:r>
        <w:rPr>
          <w:rFonts w:cs="Arial"/>
        </w:rPr>
        <w:t>S</w:t>
      </w:r>
      <w:r w:rsidRPr="00FA7DD4">
        <w:rPr>
          <w:rFonts w:cs="Arial"/>
        </w:rPr>
        <w:t>martphone</w:t>
      </w:r>
      <w:r>
        <w:rPr>
          <w:rFonts w:cs="Arial"/>
        </w:rPr>
        <w:t>s</w:t>
      </w:r>
      <w:r w:rsidRPr="00FA7DD4">
        <w:rPr>
          <w:rFonts w:cs="Arial"/>
        </w:rPr>
        <w:t xml:space="preserve"> continued to grow </w:t>
      </w:r>
      <w:r>
        <w:rPr>
          <w:rFonts w:cs="Arial"/>
        </w:rPr>
        <w:t>in</w:t>
      </w:r>
      <w:r w:rsidRPr="00FA7DD4">
        <w:rPr>
          <w:rFonts w:cs="Arial"/>
        </w:rPr>
        <w:t xml:space="preserve"> popular</w:t>
      </w:r>
      <w:r>
        <w:rPr>
          <w:rFonts w:cs="Arial"/>
        </w:rPr>
        <w:t>ity as a</w:t>
      </w:r>
      <w:r w:rsidRPr="00FA7DD4">
        <w:rPr>
          <w:rFonts w:cs="Arial"/>
        </w:rPr>
        <w:t xml:space="preserve"> mainstream device for the majority of Australians. </w:t>
      </w:r>
      <w:r w:rsidRPr="00FA7DD4">
        <w:t>At</w:t>
      </w:r>
      <w:r w:rsidR="008F3F55">
        <w:t> </w:t>
      </w:r>
      <w:r w:rsidR="000662CC">
        <w:t>June</w:t>
      </w:r>
      <w:r w:rsidR="000662CC" w:rsidRPr="00FA7DD4">
        <w:t xml:space="preserve"> </w:t>
      </w:r>
      <w:r w:rsidRPr="00FA7DD4">
        <w:t>2016, an estimated 13.75 million Australian adults (76 per cent) used a smartphone</w:t>
      </w:r>
      <w:r>
        <w:t>,</w:t>
      </w:r>
      <w:r w:rsidRPr="00FA7DD4">
        <w:t xml:space="preserve"> compared to</w:t>
      </w:r>
      <w:r w:rsidR="008F3F55">
        <w:rPr>
          <w:rFonts w:cs="Arial"/>
        </w:rPr>
        <w:t> </w:t>
      </w:r>
      <w:r w:rsidRPr="00FA7DD4">
        <w:rPr>
          <w:rFonts w:cs="Arial"/>
        </w:rPr>
        <w:t xml:space="preserve">13.41 million (74 per cent) at May 2015. Five years ago, just </w:t>
      </w:r>
      <w:r>
        <w:rPr>
          <w:rFonts w:cs="Arial"/>
        </w:rPr>
        <w:t>under</w:t>
      </w:r>
      <w:r w:rsidRPr="00FA7DD4">
        <w:rPr>
          <w:rFonts w:cs="Arial"/>
        </w:rPr>
        <w:t xml:space="preserve"> half of adults (49 per cent) reported using a smartphone</w:t>
      </w:r>
      <w:r>
        <w:rPr>
          <w:rFonts w:cs="Arial"/>
        </w:rPr>
        <w:t xml:space="preserve"> (Figure 1.5)</w:t>
      </w:r>
      <w:r w:rsidRPr="00FA7DD4">
        <w:rPr>
          <w:rFonts w:cs="Arial"/>
        </w:rPr>
        <w:t xml:space="preserve">. </w:t>
      </w:r>
    </w:p>
    <w:p w14:paraId="54F5747C" w14:textId="77777777" w:rsidR="000A1CD9" w:rsidRPr="00FA7DD4" w:rsidRDefault="000A1CD9" w:rsidP="000A1CD9">
      <w:pPr>
        <w:rPr>
          <w:rFonts w:cs="Arial"/>
        </w:rPr>
      </w:pPr>
      <w:r w:rsidRPr="00FA7DD4">
        <w:rPr>
          <w:rFonts w:cs="Arial"/>
        </w:rPr>
        <w:t xml:space="preserve">While smartphone use is still on the rise, </w:t>
      </w:r>
      <w:r>
        <w:rPr>
          <w:rFonts w:cs="Arial"/>
        </w:rPr>
        <w:t>overall growth has slowed compared to previous years. Shipments</w:t>
      </w:r>
      <w:r w:rsidRPr="00FA7DD4">
        <w:rPr>
          <w:rFonts w:cs="Arial"/>
        </w:rPr>
        <w:t xml:space="preserve"> of smartphones declined by 1</w:t>
      </w:r>
      <w:r>
        <w:rPr>
          <w:rFonts w:cs="Arial"/>
        </w:rPr>
        <w:t>8</w:t>
      </w:r>
      <w:r w:rsidRPr="00FA7DD4">
        <w:rPr>
          <w:rFonts w:cs="Arial"/>
        </w:rPr>
        <w:t xml:space="preserve"> per cent in </w:t>
      </w:r>
      <w:r>
        <w:rPr>
          <w:rFonts w:cs="Arial"/>
        </w:rPr>
        <w:t>the 12 months to June 2016—the number shipped to Australia fell to 1.8 million in the three months to June 2016, compared to 2.2 million shipments for the same period in 2015.</w:t>
      </w:r>
      <w:r>
        <w:rPr>
          <w:rStyle w:val="EndnoteReference"/>
          <w:rFonts w:cs="Arial"/>
        </w:rPr>
        <w:endnoteReference w:id="13"/>
      </w:r>
      <w:r>
        <w:rPr>
          <w:rFonts w:cs="Arial"/>
        </w:rPr>
        <w:t xml:space="preserve"> Tablet shipments declined by 12 per cent—over five million devices—in 2016.</w:t>
      </w:r>
      <w:r>
        <w:rPr>
          <w:rStyle w:val="EndnoteReference"/>
          <w:rFonts w:cs="Arial"/>
        </w:rPr>
        <w:endnoteReference w:id="14"/>
      </w:r>
      <w:r>
        <w:rPr>
          <w:rFonts w:cs="Arial"/>
        </w:rPr>
        <w:t xml:space="preserve"> </w:t>
      </w:r>
    </w:p>
    <w:p w14:paraId="67829D39" w14:textId="77777777" w:rsidR="000A1CD9" w:rsidRDefault="000A1CD9" w:rsidP="00EA149D">
      <w:pPr>
        <w:pStyle w:val="ACMAFigureHeader"/>
        <w:keepNext/>
      </w:pPr>
      <w:r w:rsidRPr="00FA7DD4">
        <w:lastRenderedPageBreak/>
        <w:t xml:space="preserve">Figure </w:t>
      </w:r>
      <w:r>
        <w:t>1.5</w:t>
      </w:r>
      <w:r>
        <w:tab/>
      </w:r>
      <w:r w:rsidRPr="00FA7DD4">
        <w:t xml:space="preserve">Use of mobile phones in the last six months to </w:t>
      </w:r>
      <w:r w:rsidR="001B3AFA">
        <w:t>June</w:t>
      </w:r>
      <w:r w:rsidR="001B3AFA" w:rsidRPr="00FA7DD4">
        <w:t xml:space="preserve"> </w:t>
      </w:r>
      <w:r w:rsidRPr="00FA7DD4">
        <w:t>(percentage)</w:t>
      </w:r>
    </w:p>
    <w:p w14:paraId="18D68E4B" w14:textId="77777777" w:rsidR="00DB0DC8" w:rsidRPr="00FA7DD4" w:rsidRDefault="00DB0DC8" w:rsidP="00EA149D">
      <w:pPr>
        <w:pStyle w:val="ACMAFigureHeader"/>
        <w:keepNext/>
      </w:pPr>
      <w:r>
        <w:rPr>
          <w:noProof/>
        </w:rPr>
        <w:drawing>
          <wp:inline distT="0" distB="0" distL="0" distR="0" wp14:anchorId="0E3A440B" wp14:editId="6DC52C0A">
            <wp:extent cx="5656580" cy="4176215"/>
            <wp:effectExtent l="0" t="0" r="1270" b="0"/>
            <wp:docPr id="7" name="Picture 7" descr="Data for Figure 1.5 is in the .ods file for Chapter 1 on the landing page ‘Communications report 2015-16’, available from the ACMA website." title="Figure 1.5  Use of mobile phones in the last six months to June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5_Figure 1.5.png"/>
                    <pic:cNvPicPr/>
                  </pic:nvPicPr>
                  <pic:blipFill rotWithShape="1">
                    <a:blip r:embed="rId38">
                      <a:extLst>
                        <a:ext uri="{28A0092B-C50C-407E-A947-70E740481C1C}">
                          <a14:useLocalDpi xmlns:a14="http://schemas.microsoft.com/office/drawing/2010/main" val="0"/>
                        </a:ext>
                      </a:extLst>
                    </a:blip>
                    <a:srcRect l="795" t="480" r="5036" b="1517"/>
                    <a:stretch/>
                  </pic:blipFill>
                  <pic:spPr bwMode="auto">
                    <a:xfrm>
                      <a:off x="0" y="0"/>
                      <a:ext cx="5658012" cy="4177272"/>
                    </a:xfrm>
                    <a:prstGeom prst="rect">
                      <a:avLst/>
                    </a:prstGeom>
                    <a:ln>
                      <a:noFill/>
                    </a:ln>
                    <a:extLst>
                      <a:ext uri="{53640926-AAD7-44D8-BBD7-CCE9431645EC}">
                        <a14:shadowObscured xmlns:a14="http://schemas.microsoft.com/office/drawing/2010/main"/>
                      </a:ext>
                    </a:extLst>
                  </pic:spPr>
                </pic:pic>
              </a:graphicData>
            </a:graphic>
          </wp:inline>
        </w:drawing>
      </w:r>
    </w:p>
    <w:p w14:paraId="7A1D8D03" w14:textId="77777777" w:rsidR="000A1CD9" w:rsidRPr="004E0B3E" w:rsidRDefault="000A1CD9" w:rsidP="000A1CD9">
      <w:pPr>
        <w:pStyle w:val="ACMANotes"/>
      </w:pPr>
      <w:r w:rsidRPr="004E0B3E">
        <w:t>*The figure previously published for ‘Have a smartphone’ at May 2014 has been revised by the ACMA.</w:t>
      </w:r>
    </w:p>
    <w:p w14:paraId="5AB7AE04" w14:textId="77777777" w:rsidR="000A1CD9" w:rsidRPr="004E0B3E" w:rsidRDefault="000A1CD9" w:rsidP="000A1CD9">
      <w:pPr>
        <w:pStyle w:val="ACMANotes"/>
      </w:pPr>
      <w:r w:rsidRPr="004E0B3E">
        <w:t xml:space="preserve">Base: Australians aged 18 and over in the last six months. </w:t>
      </w:r>
    </w:p>
    <w:p w14:paraId="539BA818" w14:textId="77777777" w:rsidR="000A1CD9" w:rsidRPr="004E0B3E" w:rsidRDefault="000A1CD9" w:rsidP="000A1CD9">
      <w:pPr>
        <w:pStyle w:val="ACMANotes"/>
      </w:pPr>
      <w:r w:rsidRPr="004E0B3E">
        <w:t>Note: A new methodology approach was implemented in 2016 (a transition from a full CATI model used in all previous years to</w:t>
      </w:r>
      <w:r w:rsidR="00092336">
        <w:t> </w:t>
      </w:r>
      <w:r w:rsidRPr="004E0B3E">
        <w:t xml:space="preserve">largely an online survey in 2016). </w:t>
      </w:r>
    </w:p>
    <w:p w14:paraId="158C75FD" w14:textId="77777777" w:rsidR="000A1CD9" w:rsidRPr="004E0B3E" w:rsidRDefault="000A1CD9" w:rsidP="000A1CD9">
      <w:pPr>
        <w:pStyle w:val="ACMANotes"/>
      </w:pPr>
      <w:r w:rsidRPr="004E0B3E">
        <w:t>Source: ACMA-commissioned survey.</w:t>
      </w:r>
    </w:p>
    <w:p w14:paraId="48973982" w14:textId="77777777" w:rsidR="000A1CD9" w:rsidRPr="00FD7E86" w:rsidRDefault="000A1CD9" w:rsidP="000A1CD9">
      <w:pPr>
        <w:pStyle w:val="ACMASpaceaftertable"/>
      </w:pPr>
    </w:p>
    <w:p w14:paraId="6C861ED1" w14:textId="77777777" w:rsidR="000A1CD9" w:rsidRDefault="000A1CD9" w:rsidP="000A1CD9">
      <w:r w:rsidRPr="00CC78FF">
        <w:rPr>
          <w:rFonts w:cs="Arial"/>
        </w:rPr>
        <w:t>D</w:t>
      </w:r>
      <w:r>
        <w:t>uring 2015–16</w:t>
      </w:r>
      <w:r w:rsidRPr="00CC78FF">
        <w:t xml:space="preserve">, </w:t>
      </w:r>
      <w:r>
        <w:t xml:space="preserve">the </w:t>
      </w:r>
      <w:r w:rsidRPr="00CC78FF">
        <w:t>market share for the three mobile c</w:t>
      </w:r>
      <w:r>
        <w:t xml:space="preserve">arriers remained largely stable, although the </w:t>
      </w:r>
      <w:r w:rsidRPr="00CC78FF">
        <w:t xml:space="preserve">mobile </w:t>
      </w:r>
      <w:r>
        <w:t>carriers</w:t>
      </w:r>
      <w:r w:rsidRPr="00CC78FF">
        <w:t xml:space="preserve"> face</w:t>
      </w:r>
      <w:r>
        <w:t>d</w:t>
      </w:r>
      <w:r w:rsidRPr="00CC78FF">
        <w:t xml:space="preserve"> </w:t>
      </w:r>
      <w:r>
        <w:t>increased competition for post-paid customers.</w:t>
      </w:r>
      <w:r>
        <w:rPr>
          <w:rStyle w:val="EndnoteReference"/>
        </w:rPr>
        <w:endnoteReference w:id="15"/>
      </w:r>
      <w:r>
        <w:t xml:space="preserve"> Telstra’s share of mobile services in operation increased by 0.6 per cent to 54.5 per cent. In comparison, Optus’ market share declined by almost a percentage point to 28.6 per cent, while market share held by Vodafone Australia rose by 0.4 per cent to 16.9 per cent (Figure 1.6).  </w:t>
      </w:r>
    </w:p>
    <w:p w14:paraId="70593C06" w14:textId="77777777" w:rsidR="000A1CD9" w:rsidRPr="00A64D32" w:rsidRDefault="000A1CD9" w:rsidP="000A1CD9">
      <w:pPr>
        <w:rPr>
          <w:rFonts w:cs="Arial"/>
          <w:szCs w:val="20"/>
        </w:rPr>
      </w:pPr>
      <w:r>
        <w:rPr>
          <w:rFonts w:cs="Arial"/>
          <w:szCs w:val="20"/>
        </w:rPr>
        <w:t xml:space="preserve">One of the main contributors </w:t>
      </w:r>
      <w:r w:rsidRPr="00A85CBE">
        <w:rPr>
          <w:rFonts w:cs="Arial"/>
          <w:szCs w:val="20"/>
        </w:rPr>
        <w:t xml:space="preserve">to the increase in </w:t>
      </w:r>
      <w:r w:rsidR="00C10E21">
        <w:rPr>
          <w:rFonts w:cs="Arial"/>
          <w:szCs w:val="20"/>
        </w:rPr>
        <w:t>Vodafone’s</w:t>
      </w:r>
      <w:r w:rsidRPr="00A85CBE">
        <w:rPr>
          <w:rFonts w:cs="Arial"/>
          <w:szCs w:val="20"/>
        </w:rPr>
        <w:t xml:space="preserve"> mobile subscriber base was the commercial agreement with TPG Telecom to migrate TPG’s mobile wholesale customer base from Optus’</w:t>
      </w:r>
      <w:r>
        <w:rPr>
          <w:rFonts w:cs="Arial"/>
          <w:szCs w:val="20"/>
        </w:rPr>
        <w:t>s</w:t>
      </w:r>
      <w:r w:rsidRPr="00A85CBE">
        <w:rPr>
          <w:rFonts w:cs="Arial"/>
          <w:szCs w:val="20"/>
        </w:rPr>
        <w:t xml:space="preserve"> network to the </w:t>
      </w:r>
      <w:r w:rsidR="00C10E21">
        <w:rPr>
          <w:rFonts w:cs="Arial"/>
          <w:szCs w:val="20"/>
        </w:rPr>
        <w:t>Vodafone</w:t>
      </w:r>
      <w:r w:rsidRPr="00A85CBE">
        <w:rPr>
          <w:rFonts w:cs="Arial"/>
          <w:szCs w:val="20"/>
        </w:rPr>
        <w:t xml:space="preserve"> network.</w:t>
      </w:r>
      <w:r w:rsidRPr="00A85CBE">
        <w:rPr>
          <w:rFonts w:cs="Arial"/>
          <w:szCs w:val="20"/>
          <w:vertAlign w:val="superscript"/>
        </w:rPr>
        <w:endnoteReference w:id="16"/>
      </w:r>
      <w:r>
        <w:rPr>
          <w:rFonts w:cs="Arial"/>
          <w:szCs w:val="20"/>
        </w:rPr>
        <w:t xml:space="preserve"> </w:t>
      </w:r>
      <w:r w:rsidRPr="00A85CBE">
        <w:rPr>
          <w:rFonts w:cs="Arial"/>
          <w:szCs w:val="20"/>
        </w:rPr>
        <w:t xml:space="preserve">TPG’s 320,000 mobile customers began receiving invitations to move to the </w:t>
      </w:r>
      <w:r w:rsidR="00C10E21">
        <w:rPr>
          <w:rFonts w:cs="Arial"/>
          <w:szCs w:val="20"/>
        </w:rPr>
        <w:t>Vodafone</w:t>
      </w:r>
      <w:r w:rsidRPr="00A85CBE">
        <w:rPr>
          <w:rFonts w:cs="Arial"/>
          <w:szCs w:val="20"/>
        </w:rPr>
        <w:t xml:space="preserve"> network in October 2015</w:t>
      </w:r>
      <w:r>
        <w:rPr>
          <w:rFonts w:cs="Arial"/>
          <w:szCs w:val="20"/>
        </w:rPr>
        <w:t>,</w:t>
      </w:r>
      <w:r w:rsidRPr="00A85CBE">
        <w:rPr>
          <w:rFonts w:cs="Arial"/>
          <w:szCs w:val="20"/>
        </w:rPr>
        <w:t xml:space="preserve"> with the entire migration process expected to take several months.</w:t>
      </w:r>
      <w:r w:rsidRPr="00A85CBE">
        <w:rPr>
          <w:rFonts w:cs="Arial"/>
          <w:szCs w:val="20"/>
          <w:vertAlign w:val="superscript"/>
        </w:rPr>
        <w:endnoteReference w:id="17"/>
      </w:r>
    </w:p>
    <w:p w14:paraId="2A609503" w14:textId="77777777" w:rsidR="000A1CD9" w:rsidRDefault="000A1CD9" w:rsidP="002B6620">
      <w:pPr>
        <w:pStyle w:val="ACMAFigureHeader"/>
        <w:keepNext/>
        <w:keepLines/>
      </w:pPr>
      <w:bookmarkStart w:id="226" w:name="_Ref398650928"/>
      <w:r w:rsidRPr="00CC78FF">
        <w:lastRenderedPageBreak/>
        <w:t>Figure 1.</w:t>
      </w:r>
      <w:bookmarkEnd w:id="226"/>
      <w:r>
        <w:t>6</w:t>
      </w:r>
      <w:r>
        <w:tab/>
      </w:r>
      <w:r w:rsidRPr="00CC78FF">
        <w:t>Mobile services in operation—carrier share and customer base</w:t>
      </w:r>
    </w:p>
    <w:p w14:paraId="56415E0B" w14:textId="77777777" w:rsidR="00DB0DC8" w:rsidRPr="00FD7E86" w:rsidRDefault="00DB0DC8" w:rsidP="002B6620">
      <w:pPr>
        <w:pStyle w:val="ACMAFigureHeader"/>
        <w:keepNext/>
        <w:keepLines/>
      </w:pPr>
      <w:r>
        <w:rPr>
          <w:noProof/>
        </w:rPr>
        <w:drawing>
          <wp:inline distT="0" distB="0" distL="0" distR="0" wp14:anchorId="7BAFB5F0" wp14:editId="7AF91835">
            <wp:extent cx="4971095" cy="1145894"/>
            <wp:effectExtent l="0" t="0" r="1270" b="0"/>
            <wp:docPr id="30" name="Picture 30" descr="Data for Figure 1.6 is in the .ods file for Chapter 1 on the landing page ‘Communications report 2015-16’, available from the ACMA website." title="Figure 1.6 Mobile services in operation - carrier share and custom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6_Figure 1.6_Figure 1.6.png"/>
                    <pic:cNvPicPr/>
                  </pic:nvPicPr>
                  <pic:blipFill rotWithShape="1">
                    <a:blip r:embed="rId39">
                      <a:extLst>
                        <a:ext uri="{28A0092B-C50C-407E-A947-70E740481C1C}">
                          <a14:useLocalDpi xmlns:a14="http://schemas.microsoft.com/office/drawing/2010/main" val="0"/>
                        </a:ext>
                      </a:extLst>
                    </a:blip>
                    <a:srcRect l="882" t="2061" b="1876"/>
                    <a:stretch/>
                  </pic:blipFill>
                  <pic:spPr bwMode="auto">
                    <a:xfrm>
                      <a:off x="0" y="0"/>
                      <a:ext cx="5060576" cy="1166520"/>
                    </a:xfrm>
                    <a:prstGeom prst="rect">
                      <a:avLst/>
                    </a:prstGeom>
                    <a:ln>
                      <a:noFill/>
                    </a:ln>
                    <a:extLst>
                      <a:ext uri="{53640926-AAD7-44D8-BBD7-CCE9431645EC}">
                        <a14:shadowObscured xmlns:a14="http://schemas.microsoft.com/office/drawing/2010/main"/>
                      </a:ext>
                    </a:extLst>
                  </pic:spPr>
                </pic:pic>
              </a:graphicData>
            </a:graphic>
          </wp:inline>
        </w:drawing>
      </w:r>
    </w:p>
    <w:p w14:paraId="24C1B08D" w14:textId="77777777" w:rsidR="000A1CD9" w:rsidRPr="004E0B3E" w:rsidRDefault="000A1CD9" w:rsidP="002B6620">
      <w:pPr>
        <w:pStyle w:val="ACMANotes"/>
        <w:keepNext/>
        <w:keepLines/>
      </w:pPr>
      <w:r w:rsidRPr="004E0B3E">
        <w:t>m=million</w:t>
      </w:r>
      <w:r w:rsidRPr="004E0B3E" w:rsidDel="00B83256">
        <w:t>.</w:t>
      </w:r>
    </w:p>
    <w:p w14:paraId="359EE1EC" w14:textId="77777777" w:rsidR="000A1CD9" w:rsidRPr="004E0B3E" w:rsidRDefault="000A1CD9" w:rsidP="002B6620">
      <w:pPr>
        <w:pStyle w:val="ACMANotes"/>
        <w:keepNext/>
        <w:keepLines/>
      </w:pPr>
      <w:r w:rsidRPr="004E0B3E">
        <w:t>Figures include retail services and wireless broadband data services provided via mobile handset, data cards, dongles or USB</w:t>
      </w:r>
      <w:r w:rsidR="00092336">
        <w:t> </w:t>
      </w:r>
      <w:r w:rsidRPr="004E0B3E">
        <w:t xml:space="preserve">modems. </w:t>
      </w:r>
    </w:p>
    <w:p w14:paraId="2B4DE644" w14:textId="77777777" w:rsidR="000A1CD9" w:rsidRPr="004E0B3E" w:rsidRDefault="000A1CD9" w:rsidP="002B6620">
      <w:pPr>
        <w:pStyle w:val="ACMANotes"/>
        <w:keepNext/>
        <w:keepLines/>
      </w:pPr>
      <w:r w:rsidRPr="004E0B3E">
        <w:t>Note: Numbers may not add up due to rounding.</w:t>
      </w:r>
    </w:p>
    <w:p w14:paraId="668775C6" w14:textId="77777777" w:rsidR="000A1CD9" w:rsidRDefault="000A1CD9" w:rsidP="001E01E9">
      <w:pPr>
        <w:pStyle w:val="ACMANotes"/>
      </w:pPr>
      <w:r w:rsidRPr="004E0B3E">
        <w:t xml:space="preserve">Source: </w:t>
      </w:r>
      <w:r w:rsidRPr="001E01E9">
        <w:t>Company</w:t>
      </w:r>
      <w:r w:rsidRPr="004E0B3E">
        <w:t xml:space="preserve"> annual reports and press releases.</w:t>
      </w:r>
    </w:p>
    <w:p w14:paraId="75BE1A2C" w14:textId="77777777" w:rsidR="001E01E9" w:rsidRDefault="001E01E9" w:rsidP="001E01E9">
      <w:pPr>
        <w:pStyle w:val="ACMASpaceaftertable"/>
      </w:pPr>
    </w:p>
    <w:p w14:paraId="18FF03BF" w14:textId="77777777" w:rsidR="000A1CD9" w:rsidRPr="00FD7E86" w:rsidRDefault="000A1CD9" w:rsidP="000A1CD9">
      <w:pPr>
        <w:pStyle w:val="Heading3"/>
      </w:pPr>
      <w:bookmarkStart w:id="227" w:name="_Toc462132195"/>
      <w:bookmarkStart w:id="228" w:name="_Toc462899542"/>
      <w:bookmarkStart w:id="229" w:name="_Toc463529022"/>
      <w:bookmarkStart w:id="230" w:name="_Toc465842847"/>
      <w:r w:rsidRPr="00FD7E86">
        <w:t>Mobile network infrastructure</w:t>
      </w:r>
      <w:bookmarkEnd w:id="227"/>
      <w:bookmarkEnd w:id="228"/>
      <w:bookmarkEnd w:id="229"/>
      <w:bookmarkEnd w:id="230"/>
    </w:p>
    <w:p w14:paraId="0A3F704F" w14:textId="77777777" w:rsidR="000A1CD9" w:rsidRPr="00013A44" w:rsidRDefault="000A1CD9" w:rsidP="000A1CD9">
      <w:pPr>
        <w:keepNext/>
        <w:spacing w:after="80"/>
        <w:rPr>
          <w:rFonts w:cs="Arial"/>
        </w:rPr>
      </w:pPr>
      <w:r w:rsidRPr="00013A44">
        <w:rPr>
          <w:rFonts w:cs="Arial"/>
        </w:rPr>
        <w:t>Durin</w:t>
      </w:r>
      <w:r>
        <w:rPr>
          <w:rFonts w:cs="Arial"/>
        </w:rPr>
        <w:t xml:space="preserve">g 2015–16, all three mobile network operators continued to strengthen and extend the coverage of their networks. At June 2016:  </w:t>
      </w:r>
    </w:p>
    <w:p w14:paraId="3EC449D6" w14:textId="77777777" w:rsidR="000A1CD9" w:rsidRPr="00E7202C" w:rsidRDefault="000A1CD9" w:rsidP="000A1CD9">
      <w:pPr>
        <w:pStyle w:val="ListBullet"/>
      </w:pPr>
      <w:r w:rsidRPr="00E7202C">
        <w:t>Telstra’s</w:t>
      </w:r>
      <w:r>
        <w:t xml:space="preserve"> </w:t>
      </w:r>
      <w:r w:rsidRPr="00E7202C">
        <w:t>4G network covered 98 per ce</w:t>
      </w:r>
      <w:r>
        <w:t>nt of the population. It is anticipated to increase to 99 per cent by the end of June 2017</w:t>
      </w:r>
      <w:r w:rsidRPr="00531CD0">
        <w:t>.</w:t>
      </w:r>
    </w:p>
    <w:p w14:paraId="0B5166FE" w14:textId="77777777" w:rsidR="000A1CD9" w:rsidRPr="00626561" w:rsidRDefault="000A1CD9" w:rsidP="000A1CD9">
      <w:pPr>
        <w:pStyle w:val="ListBullet"/>
      </w:pPr>
      <w:r>
        <w:t>Optus’s 4G network was available to 95</w:t>
      </w:r>
      <w:r w:rsidRPr="00970B71">
        <w:t xml:space="preserve"> per cent</w:t>
      </w:r>
      <w:r>
        <w:t xml:space="preserve"> of the population, up from </w:t>
      </w:r>
      <w:r w:rsidRPr="00970B71">
        <w:t>90 per cent over the previous year.</w:t>
      </w:r>
      <w:r>
        <w:t xml:space="preserve"> </w:t>
      </w:r>
      <w:r w:rsidRPr="00970B71">
        <w:t xml:space="preserve">The acquisition of new regional licences in the </w:t>
      </w:r>
      <w:r w:rsidRPr="00626561">
        <w:t>1800</w:t>
      </w:r>
      <w:r>
        <w:t> </w:t>
      </w:r>
      <w:r w:rsidRPr="00626561">
        <w:t>MHz spectrum band is expected to expand Optus’</w:t>
      </w:r>
      <w:r>
        <w:t>s</w:t>
      </w:r>
      <w:r w:rsidRPr="00626561">
        <w:t xml:space="preserve"> 4G network even further.</w:t>
      </w:r>
      <w:r>
        <w:t xml:space="preserve"> </w:t>
      </w:r>
    </w:p>
    <w:p w14:paraId="4CE8E65B" w14:textId="77777777" w:rsidR="000A1CD9" w:rsidRDefault="00C10E21" w:rsidP="000A1CD9">
      <w:pPr>
        <w:pStyle w:val="ListBulletLast"/>
      </w:pPr>
      <w:r>
        <w:t>Vodafone</w:t>
      </w:r>
      <w:r w:rsidR="000A1CD9" w:rsidRPr="00626561">
        <w:t>’s 4G network reached more than 22 million Australians</w:t>
      </w:r>
      <w:r w:rsidR="00947E7A">
        <w:t xml:space="preserve"> (96 per cent of the Australian population)</w:t>
      </w:r>
      <w:r w:rsidR="00947E7A" w:rsidRPr="00626561">
        <w:t xml:space="preserve">, </w:t>
      </w:r>
      <w:r w:rsidR="000A1CD9" w:rsidRPr="00626561">
        <w:t>with plans to build more than 100 mobile base stations in regional areas by the end of 2017.</w:t>
      </w:r>
      <w:r w:rsidR="000A1CD9">
        <w:t xml:space="preserve"> </w:t>
      </w:r>
    </w:p>
    <w:p w14:paraId="1DDA00DC" w14:textId="77777777" w:rsidR="000A1CD9" w:rsidRDefault="000A1CD9" w:rsidP="000A1CD9">
      <w:r>
        <w:t xml:space="preserve">Telstra’s network experienced outages that caused disruptions to its mobile services in February and March 2016. In response, Telstra completed a network review in May 2016 and announced it would be investing $50 million in its mobile network to enhance resiliency, improve recovery time and create more effective real-time monitoring. </w:t>
      </w:r>
    </w:p>
    <w:p w14:paraId="4F5FBC8E" w14:textId="77777777" w:rsidR="000A1CD9" w:rsidRPr="0094475A" w:rsidRDefault="000A1CD9" w:rsidP="000A1CD9">
      <w:r w:rsidRPr="00531CD0">
        <w:t>In July 2014, Telstra announced it would be closing its 2G (GSM) network before the end of 2016, with closure later confirmed for 1 December 2016. Optus</w:t>
      </w:r>
      <w:r w:rsidR="00947E7A">
        <w:t xml:space="preserve"> and Vodafone have</w:t>
      </w:r>
      <w:r w:rsidRPr="00531CD0">
        <w:t xml:space="preserve"> also announced plans to shut </w:t>
      </w:r>
      <w:r w:rsidR="00947E7A">
        <w:t>down their</w:t>
      </w:r>
      <w:r w:rsidRPr="00531CD0">
        <w:t xml:space="preserve"> 2G network</w:t>
      </w:r>
      <w:r w:rsidR="00947E7A">
        <w:t>s in 2017</w:t>
      </w:r>
      <w:r w:rsidR="00092336">
        <w:t>,</w:t>
      </w:r>
      <w:r w:rsidR="00947E7A">
        <w:t xml:space="preserve"> </w:t>
      </w:r>
      <w:r w:rsidR="00A3222B">
        <w:t>which</w:t>
      </w:r>
      <w:r w:rsidR="00947E7A">
        <w:t xml:space="preserve"> are </w:t>
      </w:r>
      <w:r w:rsidRPr="00531CD0">
        <w:t>scheduled to take effect in April 2017</w:t>
      </w:r>
      <w:r w:rsidR="00947E7A">
        <w:t xml:space="preserve"> and September 2017, respectively</w:t>
      </w:r>
      <w:r w:rsidRPr="0094475A">
        <w:t xml:space="preserve">. </w:t>
      </w:r>
    </w:p>
    <w:p w14:paraId="26D17C1D" w14:textId="77777777" w:rsidR="000A1CD9" w:rsidRPr="00531CD0" w:rsidRDefault="000A1CD9" w:rsidP="000A1CD9">
      <w:r w:rsidRPr="00531CD0">
        <w:t xml:space="preserve">Although the majority of consumers have handsets capable of accessing other mobile networks such as 3G and 4G, those Australians who are yet to upgrade to newer technologies </w:t>
      </w:r>
      <w:r w:rsidR="00A0730A">
        <w:t>may</w:t>
      </w:r>
      <w:r w:rsidR="00A0730A" w:rsidRPr="00531CD0">
        <w:t xml:space="preserve"> </w:t>
      </w:r>
      <w:r w:rsidRPr="00531CD0">
        <w:t xml:space="preserve">need to either change their mobile handset or their service provider. </w:t>
      </w:r>
    </w:p>
    <w:p w14:paraId="4D9326EC" w14:textId="77777777" w:rsidR="000A1CD9" w:rsidRPr="00FD7E86" w:rsidRDefault="000A1CD9" w:rsidP="000A1CD9">
      <w:pPr>
        <w:pStyle w:val="Heading3"/>
      </w:pPr>
      <w:bookmarkStart w:id="231" w:name="_Toc462132196"/>
      <w:bookmarkStart w:id="232" w:name="_Toc462899543"/>
      <w:bookmarkStart w:id="233" w:name="_Toc463529023"/>
      <w:bookmarkStart w:id="234" w:name="_Toc465842848"/>
      <w:r>
        <w:t>Strong supply and demand for 4G services</w:t>
      </w:r>
      <w:bookmarkEnd w:id="231"/>
      <w:bookmarkEnd w:id="232"/>
      <w:bookmarkEnd w:id="233"/>
      <w:bookmarkEnd w:id="234"/>
      <w:r>
        <w:t xml:space="preserve"> </w:t>
      </w:r>
    </w:p>
    <w:p w14:paraId="21490307" w14:textId="77777777" w:rsidR="000A1CD9" w:rsidRDefault="000A1CD9" w:rsidP="000A1CD9">
      <w:r>
        <w:t>Demand for 4G services continued to grow strongly. Optus reported 1.2 million new 4G customers over a 12-month period, reaching 4.93 million 4G subscribers at June 2016, compared to 3.8 million subscribers at June 2015.</w:t>
      </w:r>
      <w:r>
        <w:rPr>
          <w:rStyle w:val="EndnoteReference"/>
        </w:rPr>
        <w:endnoteReference w:id="18"/>
      </w:r>
      <w:r>
        <w:t xml:space="preserve"> </w:t>
      </w:r>
    </w:p>
    <w:p w14:paraId="0905EE7A" w14:textId="77777777" w:rsidR="000A1CD9" w:rsidRDefault="000A1CD9" w:rsidP="000A1CD9">
      <w:r>
        <w:t>In 2015–16, Telstra upgraded more than 2,000 network sites to 4GX, which is designed to deliver faster download speeds, wider coverage, and more reliable voice and data services.</w:t>
      </w:r>
      <w:r>
        <w:rPr>
          <w:rStyle w:val="EndnoteReference"/>
        </w:rPr>
        <w:endnoteReference w:id="19"/>
      </w:r>
      <w:r>
        <w:t xml:space="preserve"> </w:t>
      </w:r>
    </w:p>
    <w:p w14:paraId="439A6402" w14:textId="77777777" w:rsidR="000A1CD9" w:rsidRPr="00531CD0" w:rsidRDefault="000A1CD9" w:rsidP="000A1CD9">
      <w:pPr>
        <w:rPr>
          <w:rFonts w:eastAsiaTheme="minorHAnsi"/>
        </w:rPr>
      </w:pPr>
      <w:r w:rsidRPr="00531CD0">
        <w:rPr>
          <w:rFonts w:eastAsiaTheme="minorHAnsi"/>
        </w:rPr>
        <w:t xml:space="preserve">Contributing to the </w:t>
      </w:r>
      <w:r w:rsidR="00A0730A">
        <w:rPr>
          <w:rFonts w:eastAsiaTheme="minorHAnsi"/>
        </w:rPr>
        <w:t>growth</w:t>
      </w:r>
      <w:r w:rsidR="00A0730A" w:rsidRPr="00531CD0">
        <w:rPr>
          <w:rFonts w:eastAsiaTheme="minorHAnsi"/>
        </w:rPr>
        <w:t xml:space="preserve"> </w:t>
      </w:r>
      <w:r w:rsidRPr="00531CD0">
        <w:rPr>
          <w:rFonts w:eastAsiaTheme="minorHAnsi"/>
        </w:rPr>
        <w:t>in 4G mobile services was the opening of 4G networks to the wholesale customers of Telstra and Vodafone</w:t>
      </w:r>
      <w:r>
        <w:rPr>
          <w:rFonts w:eastAsiaTheme="minorHAnsi"/>
          <w:lang w:eastAsia="en-US"/>
        </w:rPr>
        <w:t>—</w:t>
      </w:r>
      <w:r w:rsidRPr="00531CD0">
        <w:rPr>
          <w:rFonts w:eastAsiaTheme="minorHAnsi"/>
        </w:rPr>
        <w:t>mobile virtual network operators (MVNOs) that use Optus’</w:t>
      </w:r>
      <w:r>
        <w:rPr>
          <w:rFonts w:eastAsiaTheme="minorHAnsi"/>
          <w:lang w:eastAsia="en-US"/>
        </w:rPr>
        <w:t>s</w:t>
      </w:r>
      <w:r w:rsidRPr="00531CD0">
        <w:rPr>
          <w:rFonts w:eastAsiaTheme="minorHAnsi"/>
        </w:rPr>
        <w:t xml:space="preserve"> network were already able to offer 4G services. Telstra began rolling out its 4G mobile network to its MVNO partners in April 2016.</w:t>
      </w:r>
      <w:r>
        <w:rPr>
          <w:rStyle w:val="EndnoteReference"/>
          <w:rFonts w:eastAsiaTheme="minorHAnsi" w:cs="Arial"/>
          <w:color w:val="000000" w:themeColor="text1"/>
          <w:szCs w:val="20"/>
          <w:lang w:eastAsia="en-US"/>
        </w:rPr>
        <w:endnoteReference w:id="20"/>
      </w:r>
      <w:r w:rsidRPr="00531CD0">
        <w:rPr>
          <w:rFonts w:eastAsiaTheme="minorHAnsi"/>
        </w:rPr>
        <w:t xml:space="preserve"> Meanwhile</w:t>
      </w:r>
      <w:r>
        <w:rPr>
          <w:rFonts w:eastAsiaTheme="minorHAnsi"/>
          <w:lang w:eastAsia="en-US"/>
        </w:rPr>
        <w:t>,</w:t>
      </w:r>
      <w:r w:rsidRPr="00531CD0">
        <w:rPr>
          <w:rFonts w:eastAsiaTheme="minorHAnsi"/>
        </w:rPr>
        <w:t xml:space="preserve"> Vodafone offered 4G access to TPG in October 2015</w:t>
      </w:r>
      <w:r>
        <w:rPr>
          <w:rFonts w:eastAsiaTheme="minorHAnsi"/>
          <w:lang w:eastAsia="en-US"/>
        </w:rPr>
        <w:t>,</w:t>
      </w:r>
      <w:r w:rsidRPr="00531CD0">
        <w:rPr>
          <w:rFonts w:eastAsiaTheme="minorHAnsi"/>
        </w:rPr>
        <w:t xml:space="preserve"> followed by other MVNOs between May</w:t>
      </w:r>
      <w:r w:rsidRPr="00531CD0">
        <w:rPr>
          <w:rFonts w:eastAsiaTheme="minorHAnsi"/>
          <w:vertAlign w:val="superscript"/>
        </w:rPr>
        <w:endnoteReference w:id="21"/>
      </w:r>
      <w:r w:rsidRPr="00531CD0">
        <w:rPr>
          <w:rFonts w:eastAsiaTheme="minorHAnsi"/>
        </w:rPr>
        <w:t xml:space="preserve"> and July 2016.</w:t>
      </w:r>
      <w:r>
        <w:rPr>
          <w:rStyle w:val="EndnoteReference"/>
          <w:rFonts w:eastAsiaTheme="minorHAnsi" w:cs="Arial"/>
          <w:color w:val="000000" w:themeColor="text1"/>
          <w:szCs w:val="20"/>
          <w:lang w:eastAsia="en-US"/>
        </w:rPr>
        <w:endnoteReference w:id="22"/>
      </w:r>
    </w:p>
    <w:p w14:paraId="14FB8895" w14:textId="77777777" w:rsidR="000A1CD9" w:rsidRDefault="000A1CD9" w:rsidP="000A1CD9">
      <w:pPr>
        <w:rPr>
          <w:lang w:val="en"/>
        </w:rPr>
      </w:pPr>
      <w:r w:rsidRPr="00531CD0">
        <w:lastRenderedPageBreak/>
        <w:t xml:space="preserve">The future ability of mobile carriers to extend the reach and performance of their 4G networks in regional and remote areas was bolstered </w:t>
      </w:r>
      <w:r>
        <w:t>by</w:t>
      </w:r>
      <w:r w:rsidRPr="00531CD0">
        <w:t xml:space="preserve"> the completion of the ACMA’s auction of 1800 MHz band spectrum in February 2016. Four carriers (Telstra, Optus, </w:t>
      </w:r>
      <w:r w:rsidR="00C10E21">
        <w:t>Vodafone</w:t>
      </w:r>
      <w:r w:rsidRPr="00531CD0">
        <w:t xml:space="preserve"> and TPG) </w:t>
      </w:r>
      <w:r w:rsidRPr="00531CD0">
        <w:rPr>
          <w:lang w:val="en"/>
        </w:rPr>
        <w:t xml:space="preserve">secured spectrum </w:t>
      </w:r>
      <w:r>
        <w:rPr>
          <w:lang w:val="en"/>
        </w:rPr>
        <w:t>that</w:t>
      </w:r>
      <w:r w:rsidRPr="00531CD0">
        <w:rPr>
          <w:lang w:val="en"/>
        </w:rPr>
        <w:t xml:space="preserve"> </w:t>
      </w:r>
      <w:r w:rsidRPr="00807146">
        <w:rPr>
          <w:lang w:val="en"/>
        </w:rPr>
        <w:t xml:space="preserve">will be licensed for use </w:t>
      </w:r>
      <w:r>
        <w:rPr>
          <w:lang w:val="en"/>
        </w:rPr>
        <w:t>from</w:t>
      </w:r>
      <w:r w:rsidRPr="00807146">
        <w:rPr>
          <w:lang w:val="en"/>
        </w:rPr>
        <w:t xml:space="preserve"> 30 May 2017.</w:t>
      </w:r>
      <w:r>
        <w:rPr>
          <w:rStyle w:val="EndnoteReference"/>
          <w:rFonts w:cs="Arial"/>
          <w:szCs w:val="20"/>
          <w:lang w:val="en"/>
        </w:rPr>
        <w:endnoteReference w:id="23"/>
      </w:r>
    </w:p>
    <w:p w14:paraId="10B3662B" w14:textId="77777777" w:rsidR="000A1CD9" w:rsidRPr="00FD7E86" w:rsidRDefault="000A1CD9" w:rsidP="000A1CD9">
      <w:pPr>
        <w:pStyle w:val="Heading3"/>
      </w:pPr>
      <w:bookmarkStart w:id="235" w:name="_Toc462132197"/>
      <w:bookmarkStart w:id="236" w:name="_Toc462899544"/>
      <w:bookmarkStart w:id="237" w:name="_Toc463529024"/>
      <w:bookmarkStart w:id="238" w:name="_Toc465842849"/>
      <w:r w:rsidRPr="00FD7E86">
        <w:t>Mobile Black Spot Program</w:t>
      </w:r>
      <w:bookmarkEnd w:id="235"/>
      <w:bookmarkEnd w:id="236"/>
      <w:bookmarkEnd w:id="237"/>
      <w:bookmarkEnd w:id="238"/>
    </w:p>
    <w:p w14:paraId="4D632F46" w14:textId="77777777" w:rsidR="000A1CD9" w:rsidRDefault="000A1CD9" w:rsidP="000A1CD9">
      <w:r w:rsidRPr="00C41432">
        <w:t>In June 2015, the Australian Government announced the launch of its Mob</w:t>
      </w:r>
      <w:r>
        <w:t>ile Black Spot Program, which aims</w:t>
      </w:r>
      <w:r w:rsidRPr="00C41432">
        <w:t xml:space="preserve"> to improve mobile phone coverage and competition in regional and remote Australia. </w:t>
      </w:r>
    </w:p>
    <w:p w14:paraId="71197E59" w14:textId="77777777" w:rsidR="000A1CD9" w:rsidRDefault="000A1CD9" w:rsidP="000A1CD9">
      <w:pPr>
        <w:rPr>
          <w:rFonts w:eastAsiaTheme="minorHAnsi" w:cs="Arial"/>
          <w:color w:val="000000" w:themeColor="text1"/>
          <w:szCs w:val="20"/>
          <w:lang w:eastAsia="en-US"/>
        </w:rPr>
      </w:pPr>
      <w:r>
        <w:rPr>
          <w:rFonts w:eastAsiaTheme="minorHAnsi" w:cs="Arial"/>
          <w:color w:val="000000" w:themeColor="text1"/>
          <w:szCs w:val="20"/>
          <w:lang w:eastAsia="en-US"/>
        </w:rPr>
        <w:t>T</w:t>
      </w:r>
      <w:r w:rsidRPr="00B31A28">
        <w:rPr>
          <w:rFonts w:eastAsiaTheme="minorHAnsi" w:cs="Arial"/>
          <w:color w:val="000000" w:themeColor="text1"/>
          <w:szCs w:val="20"/>
          <w:lang w:eastAsia="en-US"/>
        </w:rPr>
        <w:t xml:space="preserve">he </w:t>
      </w:r>
      <w:r>
        <w:rPr>
          <w:rFonts w:eastAsiaTheme="minorHAnsi" w:cs="Arial"/>
          <w:color w:val="000000" w:themeColor="text1"/>
          <w:szCs w:val="20"/>
          <w:lang w:eastAsia="en-US"/>
        </w:rPr>
        <w:t xml:space="preserve">government </w:t>
      </w:r>
      <w:r w:rsidRPr="00B31A28">
        <w:rPr>
          <w:rFonts w:eastAsiaTheme="minorHAnsi" w:cs="Arial"/>
          <w:color w:val="000000" w:themeColor="text1"/>
          <w:szCs w:val="20"/>
          <w:lang w:eastAsia="en-US"/>
        </w:rPr>
        <w:t xml:space="preserve">committed funding of $100 million for </w:t>
      </w:r>
      <w:r>
        <w:rPr>
          <w:rFonts w:eastAsiaTheme="minorHAnsi" w:cs="Arial"/>
          <w:color w:val="000000" w:themeColor="text1"/>
          <w:szCs w:val="20"/>
          <w:lang w:eastAsia="en-US"/>
        </w:rPr>
        <w:t>r</w:t>
      </w:r>
      <w:r w:rsidRPr="00B31A28">
        <w:rPr>
          <w:rFonts w:eastAsiaTheme="minorHAnsi" w:cs="Arial"/>
          <w:color w:val="000000" w:themeColor="text1"/>
          <w:szCs w:val="20"/>
          <w:lang w:eastAsia="en-US"/>
        </w:rPr>
        <w:t xml:space="preserve">ound </w:t>
      </w:r>
      <w:r>
        <w:rPr>
          <w:rFonts w:eastAsiaTheme="minorHAnsi" w:cs="Arial"/>
          <w:color w:val="000000" w:themeColor="text1"/>
          <w:szCs w:val="20"/>
          <w:lang w:eastAsia="en-US"/>
        </w:rPr>
        <w:t>one</w:t>
      </w:r>
      <w:r w:rsidRPr="00B31A28">
        <w:rPr>
          <w:rFonts w:eastAsiaTheme="minorHAnsi" w:cs="Arial"/>
          <w:color w:val="000000" w:themeColor="text1"/>
          <w:szCs w:val="20"/>
          <w:lang w:eastAsia="en-US"/>
        </w:rPr>
        <w:t xml:space="preserve"> of the program</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which is delivering 499</w:t>
      </w:r>
      <w:r>
        <w:rPr>
          <w:rFonts w:eastAsiaTheme="minorHAnsi" w:cs="Arial"/>
          <w:color w:val="000000" w:themeColor="text1"/>
          <w:szCs w:val="20"/>
          <w:lang w:eastAsia="en-US"/>
        </w:rPr>
        <w:t xml:space="preserve"> </w:t>
      </w:r>
      <w:r w:rsidRPr="00B31A28">
        <w:rPr>
          <w:rFonts w:eastAsiaTheme="minorHAnsi" w:cs="Arial"/>
          <w:color w:val="000000" w:themeColor="text1"/>
          <w:szCs w:val="20"/>
          <w:lang w:eastAsia="en-US"/>
        </w:rPr>
        <w:t xml:space="preserve">new and upgraded mobile base stations across Australia over three years—429 Telstra base stations and 70 Vodafone base stations. This funding leveraged co-contributions from mobile </w:t>
      </w:r>
      <w:r>
        <w:rPr>
          <w:rFonts w:eastAsiaTheme="minorHAnsi" w:cs="Arial"/>
          <w:color w:val="000000" w:themeColor="text1"/>
          <w:szCs w:val="20"/>
          <w:lang w:eastAsia="en-US"/>
        </w:rPr>
        <w:t>carriers</w:t>
      </w:r>
      <w:r w:rsidRPr="00B31A28">
        <w:rPr>
          <w:rFonts w:eastAsiaTheme="minorHAnsi" w:cs="Arial"/>
          <w:color w:val="000000" w:themeColor="text1"/>
          <w:szCs w:val="20"/>
          <w:lang w:eastAsia="en-US"/>
        </w:rPr>
        <w:t xml:space="preserve"> Telstra and Vodafone, state and local governments</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businesses and community organisations.</w:t>
      </w:r>
      <w:r>
        <w:rPr>
          <w:rFonts w:eastAsiaTheme="minorHAnsi" w:cs="Arial"/>
          <w:color w:val="000000" w:themeColor="text1"/>
          <w:szCs w:val="20"/>
          <w:lang w:eastAsia="en-US"/>
        </w:rPr>
        <w:t xml:space="preserve"> </w:t>
      </w:r>
      <w:r w:rsidRPr="00B31A28">
        <w:rPr>
          <w:rFonts w:eastAsiaTheme="minorHAnsi" w:cs="Arial"/>
          <w:color w:val="000000" w:themeColor="text1"/>
          <w:szCs w:val="20"/>
          <w:lang w:eastAsia="en-US"/>
        </w:rPr>
        <w:t>In December 2015</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Telstra and Vodafone activated the first cell towers under the</w:t>
      </w:r>
      <w:r>
        <w:rPr>
          <w:rFonts w:eastAsiaTheme="minorHAnsi" w:cs="Arial"/>
          <w:color w:val="000000" w:themeColor="text1"/>
          <w:szCs w:val="20"/>
          <w:lang w:eastAsia="en-US"/>
        </w:rPr>
        <w:t xml:space="preserve"> program.</w:t>
      </w:r>
      <w:r>
        <w:rPr>
          <w:rStyle w:val="EndnoteReference"/>
          <w:rFonts w:eastAsiaTheme="minorHAnsi" w:cs="Arial"/>
          <w:color w:val="000000" w:themeColor="text1"/>
          <w:szCs w:val="20"/>
          <w:lang w:eastAsia="en-US"/>
        </w:rPr>
        <w:endnoteReference w:id="24"/>
      </w:r>
    </w:p>
    <w:p w14:paraId="7A110813" w14:textId="77777777" w:rsidR="000A1CD9" w:rsidRDefault="000A1CD9" w:rsidP="000A1CD9">
      <w:pPr>
        <w:rPr>
          <w:rFonts w:eastAsiaTheme="minorHAnsi" w:cs="Arial"/>
          <w:color w:val="000000" w:themeColor="text1"/>
          <w:szCs w:val="20"/>
          <w:lang w:eastAsia="en-US"/>
        </w:rPr>
      </w:pPr>
      <w:r w:rsidRPr="00B31A28">
        <w:rPr>
          <w:rFonts w:eastAsiaTheme="minorHAnsi" w:cs="Arial"/>
          <w:color w:val="000000" w:themeColor="text1"/>
          <w:szCs w:val="20"/>
          <w:lang w:eastAsia="en-US"/>
        </w:rPr>
        <w:t>Under their respective rollout schedules, 66 Telstra base stations</w:t>
      </w:r>
      <w:r>
        <w:rPr>
          <w:rStyle w:val="EndnoteReference"/>
          <w:rFonts w:eastAsiaTheme="minorHAnsi" w:cs="Arial"/>
          <w:color w:val="000000" w:themeColor="text1"/>
          <w:szCs w:val="20"/>
          <w:lang w:eastAsia="en-US"/>
        </w:rPr>
        <w:endnoteReference w:id="25"/>
      </w:r>
      <w:r w:rsidRPr="00B31A28">
        <w:rPr>
          <w:rFonts w:eastAsiaTheme="minorHAnsi" w:cs="Arial"/>
          <w:color w:val="000000" w:themeColor="text1"/>
          <w:szCs w:val="20"/>
          <w:lang w:eastAsia="en-US"/>
        </w:rPr>
        <w:t xml:space="preserve"> and seven Vodafone base stations</w:t>
      </w:r>
      <w:r>
        <w:rPr>
          <w:rStyle w:val="EndnoteReference"/>
          <w:rFonts w:eastAsiaTheme="minorHAnsi" w:cs="Arial"/>
          <w:color w:val="000000" w:themeColor="text1"/>
          <w:szCs w:val="20"/>
          <w:lang w:eastAsia="en-US"/>
        </w:rPr>
        <w:endnoteReference w:id="26"/>
      </w:r>
      <w:r w:rsidRPr="00B31A28">
        <w:rPr>
          <w:rFonts w:eastAsiaTheme="minorHAnsi" w:cs="Arial"/>
          <w:color w:val="000000" w:themeColor="text1"/>
          <w:szCs w:val="20"/>
          <w:lang w:eastAsia="en-US"/>
        </w:rPr>
        <w:t xml:space="preserve"> were expected to be activated by June 2016.</w:t>
      </w:r>
      <w:r>
        <w:rPr>
          <w:rFonts w:eastAsiaTheme="minorHAnsi" w:cs="Arial"/>
          <w:color w:val="000000" w:themeColor="text1"/>
          <w:szCs w:val="20"/>
          <w:lang w:eastAsia="en-US"/>
        </w:rPr>
        <w:t xml:space="preserve"> </w:t>
      </w:r>
      <w:r w:rsidR="00343D30">
        <w:rPr>
          <w:rFonts w:eastAsiaTheme="minorHAnsi" w:cs="Arial"/>
          <w:color w:val="000000" w:themeColor="text1"/>
          <w:szCs w:val="20"/>
          <w:lang w:eastAsia="en-US"/>
        </w:rPr>
        <w:t>As at August 2016, Telstra had activated 60 mobile base stations</w:t>
      </w:r>
      <w:r w:rsidR="00343D30">
        <w:rPr>
          <w:rStyle w:val="EndnoteReference"/>
          <w:rFonts w:eastAsiaTheme="minorHAnsi" w:cs="Arial"/>
          <w:color w:val="000000" w:themeColor="text1"/>
          <w:szCs w:val="20"/>
          <w:lang w:eastAsia="en-US"/>
        </w:rPr>
        <w:endnoteReference w:id="27"/>
      </w:r>
      <w:r w:rsidR="00D91876" w:rsidRPr="00604073">
        <w:rPr>
          <w:rFonts w:eastAsiaTheme="minorHAnsi" w:cs="Arial"/>
          <w:color w:val="000000" w:themeColor="text1"/>
          <w:szCs w:val="20"/>
          <w:vertAlign w:val="superscript"/>
          <w:lang w:eastAsia="en-US"/>
        </w:rPr>
        <w:t>,</w:t>
      </w:r>
      <w:r w:rsidR="008F3F55">
        <w:rPr>
          <w:rFonts w:eastAsiaTheme="minorHAnsi" w:cs="Arial"/>
          <w:color w:val="000000" w:themeColor="text1"/>
          <w:szCs w:val="20"/>
          <w:vertAlign w:val="superscript"/>
          <w:lang w:eastAsia="en-US"/>
        </w:rPr>
        <w:t xml:space="preserve"> </w:t>
      </w:r>
      <w:r w:rsidR="00B5226F">
        <w:rPr>
          <w:rStyle w:val="EndnoteReference"/>
          <w:rFonts w:eastAsiaTheme="minorHAnsi" w:cs="Arial"/>
          <w:color w:val="000000" w:themeColor="text1"/>
          <w:szCs w:val="20"/>
          <w:lang w:eastAsia="en-US"/>
        </w:rPr>
        <w:endnoteReference w:id="28"/>
      </w:r>
      <w:r w:rsidR="00343D30">
        <w:rPr>
          <w:rFonts w:eastAsiaTheme="minorHAnsi" w:cs="Arial"/>
          <w:color w:val="000000" w:themeColor="text1"/>
          <w:szCs w:val="20"/>
          <w:lang w:eastAsia="en-US"/>
        </w:rPr>
        <w:t xml:space="preserve"> and another two were activated by Vodafone.</w:t>
      </w:r>
      <w:r w:rsidR="00343D30">
        <w:rPr>
          <w:rStyle w:val="EndnoteReference"/>
          <w:rFonts w:eastAsiaTheme="minorHAnsi" w:cs="Arial"/>
          <w:color w:val="000000" w:themeColor="text1"/>
          <w:szCs w:val="20"/>
          <w:lang w:eastAsia="en-US"/>
        </w:rPr>
        <w:endnoteReference w:id="29"/>
      </w:r>
      <w:r w:rsidR="00343D30">
        <w:rPr>
          <w:rFonts w:eastAsiaTheme="minorHAnsi" w:cs="Arial"/>
          <w:color w:val="000000" w:themeColor="text1"/>
          <w:szCs w:val="20"/>
          <w:lang w:eastAsia="en-US"/>
        </w:rPr>
        <w:t xml:space="preserve"> </w:t>
      </w:r>
      <w:r>
        <w:rPr>
          <w:rFonts w:eastAsiaTheme="minorHAnsi" w:cs="Arial"/>
          <w:color w:val="000000" w:themeColor="text1"/>
          <w:szCs w:val="20"/>
          <w:lang w:eastAsia="en-US"/>
        </w:rPr>
        <w:t xml:space="preserve"> </w:t>
      </w:r>
    </w:p>
    <w:p w14:paraId="7A6FC8E5" w14:textId="77777777" w:rsidR="000A1CD9" w:rsidRDefault="000A1CD9" w:rsidP="000A1CD9">
      <w:pPr>
        <w:rPr>
          <w:rFonts w:eastAsiaTheme="minorHAnsi" w:cs="Arial"/>
          <w:color w:val="000000" w:themeColor="text1"/>
          <w:szCs w:val="20"/>
          <w:lang w:eastAsia="en-US"/>
        </w:rPr>
      </w:pPr>
      <w:r>
        <w:rPr>
          <w:rFonts w:eastAsiaTheme="minorHAnsi" w:cs="Arial"/>
          <w:color w:val="000000" w:themeColor="text1"/>
          <w:szCs w:val="20"/>
          <w:lang w:eastAsia="en-US"/>
        </w:rPr>
        <w:t xml:space="preserve">The government announced </w:t>
      </w:r>
      <w:r w:rsidR="00812FFA">
        <w:rPr>
          <w:rFonts w:eastAsiaTheme="minorHAnsi" w:cs="Arial"/>
          <w:color w:val="000000" w:themeColor="text1"/>
          <w:szCs w:val="20"/>
          <w:lang w:eastAsia="en-US"/>
        </w:rPr>
        <w:t>R</w:t>
      </w:r>
      <w:r w:rsidR="00812FFA" w:rsidRPr="00B31A28">
        <w:rPr>
          <w:rFonts w:eastAsiaTheme="minorHAnsi" w:cs="Arial"/>
          <w:color w:val="000000" w:themeColor="text1"/>
          <w:szCs w:val="20"/>
          <w:lang w:eastAsia="en-US"/>
        </w:rPr>
        <w:t xml:space="preserve">ound </w:t>
      </w:r>
      <w:r w:rsidR="00812FFA">
        <w:rPr>
          <w:rFonts w:eastAsiaTheme="minorHAnsi" w:cs="Arial"/>
          <w:color w:val="000000" w:themeColor="text1"/>
          <w:szCs w:val="20"/>
          <w:lang w:eastAsia="en-US"/>
        </w:rPr>
        <w:t>2</w:t>
      </w:r>
      <w:r w:rsidR="00812FFA" w:rsidRPr="00B31A28">
        <w:rPr>
          <w:rFonts w:eastAsiaTheme="minorHAnsi" w:cs="Arial"/>
          <w:color w:val="000000" w:themeColor="text1"/>
          <w:szCs w:val="20"/>
          <w:lang w:eastAsia="en-US"/>
        </w:rPr>
        <w:t xml:space="preserve"> </w:t>
      </w:r>
      <w:r w:rsidRPr="00B31A28">
        <w:rPr>
          <w:rFonts w:eastAsiaTheme="minorHAnsi" w:cs="Arial"/>
          <w:color w:val="000000" w:themeColor="text1"/>
          <w:szCs w:val="20"/>
          <w:lang w:eastAsia="en-US"/>
        </w:rPr>
        <w:t xml:space="preserve">of the Mobile Black Spot Program in </w:t>
      </w:r>
      <w:r w:rsidR="00BB5645">
        <w:rPr>
          <w:rFonts w:eastAsiaTheme="minorHAnsi" w:cs="Arial"/>
          <w:color w:val="000000" w:themeColor="text1"/>
          <w:szCs w:val="20"/>
          <w:lang w:eastAsia="en-US"/>
        </w:rPr>
        <w:t xml:space="preserve">June </w:t>
      </w:r>
      <w:r w:rsidRPr="00B31A28">
        <w:rPr>
          <w:rFonts w:eastAsiaTheme="minorHAnsi" w:cs="Arial"/>
          <w:color w:val="000000" w:themeColor="text1"/>
          <w:szCs w:val="20"/>
          <w:lang w:eastAsia="en-US"/>
        </w:rPr>
        <w:t>2015</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with an allocation of $60 million. The list of locations to be funded under </w:t>
      </w:r>
      <w:r w:rsidR="001B0637">
        <w:rPr>
          <w:rFonts w:eastAsiaTheme="minorHAnsi" w:cs="Arial"/>
          <w:color w:val="000000" w:themeColor="text1"/>
          <w:szCs w:val="20"/>
          <w:lang w:eastAsia="en-US"/>
        </w:rPr>
        <w:t>R</w:t>
      </w:r>
      <w:r w:rsidRPr="00B31A28">
        <w:rPr>
          <w:rFonts w:eastAsiaTheme="minorHAnsi" w:cs="Arial"/>
          <w:color w:val="000000" w:themeColor="text1"/>
          <w:szCs w:val="20"/>
          <w:lang w:eastAsia="en-US"/>
        </w:rPr>
        <w:t xml:space="preserve">ound </w:t>
      </w:r>
      <w:r w:rsidR="001B0637">
        <w:rPr>
          <w:rFonts w:eastAsiaTheme="minorHAnsi" w:cs="Arial"/>
          <w:color w:val="000000" w:themeColor="text1"/>
          <w:szCs w:val="20"/>
          <w:lang w:eastAsia="en-US"/>
        </w:rPr>
        <w:t>2</w:t>
      </w:r>
      <w:r w:rsidRPr="00B31A28">
        <w:rPr>
          <w:rFonts w:eastAsiaTheme="minorHAnsi" w:cs="Arial"/>
          <w:color w:val="000000" w:themeColor="text1"/>
          <w:szCs w:val="20"/>
          <w:lang w:eastAsia="en-US"/>
        </w:rPr>
        <w:t xml:space="preserve"> is expected to be announced by the end of 2016.</w:t>
      </w:r>
      <w:r>
        <w:rPr>
          <w:rStyle w:val="EndnoteReference"/>
          <w:rFonts w:eastAsiaTheme="minorHAnsi" w:cs="Arial"/>
          <w:color w:val="000000" w:themeColor="text1"/>
          <w:szCs w:val="20"/>
          <w:lang w:eastAsia="en-US"/>
        </w:rPr>
        <w:endnoteReference w:id="30"/>
      </w:r>
    </w:p>
    <w:p w14:paraId="2D7AED1B" w14:textId="77777777" w:rsidR="000A1CD9" w:rsidRPr="00B31A28" w:rsidRDefault="000A1CD9" w:rsidP="000A1CD9">
      <w:pPr>
        <w:rPr>
          <w:rFonts w:eastAsiaTheme="minorHAnsi" w:cs="Arial"/>
          <w:color w:val="000000" w:themeColor="text1"/>
          <w:szCs w:val="20"/>
          <w:lang w:eastAsia="en-US"/>
        </w:rPr>
      </w:pPr>
      <w:r>
        <w:rPr>
          <w:rFonts w:eastAsiaTheme="minorHAnsi" w:cs="Arial"/>
          <w:color w:val="000000" w:themeColor="text1"/>
          <w:szCs w:val="20"/>
          <w:lang w:eastAsia="en-US"/>
        </w:rPr>
        <w:t xml:space="preserve">In May 2016, the government pledged a further $60 million investment for </w:t>
      </w:r>
      <w:r w:rsidR="00812FFA">
        <w:rPr>
          <w:rFonts w:eastAsiaTheme="minorHAnsi" w:cs="Arial"/>
          <w:color w:val="000000" w:themeColor="text1"/>
          <w:szCs w:val="20"/>
          <w:lang w:eastAsia="en-US"/>
        </w:rPr>
        <w:t>R</w:t>
      </w:r>
      <w:r>
        <w:rPr>
          <w:rFonts w:eastAsiaTheme="minorHAnsi" w:cs="Arial"/>
          <w:color w:val="000000" w:themeColor="text1"/>
          <w:szCs w:val="20"/>
          <w:lang w:eastAsia="en-US"/>
        </w:rPr>
        <w:t xml:space="preserve">ound </w:t>
      </w:r>
      <w:r w:rsidR="00812FFA">
        <w:rPr>
          <w:rFonts w:eastAsiaTheme="minorHAnsi" w:cs="Arial"/>
          <w:color w:val="000000" w:themeColor="text1"/>
          <w:szCs w:val="20"/>
          <w:lang w:eastAsia="en-US"/>
        </w:rPr>
        <w:t xml:space="preserve">3 </w:t>
      </w:r>
      <w:r>
        <w:rPr>
          <w:rFonts w:eastAsiaTheme="minorHAnsi" w:cs="Arial"/>
          <w:color w:val="000000" w:themeColor="text1"/>
          <w:szCs w:val="20"/>
          <w:lang w:eastAsia="en-US"/>
        </w:rPr>
        <w:t>of the program.</w:t>
      </w:r>
      <w:r>
        <w:rPr>
          <w:rStyle w:val="EndnoteReference"/>
          <w:rFonts w:eastAsiaTheme="minorHAnsi" w:cs="Arial"/>
          <w:color w:val="000000" w:themeColor="text1"/>
          <w:szCs w:val="20"/>
          <w:lang w:eastAsia="en-US"/>
        </w:rPr>
        <w:endnoteReference w:id="31"/>
      </w:r>
    </w:p>
    <w:p w14:paraId="5FE6FEA5" w14:textId="77777777" w:rsidR="000A1CD9" w:rsidRPr="00211F98" w:rsidRDefault="000A1CD9" w:rsidP="00CC655E">
      <w:pPr>
        <w:pStyle w:val="Heading2"/>
        <w:numPr>
          <w:ilvl w:val="1"/>
          <w:numId w:val="12"/>
        </w:numPr>
        <w:ind w:hanging="792"/>
      </w:pPr>
      <w:bookmarkStart w:id="239" w:name="_Toc462132198"/>
      <w:bookmarkStart w:id="240" w:name="_Toc462899545"/>
      <w:bookmarkStart w:id="241" w:name="_Toc463529025"/>
      <w:bookmarkStart w:id="242" w:name="_Toc465842850"/>
      <w:r w:rsidRPr="00211F98">
        <w:t>Infrastructure regulation</w:t>
      </w:r>
      <w:bookmarkEnd w:id="239"/>
      <w:bookmarkEnd w:id="240"/>
      <w:bookmarkEnd w:id="241"/>
      <w:bookmarkEnd w:id="242"/>
      <w:r w:rsidRPr="00211F98">
        <w:t xml:space="preserve"> </w:t>
      </w:r>
    </w:p>
    <w:p w14:paraId="3BC3F7FA" w14:textId="77777777" w:rsidR="000A1CD9" w:rsidRPr="00211F98" w:rsidRDefault="000A1CD9" w:rsidP="000A1CD9">
      <w:r w:rsidRPr="00211F98">
        <w:t xml:space="preserve">When installing large telecommunications facilities such as mobile phone towers, carriers generally need to obtain local council planning permission and comply with relevant state and territory planning laws. Schedule 3 to the </w:t>
      </w:r>
      <w:r>
        <w:t xml:space="preserve">Telecommunications </w:t>
      </w:r>
      <w:r w:rsidRPr="00211F98">
        <w:t xml:space="preserve">Act allows licensed carriers to install a limited range of facilities referred to as ‘low-impact facilities’ without seeking state or territory approval. Low-impact facilities as defined in the Ministerial Telecommunications (Low-impact Facilities) Determination 1997 are considered to be unobtrusive. </w:t>
      </w:r>
    </w:p>
    <w:p w14:paraId="680D0B35" w14:textId="77777777" w:rsidR="000A1CD9" w:rsidRPr="00211F98" w:rsidRDefault="000A1CD9" w:rsidP="000A1CD9">
      <w:r w:rsidRPr="00211F98">
        <w:t>While low-impact facilities are exempt from local government planning laws, carriers must still comply with Schedule 3 and the Telecommunications Code of Practice 1997, which includes notifying land</w:t>
      </w:r>
      <w:r>
        <w:t>-</w:t>
      </w:r>
      <w:r w:rsidRPr="00211F98">
        <w:t xml:space="preserve">owners and occupiers of their activities, ensuring minimal detriment and damage is caused by the activity and restoring the land to a similar condition before the activity began. </w:t>
      </w:r>
    </w:p>
    <w:p w14:paraId="5773E4D7" w14:textId="77777777" w:rsidR="000A1CD9" w:rsidRPr="00211F98" w:rsidRDefault="000A1CD9" w:rsidP="000A1CD9">
      <w:pPr>
        <w:pStyle w:val="Heading3"/>
      </w:pPr>
      <w:bookmarkStart w:id="243" w:name="_Toc462132199"/>
      <w:bookmarkStart w:id="244" w:name="_Toc462899546"/>
      <w:bookmarkStart w:id="245" w:name="_Toc433790439"/>
      <w:bookmarkStart w:id="246" w:name="_Toc463529026"/>
      <w:bookmarkStart w:id="247" w:name="_Toc465842851"/>
      <w:r w:rsidRPr="00211F98">
        <w:t>Mobile phone base stations</w:t>
      </w:r>
      <w:bookmarkEnd w:id="243"/>
      <w:bookmarkEnd w:id="244"/>
      <w:bookmarkEnd w:id="245"/>
      <w:bookmarkEnd w:id="246"/>
      <w:bookmarkEnd w:id="247"/>
    </w:p>
    <w:p w14:paraId="141EFE39" w14:textId="77777777" w:rsidR="000A1CD9" w:rsidRPr="00211F98" w:rsidRDefault="000A1CD9" w:rsidP="000A1CD9">
      <w:pPr>
        <w:keepNext/>
        <w:keepLines/>
      </w:pPr>
      <w:r w:rsidRPr="00211F98">
        <w:t>Optus, Telstra and Vodafone are the three</w:t>
      </w:r>
      <w:r>
        <w:t xml:space="preserve"> </w:t>
      </w:r>
      <w:r w:rsidRPr="00211F98">
        <w:t xml:space="preserve">carriers that operate mobile phone networks in Australia. When installing mobile phone base stations, these carriers are required to comply with the C564:2011 </w:t>
      </w:r>
      <w:r w:rsidRPr="00F30AE3">
        <w:rPr>
          <w:i/>
        </w:rPr>
        <w:t>Mobile Phone Base Station Deployment Code</w:t>
      </w:r>
      <w:r w:rsidRPr="00211F98">
        <w:t xml:space="preserve"> (the industry code). The industry code supplements the requirements already imposed on carriers under the existing legislative scheme by requiring them to consult with local communities and adopt a precautionary approach in planning, installing and operating mobile phone base stations.</w:t>
      </w:r>
    </w:p>
    <w:p w14:paraId="040B9CB0" w14:textId="77777777" w:rsidR="000A1CD9" w:rsidRPr="00211F98" w:rsidRDefault="000A1CD9" w:rsidP="002B6620">
      <w:pPr>
        <w:keepLines/>
      </w:pPr>
      <w:r w:rsidRPr="00211F98">
        <w:t xml:space="preserve">The mobile communications industry has developed a national database of mobile phone base stations—the National Site Archive—to improve access to information about the deployment of mobile phone infrastructure across Australia. The archive contains information about most mobile phone towers deployed by carriers and includes electromagnetic energy reports about communications facilities. This information is available at </w:t>
      </w:r>
      <w:hyperlink r:id="rId40" w:history="1">
        <w:r w:rsidRPr="00211F98">
          <w:rPr>
            <w:rStyle w:val="Hyperlink"/>
          </w:rPr>
          <w:t>www.rfnsa.com.au</w:t>
        </w:r>
      </w:hyperlink>
      <w:r w:rsidRPr="00211F98">
        <w:t>.</w:t>
      </w:r>
    </w:p>
    <w:p w14:paraId="4C86C675" w14:textId="77777777" w:rsidR="000A1CD9" w:rsidRPr="00211F98" w:rsidRDefault="000A1CD9" w:rsidP="000A1CD9">
      <w:pPr>
        <w:pStyle w:val="Heading3"/>
      </w:pPr>
      <w:bookmarkStart w:id="248" w:name="_Toc462132200"/>
      <w:bookmarkStart w:id="249" w:name="_Toc462899547"/>
      <w:bookmarkStart w:id="250" w:name="_Toc402337596"/>
      <w:bookmarkStart w:id="251" w:name="_Toc433790440"/>
      <w:bookmarkStart w:id="252" w:name="_Toc463529027"/>
      <w:bookmarkStart w:id="253" w:name="_Toc465842852"/>
      <w:r w:rsidRPr="00211F98">
        <w:lastRenderedPageBreak/>
        <w:t>Objections and enquiries to the ACMA</w:t>
      </w:r>
      <w:bookmarkEnd w:id="248"/>
      <w:bookmarkEnd w:id="249"/>
      <w:bookmarkEnd w:id="250"/>
      <w:bookmarkEnd w:id="251"/>
      <w:bookmarkEnd w:id="252"/>
      <w:bookmarkEnd w:id="253"/>
    </w:p>
    <w:p w14:paraId="69784B05" w14:textId="77777777" w:rsidR="000A1CD9" w:rsidRPr="00211F98" w:rsidRDefault="000A1CD9" w:rsidP="002B6620">
      <w:pPr>
        <w:keepNext/>
        <w:keepLines/>
      </w:pPr>
      <w:r w:rsidRPr="00211F98">
        <w:t xml:space="preserve">Complaints about carriers’ compliance with the industry code are directed to the carriers in the first instance. The industry code specifies mandatory processes for complaints-handling by carriers. If a complainant is dissatisfied with a carrier’s response to their complaint, they are able to </w:t>
      </w:r>
      <w:r>
        <w:t>complain</w:t>
      </w:r>
      <w:r w:rsidRPr="00211F98">
        <w:t xml:space="preserve"> to the ACMA. The ACMA will assess the objection against the industry code and decide whether to formally investigate the matter under Part 26 of the </w:t>
      </w:r>
      <w:r w:rsidRPr="00531CD0">
        <w:t>Telecommunications Act</w:t>
      </w:r>
      <w:r w:rsidRPr="00211F98">
        <w:t>. If the ACMA decides to investigate the matter, and a breach of the industry code is found, it will determine what, if any, compliance or enforcement action should be taken against the carrier.</w:t>
      </w:r>
    </w:p>
    <w:p w14:paraId="46E2FAD3" w14:textId="77777777" w:rsidR="000A1CD9" w:rsidRPr="00211F98" w:rsidRDefault="000A1CD9" w:rsidP="000A1CD9">
      <w:r w:rsidRPr="00211F98">
        <w:t xml:space="preserve">During the reporting period, the ACMA received 48 objections and 10 enquiries </w:t>
      </w:r>
      <w:r>
        <w:t>about</w:t>
      </w:r>
      <w:r w:rsidRPr="00211F98">
        <w:t xml:space="preserve"> the industry code (Figure 1.7).</w:t>
      </w:r>
      <w:r w:rsidRPr="00211F98">
        <w:rPr>
          <w:rStyle w:val="EndnoteReference"/>
        </w:rPr>
        <w:endnoteReference w:id="32"/>
      </w:r>
      <w:r w:rsidRPr="00211F98">
        <w:t xml:space="preserve"> Carriers undertook a total of 6,077 consultations during the reporting period.</w:t>
      </w:r>
    </w:p>
    <w:p w14:paraId="0CBD3BBC" w14:textId="77777777" w:rsidR="000A1CD9" w:rsidRPr="00211F98" w:rsidRDefault="000A1CD9" w:rsidP="000A1CD9">
      <w:pPr>
        <w:rPr>
          <w:rFonts w:cs="Arial"/>
        </w:rPr>
      </w:pPr>
      <w:r w:rsidRPr="00211F98">
        <w:t xml:space="preserve">The ACMA received 17 enquiries and one complaint about matters covered by Schedule 3 to the </w:t>
      </w:r>
      <w:r w:rsidRPr="00531CD0">
        <w:t>Telecommunications Act</w:t>
      </w:r>
      <w:r w:rsidRPr="00211F98">
        <w:t xml:space="preserve">. Additionally, the ACMA received five enquiries </w:t>
      </w:r>
      <w:r>
        <w:t>about</w:t>
      </w:r>
      <w:r w:rsidRPr="00211F98">
        <w:t xml:space="preserve"> the deployment of fixed-wireless internet facilities not falling into other categories.</w:t>
      </w:r>
    </w:p>
    <w:p w14:paraId="52A94EEC" w14:textId="77777777" w:rsidR="000A1CD9" w:rsidRPr="00F12AB9" w:rsidRDefault="000A1CD9" w:rsidP="00EA149D">
      <w:pPr>
        <w:pStyle w:val="ACMAFigureHeader"/>
        <w:keepNext/>
      </w:pPr>
      <w:r>
        <w:t>Figure 1.7</w:t>
      </w:r>
      <w:r>
        <w:tab/>
      </w:r>
      <w:r w:rsidRPr="00F12AB9">
        <w:t>Industry code enquiries and objections received by the ACMA</w:t>
      </w:r>
    </w:p>
    <w:p w14:paraId="44459358" w14:textId="77777777" w:rsidR="000A1CD9" w:rsidRPr="00F12AB9" w:rsidRDefault="00DB0DC8" w:rsidP="000A1CD9">
      <w:pPr>
        <w:spacing w:after="0"/>
        <w:rPr>
          <w:rFonts w:cs="Arial"/>
        </w:rPr>
      </w:pPr>
      <w:r>
        <w:rPr>
          <w:rFonts w:cs="Arial"/>
          <w:noProof/>
        </w:rPr>
        <w:drawing>
          <wp:inline distT="0" distB="0" distL="0" distR="0" wp14:anchorId="1F93382F" wp14:editId="1B219319">
            <wp:extent cx="5171893" cy="1845945"/>
            <wp:effectExtent l="0" t="0" r="0" b="1905"/>
            <wp:docPr id="34" name="Picture 34" descr="Data for Figure 1.7 is in the .ods file for Chapter 1 on the landing page ‘Communications report 2015-16’, available from the ACMA website." title="Figure 1.7  Industry code enquiries and objections received by the A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1.7_Figure 1.7.png"/>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173650" cy="1846572"/>
                    </a:xfrm>
                    <a:prstGeom prst="rect">
                      <a:avLst/>
                    </a:prstGeom>
                    <a:ln>
                      <a:noFill/>
                    </a:ln>
                    <a:extLst>
                      <a:ext uri="{53640926-AAD7-44D8-BBD7-CCE9431645EC}">
                        <a14:shadowObscured xmlns:a14="http://schemas.microsoft.com/office/drawing/2010/main"/>
                      </a:ext>
                    </a:extLst>
                  </pic:spPr>
                </pic:pic>
              </a:graphicData>
            </a:graphic>
          </wp:inline>
        </w:drawing>
      </w:r>
    </w:p>
    <w:p w14:paraId="3C32681E" w14:textId="77777777" w:rsidR="000A1CD9" w:rsidRDefault="000A1CD9" w:rsidP="000A1CD9">
      <w:pPr>
        <w:pStyle w:val="ACMANotes"/>
      </w:pPr>
      <w:r w:rsidRPr="00F12AB9">
        <w:t>Source: ACMA.</w:t>
      </w:r>
    </w:p>
    <w:p w14:paraId="74D115DF" w14:textId="77777777" w:rsidR="000A1CD9" w:rsidRPr="00F12AB9" w:rsidRDefault="000A1CD9" w:rsidP="000A1CD9">
      <w:pPr>
        <w:pStyle w:val="ACMASpaceaftertable"/>
      </w:pPr>
    </w:p>
    <w:p w14:paraId="1440F716" w14:textId="77777777" w:rsidR="000A1CD9" w:rsidRPr="00F12AB9" w:rsidRDefault="000A1CD9" w:rsidP="000A1CD9">
      <w:pPr>
        <w:pStyle w:val="Heading3"/>
        <w:rPr>
          <w:szCs w:val="22"/>
        </w:rPr>
      </w:pPr>
      <w:bookmarkStart w:id="254" w:name="_Toc462132201"/>
      <w:bookmarkStart w:id="255" w:name="_Toc462899548"/>
      <w:bookmarkStart w:id="256" w:name="_Toc463529028"/>
      <w:bookmarkStart w:id="257" w:name="_Toc465842853"/>
      <w:r w:rsidRPr="00F12AB9">
        <w:t xml:space="preserve">Complaints to the TIO </w:t>
      </w:r>
      <w:r>
        <w:t>about</w:t>
      </w:r>
      <w:r w:rsidRPr="00F12AB9">
        <w:t xml:space="preserve"> facility installations</w:t>
      </w:r>
      <w:bookmarkEnd w:id="254"/>
      <w:bookmarkEnd w:id="255"/>
      <w:bookmarkEnd w:id="256"/>
      <w:bookmarkEnd w:id="257"/>
    </w:p>
    <w:p w14:paraId="1B53D033" w14:textId="77777777" w:rsidR="000A1CD9" w:rsidRPr="00F12AB9" w:rsidRDefault="000A1CD9" w:rsidP="000A1CD9">
      <w:r w:rsidRPr="00F12AB9">
        <w:t xml:space="preserve">The TIO can consider objections to land access, and the installation and maintenance of low-impact facilities. The majority of land access complaints to the TIO relate to damage to property by carriers. During the reporting period, the TIO received a total of 544 new complaints (not including enquiries)—an eight per cent increase from the 2014–15 reporting period (Figure </w:t>
      </w:r>
      <w:r>
        <w:t>1.8</w:t>
      </w:r>
      <w:r w:rsidRPr="00F12AB9">
        <w:t xml:space="preserve">)—and completed 82 investigations. </w:t>
      </w:r>
    </w:p>
    <w:p w14:paraId="7966F9C2" w14:textId="77777777" w:rsidR="000A1CD9" w:rsidRPr="00F12AB9" w:rsidRDefault="000A1CD9" w:rsidP="000A1CD9">
      <w:pPr>
        <w:spacing w:after="80"/>
      </w:pPr>
      <w:r w:rsidRPr="00F12AB9">
        <w:t>Of the new complaints received by the TIO during 2015–16:</w:t>
      </w:r>
    </w:p>
    <w:p w14:paraId="7E888162" w14:textId="77777777" w:rsidR="000A1CD9" w:rsidRPr="00F12AB9" w:rsidRDefault="000A1CD9" w:rsidP="000A1CD9">
      <w:pPr>
        <w:pStyle w:val="ListBullet"/>
        <w:spacing w:line="259" w:lineRule="auto"/>
      </w:pPr>
      <w:r w:rsidRPr="00F12AB9">
        <w:t xml:space="preserve">335 were from owners/occupiers of land about alleged damage to property by the provider </w:t>
      </w:r>
    </w:p>
    <w:p w14:paraId="55D87AD2" w14:textId="77777777" w:rsidR="000A1CD9" w:rsidRPr="00F12AB9" w:rsidRDefault="000A1CD9" w:rsidP="000A1CD9">
      <w:pPr>
        <w:pStyle w:val="ListBullet"/>
        <w:spacing w:line="259" w:lineRule="auto"/>
      </w:pPr>
      <w:r w:rsidRPr="00F12AB9">
        <w:t>78 were from owners/occupiers of land about carriers billing them for damage to cables allegedly caused by the owner/occupier</w:t>
      </w:r>
    </w:p>
    <w:p w14:paraId="6CECAB9E" w14:textId="77777777" w:rsidR="000A1CD9" w:rsidRPr="00F12AB9" w:rsidRDefault="000A1CD9" w:rsidP="000A1CD9">
      <w:pPr>
        <w:pStyle w:val="ListBullet"/>
        <w:spacing w:line="259" w:lineRule="auto"/>
      </w:pPr>
      <w:r w:rsidRPr="00F12AB9">
        <w:t>21 related to the standard of service from providers when installing subscriber connections</w:t>
      </w:r>
    </w:p>
    <w:p w14:paraId="4E80CABA" w14:textId="77777777" w:rsidR="000A1CD9" w:rsidRPr="00F12AB9" w:rsidRDefault="000A1CD9" w:rsidP="000A1CD9">
      <w:pPr>
        <w:pStyle w:val="ListBullet"/>
        <w:spacing w:line="259" w:lineRule="auto"/>
      </w:pPr>
      <w:r w:rsidRPr="00F12AB9">
        <w:t>91 related to the absence of carrier notice for land entry, failure to bring the notice to the land</w:t>
      </w:r>
      <w:r>
        <w:t>-</w:t>
      </w:r>
      <w:r w:rsidRPr="00F12AB9">
        <w:t>owner/occupier’s attention, or where the land</w:t>
      </w:r>
      <w:r>
        <w:t>-</w:t>
      </w:r>
      <w:r w:rsidRPr="00F12AB9">
        <w:t>owner/occupier was not allowed to object to the land</w:t>
      </w:r>
      <w:r w:rsidR="00092336">
        <w:t> </w:t>
      </w:r>
      <w:r w:rsidRPr="00F12AB9">
        <w:t>entry</w:t>
      </w:r>
    </w:p>
    <w:p w14:paraId="3DEE2500" w14:textId="77777777" w:rsidR="000A1CD9" w:rsidRPr="00F12AB9" w:rsidRDefault="000A1CD9" w:rsidP="000A1CD9">
      <w:pPr>
        <w:pStyle w:val="ListBullet"/>
        <w:spacing w:line="259" w:lineRule="auto"/>
      </w:pPr>
      <w:r>
        <w:t>six</w:t>
      </w:r>
      <w:r w:rsidRPr="00F12AB9">
        <w:t xml:space="preserve"> were formal objections to the low-impact facility activity by the land</w:t>
      </w:r>
      <w:r>
        <w:t>-</w:t>
      </w:r>
      <w:r w:rsidRPr="00F12AB9">
        <w:t xml:space="preserve">owner/occupier </w:t>
      </w:r>
    </w:p>
    <w:p w14:paraId="740E4C43" w14:textId="77777777" w:rsidR="000A1CD9" w:rsidRPr="00F12AB9" w:rsidRDefault="000A1CD9" w:rsidP="000A1CD9">
      <w:pPr>
        <w:pStyle w:val="ListBulletLast"/>
        <w:spacing w:line="259" w:lineRule="auto"/>
      </w:pPr>
      <w:r w:rsidRPr="00F12AB9">
        <w:t>three were premature objections.</w:t>
      </w:r>
    </w:p>
    <w:p w14:paraId="63908951" w14:textId="14D24E6B" w:rsidR="000A1CD9" w:rsidRPr="00F12AB9" w:rsidRDefault="000A1CD9" w:rsidP="000A1CD9">
      <w:r w:rsidRPr="00F12AB9">
        <w:t xml:space="preserve">Of the six </w:t>
      </w:r>
      <w:r w:rsidR="00811402">
        <w:t xml:space="preserve">formal </w:t>
      </w:r>
      <w:r w:rsidRPr="00F12AB9">
        <w:t>objections, the TIO made directions to carriers in nine cases</w:t>
      </w:r>
      <w:r w:rsidR="005C5E03">
        <w:rPr>
          <w:rStyle w:val="EndnoteReference"/>
        </w:rPr>
        <w:endnoteReference w:id="33"/>
      </w:r>
      <w:r w:rsidRPr="00F12AB9">
        <w:t>, and in one case found that the carrier notice did not comply with legislative requirements and the land access activity could not</w:t>
      </w:r>
      <w:r w:rsidR="00132588">
        <w:t> </w:t>
      </w:r>
      <w:r w:rsidRPr="00F12AB9">
        <w:t xml:space="preserve">proceed. </w:t>
      </w:r>
    </w:p>
    <w:p w14:paraId="3AF0E6AE" w14:textId="77777777" w:rsidR="000A1CD9" w:rsidRDefault="000A1CD9" w:rsidP="002B6620">
      <w:pPr>
        <w:pStyle w:val="ACMAFigureHeader"/>
        <w:keepNext/>
        <w:ind w:left="284" w:hanging="284"/>
        <w:rPr>
          <w:bCs w:val="0"/>
        </w:rPr>
      </w:pPr>
      <w:r w:rsidRPr="00F12AB9">
        <w:rPr>
          <w:bCs w:val="0"/>
        </w:rPr>
        <w:lastRenderedPageBreak/>
        <w:t xml:space="preserve">Figure </w:t>
      </w:r>
      <w:r>
        <w:rPr>
          <w:bCs w:val="0"/>
        </w:rPr>
        <w:t>1.8</w:t>
      </w:r>
      <w:r>
        <w:rPr>
          <w:bCs w:val="0"/>
        </w:rPr>
        <w:tab/>
      </w:r>
      <w:r w:rsidRPr="00F12AB9">
        <w:rPr>
          <w:bCs w:val="0"/>
        </w:rPr>
        <w:t>Facility installation complaints/land access complaints received by the TIO</w:t>
      </w:r>
    </w:p>
    <w:p w14:paraId="46CE7D86" w14:textId="77777777" w:rsidR="00EB6413" w:rsidRPr="00ED6390" w:rsidRDefault="00EB6413" w:rsidP="00A04558">
      <w:pPr>
        <w:pStyle w:val="ACMAFigureHeader"/>
        <w:keepNext/>
        <w:spacing w:after="0"/>
        <w:ind w:left="284" w:hanging="284"/>
        <w:rPr>
          <w:rFonts w:cs="Arial"/>
          <w:b w:val="0"/>
          <w:bCs w:val="0"/>
          <w:i/>
          <w:color w:val="auto"/>
          <w:sz w:val="16"/>
          <w:szCs w:val="24"/>
        </w:rPr>
      </w:pPr>
      <w:r w:rsidRPr="00ED6390">
        <w:rPr>
          <w:rFonts w:cs="Arial"/>
          <w:b w:val="0"/>
          <w:bCs w:val="0"/>
          <w:i/>
          <w:noProof/>
          <w:color w:val="auto"/>
          <w:sz w:val="16"/>
          <w:szCs w:val="24"/>
        </w:rPr>
        <w:drawing>
          <wp:inline distT="0" distB="0" distL="0" distR="0" wp14:anchorId="23A4830F" wp14:editId="11F4B6B0">
            <wp:extent cx="4892723" cy="1944370"/>
            <wp:effectExtent l="0" t="0" r="0" b="0"/>
            <wp:docPr id="49" name="Picture 49" descr="Data for Figure 1.8 is in the .ods file for Chapter 1 on the landing page ‘Communications report 2015-16’, available from the ACMA website." title="Figure 1.8  Facility installation complaints/land access complaints received by the 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 1.8_Figure 1.8.png"/>
                    <pic:cNvPicPr/>
                  </pic:nvPicPr>
                  <pic:blipFill rotWithShape="1">
                    <a:blip r:embed="rId42">
                      <a:extLst>
                        <a:ext uri="{28A0092B-C50C-407E-A947-70E740481C1C}">
                          <a14:useLocalDpi xmlns:a14="http://schemas.microsoft.com/office/drawing/2010/main" val="0"/>
                        </a:ext>
                      </a:extLst>
                    </a:blip>
                    <a:srcRect l="1770" t="1306" r="607" b="5516"/>
                    <a:stretch/>
                  </pic:blipFill>
                  <pic:spPr bwMode="auto">
                    <a:xfrm>
                      <a:off x="0" y="0"/>
                      <a:ext cx="4895632" cy="1945526"/>
                    </a:xfrm>
                    <a:prstGeom prst="rect">
                      <a:avLst/>
                    </a:prstGeom>
                    <a:ln>
                      <a:noFill/>
                    </a:ln>
                    <a:extLst>
                      <a:ext uri="{53640926-AAD7-44D8-BBD7-CCE9431645EC}">
                        <a14:shadowObscured xmlns:a14="http://schemas.microsoft.com/office/drawing/2010/main"/>
                      </a:ext>
                    </a:extLst>
                  </pic:spPr>
                </pic:pic>
              </a:graphicData>
            </a:graphic>
          </wp:inline>
        </w:drawing>
      </w:r>
    </w:p>
    <w:p w14:paraId="7AB24F20" w14:textId="77777777" w:rsidR="000A1CD9" w:rsidRPr="00ED6390" w:rsidRDefault="000A1CD9" w:rsidP="001A473F">
      <w:pPr>
        <w:spacing w:before="40" w:after="0"/>
        <w:rPr>
          <w:rFonts w:cs="Arial"/>
          <w:i/>
          <w:sz w:val="16"/>
        </w:rPr>
      </w:pPr>
      <w:r w:rsidRPr="00ED6390">
        <w:rPr>
          <w:rFonts w:cs="Arial"/>
          <w:i/>
          <w:sz w:val="16"/>
        </w:rPr>
        <w:t>Source: TIO.</w:t>
      </w:r>
    </w:p>
    <w:p w14:paraId="2592697A" w14:textId="77777777" w:rsidR="000A1CD9" w:rsidRPr="00F12AB9" w:rsidRDefault="000A1CD9" w:rsidP="000A1CD9">
      <w:pPr>
        <w:pStyle w:val="ACMASpaceaftertable"/>
      </w:pPr>
    </w:p>
    <w:p w14:paraId="7CE521B1" w14:textId="77777777" w:rsidR="000A1CD9" w:rsidRPr="00F12AB9" w:rsidRDefault="000A0F41" w:rsidP="000A1CD9">
      <w:pPr>
        <w:pStyle w:val="Heading3"/>
      </w:pPr>
      <w:bookmarkStart w:id="258" w:name="_Toc462132202"/>
      <w:bookmarkStart w:id="259" w:name="_Toc462899549"/>
      <w:bookmarkStart w:id="260" w:name="_Toc463529029"/>
      <w:bookmarkStart w:id="261" w:name="_Toc465842854"/>
      <w:bookmarkStart w:id="262" w:name="_Toc433790399"/>
      <w:r>
        <w:t>I</w:t>
      </w:r>
      <w:r w:rsidR="000A1CD9" w:rsidRPr="00F12AB9">
        <w:t>nterference</w:t>
      </w:r>
      <w:bookmarkEnd w:id="258"/>
      <w:bookmarkEnd w:id="259"/>
      <w:bookmarkEnd w:id="260"/>
      <w:bookmarkEnd w:id="261"/>
      <w:r w:rsidR="000A1CD9" w:rsidRPr="00F12AB9">
        <w:t xml:space="preserve"> </w:t>
      </w:r>
      <w:bookmarkEnd w:id="262"/>
    </w:p>
    <w:p w14:paraId="7D4A823A" w14:textId="77777777" w:rsidR="000A1CD9" w:rsidRPr="00F12AB9" w:rsidRDefault="000A1CD9" w:rsidP="001E01E9">
      <w:r w:rsidRPr="00F12AB9">
        <w:rPr>
          <w:iCs/>
        </w:rPr>
        <w:t xml:space="preserve">The performance of wireless services depends on the management of interference across wireless networks and devices. </w:t>
      </w:r>
      <w:r w:rsidRPr="00F12AB9">
        <w:t xml:space="preserve">Under the </w:t>
      </w:r>
      <w:r w:rsidRPr="00F12AB9">
        <w:rPr>
          <w:i/>
        </w:rPr>
        <w:t>Radiocommunications Act 1992</w:t>
      </w:r>
      <w:r w:rsidRPr="00F12AB9">
        <w:t>, the ACMA investigates complaints about interference to licensed radiocommunications. The ACMA classifies interference as either domestic systems or radiocommunications interference.</w:t>
      </w:r>
    </w:p>
    <w:p w14:paraId="2E72DFE3" w14:textId="77777777" w:rsidR="000A1CD9" w:rsidRPr="00F12AB9" w:rsidRDefault="000A1CD9" w:rsidP="000A0F41">
      <w:pPr>
        <w:pStyle w:val="BodySubHeader"/>
      </w:pPr>
      <w:bookmarkStart w:id="263" w:name="_Toc433790400"/>
      <w:bookmarkStart w:id="264" w:name="_Toc463529030"/>
      <w:bookmarkStart w:id="265" w:name="_Toc465178944"/>
      <w:r w:rsidRPr="00F12AB9">
        <w:t>Domestic systems interference</w:t>
      </w:r>
      <w:bookmarkEnd w:id="263"/>
      <w:bookmarkEnd w:id="264"/>
      <w:bookmarkEnd w:id="265"/>
    </w:p>
    <w:p w14:paraId="0803C1D6" w14:textId="77777777" w:rsidR="000A1CD9" w:rsidRPr="00F12AB9" w:rsidRDefault="000A1CD9" w:rsidP="000A1CD9">
      <w:r w:rsidRPr="00F12AB9">
        <w:t xml:space="preserve">Domestic systems interference (DSI) refers to interference to the reception of </w:t>
      </w:r>
      <w:r>
        <w:t>FTA</w:t>
      </w:r>
      <w:r w:rsidRPr="00F12AB9">
        <w:t xml:space="preserve"> terrestrial radio or television broadcasting, usually in domestic premises. It also encompasses audio interference caused by nearby radio transmitters, such as those used by citizen band or amateur radio operators, or from other radio services with a transmitter located nearby. Household equipment is the major contributing source of</w:t>
      </w:r>
      <w:r w:rsidR="00092336">
        <w:t> </w:t>
      </w:r>
      <w:r w:rsidRPr="00F12AB9">
        <w:t xml:space="preserve">DSI. </w:t>
      </w:r>
    </w:p>
    <w:p w14:paraId="132FF554" w14:textId="77777777" w:rsidR="000A1CD9" w:rsidRPr="00F12AB9" w:rsidRDefault="000A1CD9" w:rsidP="000A1CD9">
      <w:pPr>
        <w:rPr>
          <w:rFonts w:ascii="Calibri" w:hAnsi="Calibri"/>
          <w:i/>
        </w:rPr>
      </w:pPr>
      <w:r w:rsidRPr="00F12AB9">
        <w:t xml:space="preserve">During 2015–16, there were 473 DSI complaints to the ACMA, comparable with complaint levels </w:t>
      </w:r>
      <w:r>
        <w:t>in</w:t>
      </w:r>
      <w:r w:rsidRPr="00F12AB9">
        <w:t xml:space="preserve"> 2014</w:t>
      </w:r>
      <w:r>
        <w:rPr>
          <w:rFonts w:cs="Arial"/>
        </w:rPr>
        <w:t>–</w:t>
      </w:r>
      <w:r w:rsidRPr="00F12AB9">
        <w:t xml:space="preserve">15 (Figure </w:t>
      </w:r>
      <w:r>
        <w:t>1.8</w:t>
      </w:r>
      <w:r w:rsidRPr="00F12AB9">
        <w:t>). The majority of DSI complaints (75 per cent) were about television interference, with LED downlights and other household electrical items the most significant contributors to DSI interference.</w:t>
      </w:r>
      <w:r w:rsidRPr="00F12AB9">
        <w:rPr>
          <w:i/>
        </w:rPr>
        <w:t xml:space="preserve"> </w:t>
      </w:r>
    </w:p>
    <w:p w14:paraId="31E34F0A" w14:textId="77777777" w:rsidR="000A1CD9" w:rsidRPr="00F12AB9" w:rsidRDefault="000A1CD9" w:rsidP="000A1CD9">
      <w:pPr>
        <w:rPr>
          <w:rFonts w:cs="Arial"/>
        </w:rPr>
      </w:pPr>
      <w:r w:rsidRPr="00F12AB9">
        <w:rPr>
          <w:rFonts w:cs="Arial"/>
        </w:rPr>
        <w:t>Fifteen per</w:t>
      </w:r>
      <w:r>
        <w:rPr>
          <w:rFonts w:cs="Arial"/>
        </w:rPr>
        <w:t xml:space="preserve"> cent of DSI complaints in 2015–</w:t>
      </w:r>
      <w:r w:rsidRPr="00F12AB9">
        <w:rPr>
          <w:rFonts w:cs="Arial"/>
        </w:rPr>
        <w:t>16 resulted in compliance action by the ACMA.</w:t>
      </w:r>
      <w:r w:rsidR="00697B7B">
        <w:rPr>
          <w:rFonts w:cs="Arial"/>
        </w:rPr>
        <w:t xml:space="preserve"> Most complaints are resolved by agreement and without the need for compliance action.</w:t>
      </w:r>
    </w:p>
    <w:p w14:paraId="785BFCF5" w14:textId="77777777" w:rsidR="000A1CD9" w:rsidRPr="00F12AB9" w:rsidRDefault="000A1CD9" w:rsidP="000A0F41">
      <w:pPr>
        <w:pStyle w:val="BodySubHeader"/>
      </w:pPr>
      <w:bookmarkStart w:id="266" w:name="_Toc433790401"/>
      <w:bookmarkStart w:id="267" w:name="_Toc463529031"/>
      <w:bookmarkStart w:id="268" w:name="_Toc465178945"/>
      <w:r w:rsidRPr="00F12AB9">
        <w:t>Radiocommunications interference</w:t>
      </w:r>
      <w:bookmarkEnd w:id="266"/>
      <w:bookmarkEnd w:id="267"/>
      <w:bookmarkEnd w:id="268"/>
    </w:p>
    <w:p w14:paraId="7C044A65" w14:textId="77777777" w:rsidR="000A1CD9" w:rsidRPr="00F12AB9" w:rsidRDefault="000A1CD9" w:rsidP="000A1CD9">
      <w:r w:rsidRPr="00F12AB9">
        <w:t>Radiocommunications interference (RCI) is interference affecting a radiocommunications receiver used for non-broadcasting purposes, such as public safety, commercial and recreational services.</w:t>
      </w:r>
    </w:p>
    <w:p w14:paraId="4BA70D96" w14:textId="77777777" w:rsidR="000A1CD9" w:rsidRPr="00F12AB9" w:rsidRDefault="000A1CD9" w:rsidP="000A1CD9">
      <w:r w:rsidRPr="00F12AB9">
        <w:t>During 2015–16, mobile telephone services continued to be more affected by interference than any other type of service. Compared to the previous year, complaints of interference to 3G and 4G services reduced slightly, while complaints about interference to 2G (GSM) services were similar.</w:t>
      </w:r>
    </w:p>
    <w:p w14:paraId="62C107EF" w14:textId="77777777" w:rsidR="000A1CD9" w:rsidRPr="00F12AB9" w:rsidRDefault="000A1CD9" w:rsidP="000A1CD9">
      <w:r w:rsidRPr="00F12AB9">
        <w:t xml:space="preserve">Overall, there were 27 per cent fewer radiocommunications interference complaints than in the previous year, dropping from 847 in 2014–15 to 621 in 2015–16 (Figure 1.8). There were </w:t>
      </w:r>
      <w:r>
        <w:t xml:space="preserve">also </w:t>
      </w:r>
      <w:r w:rsidRPr="00F12AB9">
        <w:t xml:space="preserve">28 complaints </w:t>
      </w:r>
      <w:r>
        <w:t>about</w:t>
      </w:r>
      <w:r w:rsidRPr="00F12AB9">
        <w:t xml:space="preserve"> interference to public safety radiocommunications services. Radiocommunications transmitters continue to be the most significant source of interference. During the reporting period, 77 per cent of RCI complaints resulted in compliance actions such as the issue of advice and warning notices. These compliance actions were generally effective and required no further action. </w:t>
      </w:r>
    </w:p>
    <w:p w14:paraId="225A50DD" w14:textId="77777777" w:rsidR="000A1CD9" w:rsidRPr="00F12AB9" w:rsidRDefault="000A1CD9" w:rsidP="002B6620">
      <w:pPr>
        <w:pStyle w:val="Heading3"/>
        <w:keepLines/>
      </w:pPr>
      <w:bookmarkStart w:id="269" w:name="_Toc433790402"/>
      <w:bookmarkStart w:id="270" w:name="_Toc463529032"/>
      <w:bookmarkStart w:id="271" w:name="_Toc465842855"/>
      <w:r>
        <w:lastRenderedPageBreak/>
        <w:t>R</w:t>
      </w:r>
      <w:r w:rsidRPr="00F12AB9">
        <w:t>adiocommunications compliance program</w:t>
      </w:r>
      <w:bookmarkEnd w:id="269"/>
      <w:bookmarkEnd w:id="270"/>
      <w:bookmarkEnd w:id="271"/>
    </w:p>
    <w:p w14:paraId="7DDCFD7B" w14:textId="77777777" w:rsidR="000A1CD9" w:rsidRPr="00F12AB9" w:rsidRDefault="0000021F" w:rsidP="002B6620">
      <w:pPr>
        <w:keepLines/>
      </w:pPr>
      <w:r>
        <w:t>The ACMA introduced p</w:t>
      </w:r>
      <w:r w:rsidR="000A1CD9" w:rsidRPr="00F12AB9">
        <w:t xml:space="preserve">riority </w:t>
      </w:r>
      <w:r>
        <w:t>c</w:t>
      </w:r>
      <w:r w:rsidR="000A1CD9" w:rsidRPr="00F12AB9">
        <w:t xml:space="preserve">ompliance </w:t>
      </w:r>
      <w:r>
        <w:t>a</w:t>
      </w:r>
      <w:r w:rsidR="000A1CD9" w:rsidRPr="00F12AB9">
        <w:t xml:space="preserve">reas </w:t>
      </w:r>
      <w:r w:rsidR="000A1CD9">
        <w:t xml:space="preserve">(PCAs) </w:t>
      </w:r>
      <w:r w:rsidR="000A1CD9" w:rsidRPr="00F12AB9">
        <w:t>in 2012 to systematically identify areas of compliance concern and allocate resources to improve outcomes. As this approach has matured, the ACMA has been able to reduce the number of radiocommunications investigations conducted by adapting its resource allocation to reflect the variable risk levels associated with interference and harm in the communications environment. The reduction in the number of formal investigations and escalated enforcement actions ha</w:t>
      </w:r>
      <w:r w:rsidR="000A1CD9">
        <w:t>s</w:t>
      </w:r>
      <w:r w:rsidR="000A1CD9" w:rsidRPr="00F12AB9">
        <w:t xml:space="preserve"> been accompanied by an increase in administrative compliance actions such as the issue of more warning notices and infringement notices.</w:t>
      </w:r>
    </w:p>
    <w:p w14:paraId="21F557AA" w14:textId="77777777" w:rsidR="000A1CD9" w:rsidRPr="00F12AB9" w:rsidRDefault="000A1CD9" w:rsidP="00EA149D">
      <w:pPr>
        <w:pStyle w:val="ACMAFigureHeader"/>
        <w:keepNext/>
      </w:pPr>
      <w:r w:rsidRPr="00F12AB9">
        <w:t>Figure 1.</w:t>
      </w:r>
      <w:r>
        <w:t>9</w:t>
      </w:r>
      <w:r>
        <w:tab/>
      </w:r>
      <w:r w:rsidRPr="00F12AB9">
        <w:t>D</w:t>
      </w:r>
      <w:r>
        <w:t>SI</w:t>
      </w:r>
      <w:r w:rsidRPr="00F12AB9">
        <w:t xml:space="preserve"> and </w:t>
      </w:r>
      <w:r>
        <w:t>RCI</w:t>
      </w:r>
      <w:r w:rsidRPr="00F12AB9">
        <w:t xml:space="preserve"> complaints and compliance actions</w:t>
      </w:r>
    </w:p>
    <w:p w14:paraId="5C30D186" w14:textId="0DC09B53" w:rsidR="000A1CD9" w:rsidRPr="00F12AB9" w:rsidRDefault="00BB0326" w:rsidP="000A1CD9">
      <w:pPr>
        <w:spacing w:after="0"/>
      </w:pPr>
      <w:r>
        <w:rPr>
          <w:noProof/>
        </w:rPr>
        <w:drawing>
          <wp:inline distT="0" distB="0" distL="0" distR="0" wp14:anchorId="31137D7E" wp14:editId="53C22968">
            <wp:extent cx="5718488" cy="4027588"/>
            <wp:effectExtent l="0" t="0" r="0" b="0"/>
            <wp:docPr id="31" name="Picture 31" descr="Data for Figure 1.9 is in the .ods file for Chapter 1 on the landing page ‘Communications report 2015-16’, available from the ACMA website." title="Figure 1.9  DSI and RCI complaints and complianc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1.9_Figure 1.9.png"/>
                    <pic:cNvPicPr/>
                  </pic:nvPicPr>
                  <pic:blipFill rotWithShape="1">
                    <a:blip r:embed="rId43">
                      <a:extLst>
                        <a:ext uri="{28A0092B-C50C-407E-A947-70E740481C1C}">
                          <a14:useLocalDpi xmlns:a14="http://schemas.microsoft.com/office/drawing/2010/main" val="0"/>
                        </a:ext>
                      </a:extLst>
                    </a:blip>
                    <a:srcRect l="1157" t="5496" r="2563" b="3436"/>
                    <a:stretch/>
                  </pic:blipFill>
                  <pic:spPr bwMode="auto">
                    <a:xfrm>
                      <a:off x="0" y="0"/>
                      <a:ext cx="5719453" cy="4028267"/>
                    </a:xfrm>
                    <a:prstGeom prst="rect">
                      <a:avLst/>
                    </a:prstGeom>
                    <a:ln>
                      <a:noFill/>
                    </a:ln>
                    <a:extLst>
                      <a:ext uri="{53640926-AAD7-44D8-BBD7-CCE9431645EC}">
                        <a14:shadowObscured xmlns:a14="http://schemas.microsoft.com/office/drawing/2010/main"/>
                      </a:ext>
                    </a:extLst>
                  </pic:spPr>
                </pic:pic>
              </a:graphicData>
            </a:graphic>
          </wp:inline>
        </w:drawing>
      </w:r>
    </w:p>
    <w:p w14:paraId="57E2E76E" w14:textId="77777777" w:rsidR="000A1CD9" w:rsidRPr="00645B4A" w:rsidRDefault="000A1CD9" w:rsidP="000A1CD9">
      <w:pPr>
        <w:pStyle w:val="ACMANotes"/>
      </w:pPr>
      <w:r w:rsidRPr="00F12AB9">
        <w:t xml:space="preserve">Base: Number of complaints </w:t>
      </w:r>
      <w:r w:rsidRPr="00645B4A">
        <w:t>and compliance actions.</w:t>
      </w:r>
    </w:p>
    <w:p w14:paraId="36D55A6D" w14:textId="77777777" w:rsidR="000A1CD9" w:rsidRDefault="000A1CD9" w:rsidP="000A1CD9">
      <w:pPr>
        <w:pStyle w:val="ACMANotes"/>
      </w:pPr>
      <w:r w:rsidRPr="00645B4A">
        <w:t>Source: Domestic system interference</w:t>
      </w:r>
      <w:r w:rsidRPr="00F12AB9">
        <w:t xml:space="preserve"> and radiocommunications interference complaints to the ACMA.</w:t>
      </w:r>
    </w:p>
    <w:p w14:paraId="31FADDEB" w14:textId="77777777" w:rsidR="000A1CD9" w:rsidRPr="00FD7E86" w:rsidRDefault="000A1CD9" w:rsidP="000A1CD9">
      <w:pPr>
        <w:pStyle w:val="ACMASpaceaftertable"/>
      </w:pPr>
    </w:p>
    <w:p w14:paraId="00203D71" w14:textId="77777777" w:rsidR="000A1CD9" w:rsidRDefault="000A1CD9" w:rsidP="00825EF8">
      <w:pPr>
        <w:pStyle w:val="Heading2"/>
        <w:pageBreakBefore/>
        <w:numPr>
          <w:ilvl w:val="1"/>
          <w:numId w:val="12"/>
        </w:numPr>
        <w:ind w:left="794" w:hanging="794"/>
      </w:pPr>
      <w:bookmarkStart w:id="272" w:name="_Toc462132203"/>
      <w:bookmarkStart w:id="273" w:name="_Toc462899550"/>
      <w:bookmarkStart w:id="274" w:name="_Toc463529033"/>
      <w:bookmarkStart w:id="275" w:name="_Toc465842856"/>
      <w:bookmarkStart w:id="276" w:name="_Toc433790297"/>
      <w:r>
        <w:lastRenderedPageBreak/>
        <w:t>New developments in communications</w:t>
      </w:r>
      <w:bookmarkEnd w:id="272"/>
      <w:bookmarkEnd w:id="273"/>
      <w:bookmarkEnd w:id="274"/>
      <w:bookmarkEnd w:id="275"/>
      <w:r>
        <w:t xml:space="preserve"> </w:t>
      </w:r>
    </w:p>
    <w:p w14:paraId="6FE1CCF3" w14:textId="77777777" w:rsidR="000A1CD9" w:rsidRPr="008C4072" w:rsidRDefault="000A1CD9" w:rsidP="000A1CD9">
      <w:r>
        <w:rPr>
          <w:lang w:val="en-US" w:eastAsia="en-US"/>
        </w:rPr>
        <w:t>Over 2015</w:t>
      </w:r>
      <w:r>
        <w:rPr>
          <w:rFonts w:cs="Arial"/>
          <w:lang w:val="en-US" w:eastAsia="en-US"/>
        </w:rPr>
        <w:t>–</w:t>
      </w:r>
      <w:r>
        <w:rPr>
          <w:lang w:val="en-US" w:eastAsia="en-US"/>
        </w:rPr>
        <w:t xml:space="preserve">16, there were several new technological and service developments including network improvements and </w:t>
      </w:r>
      <w:r w:rsidR="00432657">
        <w:rPr>
          <w:lang w:val="en-US" w:eastAsia="en-US"/>
        </w:rPr>
        <w:t xml:space="preserve">development of </w:t>
      </w:r>
      <w:r>
        <w:rPr>
          <w:lang w:val="en-US" w:eastAsia="en-US"/>
        </w:rPr>
        <w:t>the I</w:t>
      </w:r>
      <w:r w:rsidR="009823E1">
        <w:rPr>
          <w:lang w:val="en-US" w:eastAsia="en-US"/>
        </w:rPr>
        <w:t xml:space="preserve">nternet </w:t>
      </w:r>
      <w:r>
        <w:rPr>
          <w:lang w:val="en-US" w:eastAsia="en-US"/>
        </w:rPr>
        <w:t>o</w:t>
      </w:r>
      <w:r w:rsidR="009823E1">
        <w:rPr>
          <w:lang w:val="en-US" w:eastAsia="en-US"/>
        </w:rPr>
        <w:t xml:space="preserve">f </w:t>
      </w:r>
      <w:r>
        <w:rPr>
          <w:lang w:val="en-US" w:eastAsia="en-US"/>
        </w:rPr>
        <w:t>T</w:t>
      </w:r>
      <w:r w:rsidR="009823E1">
        <w:rPr>
          <w:lang w:val="en-US" w:eastAsia="en-US"/>
        </w:rPr>
        <w:t>hings (</w:t>
      </w:r>
      <w:r>
        <w:rPr>
          <w:lang w:val="en-US" w:eastAsia="en-US"/>
        </w:rPr>
        <w:t>IoT</w:t>
      </w:r>
      <w:r w:rsidR="009823E1">
        <w:rPr>
          <w:lang w:val="en-US" w:eastAsia="en-US"/>
        </w:rPr>
        <w:t>)</w:t>
      </w:r>
      <w:r>
        <w:rPr>
          <w:lang w:val="en-US" w:eastAsia="en-US"/>
        </w:rPr>
        <w:t>.</w:t>
      </w:r>
    </w:p>
    <w:p w14:paraId="44806942" w14:textId="77777777" w:rsidR="000A1CD9" w:rsidRPr="00976689" w:rsidRDefault="000A1CD9" w:rsidP="000A1CD9">
      <w:pPr>
        <w:pStyle w:val="Heading3"/>
      </w:pPr>
      <w:bookmarkStart w:id="277" w:name="_Toc462132204"/>
      <w:bookmarkStart w:id="278" w:name="_Toc462899551"/>
      <w:bookmarkStart w:id="279" w:name="_Toc463529034"/>
      <w:bookmarkStart w:id="280" w:name="_Toc465842857"/>
      <w:r w:rsidRPr="00976689">
        <w:t>The IoT and M2M</w:t>
      </w:r>
      <w:bookmarkEnd w:id="277"/>
      <w:bookmarkEnd w:id="278"/>
      <w:bookmarkEnd w:id="279"/>
      <w:bookmarkEnd w:id="280"/>
    </w:p>
    <w:p w14:paraId="0D52EF42" w14:textId="77777777" w:rsidR="000A1CD9" w:rsidRDefault="000A1CD9" w:rsidP="000A1CD9">
      <w:pPr>
        <w:rPr>
          <w:lang w:val="en"/>
        </w:rPr>
      </w:pPr>
      <w:r>
        <w:rPr>
          <w:lang w:val="en"/>
        </w:rPr>
        <w:t>The 2015–</w:t>
      </w:r>
      <w:r w:rsidRPr="00BF582D">
        <w:rPr>
          <w:lang w:val="en"/>
        </w:rPr>
        <w:t xml:space="preserve">16 reporting year witnessed a wide range of developments in the IoT, defined as the interconnection of many devices and objects using internet protocols. Machine-to-machine (M2M) connections form part of the IoT, </w:t>
      </w:r>
      <w:r>
        <w:rPr>
          <w:lang w:val="en"/>
        </w:rPr>
        <w:t>along with</w:t>
      </w:r>
      <w:r w:rsidRPr="00BF582D">
        <w:rPr>
          <w:lang w:val="en"/>
        </w:rPr>
        <w:t xml:space="preserve"> big data analysis, cloud computing, and sensors and actuators that in combination can run autonomous machines and intelligent systems.</w:t>
      </w:r>
      <w:r>
        <w:rPr>
          <w:rStyle w:val="EndnoteReference"/>
          <w:lang w:val="en"/>
        </w:rPr>
        <w:endnoteReference w:id="34"/>
      </w:r>
      <w:r>
        <w:rPr>
          <w:lang w:val="en"/>
        </w:rPr>
        <w:t xml:space="preserve"> </w:t>
      </w:r>
    </w:p>
    <w:p w14:paraId="41B16821" w14:textId="77777777" w:rsidR="000A1CD9" w:rsidRPr="00BF582D" w:rsidRDefault="00484C11" w:rsidP="002B6620">
      <w:pPr>
        <w:keepLines/>
        <w:rPr>
          <w:lang w:val="en"/>
        </w:rPr>
      </w:pPr>
      <w:hyperlink r:id="rId44" w:history="1">
        <w:r w:rsidR="000A1CD9">
          <w:rPr>
            <w:rStyle w:val="Hyperlink"/>
            <w:i/>
            <w:lang w:val="en"/>
          </w:rPr>
          <w:t>The I</w:t>
        </w:r>
        <w:r w:rsidR="000A1CD9" w:rsidRPr="00990D47">
          <w:rPr>
            <w:rStyle w:val="Hyperlink"/>
            <w:i/>
            <w:lang w:val="en"/>
          </w:rPr>
          <w:t>nternet of Things and the ACMA’s areas of focus</w:t>
        </w:r>
      </w:hyperlink>
      <w:r w:rsidR="000A1CD9">
        <w:rPr>
          <w:lang w:val="en"/>
        </w:rPr>
        <w:t xml:space="preserve"> (released in November 2015)</w:t>
      </w:r>
      <w:r w:rsidR="000A1CD9" w:rsidRPr="00BF582D">
        <w:rPr>
          <w:lang w:val="en"/>
        </w:rPr>
        <w:t xml:space="preserve"> noted that the rollout of the IoT will result in a massive increase in connected devices accompanied by an evolution in the range of associated applications and services offered.</w:t>
      </w:r>
      <w:r w:rsidR="000A1CD9">
        <w:rPr>
          <w:rStyle w:val="EndnoteReference"/>
          <w:lang w:val="en"/>
        </w:rPr>
        <w:endnoteReference w:id="35"/>
      </w:r>
      <w:r w:rsidR="000A1CD9">
        <w:rPr>
          <w:lang w:val="en"/>
        </w:rPr>
        <w:t xml:space="preserve"> </w:t>
      </w:r>
      <w:r w:rsidR="000A1CD9" w:rsidRPr="00BF582D">
        <w:rPr>
          <w:lang w:val="en"/>
        </w:rPr>
        <w:t>It is estimated that 16 billion IoT-related connected devices will be in use by 2021. By 2018, IoT is forecast to overtake mobile phones as the largest category of connected devices.</w:t>
      </w:r>
      <w:r w:rsidR="000A1CD9">
        <w:rPr>
          <w:rStyle w:val="EndnoteReference"/>
          <w:lang w:val="en"/>
        </w:rPr>
        <w:endnoteReference w:id="36"/>
      </w:r>
      <w:r w:rsidR="000A1CD9">
        <w:rPr>
          <w:lang w:val="en"/>
        </w:rPr>
        <w:t xml:space="preserve"> </w:t>
      </w:r>
      <w:r w:rsidR="000A1CD9" w:rsidRPr="00BF582D">
        <w:rPr>
          <w:lang w:val="en"/>
        </w:rPr>
        <w:t>It is estimated that more than 25 per cent of companies worldwide use M2M technologies.</w:t>
      </w:r>
      <w:r w:rsidR="000A1CD9">
        <w:rPr>
          <w:rStyle w:val="EndnoteReference"/>
          <w:lang w:val="en"/>
        </w:rPr>
        <w:endnoteReference w:id="37"/>
      </w:r>
      <w:r w:rsidR="000A1CD9">
        <w:rPr>
          <w:lang w:val="en"/>
        </w:rPr>
        <w:t xml:space="preserve"> </w:t>
      </w:r>
    </w:p>
    <w:p w14:paraId="4DF499D2" w14:textId="77777777" w:rsidR="000A1CD9" w:rsidRPr="00762CBD" w:rsidRDefault="000A1CD9" w:rsidP="000A1CD9">
      <w:r w:rsidRPr="00762CBD">
        <w:t xml:space="preserve">Mobile </w:t>
      </w:r>
      <w:r>
        <w:t>carriers</w:t>
      </w:r>
      <w:r w:rsidRPr="00762CBD">
        <w:t xml:space="preserve"> experienced strong M2M growth. </w:t>
      </w:r>
      <w:r>
        <w:t>B</w:t>
      </w:r>
      <w:r w:rsidRPr="00762CBD">
        <w:t>etween June 2015 and June 2016</w:t>
      </w:r>
      <w:r>
        <w:t xml:space="preserve">, </w:t>
      </w:r>
      <w:r w:rsidRPr="00762CBD">
        <w:t xml:space="preserve">Telstra M2M revenues increased </w:t>
      </w:r>
      <w:r>
        <w:t xml:space="preserve">by </w:t>
      </w:r>
      <w:r w:rsidRPr="00762CBD">
        <w:t>16.8 per cent, from $113 million to $132 million. Telstra M2</w:t>
      </w:r>
      <w:r>
        <w:t>M services in operation (SIOs)</w:t>
      </w:r>
      <w:r w:rsidRPr="00762CBD">
        <w:t xml:space="preserve"> reached 1.85 million in June 2016</w:t>
      </w:r>
      <w:r>
        <w:t xml:space="preserve">, an increase of </w:t>
      </w:r>
      <w:r w:rsidRPr="00762CBD">
        <w:t xml:space="preserve">307,000 </w:t>
      </w:r>
      <w:r>
        <w:t xml:space="preserve">SIOs </w:t>
      </w:r>
      <w:r w:rsidRPr="00762CBD">
        <w:t>over 12 months</w:t>
      </w:r>
      <w:r>
        <w:t>, exceeding recent trends</w:t>
      </w:r>
      <w:r w:rsidRPr="00762CBD">
        <w:t>.</w:t>
      </w:r>
      <w:r>
        <w:rPr>
          <w:rStyle w:val="EndnoteReference"/>
        </w:rPr>
        <w:endnoteReference w:id="38"/>
      </w:r>
      <w:r w:rsidRPr="00762CBD">
        <w:t xml:space="preserve"> </w:t>
      </w:r>
    </w:p>
    <w:p w14:paraId="3BBDF358" w14:textId="77777777" w:rsidR="000A1CD9" w:rsidRPr="00BF582D" w:rsidRDefault="000A1CD9" w:rsidP="000A1CD9">
      <w:pPr>
        <w:rPr>
          <w:lang w:val="en"/>
        </w:rPr>
      </w:pPr>
      <w:r w:rsidRPr="00BF582D">
        <w:t xml:space="preserve">Mobile </w:t>
      </w:r>
      <w:r>
        <w:t>carriers</w:t>
      </w:r>
      <w:r w:rsidRPr="00BF582D">
        <w:t xml:space="preserve"> are also preparing their networks for IoT. Vodafone </w:t>
      </w:r>
      <w:r>
        <w:t xml:space="preserve">undertook </w:t>
      </w:r>
      <w:r w:rsidRPr="00BF582D">
        <w:t xml:space="preserve">wireless network access trials </w:t>
      </w:r>
      <w:r>
        <w:t>across Melbourne in April 2016 using</w:t>
      </w:r>
      <w:r w:rsidRPr="00BF582D">
        <w:t xml:space="preserve"> pre-standard Narrowband Internet of Things (NB-IoT) technology.</w:t>
      </w:r>
      <w:r>
        <w:rPr>
          <w:rStyle w:val="EndnoteReference"/>
        </w:rPr>
        <w:endnoteReference w:id="39"/>
      </w:r>
      <w:r>
        <w:t xml:space="preserve"> </w:t>
      </w:r>
      <w:r w:rsidRPr="00BF582D">
        <w:t>Tel</w:t>
      </w:r>
      <w:r>
        <w:t xml:space="preserve">stra’s 4G network now supports </w:t>
      </w:r>
      <w:r w:rsidRPr="00BF582D">
        <w:t>category one LTE standard. Category one is suitable for sensor</w:t>
      </w:r>
      <w:r>
        <w:t>s,</w:t>
      </w:r>
      <w:r w:rsidRPr="00BF582D">
        <w:t xml:space="preserve"> wearables and applications that need to send low to moderate amounts of data.</w:t>
      </w:r>
      <w:r>
        <w:rPr>
          <w:rStyle w:val="EndnoteReference"/>
        </w:rPr>
        <w:endnoteReference w:id="40"/>
      </w:r>
      <w:r>
        <w:t xml:space="preserve"> The University of Technology Sydney, Meshed Pty Ltd and The Things Network</w:t>
      </w:r>
      <w:r>
        <w:rPr>
          <w:lang w:val="en"/>
        </w:rPr>
        <w:t xml:space="preserve"> launched a </w:t>
      </w:r>
      <w:r w:rsidRPr="00BF582D">
        <w:rPr>
          <w:lang w:val="en"/>
        </w:rPr>
        <w:t>public access IoT network in Sydney’s CBD</w:t>
      </w:r>
      <w:r>
        <w:rPr>
          <w:lang w:val="en"/>
        </w:rPr>
        <w:t xml:space="preserve"> in 2016</w:t>
      </w:r>
      <w:r w:rsidRPr="00BF582D">
        <w:rPr>
          <w:lang w:val="en"/>
        </w:rPr>
        <w:t>. The low</w:t>
      </w:r>
      <w:r>
        <w:rPr>
          <w:lang w:val="en"/>
        </w:rPr>
        <w:t>-</w:t>
      </w:r>
      <w:r w:rsidRPr="00BF582D">
        <w:rPr>
          <w:lang w:val="en"/>
        </w:rPr>
        <w:t>power, long</w:t>
      </w:r>
      <w:r>
        <w:rPr>
          <w:lang w:val="en"/>
        </w:rPr>
        <w:t>-</w:t>
      </w:r>
      <w:r w:rsidRPr="00BF582D">
        <w:rPr>
          <w:lang w:val="en"/>
        </w:rPr>
        <w:t>range</w:t>
      </w:r>
      <w:r>
        <w:rPr>
          <w:lang w:val="en"/>
        </w:rPr>
        <w:t>,</w:t>
      </w:r>
      <w:r w:rsidRPr="00BF582D">
        <w:rPr>
          <w:lang w:val="en"/>
        </w:rPr>
        <w:t xml:space="preserve"> wide</w:t>
      </w:r>
      <w:r>
        <w:rPr>
          <w:lang w:val="en"/>
        </w:rPr>
        <w:t>-</w:t>
      </w:r>
      <w:r w:rsidRPr="00BF582D">
        <w:rPr>
          <w:lang w:val="en"/>
        </w:rPr>
        <w:t>area network will allow smart sensor devices to connect to the internet without needing mobile, Wi-Fi, bluetooth or other technologies.</w:t>
      </w:r>
      <w:r>
        <w:rPr>
          <w:rStyle w:val="EndnoteReference"/>
          <w:lang w:val="en"/>
        </w:rPr>
        <w:endnoteReference w:id="41"/>
      </w:r>
      <w:r>
        <w:rPr>
          <w:lang w:val="en"/>
        </w:rPr>
        <w:t xml:space="preserve"> </w:t>
      </w:r>
    </w:p>
    <w:p w14:paraId="012D3996" w14:textId="77777777" w:rsidR="000A1CD9" w:rsidRPr="00BF582D" w:rsidRDefault="000A1CD9" w:rsidP="000A1CD9">
      <w:pPr>
        <w:rPr>
          <w:lang w:val="en"/>
        </w:rPr>
      </w:pPr>
      <w:r w:rsidRPr="00BF582D">
        <w:rPr>
          <w:lang w:val="en"/>
        </w:rPr>
        <w:t>Communications Alliance established a think</w:t>
      </w:r>
      <w:r>
        <w:rPr>
          <w:lang w:val="en"/>
        </w:rPr>
        <w:t xml:space="preserve"> </w:t>
      </w:r>
      <w:r w:rsidRPr="00BF582D">
        <w:rPr>
          <w:lang w:val="en"/>
        </w:rPr>
        <w:t xml:space="preserve">tank in 2015 designed to maximise the potential of the IoT for Australian </w:t>
      </w:r>
      <w:r>
        <w:rPr>
          <w:lang w:val="en"/>
        </w:rPr>
        <w:t>i</w:t>
      </w:r>
      <w:r w:rsidRPr="00BF582D">
        <w:rPr>
          <w:lang w:val="en"/>
        </w:rPr>
        <w:t>ndustry. The ACMA is a member, along with other government and industry entities. In 2016</w:t>
      </w:r>
      <w:r>
        <w:rPr>
          <w:lang w:val="en"/>
        </w:rPr>
        <w:t>,</w:t>
      </w:r>
      <w:r w:rsidRPr="00BF582D">
        <w:rPr>
          <w:lang w:val="en"/>
        </w:rPr>
        <w:t xml:space="preserve"> t</w:t>
      </w:r>
      <w:r>
        <w:rPr>
          <w:lang w:val="en"/>
        </w:rPr>
        <w:t>he think tank became</w:t>
      </w:r>
      <w:r w:rsidRPr="00BF582D">
        <w:rPr>
          <w:lang w:val="en"/>
        </w:rPr>
        <w:t xml:space="preserve"> a standalone entity, now called the IoT Alliance (Australia).</w:t>
      </w:r>
      <w:r>
        <w:rPr>
          <w:rStyle w:val="EndnoteReference"/>
          <w:lang w:val="en"/>
        </w:rPr>
        <w:endnoteReference w:id="42"/>
      </w:r>
      <w:r>
        <w:rPr>
          <w:lang w:val="en"/>
        </w:rPr>
        <w:t xml:space="preserve"> </w:t>
      </w:r>
      <w:r w:rsidRPr="00BF582D">
        <w:rPr>
          <w:lang w:val="en"/>
        </w:rPr>
        <w:t xml:space="preserve">Work streams in this </w:t>
      </w:r>
      <w:r>
        <w:rPr>
          <w:lang w:val="en"/>
        </w:rPr>
        <w:t>a</w:t>
      </w:r>
      <w:r w:rsidRPr="00BF582D">
        <w:rPr>
          <w:lang w:val="en"/>
        </w:rPr>
        <w:t>lliance include developing IoT open data and data</w:t>
      </w:r>
      <w:r>
        <w:rPr>
          <w:lang w:val="en"/>
        </w:rPr>
        <w:t>-</w:t>
      </w:r>
      <w:r w:rsidRPr="00BF582D">
        <w:rPr>
          <w:lang w:val="en"/>
        </w:rPr>
        <w:t>sharing principles and guidelines, spectrum availability, security guidelines and industry verticals.</w:t>
      </w:r>
      <w:r>
        <w:rPr>
          <w:rStyle w:val="EndnoteReference"/>
          <w:lang w:val="en"/>
        </w:rPr>
        <w:endnoteReference w:id="43"/>
      </w:r>
      <w:r>
        <w:rPr>
          <w:lang w:val="en"/>
        </w:rPr>
        <w:t xml:space="preserve"> </w:t>
      </w:r>
    </w:p>
    <w:p w14:paraId="3F06CEF6" w14:textId="77777777" w:rsidR="000A1CD9" w:rsidRDefault="000A1CD9" w:rsidP="000A1CD9">
      <w:pPr>
        <w:pStyle w:val="Heading3"/>
      </w:pPr>
      <w:bookmarkStart w:id="281" w:name="_Toc462132205"/>
      <w:bookmarkStart w:id="282" w:name="_Toc462899552"/>
      <w:bookmarkStart w:id="283" w:name="_Toc463529035"/>
      <w:bookmarkStart w:id="284" w:name="_Toc465842858"/>
      <w:r>
        <w:t>Other e</w:t>
      </w:r>
      <w:r w:rsidRPr="00FD7E86">
        <w:t>merging mobile technologie</w:t>
      </w:r>
      <w:bookmarkEnd w:id="276"/>
      <w:r>
        <w:t>s</w:t>
      </w:r>
      <w:bookmarkEnd w:id="281"/>
      <w:bookmarkEnd w:id="282"/>
      <w:bookmarkEnd w:id="283"/>
      <w:bookmarkEnd w:id="284"/>
    </w:p>
    <w:p w14:paraId="033E984D" w14:textId="77777777" w:rsidR="000A1CD9" w:rsidRPr="00742686" w:rsidRDefault="000A1CD9" w:rsidP="00EA149D">
      <w:pPr>
        <w:rPr>
          <w:i/>
        </w:rPr>
      </w:pPr>
      <w:r w:rsidRPr="00742686">
        <w:t xml:space="preserve">With the expansion of 4G networks across Australia, </w:t>
      </w:r>
      <w:r>
        <w:t>mobile carriers</w:t>
      </w:r>
      <w:r w:rsidRPr="00742686">
        <w:t xml:space="preserve"> have been exploring </w:t>
      </w:r>
      <w:r>
        <w:t xml:space="preserve">and </w:t>
      </w:r>
      <w:r w:rsidRPr="00C27BF9">
        <w:t>implementing new technologies such as Voice over LTE (VoLTE), Wi-Fi calling and messaging, and LTE-</w:t>
      </w:r>
      <w:r>
        <w:t>broadcast (LTE-B) technology. Mobile operators have also been actively preparing for the next generation 5G mobile network deployment.</w:t>
      </w:r>
    </w:p>
    <w:p w14:paraId="13657441" w14:textId="77777777" w:rsidR="000A1CD9" w:rsidRPr="00A16448" w:rsidRDefault="000A1CD9" w:rsidP="000A1CD9">
      <w:pPr>
        <w:pStyle w:val="Bodysubheader0"/>
      </w:pPr>
      <w:bookmarkStart w:id="285" w:name="_Toc462132206"/>
      <w:r w:rsidRPr="00A16448">
        <w:t>VoLTE</w:t>
      </w:r>
      <w:bookmarkEnd w:id="285"/>
    </w:p>
    <w:p w14:paraId="36299086" w14:textId="77777777" w:rsidR="000A1CD9" w:rsidRDefault="000A1CD9" w:rsidP="000A1CD9">
      <w:pPr>
        <w:pStyle w:val="ListBullet"/>
        <w:numPr>
          <w:ilvl w:val="0"/>
          <w:numId w:val="0"/>
        </w:numPr>
        <w:spacing w:after="240"/>
        <w:rPr>
          <w:rFonts w:eastAsiaTheme="minorHAnsi" w:cs="Arial"/>
          <w:color w:val="000000" w:themeColor="text1"/>
          <w:szCs w:val="20"/>
          <w:lang w:eastAsia="en-US"/>
        </w:rPr>
      </w:pPr>
      <w:r w:rsidRPr="00B31A28">
        <w:rPr>
          <w:rFonts w:eastAsiaTheme="minorHAnsi" w:cs="Arial"/>
          <w:color w:val="000000" w:themeColor="text1"/>
          <w:szCs w:val="20"/>
          <w:lang w:eastAsia="en-US"/>
        </w:rPr>
        <w:t>In 2015</w:t>
      </w:r>
      <w:r>
        <w:t>–</w:t>
      </w:r>
      <w:r w:rsidRPr="00B31A28">
        <w:rPr>
          <w:rFonts w:eastAsiaTheme="minorHAnsi" w:cs="Arial"/>
          <w:color w:val="000000" w:themeColor="text1"/>
          <w:szCs w:val="20"/>
          <w:lang w:eastAsia="en-US"/>
        </w:rPr>
        <w:t xml:space="preserve">16, VoLTE technology moved from trial to implementation stage. VoLTE can carry voice calls made using compatible devices over enabled 4G mobile networks </w:t>
      </w:r>
      <w:r>
        <w:rPr>
          <w:rFonts w:eastAsiaTheme="minorHAnsi" w:cs="Arial"/>
          <w:color w:val="000000" w:themeColor="text1"/>
          <w:szCs w:val="20"/>
          <w:lang w:eastAsia="en-US"/>
        </w:rPr>
        <w:t>that</w:t>
      </w:r>
      <w:r w:rsidRPr="00B31A28">
        <w:rPr>
          <w:rFonts w:eastAsiaTheme="minorHAnsi" w:cs="Arial"/>
          <w:color w:val="000000" w:themeColor="text1"/>
          <w:szCs w:val="20"/>
          <w:lang w:eastAsia="en-US"/>
        </w:rPr>
        <w:t xml:space="preserve"> were previously limited to carrying only data. The benefits of VoLTE include faster call connection, higher audio quality and improved battery</w:t>
      </w:r>
      <w:r w:rsidR="00825EF8">
        <w:rPr>
          <w:rFonts w:eastAsiaTheme="minorHAnsi" w:cs="Arial"/>
          <w:color w:val="000000" w:themeColor="text1"/>
          <w:szCs w:val="20"/>
          <w:lang w:eastAsia="en-US"/>
        </w:rPr>
        <w:t> </w:t>
      </w:r>
      <w:r w:rsidRPr="00B31A28">
        <w:rPr>
          <w:rFonts w:eastAsiaTheme="minorHAnsi" w:cs="Arial"/>
          <w:color w:val="000000" w:themeColor="text1"/>
          <w:szCs w:val="20"/>
          <w:lang w:eastAsia="en-US"/>
        </w:rPr>
        <w:t xml:space="preserve">life. </w:t>
      </w:r>
    </w:p>
    <w:p w14:paraId="739A23EB" w14:textId="77777777" w:rsidR="000A1CD9" w:rsidRPr="00B31A28" w:rsidRDefault="000A1CD9" w:rsidP="000A1CD9">
      <w:pPr>
        <w:pStyle w:val="ListBullet"/>
        <w:numPr>
          <w:ilvl w:val="0"/>
          <w:numId w:val="0"/>
        </w:numPr>
        <w:spacing w:after="240"/>
        <w:rPr>
          <w:rFonts w:eastAsiaTheme="minorHAnsi" w:cs="Arial"/>
          <w:color w:val="000000" w:themeColor="text1"/>
          <w:szCs w:val="20"/>
          <w:lang w:eastAsia="en-US"/>
        </w:rPr>
      </w:pPr>
      <w:r w:rsidRPr="00B31A28">
        <w:rPr>
          <w:rFonts w:eastAsiaTheme="minorHAnsi" w:cs="Arial"/>
          <w:color w:val="000000" w:themeColor="text1"/>
          <w:szCs w:val="20"/>
          <w:lang w:eastAsia="en-US"/>
        </w:rPr>
        <w:t>Telstra began enabling VoLTE for its post-paid consumer customers in September 2015</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with plans to extend the capability to its business and pre-paid customers in the future.</w:t>
      </w:r>
      <w:r>
        <w:rPr>
          <w:rStyle w:val="EndnoteReference"/>
          <w:rFonts w:eastAsiaTheme="minorHAnsi" w:cs="Arial"/>
          <w:color w:val="000000" w:themeColor="text1"/>
          <w:szCs w:val="20"/>
          <w:lang w:eastAsia="en-US"/>
        </w:rPr>
        <w:endnoteReference w:id="44"/>
      </w:r>
      <w:r w:rsidRPr="00B31A28">
        <w:rPr>
          <w:rFonts w:eastAsiaTheme="minorHAnsi" w:cs="Arial"/>
          <w:color w:val="000000" w:themeColor="text1"/>
          <w:szCs w:val="20"/>
          <w:lang w:eastAsia="en-US"/>
        </w:rPr>
        <w:t xml:space="preserve"> Vodafone commenced its rollout of VoLTE in December 2015 and is planning to </w:t>
      </w:r>
      <w:r>
        <w:rPr>
          <w:rFonts w:eastAsiaTheme="minorHAnsi" w:cs="Arial"/>
          <w:color w:val="000000" w:themeColor="text1"/>
          <w:szCs w:val="20"/>
          <w:lang w:eastAsia="en-US"/>
        </w:rPr>
        <w:t>offer</w:t>
      </w:r>
      <w:r w:rsidRPr="00B31A28">
        <w:rPr>
          <w:rFonts w:eastAsiaTheme="minorHAnsi" w:cs="Arial"/>
          <w:color w:val="000000" w:themeColor="text1"/>
          <w:szCs w:val="20"/>
          <w:lang w:eastAsia="en-US"/>
        </w:rPr>
        <w:t xml:space="preserve"> VoLTE to its entire 4G network by the end of 2016.</w:t>
      </w:r>
      <w:r>
        <w:rPr>
          <w:rStyle w:val="EndnoteReference"/>
          <w:rFonts w:eastAsiaTheme="minorHAnsi" w:cs="Arial"/>
          <w:color w:val="000000" w:themeColor="text1"/>
          <w:szCs w:val="20"/>
          <w:lang w:eastAsia="en-US"/>
        </w:rPr>
        <w:endnoteReference w:id="45"/>
      </w:r>
      <w:r w:rsidRPr="00B31A28">
        <w:rPr>
          <w:rFonts w:eastAsiaTheme="minorHAnsi" w:cs="Arial"/>
          <w:color w:val="000000" w:themeColor="text1"/>
          <w:szCs w:val="20"/>
          <w:lang w:eastAsia="en-US"/>
        </w:rPr>
        <w:t xml:space="preserve"> Optus launched VoLTE across its 4G Plus network in Australia’s major capital cities in May 2016</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with plans to expand to further locations in the future.</w:t>
      </w:r>
      <w:r>
        <w:rPr>
          <w:rStyle w:val="EndnoteReference"/>
          <w:rFonts w:eastAsiaTheme="minorHAnsi" w:cs="Arial"/>
          <w:color w:val="000000" w:themeColor="text1"/>
          <w:szCs w:val="20"/>
          <w:lang w:eastAsia="en-US"/>
        </w:rPr>
        <w:endnoteReference w:id="46"/>
      </w:r>
      <w:r w:rsidRPr="00B31A28">
        <w:rPr>
          <w:rFonts w:eastAsiaTheme="minorHAnsi" w:cs="Arial"/>
          <w:color w:val="000000" w:themeColor="text1"/>
          <w:szCs w:val="20"/>
          <w:lang w:eastAsia="en-US"/>
        </w:rPr>
        <w:t xml:space="preserve"> Integration with multimedia services such as video calling (ViLTE) and conference calling is expected to follow.</w:t>
      </w:r>
    </w:p>
    <w:p w14:paraId="7B60D3E5" w14:textId="77777777" w:rsidR="000A1CD9" w:rsidRPr="00A16448" w:rsidRDefault="000A1CD9" w:rsidP="00825EF8">
      <w:pPr>
        <w:pStyle w:val="Bodysubheader0"/>
        <w:keepNext/>
      </w:pPr>
      <w:bookmarkStart w:id="286" w:name="_Toc462132207"/>
      <w:bookmarkStart w:id="287" w:name="_Toc463529037"/>
      <w:r w:rsidRPr="00A16448">
        <w:lastRenderedPageBreak/>
        <w:t>Voice calls over Wi-Fi</w:t>
      </w:r>
      <w:bookmarkEnd w:id="286"/>
      <w:bookmarkEnd w:id="287"/>
    </w:p>
    <w:p w14:paraId="4CADFD30" w14:textId="77777777" w:rsidR="000A1CD9" w:rsidRPr="00B31A28" w:rsidRDefault="000A1CD9" w:rsidP="000A1CD9">
      <w:pPr>
        <w:pStyle w:val="ListBullet"/>
        <w:numPr>
          <w:ilvl w:val="0"/>
          <w:numId w:val="0"/>
        </w:numPr>
        <w:spacing w:after="240"/>
        <w:rPr>
          <w:rFonts w:eastAsiaTheme="minorHAnsi" w:cs="Arial"/>
          <w:color w:val="000000" w:themeColor="text1"/>
          <w:szCs w:val="20"/>
          <w:lang w:eastAsia="en-US"/>
        </w:rPr>
      </w:pPr>
      <w:r w:rsidRPr="00B31A28">
        <w:rPr>
          <w:rFonts w:eastAsiaTheme="minorHAnsi" w:cs="Arial"/>
          <w:color w:val="000000" w:themeColor="text1"/>
          <w:szCs w:val="20"/>
          <w:lang w:eastAsia="en-US"/>
        </w:rPr>
        <w:t xml:space="preserve">In August 2015, Optus launched its </w:t>
      </w:r>
      <w:r w:rsidRPr="00531CD0">
        <w:rPr>
          <w:rFonts w:eastAsiaTheme="minorHAnsi"/>
          <w:i/>
          <w:color w:val="000000" w:themeColor="text1"/>
        </w:rPr>
        <w:t>WiFi Talk</w:t>
      </w:r>
      <w:r w:rsidRPr="00B31A28">
        <w:rPr>
          <w:rFonts w:eastAsiaTheme="minorHAnsi" w:cs="Arial"/>
          <w:color w:val="000000" w:themeColor="text1"/>
          <w:szCs w:val="20"/>
          <w:lang w:eastAsia="en-US"/>
        </w:rPr>
        <w:t xml:space="preserve"> app</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which allows a user to make calls and send text messages from a mobile device over Wi-Fi without a mobile signal.</w:t>
      </w:r>
      <w:r>
        <w:rPr>
          <w:rStyle w:val="EndnoteReference"/>
          <w:rFonts w:eastAsiaTheme="minorHAnsi" w:cs="Arial"/>
          <w:color w:val="000000" w:themeColor="text1"/>
          <w:szCs w:val="20"/>
          <w:lang w:eastAsia="en-US"/>
        </w:rPr>
        <w:endnoteReference w:id="47"/>
      </w:r>
      <w:r w:rsidRPr="00B31A28">
        <w:rPr>
          <w:rFonts w:eastAsiaTheme="minorHAnsi" w:cs="Arial"/>
          <w:color w:val="000000" w:themeColor="text1"/>
          <w:szCs w:val="20"/>
          <w:lang w:eastAsia="en-US"/>
        </w:rPr>
        <w:t xml:space="preserve"> Unlike </w:t>
      </w:r>
      <w:r>
        <w:rPr>
          <w:rFonts w:eastAsiaTheme="minorHAnsi" w:cs="Arial"/>
          <w:color w:val="000000" w:themeColor="text1"/>
          <w:szCs w:val="20"/>
          <w:lang w:eastAsia="en-US"/>
        </w:rPr>
        <w:t xml:space="preserve">OTT VoIP </w:t>
      </w:r>
      <w:r w:rsidRPr="00B31A28">
        <w:rPr>
          <w:rFonts w:eastAsiaTheme="minorHAnsi" w:cs="Arial"/>
          <w:color w:val="000000" w:themeColor="text1"/>
          <w:szCs w:val="20"/>
          <w:lang w:eastAsia="en-US"/>
        </w:rPr>
        <w:t xml:space="preserve">apps such as Skype, Viber and WhatsApp, calls using </w:t>
      </w:r>
      <w:r w:rsidRPr="00531CD0">
        <w:rPr>
          <w:rFonts w:eastAsiaTheme="minorHAnsi"/>
          <w:i/>
          <w:color w:val="000000" w:themeColor="text1"/>
        </w:rPr>
        <w:t>WiFi Talk</w:t>
      </w:r>
      <w:r w:rsidRPr="00B31A28">
        <w:rPr>
          <w:rFonts w:eastAsiaTheme="minorHAnsi" w:cs="Arial"/>
          <w:color w:val="000000" w:themeColor="text1"/>
          <w:szCs w:val="20"/>
          <w:lang w:eastAsia="en-US"/>
        </w:rPr>
        <w:t xml:space="preserve"> are made and received using </w:t>
      </w:r>
      <w:r>
        <w:rPr>
          <w:rFonts w:eastAsiaTheme="minorHAnsi" w:cs="Arial"/>
          <w:color w:val="000000" w:themeColor="text1"/>
          <w:szCs w:val="20"/>
          <w:lang w:eastAsia="en-US"/>
        </w:rPr>
        <w:t>standard</w:t>
      </w:r>
      <w:r w:rsidRPr="00B31A28">
        <w:rPr>
          <w:rFonts w:eastAsiaTheme="minorHAnsi" w:cs="Arial"/>
          <w:color w:val="000000" w:themeColor="text1"/>
          <w:szCs w:val="20"/>
          <w:lang w:eastAsia="en-US"/>
        </w:rPr>
        <w:t xml:space="preserve"> phone numbers and the other party to the call does not need to be an Optus customer or have the </w:t>
      </w:r>
      <w:r w:rsidRPr="00531CD0">
        <w:rPr>
          <w:rFonts w:eastAsiaTheme="minorHAnsi"/>
          <w:i/>
          <w:color w:val="000000" w:themeColor="text1"/>
        </w:rPr>
        <w:t>WiFi Talk</w:t>
      </w:r>
      <w:r w:rsidRPr="00B31A28">
        <w:rPr>
          <w:rFonts w:eastAsiaTheme="minorHAnsi" w:cs="Arial"/>
          <w:color w:val="000000" w:themeColor="text1"/>
          <w:szCs w:val="20"/>
          <w:lang w:eastAsia="en-US"/>
        </w:rPr>
        <w:t xml:space="preserve"> app activated.</w:t>
      </w:r>
    </w:p>
    <w:p w14:paraId="49D70429" w14:textId="77777777" w:rsidR="000A1CD9" w:rsidRPr="00B31A28" w:rsidRDefault="000A1CD9" w:rsidP="000A1CD9">
      <w:pPr>
        <w:pStyle w:val="ListBullet"/>
        <w:numPr>
          <w:ilvl w:val="0"/>
          <w:numId w:val="0"/>
        </w:numPr>
        <w:spacing w:after="240"/>
        <w:rPr>
          <w:rFonts w:eastAsiaTheme="minorHAnsi" w:cs="Arial"/>
          <w:color w:val="000000" w:themeColor="text1"/>
          <w:szCs w:val="20"/>
          <w:lang w:eastAsia="en-US"/>
        </w:rPr>
      </w:pPr>
      <w:r w:rsidRPr="00B31A28">
        <w:rPr>
          <w:rFonts w:eastAsiaTheme="minorHAnsi" w:cs="Arial"/>
          <w:color w:val="000000" w:themeColor="text1"/>
          <w:szCs w:val="20"/>
          <w:lang w:eastAsia="en-US"/>
        </w:rPr>
        <w:t>These app</w:t>
      </w:r>
      <w:r>
        <w:rPr>
          <w:rFonts w:eastAsiaTheme="minorHAnsi" w:cs="Arial"/>
          <w:color w:val="000000" w:themeColor="text1"/>
          <w:szCs w:val="20"/>
          <w:lang w:eastAsia="en-US"/>
        </w:rPr>
        <w:t>-</w:t>
      </w:r>
      <w:r w:rsidRPr="00B31A28">
        <w:rPr>
          <w:rFonts w:eastAsiaTheme="minorHAnsi" w:cs="Arial"/>
          <w:color w:val="000000" w:themeColor="text1"/>
          <w:szCs w:val="20"/>
          <w:lang w:eastAsia="en-US"/>
        </w:rPr>
        <w:t>based services are not to be confused with Voice over Wi-Fi (VoWiFi) technology</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which allows voice calls to be made and received using the native dial</w:t>
      </w:r>
      <w:r>
        <w:rPr>
          <w:rFonts w:eastAsiaTheme="minorHAnsi" w:cs="Arial"/>
          <w:color w:val="000000" w:themeColor="text1"/>
          <w:szCs w:val="20"/>
          <w:lang w:eastAsia="en-US"/>
        </w:rPr>
        <w:t>l</w:t>
      </w:r>
      <w:r w:rsidRPr="00B31A28">
        <w:rPr>
          <w:rFonts w:eastAsiaTheme="minorHAnsi" w:cs="Arial"/>
          <w:color w:val="000000" w:themeColor="text1"/>
          <w:szCs w:val="20"/>
          <w:lang w:eastAsia="en-US"/>
        </w:rPr>
        <w:t>er on a compatible device connected to Wi-Fi. The main benefits of VoWiFi are better indoor coverage and call continuity—a call can be seamlessly offloaded between a mobile network and a Wi-Fi network. VoWiFi also has the potential to reduce roaming charge costs to consumers while travelling.</w:t>
      </w:r>
    </w:p>
    <w:p w14:paraId="58C77E0C" w14:textId="77777777" w:rsidR="000A1CD9" w:rsidRPr="002E6243" w:rsidRDefault="000A1CD9" w:rsidP="000A1CD9">
      <w:pPr>
        <w:pStyle w:val="ListBullet"/>
        <w:numPr>
          <w:ilvl w:val="0"/>
          <w:numId w:val="0"/>
        </w:numPr>
        <w:spacing w:after="240"/>
        <w:rPr>
          <w:color w:val="000000" w:themeColor="text1"/>
          <w:szCs w:val="20"/>
        </w:rPr>
      </w:pPr>
      <w:r w:rsidRPr="00B31A28">
        <w:rPr>
          <w:rFonts w:eastAsiaTheme="minorHAnsi" w:cs="Arial"/>
          <w:color w:val="000000" w:themeColor="text1"/>
          <w:szCs w:val="20"/>
          <w:lang w:eastAsia="en-US"/>
        </w:rPr>
        <w:t>Both Telstra</w:t>
      </w:r>
      <w:r>
        <w:rPr>
          <w:rStyle w:val="EndnoteReference"/>
          <w:rFonts w:eastAsiaTheme="minorHAnsi" w:cs="Arial"/>
          <w:color w:val="000000" w:themeColor="text1"/>
          <w:szCs w:val="20"/>
          <w:lang w:eastAsia="en-US"/>
        </w:rPr>
        <w:endnoteReference w:id="48"/>
      </w:r>
      <w:r w:rsidRPr="00B31A28">
        <w:rPr>
          <w:rFonts w:eastAsiaTheme="minorHAnsi" w:cs="Arial"/>
          <w:color w:val="000000" w:themeColor="text1"/>
          <w:szCs w:val="20"/>
          <w:lang w:eastAsia="en-US"/>
        </w:rPr>
        <w:t xml:space="preserve"> and Vodafone</w:t>
      </w:r>
      <w:r>
        <w:rPr>
          <w:rStyle w:val="EndnoteReference"/>
          <w:rFonts w:eastAsiaTheme="minorHAnsi" w:cs="Arial"/>
          <w:color w:val="000000" w:themeColor="text1"/>
          <w:szCs w:val="20"/>
          <w:lang w:eastAsia="en-US"/>
        </w:rPr>
        <w:endnoteReference w:id="49"/>
      </w:r>
      <w:r w:rsidRPr="00B31A28">
        <w:rPr>
          <w:rFonts w:eastAsiaTheme="minorHAnsi" w:cs="Arial"/>
          <w:color w:val="000000" w:themeColor="text1"/>
          <w:szCs w:val="20"/>
          <w:lang w:eastAsia="en-US"/>
        </w:rPr>
        <w:t xml:space="preserve"> have indicated plans to offer VoWiFi to their customers in the near future</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however</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timelines are yet to be announced</w:t>
      </w:r>
      <w:r>
        <w:rPr>
          <w:color w:val="000000" w:themeColor="text1"/>
          <w:szCs w:val="20"/>
        </w:rPr>
        <w:t xml:space="preserve">. </w:t>
      </w:r>
    </w:p>
    <w:p w14:paraId="783B7470" w14:textId="77777777" w:rsidR="000A1CD9" w:rsidRPr="00A16448" w:rsidRDefault="000A1CD9" w:rsidP="002B6620">
      <w:pPr>
        <w:pStyle w:val="Bodysubheader0"/>
        <w:keepNext/>
      </w:pPr>
      <w:bookmarkStart w:id="288" w:name="_Toc462132208"/>
      <w:bookmarkStart w:id="289" w:name="_Toc463529038"/>
      <w:r w:rsidRPr="00A16448">
        <w:t>LTE-B</w:t>
      </w:r>
      <w:bookmarkEnd w:id="288"/>
      <w:bookmarkEnd w:id="289"/>
    </w:p>
    <w:p w14:paraId="1BEEE3FA" w14:textId="77777777" w:rsidR="000A1CD9" w:rsidRDefault="000A1CD9" w:rsidP="000A1CD9">
      <w:pPr>
        <w:pStyle w:val="ListBullet"/>
        <w:numPr>
          <w:ilvl w:val="0"/>
          <w:numId w:val="0"/>
        </w:numPr>
        <w:spacing w:after="240"/>
        <w:rPr>
          <w:rFonts w:eastAsiaTheme="minorHAnsi" w:cs="Arial"/>
          <w:color w:val="000000" w:themeColor="text1"/>
          <w:szCs w:val="20"/>
          <w:lang w:eastAsia="en-US"/>
        </w:rPr>
      </w:pPr>
      <w:r w:rsidRPr="00B31A28">
        <w:rPr>
          <w:rFonts w:eastAsiaTheme="minorHAnsi" w:cs="Arial"/>
          <w:color w:val="000000" w:themeColor="text1"/>
          <w:szCs w:val="20"/>
          <w:lang w:eastAsia="en-US"/>
        </w:rPr>
        <w:t>In April 2016</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Telstra</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along with South Korea’s KT, the UK’s EE and the USA’s Verizon</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jointly formed the LTE-Broadcast Alliance</w:t>
      </w:r>
      <w:r>
        <w:rPr>
          <w:rFonts w:eastAsiaTheme="minorHAnsi" w:cs="Arial"/>
          <w:color w:val="000000" w:themeColor="text1"/>
          <w:szCs w:val="20"/>
          <w:lang w:eastAsia="en-US"/>
        </w:rPr>
        <w:t>,</w:t>
      </w:r>
      <w:r w:rsidRPr="00B31A28">
        <w:rPr>
          <w:rFonts w:eastAsiaTheme="minorHAnsi" w:cs="Arial"/>
          <w:color w:val="000000" w:themeColor="text1"/>
          <w:szCs w:val="20"/>
          <w:lang w:eastAsia="en-US"/>
        </w:rPr>
        <w:t xml:space="preserve"> which will work to promote the LTE-B standard and increase global support for LTE-B services from device manufacturers. </w:t>
      </w:r>
    </w:p>
    <w:p w14:paraId="36ACA7E4" w14:textId="77777777" w:rsidR="000A1CD9" w:rsidRPr="009F0C19" w:rsidRDefault="000A1CD9" w:rsidP="000A1CD9">
      <w:pPr>
        <w:pStyle w:val="ListBullet"/>
        <w:numPr>
          <w:ilvl w:val="0"/>
          <w:numId w:val="0"/>
        </w:numPr>
        <w:spacing w:after="240"/>
        <w:rPr>
          <w:color w:val="000000" w:themeColor="text1"/>
          <w:szCs w:val="20"/>
        </w:rPr>
      </w:pPr>
      <w:r w:rsidRPr="00B31A28">
        <w:rPr>
          <w:rFonts w:eastAsiaTheme="minorHAnsi" w:cs="Arial"/>
          <w:color w:val="000000" w:themeColor="text1"/>
          <w:szCs w:val="20"/>
          <w:lang w:eastAsia="en-US"/>
        </w:rPr>
        <w:t xml:space="preserve">LTE-B can reduce network traffic by enabling a single stream of data to be sent to multiple mobile users, as opposed to sending an individual stream to each user. After undertaking the world’s first stadium broadcast using LTE-B at the Melbourne Cricket Ground in 2014, Telstra has enabled LTE-B capability at over 3,000 of its 4GX sites and has conducted several demonstrations at major sporting events including the </w:t>
      </w:r>
      <w:r>
        <w:rPr>
          <w:rFonts w:eastAsiaTheme="minorHAnsi" w:cs="Arial"/>
          <w:color w:val="000000" w:themeColor="text1"/>
          <w:szCs w:val="20"/>
          <w:lang w:eastAsia="en-US"/>
        </w:rPr>
        <w:t>National Rugby League</w:t>
      </w:r>
      <w:r w:rsidRPr="00B31A28">
        <w:rPr>
          <w:rFonts w:eastAsiaTheme="minorHAnsi" w:cs="Arial"/>
          <w:color w:val="000000" w:themeColor="text1"/>
          <w:szCs w:val="20"/>
          <w:lang w:eastAsia="en-US"/>
        </w:rPr>
        <w:t xml:space="preserve"> Grand Final in October 2015. In addition to alleviating congestion in areas with high demand for video traffic, LTE-B is expected to be used for mass</w:t>
      </w:r>
      <w:r>
        <w:rPr>
          <w:color w:val="000000" w:themeColor="text1"/>
          <w:szCs w:val="20"/>
          <w:lang w:val="en-GB"/>
        </w:rPr>
        <w:t xml:space="preserve"> device and application software updates in the future.</w:t>
      </w:r>
      <w:r>
        <w:rPr>
          <w:rStyle w:val="EndnoteReference"/>
          <w:color w:val="000000" w:themeColor="text1"/>
          <w:szCs w:val="20"/>
          <w:lang w:val="en-GB"/>
        </w:rPr>
        <w:endnoteReference w:id="50"/>
      </w:r>
    </w:p>
    <w:p w14:paraId="18B1A6E7" w14:textId="77777777" w:rsidR="000A1CD9" w:rsidRPr="00A16448" w:rsidRDefault="000A1CD9" w:rsidP="000A1CD9">
      <w:pPr>
        <w:pStyle w:val="Bodysubheader0"/>
      </w:pPr>
      <w:bookmarkStart w:id="290" w:name="_Toc462132209"/>
      <w:r>
        <w:t>5G mobile network developments</w:t>
      </w:r>
      <w:bookmarkEnd w:id="290"/>
      <w:r>
        <w:t xml:space="preserve"> </w:t>
      </w:r>
    </w:p>
    <w:p w14:paraId="725CB3EC" w14:textId="77777777" w:rsidR="000A1CD9" w:rsidRPr="00CC7D49" w:rsidRDefault="000A1CD9" w:rsidP="000A1CD9">
      <w:pPr>
        <w:rPr>
          <w:lang w:eastAsia="en-US"/>
        </w:rPr>
      </w:pPr>
      <w:r w:rsidRPr="00CC7D49">
        <w:rPr>
          <w:lang w:eastAsia="en-US"/>
        </w:rPr>
        <w:t>5G represents the next evolution in mobile technologies. It is expected to support a</w:t>
      </w:r>
      <w:r>
        <w:rPr>
          <w:lang w:eastAsia="en-US"/>
        </w:rPr>
        <w:t>n</w:t>
      </w:r>
      <w:r w:rsidRPr="00CC7D49">
        <w:rPr>
          <w:lang w:eastAsia="en-US"/>
        </w:rPr>
        <w:t xml:space="preserve"> immense increase in connections, lowered latency and much faster speeds across mobile networks. </w:t>
      </w:r>
    </w:p>
    <w:p w14:paraId="696F53ED" w14:textId="77777777" w:rsidR="000A1CD9" w:rsidRDefault="000A1CD9" w:rsidP="000A1CD9">
      <w:pPr>
        <w:spacing w:after="80"/>
        <w:rPr>
          <w:lang w:eastAsia="en-US"/>
        </w:rPr>
      </w:pPr>
      <w:r w:rsidRPr="00CC7D49">
        <w:rPr>
          <w:lang w:eastAsia="en-US"/>
        </w:rPr>
        <w:t xml:space="preserve">There have been a range of 5G-related announcements </w:t>
      </w:r>
      <w:r>
        <w:rPr>
          <w:lang w:eastAsia="en-US"/>
        </w:rPr>
        <w:t xml:space="preserve">made </w:t>
      </w:r>
      <w:r w:rsidRPr="00CC7D49">
        <w:rPr>
          <w:lang w:eastAsia="en-US"/>
        </w:rPr>
        <w:t>by Aust</w:t>
      </w:r>
      <w:r>
        <w:rPr>
          <w:lang w:eastAsia="en-US"/>
        </w:rPr>
        <w:t>ralian mobile operators in 2015–</w:t>
      </w:r>
      <w:r w:rsidRPr="00CC7D49">
        <w:rPr>
          <w:lang w:eastAsia="en-US"/>
        </w:rPr>
        <w:t>16, including a commitment to work towards a commercial 5G mobile network deployment in 2020. Australian mobile operators also continue to develop and enhance existing 4G networks on the upgrade pathway to 5G:</w:t>
      </w:r>
    </w:p>
    <w:p w14:paraId="6EF39A37" w14:textId="77777777" w:rsidR="000A1CD9" w:rsidRDefault="000A1CD9" w:rsidP="000A1CD9">
      <w:pPr>
        <w:pStyle w:val="ListBullet"/>
      </w:pPr>
      <w:r w:rsidRPr="00CC7D49">
        <w:t>Telstra has announced that</w:t>
      </w:r>
      <w:r>
        <w:t>,</w:t>
      </w:r>
      <w:r w:rsidRPr="00CC7D49">
        <w:t xml:space="preserve"> in partnership with Ericsson</w:t>
      </w:r>
      <w:r>
        <w:t>,</w:t>
      </w:r>
      <w:r w:rsidRPr="00CC7D49">
        <w:t xml:space="preserve"> it is planning to conduct its first 5G trial on </w:t>
      </w:r>
      <w:r>
        <w:t>its</w:t>
      </w:r>
      <w:r w:rsidRPr="00CC7D49">
        <w:t xml:space="preserve"> mobile network at the 2018 Commo</w:t>
      </w:r>
      <w:r>
        <w:t xml:space="preserve">nwealth Games on the Gold Coast. </w:t>
      </w:r>
      <w:r w:rsidRPr="00CC7D49">
        <w:t>In 2015</w:t>
      </w:r>
      <w:r>
        <w:t>,</w:t>
      </w:r>
      <w:r w:rsidRPr="00CC7D49">
        <w:t xml:space="preserve"> Telstra attained 1</w:t>
      </w:r>
      <w:r>
        <w:t> </w:t>
      </w:r>
      <w:r w:rsidRPr="00CC7D49">
        <w:t>Gbps mobile speeds with Ericsson during live commercial 4G mobile trials</w:t>
      </w:r>
      <w:r>
        <w:t xml:space="preserve">. </w:t>
      </w:r>
      <w:r w:rsidRPr="00CC7D49">
        <w:t xml:space="preserve">Telstra has since announced that </w:t>
      </w:r>
      <w:r>
        <w:t>its</w:t>
      </w:r>
      <w:r w:rsidRPr="00CC7D49">
        <w:t xml:space="preserve"> mobile network will be enabled to support 1</w:t>
      </w:r>
      <w:r>
        <w:t> </w:t>
      </w:r>
      <w:r w:rsidRPr="00CC7D49">
        <w:t>Gbps speeds in select</w:t>
      </w:r>
      <w:r>
        <w:t>ed</w:t>
      </w:r>
      <w:r w:rsidRPr="00CC7D49">
        <w:t xml:space="preserve"> sites across Melbourne, Sydney and Brisbane</w:t>
      </w:r>
      <w:r>
        <w:t>,</w:t>
      </w:r>
      <w:r w:rsidRPr="00CC7D49">
        <w:t xml:space="preserve"> in anticipation of a new device </w:t>
      </w:r>
      <w:r>
        <w:t>that</w:t>
      </w:r>
      <w:r w:rsidRPr="00CC7D49">
        <w:t xml:space="preserve"> will support these speeds being released later in 2016.</w:t>
      </w:r>
      <w:r>
        <w:rPr>
          <w:rStyle w:val="EndnoteReference"/>
        </w:rPr>
        <w:endnoteReference w:id="51"/>
      </w:r>
      <w:r w:rsidRPr="00CC7D49">
        <w:t xml:space="preserve"> </w:t>
      </w:r>
    </w:p>
    <w:p w14:paraId="12701822" w14:textId="77777777" w:rsidR="000A1CD9" w:rsidRPr="00CC7D49" w:rsidRDefault="000B1B06" w:rsidP="000A1CD9">
      <w:pPr>
        <w:pStyle w:val="ListBullet"/>
      </w:pPr>
      <w:r w:rsidRPr="00CC7D49">
        <w:t xml:space="preserve">Optus and Huawei have announced a successful live trial of 4.5G technology at Optus’ Gigasite in Newcastle, resulting in download speeds of 1.41 </w:t>
      </w:r>
      <w:r>
        <w:t xml:space="preserve">Gbps. </w:t>
      </w:r>
      <w:r w:rsidRPr="00CC7D49">
        <w:t>Optus has said it will continue testing and moving from 4G towards a 4.5G mobile network b</w:t>
      </w:r>
      <w:r>
        <w:t>efore the arrival of 5G in 2020</w:t>
      </w:r>
      <w:r w:rsidR="000A1CD9">
        <w:t>.</w:t>
      </w:r>
      <w:r w:rsidR="000A1CD9">
        <w:rPr>
          <w:rStyle w:val="EndnoteReference"/>
        </w:rPr>
        <w:endnoteReference w:id="52"/>
      </w:r>
      <w:r w:rsidR="000A1CD9">
        <w:t xml:space="preserve"> </w:t>
      </w:r>
    </w:p>
    <w:p w14:paraId="715A9668" w14:textId="77777777" w:rsidR="000A1CD9" w:rsidRPr="00CC7D49" w:rsidRDefault="000A1CD9" w:rsidP="000A1CD9">
      <w:pPr>
        <w:pStyle w:val="ListBulletLast"/>
      </w:pPr>
      <w:r w:rsidRPr="00CC7D49">
        <w:t>V</w:t>
      </w:r>
      <w:r w:rsidR="00C10E21">
        <w:t>odafone</w:t>
      </w:r>
      <w:r w:rsidRPr="00CC7D49">
        <w:t xml:space="preserve"> has also indicated it is preparing for 5G in Australia</w:t>
      </w:r>
      <w:r>
        <w:rPr>
          <w:rStyle w:val="EndnoteReference"/>
        </w:rPr>
        <w:endnoteReference w:id="53"/>
      </w:r>
      <w:r w:rsidRPr="00CC7D49">
        <w:t>, while continuing to invest in new applica</w:t>
      </w:r>
      <w:r>
        <w:t>tions of evolving 4G technology.</w:t>
      </w:r>
      <w:r>
        <w:rPr>
          <w:rStyle w:val="EndnoteReference"/>
        </w:rPr>
        <w:endnoteReference w:id="54"/>
      </w:r>
    </w:p>
    <w:p w14:paraId="3B490D9E" w14:textId="77777777" w:rsidR="000A1CD9" w:rsidRDefault="000A1CD9" w:rsidP="000A1CD9">
      <w:pPr>
        <w:rPr>
          <w:rFonts w:cs="Arial"/>
        </w:rPr>
      </w:pPr>
      <w:r>
        <w:rPr>
          <w:rFonts w:cs="Arial"/>
        </w:rPr>
        <w:t>The new 5G mobile technologies are expected to enable many new applications</w:t>
      </w:r>
      <w:r w:rsidR="000B1B06">
        <w:rPr>
          <w:rFonts w:cs="Arial"/>
        </w:rPr>
        <w:t xml:space="preserve"> (including ultra-low latency applications)</w:t>
      </w:r>
      <w:r>
        <w:rPr>
          <w:rFonts w:cs="Arial"/>
        </w:rPr>
        <w:t>, autonomous driving and full connectivity through the IoT.</w:t>
      </w:r>
      <w:r>
        <w:rPr>
          <w:rStyle w:val="EndnoteReference"/>
          <w:rFonts w:cs="Arial"/>
        </w:rPr>
        <w:endnoteReference w:id="55"/>
      </w:r>
      <w:r>
        <w:rPr>
          <w:rFonts w:cs="Arial"/>
        </w:rPr>
        <w:t xml:space="preserve"> </w:t>
      </w:r>
    </w:p>
    <w:p w14:paraId="7C9C275C" w14:textId="77777777" w:rsidR="000A1CD9" w:rsidRPr="00FD7E86" w:rsidRDefault="000A1CD9" w:rsidP="00CC655E">
      <w:pPr>
        <w:pStyle w:val="Heading2"/>
        <w:numPr>
          <w:ilvl w:val="1"/>
          <w:numId w:val="12"/>
        </w:numPr>
        <w:ind w:hanging="792"/>
      </w:pPr>
      <w:bookmarkStart w:id="291" w:name="_Toc462132210"/>
      <w:bookmarkStart w:id="292" w:name="_Toc462899553"/>
      <w:bookmarkStart w:id="293" w:name="_Toc433790298"/>
      <w:bookmarkStart w:id="294" w:name="_Toc463529039"/>
      <w:bookmarkStart w:id="295" w:name="_Toc465842859"/>
      <w:r w:rsidRPr="00FD7E86">
        <w:lastRenderedPageBreak/>
        <w:t>Internet service availability</w:t>
      </w:r>
      <w:bookmarkEnd w:id="291"/>
      <w:bookmarkEnd w:id="292"/>
      <w:bookmarkEnd w:id="293"/>
      <w:bookmarkEnd w:id="294"/>
      <w:bookmarkEnd w:id="295"/>
    </w:p>
    <w:p w14:paraId="0D9EE0C6" w14:textId="77777777" w:rsidR="000A1CD9" w:rsidRDefault="000A1CD9" w:rsidP="00BC4E15">
      <w:pPr>
        <w:pStyle w:val="Heading3"/>
      </w:pPr>
      <w:bookmarkStart w:id="296" w:name="_Toc462132211"/>
      <w:bookmarkStart w:id="297" w:name="_Toc462899554"/>
      <w:bookmarkStart w:id="298" w:name="_Toc433790299"/>
      <w:bookmarkStart w:id="299" w:name="_Toc463529040"/>
      <w:bookmarkStart w:id="300" w:name="_Toc465842860"/>
      <w:r w:rsidRPr="00FD7E86">
        <w:t>Number of internet subscribers</w:t>
      </w:r>
      <w:bookmarkEnd w:id="296"/>
      <w:bookmarkEnd w:id="297"/>
      <w:bookmarkEnd w:id="298"/>
      <w:bookmarkEnd w:id="299"/>
      <w:bookmarkEnd w:id="300"/>
    </w:p>
    <w:p w14:paraId="2321B238" w14:textId="77777777" w:rsidR="000A1CD9" w:rsidRDefault="000A1CD9" w:rsidP="00BC4E15">
      <w:pPr>
        <w:keepNext/>
      </w:pPr>
      <w:r>
        <w:t xml:space="preserve">There were </w:t>
      </w:r>
      <w:r w:rsidRPr="00944B1B">
        <w:t>35.26</w:t>
      </w:r>
      <w:r w:rsidRPr="00550CDC">
        <w:t xml:space="preserve"> million internet subscribers in Australia </w:t>
      </w:r>
      <w:r>
        <w:t>at June 2016</w:t>
      </w:r>
      <w:r w:rsidRPr="00550CDC">
        <w:t xml:space="preserve">, an increase of </w:t>
      </w:r>
      <w:r>
        <w:t xml:space="preserve">four and a half per cent since June 2015 </w:t>
      </w:r>
      <w:r w:rsidRPr="00550CDC">
        <w:t xml:space="preserve">(Table 1.2). The increase reflects continued growth in </w:t>
      </w:r>
      <w:r>
        <w:t>NBN</w:t>
      </w:r>
      <w:r w:rsidRPr="00550CDC">
        <w:t>-related services and mobile-internet services.</w:t>
      </w:r>
      <w:r w:rsidRPr="00FD7E86">
        <w:t xml:space="preserve"> </w:t>
      </w:r>
    </w:p>
    <w:p w14:paraId="5EBEE137" w14:textId="77777777" w:rsidR="000A1CD9" w:rsidRPr="00531CD0" w:rsidRDefault="000A1CD9" w:rsidP="00B030AE">
      <w:pPr>
        <w:pStyle w:val="ACMATableHeader"/>
        <w:keepNext/>
        <w:numPr>
          <w:ilvl w:val="0"/>
          <w:numId w:val="0"/>
        </w:numPr>
        <w:ind w:left="1134" w:hanging="1134"/>
      </w:pPr>
      <w:bookmarkStart w:id="301" w:name="_Ref398848025"/>
      <w:r w:rsidRPr="00531CD0">
        <w:t>Table 1.</w:t>
      </w:r>
      <w:bookmarkEnd w:id="301"/>
      <w:r w:rsidRPr="00531CD0">
        <w:t>2</w:t>
      </w:r>
      <w:r>
        <w:tab/>
      </w:r>
      <w:r w:rsidRPr="00531CD0">
        <w:t>Internet subscribers by technology type</w:t>
      </w:r>
      <w:r>
        <w:t xml:space="preserve"> </w:t>
      </w:r>
      <w:r w:rsidRPr="009C1BE9">
        <w:t>(millions)</w:t>
      </w:r>
    </w:p>
    <w:tbl>
      <w:tblPr>
        <w:tblW w:w="918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57" w:type="dxa"/>
          <w:left w:w="57" w:type="dxa"/>
          <w:bottom w:w="57" w:type="dxa"/>
          <w:right w:w="57" w:type="dxa"/>
        </w:tblCellMar>
        <w:tblLook w:val="01E0" w:firstRow="1" w:lastRow="1" w:firstColumn="1" w:lastColumn="1" w:noHBand="0" w:noVBand="0"/>
        <w:tblCaption w:val="Table 1.2 Internet subscribers by technology type (millions)"/>
      </w:tblPr>
      <w:tblGrid>
        <w:gridCol w:w="2380"/>
        <w:gridCol w:w="1134"/>
        <w:gridCol w:w="1134"/>
        <w:gridCol w:w="1134"/>
        <w:gridCol w:w="1134"/>
        <w:gridCol w:w="1134"/>
        <w:gridCol w:w="1134"/>
      </w:tblGrid>
      <w:tr w:rsidR="000A1CD9" w:rsidRPr="00844399" w14:paraId="2799F6C9" w14:textId="77777777" w:rsidTr="00904764">
        <w:trPr>
          <w:trHeight w:val="108"/>
          <w:tblHeader/>
        </w:trPr>
        <w:tc>
          <w:tcPr>
            <w:tcW w:w="2380" w:type="dxa"/>
            <w:shd w:val="clear" w:color="auto" w:fill="auto"/>
          </w:tcPr>
          <w:p w14:paraId="5BD2D0C6" w14:textId="77777777" w:rsidR="000A1CD9" w:rsidRPr="00101030" w:rsidRDefault="000A1CD9" w:rsidP="001B7940">
            <w:pPr>
              <w:keepNext/>
              <w:spacing w:after="0" w:line="240" w:lineRule="auto"/>
              <w:rPr>
                <w:rFonts w:cs="Arial"/>
                <w:sz w:val="18"/>
                <w:szCs w:val="18"/>
              </w:rPr>
            </w:pPr>
          </w:p>
        </w:tc>
        <w:tc>
          <w:tcPr>
            <w:tcW w:w="1134" w:type="dxa"/>
            <w:shd w:val="clear" w:color="auto" w:fill="007298"/>
          </w:tcPr>
          <w:p w14:paraId="41A014F2" w14:textId="77777777" w:rsidR="000A1CD9" w:rsidRPr="00101030" w:rsidRDefault="000A1CD9" w:rsidP="00FC618C">
            <w:pPr>
              <w:pStyle w:val="TableHeading"/>
              <w:spacing w:before="0" w:line="240" w:lineRule="auto"/>
              <w:jc w:val="right"/>
            </w:pPr>
            <w:r w:rsidRPr="00101030">
              <w:t>Jun 12</w:t>
            </w:r>
          </w:p>
        </w:tc>
        <w:tc>
          <w:tcPr>
            <w:tcW w:w="1134" w:type="dxa"/>
            <w:shd w:val="clear" w:color="auto" w:fill="007298"/>
          </w:tcPr>
          <w:p w14:paraId="355059A9" w14:textId="77777777" w:rsidR="000A1CD9" w:rsidRPr="00101030" w:rsidRDefault="000A1CD9" w:rsidP="00FC618C">
            <w:pPr>
              <w:pStyle w:val="TableHeading"/>
              <w:spacing w:before="0" w:line="240" w:lineRule="auto"/>
              <w:jc w:val="right"/>
            </w:pPr>
            <w:r w:rsidRPr="00101030">
              <w:t>Jun 13</w:t>
            </w:r>
          </w:p>
        </w:tc>
        <w:tc>
          <w:tcPr>
            <w:tcW w:w="1134" w:type="dxa"/>
            <w:shd w:val="clear" w:color="auto" w:fill="007298"/>
          </w:tcPr>
          <w:p w14:paraId="668C88C0" w14:textId="77777777" w:rsidR="000A1CD9" w:rsidRPr="00101030" w:rsidRDefault="000A1CD9" w:rsidP="00FC618C">
            <w:pPr>
              <w:pStyle w:val="TableHeading"/>
              <w:spacing w:before="0" w:line="240" w:lineRule="auto"/>
              <w:jc w:val="right"/>
            </w:pPr>
            <w:r w:rsidRPr="00101030">
              <w:t>Jun 14</w:t>
            </w:r>
          </w:p>
        </w:tc>
        <w:tc>
          <w:tcPr>
            <w:tcW w:w="1134" w:type="dxa"/>
            <w:shd w:val="clear" w:color="auto" w:fill="007298"/>
          </w:tcPr>
          <w:p w14:paraId="38671E38" w14:textId="77777777" w:rsidR="000A1CD9" w:rsidRPr="00101030" w:rsidRDefault="000A1CD9" w:rsidP="00FC618C">
            <w:pPr>
              <w:pStyle w:val="TableHeading"/>
              <w:spacing w:before="0" w:line="240" w:lineRule="auto"/>
              <w:jc w:val="right"/>
            </w:pPr>
            <w:r w:rsidRPr="00101030">
              <w:t>Jun 15</w:t>
            </w:r>
          </w:p>
        </w:tc>
        <w:tc>
          <w:tcPr>
            <w:tcW w:w="1134" w:type="dxa"/>
            <w:shd w:val="clear" w:color="auto" w:fill="007298"/>
          </w:tcPr>
          <w:p w14:paraId="66FF1678" w14:textId="77777777" w:rsidR="000A1CD9" w:rsidRPr="00101030" w:rsidRDefault="000A1CD9" w:rsidP="00FC618C">
            <w:pPr>
              <w:pStyle w:val="TableHeading"/>
              <w:spacing w:before="0" w:line="240" w:lineRule="auto"/>
              <w:jc w:val="right"/>
            </w:pPr>
            <w:r w:rsidRPr="00101030">
              <w:t>Jun 16</w:t>
            </w:r>
          </w:p>
        </w:tc>
        <w:tc>
          <w:tcPr>
            <w:tcW w:w="1134" w:type="dxa"/>
            <w:shd w:val="clear" w:color="auto" w:fill="007298"/>
          </w:tcPr>
          <w:p w14:paraId="630DE869" w14:textId="77777777" w:rsidR="000A1CD9" w:rsidRPr="00101030" w:rsidRDefault="000A1CD9" w:rsidP="00FC618C">
            <w:pPr>
              <w:pStyle w:val="TableHeading"/>
              <w:spacing w:before="0" w:line="240" w:lineRule="auto"/>
              <w:jc w:val="right"/>
            </w:pPr>
            <w:r>
              <w:t>2015–16</w:t>
            </w:r>
            <w:r w:rsidRPr="00101030">
              <w:br/>
              <w:t>change (%)</w:t>
            </w:r>
          </w:p>
        </w:tc>
      </w:tr>
      <w:tr w:rsidR="000A1CD9" w:rsidRPr="00844399" w14:paraId="59D51EFD" w14:textId="77777777" w:rsidTr="001B7940">
        <w:trPr>
          <w:trHeight w:val="533"/>
        </w:trPr>
        <w:tc>
          <w:tcPr>
            <w:tcW w:w="2380" w:type="dxa"/>
            <w:shd w:val="clear" w:color="auto" w:fill="7FB8CB"/>
          </w:tcPr>
          <w:p w14:paraId="589D5369" w14:textId="77777777" w:rsidR="000A1CD9" w:rsidRPr="00B030AE" w:rsidRDefault="000A1CD9" w:rsidP="001B7940">
            <w:pPr>
              <w:keepNext/>
              <w:keepLines/>
              <w:spacing w:after="0" w:line="240" w:lineRule="auto"/>
              <w:rPr>
                <w:rFonts w:cs="Arial"/>
                <w:color w:val="FFFFFF" w:themeColor="background1"/>
                <w:spacing w:val="-28"/>
                <w:sz w:val="18"/>
                <w:szCs w:val="18"/>
              </w:rPr>
            </w:pPr>
            <w:r w:rsidRPr="00B030AE">
              <w:rPr>
                <w:rFonts w:cs="Arial"/>
                <w:color w:val="FFFFFF" w:themeColor="background1"/>
                <w:sz w:val="18"/>
                <w:szCs w:val="18"/>
              </w:rPr>
              <w:t>Mobile wireless (dongle, data card, USB modem services)</w:t>
            </w:r>
          </w:p>
        </w:tc>
        <w:tc>
          <w:tcPr>
            <w:tcW w:w="1134" w:type="dxa"/>
            <w:shd w:val="clear" w:color="auto" w:fill="D2E1E9"/>
          </w:tcPr>
          <w:p w14:paraId="2695CD8B"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5.86</w:t>
            </w:r>
          </w:p>
        </w:tc>
        <w:tc>
          <w:tcPr>
            <w:tcW w:w="1134" w:type="dxa"/>
            <w:shd w:val="clear" w:color="auto" w:fill="D2E1E9"/>
          </w:tcPr>
          <w:p w14:paraId="5BFB24A3"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6.15</w:t>
            </w:r>
          </w:p>
        </w:tc>
        <w:tc>
          <w:tcPr>
            <w:tcW w:w="1134" w:type="dxa"/>
            <w:shd w:val="clear" w:color="auto" w:fill="D2E1E9"/>
          </w:tcPr>
          <w:p w14:paraId="4CB96492"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5.95</w:t>
            </w:r>
          </w:p>
        </w:tc>
        <w:tc>
          <w:tcPr>
            <w:tcW w:w="1134" w:type="dxa"/>
            <w:shd w:val="clear" w:color="auto" w:fill="D2E1E9"/>
          </w:tcPr>
          <w:p w14:paraId="7F540954"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6.00</w:t>
            </w:r>
          </w:p>
        </w:tc>
        <w:tc>
          <w:tcPr>
            <w:tcW w:w="1134" w:type="dxa"/>
            <w:shd w:val="clear" w:color="auto" w:fill="D2E1E9"/>
          </w:tcPr>
          <w:p w14:paraId="55F6E8FB" w14:textId="77777777" w:rsidR="000A1CD9" w:rsidRPr="009C1BE9" w:rsidRDefault="000A1CD9" w:rsidP="00FC618C">
            <w:pPr>
              <w:keepNext/>
              <w:keepLines/>
              <w:tabs>
                <w:tab w:val="left" w:pos="921"/>
              </w:tabs>
              <w:spacing w:after="0" w:line="240" w:lineRule="auto"/>
              <w:jc w:val="right"/>
              <w:rPr>
                <w:rFonts w:cs="Arial"/>
                <w:sz w:val="18"/>
                <w:szCs w:val="18"/>
              </w:rPr>
            </w:pPr>
            <w:r w:rsidRPr="009C1BE9">
              <w:rPr>
                <w:rFonts w:cs="Arial"/>
                <w:sz w:val="18"/>
                <w:szCs w:val="18"/>
              </w:rPr>
              <w:t>6.04</w:t>
            </w:r>
          </w:p>
        </w:tc>
        <w:tc>
          <w:tcPr>
            <w:tcW w:w="1134" w:type="dxa"/>
            <w:shd w:val="clear" w:color="auto" w:fill="D2E1E9"/>
          </w:tcPr>
          <w:p w14:paraId="7C54BC9F" w14:textId="77777777" w:rsidR="000A1CD9" w:rsidRPr="00101030" w:rsidRDefault="000A1CD9" w:rsidP="00FC618C">
            <w:pPr>
              <w:keepNext/>
              <w:keepLines/>
              <w:spacing w:after="0" w:line="240" w:lineRule="auto"/>
              <w:jc w:val="right"/>
              <w:rPr>
                <w:rFonts w:cs="Arial"/>
                <w:spacing w:val="-28"/>
                <w:sz w:val="18"/>
                <w:szCs w:val="18"/>
                <w:highlight w:val="yellow"/>
              </w:rPr>
            </w:pPr>
            <w:r w:rsidRPr="00101030">
              <w:rPr>
                <w:rFonts w:cs="Arial"/>
                <w:sz w:val="18"/>
                <w:szCs w:val="18"/>
              </w:rPr>
              <w:t>+0.6</w:t>
            </w:r>
          </w:p>
        </w:tc>
      </w:tr>
      <w:tr w:rsidR="000A1CD9" w:rsidRPr="00844399" w14:paraId="1F52F53E" w14:textId="77777777" w:rsidTr="001B7940">
        <w:trPr>
          <w:trHeight w:val="162"/>
        </w:trPr>
        <w:tc>
          <w:tcPr>
            <w:tcW w:w="2380" w:type="dxa"/>
            <w:shd w:val="clear" w:color="auto" w:fill="7FB8CB"/>
          </w:tcPr>
          <w:p w14:paraId="6012BA3B" w14:textId="77777777" w:rsidR="000A1CD9" w:rsidRPr="00B030AE" w:rsidRDefault="000A1CD9" w:rsidP="001B7940">
            <w:pPr>
              <w:keepNext/>
              <w:keepLines/>
              <w:spacing w:after="0" w:line="240" w:lineRule="auto"/>
              <w:rPr>
                <w:rFonts w:cs="Arial"/>
                <w:color w:val="FFFFFF" w:themeColor="background1"/>
                <w:spacing w:val="-28"/>
                <w:sz w:val="18"/>
                <w:szCs w:val="18"/>
              </w:rPr>
            </w:pPr>
            <w:r w:rsidRPr="00B030AE">
              <w:rPr>
                <w:rFonts w:cs="Arial"/>
                <w:color w:val="FFFFFF" w:themeColor="background1"/>
                <w:sz w:val="18"/>
                <w:szCs w:val="18"/>
              </w:rPr>
              <w:t>ADSL</w:t>
            </w:r>
          </w:p>
        </w:tc>
        <w:tc>
          <w:tcPr>
            <w:tcW w:w="1134" w:type="dxa"/>
            <w:shd w:val="clear" w:color="auto" w:fill="D2E1E9"/>
          </w:tcPr>
          <w:p w14:paraId="497F5FF8"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4.63</w:t>
            </w:r>
          </w:p>
        </w:tc>
        <w:tc>
          <w:tcPr>
            <w:tcW w:w="1134" w:type="dxa"/>
            <w:shd w:val="clear" w:color="auto" w:fill="D2E1E9"/>
          </w:tcPr>
          <w:p w14:paraId="36919492"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4.79</w:t>
            </w:r>
          </w:p>
        </w:tc>
        <w:tc>
          <w:tcPr>
            <w:tcW w:w="1134" w:type="dxa"/>
            <w:shd w:val="clear" w:color="auto" w:fill="D2E1E9"/>
          </w:tcPr>
          <w:p w14:paraId="09FD78F6"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5.07</w:t>
            </w:r>
          </w:p>
        </w:tc>
        <w:tc>
          <w:tcPr>
            <w:tcW w:w="1134" w:type="dxa"/>
            <w:shd w:val="clear" w:color="auto" w:fill="D2E1E9"/>
          </w:tcPr>
          <w:p w14:paraId="5C1639A0"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5.11</w:t>
            </w:r>
          </w:p>
        </w:tc>
        <w:tc>
          <w:tcPr>
            <w:tcW w:w="1134" w:type="dxa"/>
            <w:shd w:val="clear" w:color="auto" w:fill="D2E1E9"/>
          </w:tcPr>
          <w:p w14:paraId="5BAD9B2C"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5.03</w:t>
            </w:r>
          </w:p>
        </w:tc>
        <w:tc>
          <w:tcPr>
            <w:tcW w:w="1134" w:type="dxa"/>
            <w:shd w:val="clear" w:color="auto" w:fill="D2E1E9"/>
          </w:tcPr>
          <w:p w14:paraId="2E26BDFA" w14:textId="77777777" w:rsidR="000A1CD9" w:rsidRPr="00101030" w:rsidRDefault="00E60C02" w:rsidP="00FC618C">
            <w:pPr>
              <w:keepNext/>
              <w:keepLines/>
              <w:spacing w:after="0" w:line="240" w:lineRule="auto"/>
              <w:jc w:val="right"/>
              <w:rPr>
                <w:rFonts w:cs="Arial"/>
                <w:sz w:val="18"/>
                <w:szCs w:val="18"/>
                <w:highlight w:val="yellow"/>
              </w:rPr>
            </w:pPr>
            <w:r>
              <w:rPr>
                <w:rFonts w:cs="Arial"/>
                <w:sz w:val="18"/>
                <w:szCs w:val="18"/>
              </w:rPr>
              <w:t>−</w:t>
            </w:r>
            <w:r w:rsidR="000A1CD9" w:rsidRPr="00101030">
              <w:rPr>
                <w:rFonts w:cs="Arial"/>
                <w:sz w:val="18"/>
                <w:szCs w:val="18"/>
              </w:rPr>
              <w:t>1.4</w:t>
            </w:r>
          </w:p>
        </w:tc>
      </w:tr>
      <w:tr w:rsidR="000A1CD9" w:rsidRPr="00844399" w14:paraId="377ED387" w14:textId="77777777" w:rsidTr="001B7940">
        <w:trPr>
          <w:trHeight w:val="68"/>
        </w:trPr>
        <w:tc>
          <w:tcPr>
            <w:tcW w:w="2380" w:type="dxa"/>
            <w:shd w:val="clear" w:color="auto" w:fill="7FB8CB"/>
          </w:tcPr>
          <w:p w14:paraId="4C9701B2" w14:textId="77777777" w:rsidR="000A1CD9" w:rsidRPr="00B030AE" w:rsidRDefault="000A1CD9" w:rsidP="001B7940">
            <w:pPr>
              <w:keepNext/>
              <w:keepLines/>
              <w:spacing w:after="0" w:line="240" w:lineRule="auto"/>
              <w:rPr>
                <w:rFonts w:cs="Arial"/>
                <w:color w:val="FFFFFF" w:themeColor="background1"/>
                <w:spacing w:val="-28"/>
                <w:sz w:val="18"/>
                <w:szCs w:val="18"/>
              </w:rPr>
            </w:pPr>
            <w:r w:rsidRPr="00B030AE">
              <w:rPr>
                <w:rFonts w:cs="Arial"/>
                <w:color w:val="FFFFFF" w:themeColor="background1"/>
                <w:sz w:val="18"/>
                <w:szCs w:val="18"/>
              </w:rPr>
              <w:t xml:space="preserve">Cable </w:t>
            </w:r>
          </w:p>
        </w:tc>
        <w:tc>
          <w:tcPr>
            <w:tcW w:w="1134" w:type="dxa"/>
            <w:shd w:val="clear" w:color="auto" w:fill="D2E1E9"/>
          </w:tcPr>
          <w:p w14:paraId="5828F004"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0.92</w:t>
            </w:r>
          </w:p>
        </w:tc>
        <w:tc>
          <w:tcPr>
            <w:tcW w:w="1134" w:type="dxa"/>
            <w:shd w:val="clear" w:color="auto" w:fill="D2E1E9"/>
          </w:tcPr>
          <w:p w14:paraId="358CA7F0"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0.93</w:t>
            </w:r>
          </w:p>
        </w:tc>
        <w:tc>
          <w:tcPr>
            <w:tcW w:w="1134" w:type="dxa"/>
            <w:shd w:val="clear" w:color="auto" w:fill="D2E1E9"/>
          </w:tcPr>
          <w:p w14:paraId="70137DE6"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0.95</w:t>
            </w:r>
          </w:p>
        </w:tc>
        <w:tc>
          <w:tcPr>
            <w:tcW w:w="1134" w:type="dxa"/>
            <w:shd w:val="clear" w:color="auto" w:fill="D2E1E9"/>
          </w:tcPr>
          <w:p w14:paraId="36D1C6FC"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1.00</w:t>
            </w:r>
          </w:p>
        </w:tc>
        <w:tc>
          <w:tcPr>
            <w:tcW w:w="1134" w:type="dxa"/>
            <w:shd w:val="clear" w:color="auto" w:fill="D2E1E9"/>
          </w:tcPr>
          <w:p w14:paraId="28CB70B7"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1.03</w:t>
            </w:r>
          </w:p>
        </w:tc>
        <w:tc>
          <w:tcPr>
            <w:tcW w:w="1134" w:type="dxa"/>
            <w:shd w:val="clear" w:color="auto" w:fill="D2E1E9"/>
          </w:tcPr>
          <w:p w14:paraId="1FAFD4AE" w14:textId="77777777" w:rsidR="000A1CD9" w:rsidRPr="00101030" w:rsidRDefault="000A1CD9" w:rsidP="00FC618C">
            <w:pPr>
              <w:keepNext/>
              <w:keepLines/>
              <w:spacing w:after="0" w:line="240" w:lineRule="auto"/>
              <w:jc w:val="right"/>
              <w:rPr>
                <w:rFonts w:cs="Arial"/>
                <w:sz w:val="18"/>
                <w:szCs w:val="18"/>
                <w:highlight w:val="yellow"/>
              </w:rPr>
            </w:pPr>
            <w:r w:rsidRPr="00101030">
              <w:rPr>
                <w:rFonts w:cs="Arial"/>
                <w:sz w:val="18"/>
                <w:szCs w:val="18"/>
              </w:rPr>
              <w:t>+3.3</w:t>
            </w:r>
          </w:p>
        </w:tc>
      </w:tr>
      <w:tr w:rsidR="000A1CD9" w:rsidRPr="00844399" w14:paraId="4652D781" w14:textId="77777777" w:rsidTr="001B7940">
        <w:trPr>
          <w:trHeight w:val="102"/>
        </w:trPr>
        <w:tc>
          <w:tcPr>
            <w:tcW w:w="2380" w:type="dxa"/>
            <w:shd w:val="clear" w:color="auto" w:fill="7FB8CB"/>
          </w:tcPr>
          <w:p w14:paraId="1785C45A" w14:textId="77777777" w:rsidR="000A1CD9" w:rsidRPr="00B030AE" w:rsidRDefault="000A1CD9" w:rsidP="001B7940">
            <w:pPr>
              <w:keepNext/>
              <w:keepLines/>
              <w:spacing w:after="0" w:line="240" w:lineRule="auto"/>
              <w:rPr>
                <w:rFonts w:cs="Arial"/>
                <w:color w:val="FFFFFF" w:themeColor="background1"/>
                <w:spacing w:val="-28"/>
                <w:sz w:val="18"/>
                <w:szCs w:val="18"/>
              </w:rPr>
            </w:pPr>
            <w:r w:rsidRPr="00B030AE">
              <w:rPr>
                <w:rFonts w:cs="Arial"/>
                <w:color w:val="FFFFFF" w:themeColor="background1"/>
                <w:sz w:val="18"/>
                <w:szCs w:val="18"/>
              </w:rPr>
              <w:t>Dial-up</w:t>
            </w:r>
          </w:p>
        </w:tc>
        <w:tc>
          <w:tcPr>
            <w:tcW w:w="1134" w:type="dxa"/>
            <w:shd w:val="clear" w:color="auto" w:fill="D2E1E9"/>
          </w:tcPr>
          <w:p w14:paraId="01CA702A"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0.44</w:t>
            </w:r>
          </w:p>
        </w:tc>
        <w:tc>
          <w:tcPr>
            <w:tcW w:w="1134" w:type="dxa"/>
            <w:shd w:val="clear" w:color="auto" w:fill="D2E1E9"/>
          </w:tcPr>
          <w:p w14:paraId="4E3DA8F7"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0.23</w:t>
            </w:r>
          </w:p>
        </w:tc>
        <w:tc>
          <w:tcPr>
            <w:tcW w:w="1134" w:type="dxa"/>
            <w:shd w:val="clear" w:color="auto" w:fill="D2E1E9"/>
          </w:tcPr>
          <w:p w14:paraId="2E87DDEE"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0.18</w:t>
            </w:r>
          </w:p>
        </w:tc>
        <w:tc>
          <w:tcPr>
            <w:tcW w:w="1134" w:type="dxa"/>
            <w:shd w:val="clear" w:color="auto" w:fill="D2E1E9"/>
          </w:tcPr>
          <w:p w14:paraId="2D59C7E8"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0.10</w:t>
            </w:r>
          </w:p>
        </w:tc>
        <w:tc>
          <w:tcPr>
            <w:tcW w:w="1134" w:type="dxa"/>
            <w:shd w:val="clear" w:color="auto" w:fill="D2E1E9"/>
          </w:tcPr>
          <w:p w14:paraId="6856DDF4"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0.09</w:t>
            </w:r>
          </w:p>
        </w:tc>
        <w:tc>
          <w:tcPr>
            <w:tcW w:w="1134" w:type="dxa"/>
            <w:shd w:val="clear" w:color="auto" w:fill="D2E1E9"/>
          </w:tcPr>
          <w:p w14:paraId="678DCF33" w14:textId="77777777" w:rsidR="000A1CD9" w:rsidRPr="00101030" w:rsidRDefault="005F5C62" w:rsidP="00FC618C">
            <w:pPr>
              <w:keepNext/>
              <w:keepLines/>
              <w:spacing w:after="0" w:line="240" w:lineRule="auto"/>
              <w:jc w:val="right"/>
              <w:rPr>
                <w:rFonts w:cs="Arial"/>
                <w:sz w:val="18"/>
                <w:szCs w:val="18"/>
                <w:highlight w:val="yellow"/>
              </w:rPr>
            </w:pPr>
            <w:r>
              <w:rPr>
                <w:rFonts w:cs="Arial"/>
                <w:sz w:val="18"/>
                <w:szCs w:val="18"/>
              </w:rPr>
              <w:t>−</w:t>
            </w:r>
            <w:r w:rsidR="000A1CD9" w:rsidRPr="00101030">
              <w:rPr>
                <w:rFonts w:cs="Arial"/>
                <w:sz w:val="18"/>
                <w:szCs w:val="18"/>
              </w:rPr>
              <w:t>5.3</w:t>
            </w:r>
          </w:p>
        </w:tc>
      </w:tr>
      <w:tr w:rsidR="000A1CD9" w:rsidRPr="00844399" w14:paraId="01816D9A" w14:textId="77777777" w:rsidTr="001B7940">
        <w:trPr>
          <w:trHeight w:val="164"/>
        </w:trPr>
        <w:tc>
          <w:tcPr>
            <w:tcW w:w="2380" w:type="dxa"/>
            <w:shd w:val="clear" w:color="auto" w:fill="7FB8CB"/>
          </w:tcPr>
          <w:p w14:paraId="732252FE" w14:textId="77777777" w:rsidR="000A1CD9" w:rsidRPr="00B030AE" w:rsidRDefault="000A1CD9" w:rsidP="001B7940">
            <w:pPr>
              <w:keepNext/>
              <w:keepLines/>
              <w:spacing w:after="0" w:line="240" w:lineRule="auto"/>
              <w:rPr>
                <w:rFonts w:cs="Arial"/>
                <w:color w:val="FFFFFF" w:themeColor="background1"/>
                <w:spacing w:val="-28"/>
                <w:sz w:val="18"/>
                <w:szCs w:val="18"/>
              </w:rPr>
            </w:pPr>
            <w:r w:rsidRPr="00B030AE">
              <w:rPr>
                <w:rFonts w:cs="Arial"/>
                <w:color w:val="FFFFFF" w:themeColor="background1"/>
                <w:sz w:val="18"/>
                <w:szCs w:val="18"/>
              </w:rPr>
              <w:t>Satellite</w:t>
            </w:r>
          </w:p>
        </w:tc>
        <w:tc>
          <w:tcPr>
            <w:tcW w:w="1134" w:type="dxa"/>
            <w:shd w:val="clear" w:color="auto" w:fill="D2E1E9"/>
          </w:tcPr>
          <w:p w14:paraId="06D6C008"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0.09</w:t>
            </w:r>
          </w:p>
        </w:tc>
        <w:tc>
          <w:tcPr>
            <w:tcW w:w="1134" w:type="dxa"/>
            <w:shd w:val="clear" w:color="auto" w:fill="D2E1E9"/>
          </w:tcPr>
          <w:p w14:paraId="779199CA"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0.09</w:t>
            </w:r>
          </w:p>
        </w:tc>
        <w:tc>
          <w:tcPr>
            <w:tcW w:w="1134" w:type="dxa"/>
            <w:shd w:val="clear" w:color="auto" w:fill="D2E1E9"/>
          </w:tcPr>
          <w:p w14:paraId="27C5E501"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0.08</w:t>
            </w:r>
          </w:p>
        </w:tc>
        <w:tc>
          <w:tcPr>
            <w:tcW w:w="1134" w:type="dxa"/>
            <w:shd w:val="clear" w:color="auto" w:fill="D2E1E9"/>
          </w:tcPr>
          <w:p w14:paraId="6DEF0C56"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0.07</w:t>
            </w:r>
          </w:p>
        </w:tc>
        <w:tc>
          <w:tcPr>
            <w:tcW w:w="1134" w:type="dxa"/>
            <w:shd w:val="clear" w:color="auto" w:fill="D2E1E9"/>
          </w:tcPr>
          <w:p w14:paraId="06B92932"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0.06</w:t>
            </w:r>
          </w:p>
        </w:tc>
        <w:tc>
          <w:tcPr>
            <w:tcW w:w="1134" w:type="dxa"/>
            <w:shd w:val="clear" w:color="auto" w:fill="D2E1E9"/>
          </w:tcPr>
          <w:p w14:paraId="086E10A6" w14:textId="77777777" w:rsidR="000A1CD9" w:rsidRPr="00101030" w:rsidRDefault="004F6FB3" w:rsidP="00FC618C">
            <w:pPr>
              <w:keepNext/>
              <w:keepLines/>
              <w:spacing w:after="0" w:line="240" w:lineRule="auto"/>
              <w:jc w:val="right"/>
              <w:rPr>
                <w:rFonts w:cs="Arial"/>
                <w:sz w:val="18"/>
                <w:szCs w:val="18"/>
                <w:highlight w:val="yellow"/>
              </w:rPr>
            </w:pPr>
            <w:r>
              <w:rPr>
                <w:rFonts w:cs="Arial"/>
                <w:sz w:val="18"/>
                <w:szCs w:val="18"/>
              </w:rPr>
              <w:t>−</w:t>
            </w:r>
            <w:r w:rsidR="000A1CD9" w:rsidRPr="00101030">
              <w:rPr>
                <w:rFonts w:cs="Arial"/>
                <w:sz w:val="18"/>
                <w:szCs w:val="18"/>
              </w:rPr>
              <w:t>10.1</w:t>
            </w:r>
          </w:p>
        </w:tc>
      </w:tr>
      <w:tr w:rsidR="000A1CD9" w:rsidRPr="00844399" w14:paraId="0E57AD31" w14:textId="77777777" w:rsidTr="001B7940">
        <w:trPr>
          <w:trHeight w:val="199"/>
        </w:trPr>
        <w:tc>
          <w:tcPr>
            <w:tcW w:w="2380" w:type="dxa"/>
            <w:shd w:val="clear" w:color="auto" w:fill="7FB8CB"/>
          </w:tcPr>
          <w:p w14:paraId="5D565063" w14:textId="77777777" w:rsidR="000A1CD9" w:rsidRPr="00B030AE" w:rsidRDefault="000A1CD9" w:rsidP="001B7940">
            <w:pPr>
              <w:keepNext/>
              <w:keepLines/>
              <w:spacing w:after="0" w:line="240" w:lineRule="auto"/>
              <w:rPr>
                <w:rFonts w:cs="Arial"/>
                <w:color w:val="FFFFFF" w:themeColor="background1"/>
                <w:spacing w:val="-28"/>
                <w:sz w:val="18"/>
                <w:szCs w:val="18"/>
              </w:rPr>
            </w:pPr>
            <w:r w:rsidRPr="00B030AE">
              <w:rPr>
                <w:rFonts w:cs="Arial"/>
                <w:color w:val="FFFFFF" w:themeColor="background1"/>
                <w:sz w:val="18"/>
                <w:szCs w:val="18"/>
              </w:rPr>
              <w:t>Fixed wireless*</w:t>
            </w:r>
          </w:p>
        </w:tc>
        <w:tc>
          <w:tcPr>
            <w:tcW w:w="1134" w:type="dxa"/>
            <w:shd w:val="clear" w:color="auto" w:fill="D2E1E9"/>
          </w:tcPr>
          <w:p w14:paraId="5356BC95"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0.03</w:t>
            </w:r>
          </w:p>
        </w:tc>
        <w:tc>
          <w:tcPr>
            <w:tcW w:w="1134" w:type="dxa"/>
            <w:shd w:val="clear" w:color="auto" w:fill="D2E1E9"/>
          </w:tcPr>
          <w:p w14:paraId="418D8488"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0.05</w:t>
            </w:r>
          </w:p>
        </w:tc>
        <w:tc>
          <w:tcPr>
            <w:tcW w:w="1134" w:type="dxa"/>
            <w:shd w:val="clear" w:color="auto" w:fill="D2E1E9"/>
          </w:tcPr>
          <w:p w14:paraId="6D223E87"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0.05</w:t>
            </w:r>
          </w:p>
        </w:tc>
        <w:tc>
          <w:tcPr>
            <w:tcW w:w="1134" w:type="dxa"/>
            <w:shd w:val="clear" w:color="auto" w:fill="D2E1E9"/>
          </w:tcPr>
          <w:p w14:paraId="55C5BB2D"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n/a</w:t>
            </w:r>
          </w:p>
        </w:tc>
        <w:tc>
          <w:tcPr>
            <w:tcW w:w="1134" w:type="dxa"/>
            <w:shd w:val="clear" w:color="auto" w:fill="D2E1E9"/>
          </w:tcPr>
          <w:p w14:paraId="1DAA8A30"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0.08</w:t>
            </w:r>
          </w:p>
        </w:tc>
        <w:tc>
          <w:tcPr>
            <w:tcW w:w="1134" w:type="dxa"/>
            <w:shd w:val="clear" w:color="auto" w:fill="D2E1E9"/>
          </w:tcPr>
          <w:p w14:paraId="328408F0" w14:textId="77777777" w:rsidR="000A1CD9" w:rsidRPr="00101030" w:rsidRDefault="000A1CD9" w:rsidP="00FC618C">
            <w:pPr>
              <w:keepNext/>
              <w:keepLines/>
              <w:spacing w:after="0" w:line="240" w:lineRule="auto"/>
              <w:jc w:val="right"/>
              <w:rPr>
                <w:rFonts w:cs="Arial"/>
                <w:sz w:val="18"/>
                <w:szCs w:val="18"/>
                <w:highlight w:val="yellow"/>
              </w:rPr>
            </w:pPr>
            <w:r w:rsidRPr="00101030">
              <w:rPr>
                <w:rFonts w:cs="Arial"/>
                <w:sz w:val="18"/>
                <w:szCs w:val="18"/>
              </w:rPr>
              <w:t>n/a</w:t>
            </w:r>
          </w:p>
        </w:tc>
      </w:tr>
      <w:tr w:rsidR="000A1CD9" w:rsidRPr="00844399" w14:paraId="2B00F487" w14:textId="77777777" w:rsidTr="001B7940">
        <w:trPr>
          <w:trHeight w:val="104"/>
        </w:trPr>
        <w:tc>
          <w:tcPr>
            <w:tcW w:w="2380" w:type="dxa"/>
            <w:shd w:val="clear" w:color="auto" w:fill="7FB8CB"/>
          </w:tcPr>
          <w:p w14:paraId="549BE7A6" w14:textId="77777777" w:rsidR="000A1CD9" w:rsidRPr="00B030AE" w:rsidRDefault="000A1CD9" w:rsidP="001B7940">
            <w:pPr>
              <w:keepNext/>
              <w:keepLines/>
              <w:spacing w:after="0" w:line="240" w:lineRule="auto"/>
              <w:rPr>
                <w:rFonts w:cs="Arial"/>
                <w:color w:val="FFFFFF" w:themeColor="background1"/>
                <w:spacing w:val="-28"/>
                <w:sz w:val="18"/>
                <w:szCs w:val="18"/>
              </w:rPr>
            </w:pPr>
            <w:r w:rsidRPr="00B030AE">
              <w:rPr>
                <w:rFonts w:cs="Arial"/>
                <w:color w:val="FFFFFF" w:themeColor="background1"/>
                <w:sz w:val="18"/>
                <w:szCs w:val="18"/>
              </w:rPr>
              <w:t>Fibre</w:t>
            </w:r>
          </w:p>
        </w:tc>
        <w:tc>
          <w:tcPr>
            <w:tcW w:w="1134" w:type="dxa"/>
            <w:shd w:val="clear" w:color="auto" w:fill="D2E1E9"/>
          </w:tcPr>
          <w:p w14:paraId="7C12A3A4"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0.05</w:t>
            </w:r>
          </w:p>
        </w:tc>
        <w:tc>
          <w:tcPr>
            <w:tcW w:w="1134" w:type="dxa"/>
            <w:shd w:val="clear" w:color="auto" w:fill="D2E1E9"/>
          </w:tcPr>
          <w:p w14:paraId="721CD0B2"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0.12</w:t>
            </w:r>
          </w:p>
        </w:tc>
        <w:tc>
          <w:tcPr>
            <w:tcW w:w="1134" w:type="dxa"/>
            <w:shd w:val="clear" w:color="auto" w:fill="D2E1E9"/>
          </w:tcPr>
          <w:p w14:paraId="567F4243"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0.20</w:t>
            </w:r>
          </w:p>
        </w:tc>
        <w:tc>
          <w:tcPr>
            <w:tcW w:w="1134" w:type="dxa"/>
            <w:shd w:val="clear" w:color="auto" w:fill="D2E1E9"/>
          </w:tcPr>
          <w:p w14:paraId="6B1DD915"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0.42</w:t>
            </w:r>
          </w:p>
        </w:tc>
        <w:tc>
          <w:tcPr>
            <w:tcW w:w="1134" w:type="dxa"/>
            <w:shd w:val="clear" w:color="auto" w:fill="D2E1E9"/>
          </w:tcPr>
          <w:p w14:paraId="731DE52D"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0.96</w:t>
            </w:r>
          </w:p>
        </w:tc>
        <w:tc>
          <w:tcPr>
            <w:tcW w:w="1134" w:type="dxa"/>
            <w:shd w:val="clear" w:color="auto" w:fill="D2E1E9"/>
          </w:tcPr>
          <w:p w14:paraId="5CEDD493" w14:textId="77777777" w:rsidR="000A1CD9" w:rsidRPr="00101030" w:rsidRDefault="000A1CD9" w:rsidP="00FC618C">
            <w:pPr>
              <w:keepNext/>
              <w:keepLines/>
              <w:spacing w:after="0" w:line="240" w:lineRule="auto"/>
              <w:jc w:val="right"/>
              <w:rPr>
                <w:rFonts w:cs="Arial"/>
                <w:sz w:val="18"/>
                <w:szCs w:val="18"/>
                <w:highlight w:val="yellow"/>
              </w:rPr>
            </w:pPr>
            <w:r w:rsidRPr="00101030">
              <w:rPr>
                <w:rFonts w:cs="Arial"/>
                <w:sz w:val="18"/>
                <w:szCs w:val="18"/>
              </w:rPr>
              <w:t>+128.6</w:t>
            </w:r>
          </w:p>
        </w:tc>
      </w:tr>
      <w:tr w:rsidR="000A1CD9" w:rsidRPr="00844399" w14:paraId="362932F5" w14:textId="77777777" w:rsidTr="001B7940">
        <w:trPr>
          <w:trHeight w:val="152"/>
        </w:trPr>
        <w:tc>
          <w:tcPr>
            <w:tcW w:w="2380" w:type="dxa"/>
            <w:shd w:val="clear" w:color="auto" w:fill="7FB8CB"/>
          </w:tcPr>
          <w:p w14:paraId="5EB1B2D0" w14:textId="77777777" w:rsidR="000A1CD9" w:rsidRPr="00B030AE" w:rsidRDefault="000A1CD9" w:rsidP="001B7940">
            <w:pPr>
              <w:keepNext/>
              <w:keepLines/>
              <w:spacing w:after="0" w:line="240" w:lineRule="auto"/>
              <w:rPr>
                <w:rFonts w:cs="Arial"/>
                <w:color w:val="FFFFFF" w:themeColor="background1"/>
                <w:spacing w:val="-28"/>
                <w:sz w:val="18"/>
                <w:szCs w:val="18"/>
              </w:rPr>
            </w:pPr>
            <w:r w:rsidRPr="00B030AE">
              <w:rPr>
                <w:rFonts w:cs="Arial"/>
                <w:color w:val="FFFFFF" w:themeColor="background1"/>
                <w:sz w:val="18"/>
                <w:szCs w:val="18"/>
              </w:rPr>
              <w:t>Other</w:t>
            </w:r>
          </w:p>
        </w:tc>
        <w:tc>
          <w:tcPr>
            <w:tcW w:w="1134" w:type="dxa"/>
            <w:shd w:val="clear" w:color="auto" w:fill="D2E1E9"/>
          </w:tcPr>
          <w:p w14:paraId="6225B23F"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0.01</w:t>
            </w:r>
          </w:p>
        </w:tc>
        <w:tc>
          <w:tcPr>
            <w:tcW w:w="1134" w:type="dxa"/>
            <w:shd w:val="clear" w:color="auto" w:fill="D2E1E9"/>
          </w:tcPr>
          <w:p w14:paraId="5B340F2D"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0.003</w:t>
            </w:r>
          </w:p>
        </w:tc>
        <w:tc>
          <w:tcPr>
            <w:tcW w:w="1134" w:type="dxa"/>
            <w:shd w:val="clear" w:color="auto" w:fill="D2E1E9"/>
          </w:tcPr>
          <w:p w14:paraId="77370796"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0.002</w:t>
            </w:r>
          </w:p>
        </w:tc>
        <w:tc>
          <w:tcPr>
            <w:tcW w:w="1134" w:type="dxa"/>
            <w:shd w:val="clear" w:color="auto" w:fill="D2E1E9"/>
          </w:tcPr>
          <w:p w14:paraId="152B0852"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n/a</w:t>
            </w:r>
          </w:p>
        </w:tc>
        <w:tc>
          <w:tcPr>
            <w:tcW w:w="1134" w:type="dxa"/>
            <w:shd w:val="clear" w:color="auto" w:fill="D2E1E9"/>
          </w:tcPr>
          <w:p w14:paraId="2EEAEAF6"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0.001</w:t>
            </w:r>
          </w:p>
        </w:tc>
        <w:tc>
          <w:tcPr>
            <w:tcW w:w="1134" w:type="dxa"/>
            <w:shd w:val="clear" w:color="auto" w:fill="D2E1E9"/>
          </w:tcPr>
          <w:p w14:paraId="0544A98D" w14:textId="77777777" w:rsidR="000A1CD9" w:rsidRPr="00101030" w:rsidRDefault="000A1CD9" w:rsidP="00FC618C">
            <w:pPr>
              <w:keepNext/>
              <w:keepLines/>
              <w:spacing w:after="0" w:line="240" w:lineRule="auto"/>
              <w:jc w:val="right"/>
              <w:rPr>
                <w:rFonts w:cs="Arial"/>
                <w:sz w:val="18"/>
                <w:szCs w:val="18"/>
                <w:highlight w:val="yellow"/>
              </w:rPr>
            </w:pPr>
            <w:r w:rsidRPr="00101030">
              <w:rPr>
                <w:rFonts w:cs="Arial"/>
                <w:sz w:val="18"/>
                <w:szCs w:val="18"/>
              </w:rPr>
              <w:t>n/a</w:t>
            </w:r>
          </w:p>
        </w:tc>
      </w:tr>
      <w:tr w:rsidR="000A1CD9" w:rsidRPr="00844399" w14:paraId="723C2C10" w14:textId="77777777" w:rsidTr="001B7940">
        <w:trPr>
          <w:trHeight w:val="454"/>
        </w:trPr>
        <w:tc>
          <w:tcPr>
            <w:tcW w:w="2380" w:type="dxa"/>
            <w:shd w:val="clear" w:color="auto" w:fill="7FB8CB"/>
          </w:tcPr>
          <w:p w14:paraId="6594A556" w14:textId="77777777" w:rsidR="000A1CD9" w:rsidRPr="00B030AE" w:rsidRDefault="000A1CD9" w:rsidP="001B7940">
            <w:pPr>
              <w:keepNext/>
              <w:keepLines/>
              <w:spacing w:after="0" w:line="240" w:lineRule="auto"/>
              <w:rPr>
                <w:rFonts w:cs="Arial"/>
                <w:b/>
                <w:color w:val="FFFFFF" w:themeColor="background1"/>
                <w:spacing w:val="-28"/>
                <w:sz w:val="18"/>
                <w:szCs w:val="18"/>
              </w:rPr>
            </w:pPr>
            <w:r w:rsidRPr="00B030AE">
              <w:rPr>
                <w:rFonts w:cs="Arial"/>
                <w:b/>
                <w:color w:val="FFFFFF" w:themeColor="background1"/>
                <w:sz w:val="18"/>
                <w:szCs w:val="18"/>
              </w:rPr>
              <w:t xml:space="preserve">Total (excluding mobile </w:t>
            </w:r>
            <w:r w:rsidRPr="00B030AE">
              <w:rPr>
                <w:rFonts w:cs="Arial"/>
                <w:b/>
                <w:color w:val="FFFFFF" w:themeColor="background1"/>
                <w:sz w:val="18"/>
                <w:szCs w:val="18"/>
              </w:rPr>
              <w:br/>
              <w:t>handset subscribers)</w:t>
            </w:r>
          </w:p>
        </w:tc>
        <w:tc>
          <w:tcPr>
            <w:tcW w:w="1134" w:type="dxa"/>
            <w:shd w:val="clear" w:color="auto" w:fill="7FB8CB"/>
          </w:tcPr>
          <w:p w14:paraId="1297C743" w14:textId="77777777" w:rsidR="000A1CD9" w:rsidRPr="00A04558" w:rsidRDefault="000A1CD9" w:rsidP="00FC618C">
            <w:pPr>
              <w:keepNext/>
              <w:keepLines/>
              <w:spacing w:after="0" w:line="240" w:lineRule="auto"/>
              <w:jc w:val="right"/>
              <w:rPr>
                <w:rFonts w:cs="Arial"/>
                <w:b/>
                <w:color w:val="FFFFFF" w:themeColor="background1"/>
                <w:spacing w:val="-28"/>
                <w:sz w:val="18"/>
                <w:szCs w:val="18"/>
              </w:rPr>
            </w:pPr>
            <w:r w:rsidRPr="00A04558">
              <w:rPr>
                <w:rFonts w:cs="Arial"/>
                <w:b/>
                <w:color w:val="FFFFFF" w:themeColor="background1"/>
                <w:sz w:val="18"/>
                <w:szCs w:val="18"/>
              </w:rPr>
              <w:t>12.04</w:t>
            </w:r>
          </w:p>
        </w:tc>
        <w:tc>
          <w:tcPr>
            <w:tcW w:w="1134" w:type="dxa"/>
            <w:shd w:val="clear" w:color="auto" w:fill="7FB8CB"/>
          </w:tcPr>
          <w:p w14:paraId="63C401D8" w14:textId="77777777" w:rsidR="000A1CD9" w:rsidRPr="00A04558" w:rsidRDefault="000A1CD9" w:rsidP="00FC618C">
            <w:pPr>
              <w:keepNext/>
              <w:keepLines/>
              <w:spacing w:after="0" w:line="240" w:lineRule="auto"/>
              <w:jc w:val="right"/>
              <w:rPr>
                <w:rFonts w:cs="Arial"/>
                <w:b/>
                <w:color w:val="FFFFFF" w:themeColor="background1"/>
                <w:spacing w:val="-28"/>
                <w:sz w:val="18"/>
                <w:szCs w:val="18"/>
              </w:rPr>
            </w:pPr>
            <w:r w:rsidRPr="00A04558">
              <w:rPr>
                <w:rFonts w:cs="Arial"/>
                <w:b/>
                <w:color w:val="FFFFFF" w:themeColor="background1"/>
                <w:sz w:val="18"/>
                <w:szCs w:val="18"/>
              </w:rPr>
              <w:t>12.36</w:t>
            </w:r>
          </w:p>
        </w:tc>
        <w:tc>
          <w:tcPr>
            <w:tcW w:w="1134" w:type="dxa"/>
            <w:shd w:val="clear" w:color="auto" w:fill="7FB8CB"/>
          </w:tcPr>
          <w:p w14:paraId="7187B79F" w14:textId="77777777" w:rsidR="000A1CD9" w:rsidRPr="00A04558" w:rsidRDefault="000A1CD9" w:rsidP="00FC618C">
            <w:pPr>
              <w:keepNext/>
              <w:keepLines/>
              <w:spacing w:after="0" w:line="240" w:lineRule="auto"/>
              <w:jc w:val="right"/>
              <w:rPr>
                <w:rFonts w:cs="Arial"/>
                <w:b/>
                <w:color w:val="FFFFFF" w:themeColor="background1"/>
                <w:sz w:val="18"/>
                <w:szCs w:val="18"/>
              </w:rPr>
            </w:pPr>
            <w:r w:rsidRPr="00A04558">
              <w:rPr>
                <w:rFonts w:cs="Arial"/>
                <w:b/>
                <w:color w:val="FFFFFF" w:themeColor="background1"/>
                <w:sz w:val="18"/>
                <w:szCs w:val="18"/>
              </w:rPr>
              <w:t>12.48</w:t>
            </w:r>
          </w:p>
        </w:tc>
        <w:tc>
          <w:tcPr>
            <w:tcW w:w="1134" w:type="dxa"/>
            <w:shd w:val="clear" w:color="auto" w:fill="7FB8CB"/>
          </w:tcPr>
          <w:p w14:paraId="7E9C4E23" w14:textId="77777777" w:rsidR="000A1CD9" w:rsidRPr="00A04558" w:rsidRDefault="000A1CD9" w:rsidP="00FC618C">
            <w:pPr>
              <w:keepNext/>
              <w:keepLines/>
              <w:spacing w:after="0" w:line="240" w:lineRule="auto"/>
              <w:jc w:val="right"/>
              <w:rPr>
                <w:rFonts w:cs="Arial"/>
                <w:b/>
                <w:color w:val="FFFFFF" w:themeColor="background1"/>
                <w:sz w:val="18"/>
                <w:szCs w:val="18"/>
              </w:rPr>
            </w:pPr>
            <w:r w:rsidRPr="00A04558">
              <w:rPr>
                <w:rFonts w:cs="Arial"/>
                <w:b/>
                <w:color w:val="FFFFFF" w:themeColor="background1"/>
                <w:sz w:val="18"/>
                <w:szCs w:val="18"/>
              </w:rPr>
              <w:t>12.76</w:t>
            </w:r>
          </w:p>
        </w:tc>
        <w:tc>
          <w:tcPr>
            <w:tcW w:w="1134" w:type="dxa"/>
            <w:shd w:val="clear" w:color="auto" w:fill="7FB8CB"/>
          </w:tcPr>
          <w:p w14:paraId="4D6E8CD3" w14:textId="77777777" w:rsidR="000A1CD9" w:rsidRPr="00A04558" w:rsidRDefault="000A1CD9" w:rsidP="00FC618C">
            <w:pPr>
              <w:keepNext/>
              <w:keepLines/>
              <w:spacing w:after="0" w:line="240" w:lineRule="auto"/>
              <w:jc w:val="right"/>
              <w:rPr>
                <w:rFonts w:cs="Arial"/>
                <w:b/>
                <w:color w:val="FFFFFF" w:themeColor="background1"/>
                <w:sz w:val="18"/>
                <w:szCs w:val="18"/>
              </w:rPr>
            </w:pPr>
            <w:r w:rsidRPr="00A04558">
              <w:rPr>
                <w:rFonts w:cs="Arial"/>
                <w:b/>
                <w:color w:val="FFFFFF" w:themeColor="background1"/>
                <w:sz w:val="18"/>
                <w:szCs w:val="18"/>
              </w:rPr>
              <w:t>13.30</w:t>
            </w:r>
          </w:p>
        </w:tc>
        <w:tc>
          <w:tcPr>
            <w:tcW w:w="1134" w:type="dxa"/>
            <w:shd w:val="clear" w:color="auto" w:fill="7FB8CB"/>
          </w:tcPr>
          <w:p w14:paraId="251D5B16" w14:textId="77777777" w:rsidR="000A1CD9" w:rsidRPr="00A04558" w:rsidRDefault="000A1CD9" w:rsidP="00FC618C">
            <w:pPr>
              <w:keepNext/>
              <w:keepLines/>
              <w:spacing w:after="0" w:line="240" w:lineRule="auto"/>
              <w:jc w:val="right"/>
              <w:rPr>
                <w:rFonts w:cs="Arial"/>
                <w:b/>
                <w:color w:val="FFFFFF" w:themeColor="background1"/>
                <w:sz w:val="18"/>
                <w:szCs w:val="18"/>
                <w:highlight w:val="yellow"/>
              </w:rPr>
            </w:pPr>
            <w:r w:rsidRPr="00A04558">
              <w:rPr>
                <w:rFonts w:cs="Arial"/>
                <w:b/>
                <w:color w:val="FFFFFF" w:themeColor="background1"/>
                <w:sz w:val="18"/>
                <w:szCs w:val="18"/>
              </w:rPr>
              <w:t>+4.2</w:t>
            </w:r>
          </w:p>
        </w:tc>
      </w:tr>
      <w:tr w:rsidR="000A1CD9" w:rsidRPr="00844399" w14:paraId="15E03C68" w14:textId="77777777" w:rsidTr="001B7940">
        <w:trPr>
          <w:trHeight w:val="125"/>
        </w:trPr>
        <w:tc>
          <w:tcPr>
            <w:tcW w:w="2380" w:type="dxa"/>
            <w:shd w:val="clear" w:color="auto" w:fill="7FB8CB"/>
          </w:tcPr>
          <w:p w14:paraId="0973502F" w14:textId="77777777" w:rsidR="000A1CD9" w:rsidRPr="00B030AE" w:rsidRDefault="000A1CD9" w:rsidP="001B7940">
            <w:pPr>
              <w:keepNext/>
              <w:keepLines/>
              <w:spacing w:after="0" w:line="240" w:lineRule="auto"/>
              <w:rPr>
                <w:rFonts w:cs="Arial"/>
                <w:color w:val="FFFFFF" w:themeColor="background1"/>
                <w:spacing w:val="-28"/>
                <w:sz w:val="18"/>
                <w:szCs w:val="18"/>
              </w:rPr>
            </w:pPr>
            <w:r w:rsidRPr="00B030AE">
              <w:rPr>
                <w:rFonts w:cs="Arial"/>
                <w:color w:val="FFFFFF" w:themeColor="background1"/>
                <w:sz w:val="18"/>
                <w:szCs w:val="18"/>
              </w:rPr>
              <w:t xml:space="preserve">Mobile handset </w:t>
            </w:r>
          </w:p>
        </w:tc>
        <w:tc>
          <w:tcPr>
            <w:tcW w:w="1134" w:type="dxa"/>
            <w:shd w:val="clear" w:color="auto" w:fill="D2E1E9"/>
          </w:tcPr>
          <w:p w14:paraId="27D7E3FB"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16.19</w:t>
            </w:r>
          </w:p>
        </w:tc>
        <w:tc>
          <w:tcPr>
            <w:tcW w:w="1134" w:type="dxa"/>
            <w:shd w:val="clear" w:color="auto" w:fill="D2E1E9"/>
          </w:tcPr>
          <w:p w14:paraId="2051E3E9" w14:textId="77777777" w:rsidR="000A1CD9" w:rsidRPr="009C1BE9" w:rsidRDefault="000A1CD9" w:rsidP="00FC618C">
            <w:pPr>
              <w:keepNext/>
              <w:keepLines/>
              <w:spacing w:after="0" w:line="240" w:lineRule="auto"/>
              <w:jc w:val="right"/>
              <w:rPr>
                <w:rFonts w:cs="Arial"/>
                <w:spacing w:val="-28"/>
                <w:sz w:val="18"/>
                <w:szCs w:val="18"/>
              </w:rPr>
            </w:pPr>
            <w:r w:rsidRPr="009C1BE9">
              <w:rPr>
                <w:rFonts w:cs="Arial"/>
                <w:sz w:val="18"/>
                <w:szCs w:val="18"/>
              </w:rPr>
              <w:t>19.65</w:t>
            </w:r>
          </w:p>
        </w:tc>
        <w:tc>
          <w:tcPr>
            <w:tcW w:w="1134" w:type="dxa"/>
            <w:shd w:val="clear" w:color="auto" w:fill="D2E1E9"/>
          </w:tcPr>
          <w:p w14:paraId="00A11F51"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20.57</w:t>
            </w:r>
          </w:p>
        </w:tc>
        <w:tc>
          <w:tcPr>
            <w:tcW w:w="1134" w:type="dxa"/>
            <w:shd w:val="clear" w:color="auto" w:fill="D2E1E9"/>
          </w:tcPr>
          <w:p w14:paraId="403B0658"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20.99</w:t>
            </w:r>
          </w:p>
        </w:tc>
        <w:tc>
          <w:tcPr>
            <w:tcW w:w="1134" w:type="dxa"/>
            <w:shd w:val="clear" w:color="auto" w:fill="D2E1E9"/>
          </w:tcPr>
          <w:p w14:paraId="336F4659" w14:textId="77777777" w:rsidR="000A1CD9" w:rsidRPr="009C1BE9" w:rsidRDefault="000A1CD9" w:rsidP="00FC618C">
            <w:pPr>
              <w:keepNext/>
              <w:keepLines/>
              <w:spacing w:after="0" w:line="240" w:lineRule="auto"/>
              <w:jc w:val="right"/>
              <w:rPr>
                <w:rFonts w:cs="Arial"/>
                <w:sz w:val="18"/>
                <w:szCs w:val="18"/>
              </w:rPr>
            </w:pPr>
            <w:r w:rsidRPr="009C1BE9">
              <w:rPr>
                <w:rFonts w:cs="Arial"/>
                <w:sz w:val="18"/>
                <w:szCs w:val="18"/>
              </w:rPr>
              <w:t>21.97</w:t>
            </w:r>
          </w:p>
        </w:tc>
        <w:tc>
          <w:tcPr>
            <w:tcW w:w="1134" w:type="dxa"/>
            <w:shd w:val="clear" w:color="auto" w:fill="D2E1E9"/>
          </w:tcPr>
          <w:p w14:paraId="4EEA843F" w14:textId="77777777" w:rsidR="000A1CD9" w:rsidRPr="00101030" w:rsidRDefault="000A1CD9" w:rsidP="00FC618C">
            <w:pPr>
              <w:keepNext/>
              <w:keepLines/>
              <w:spacing w:after="0" w:line="240" w:lineRule="auto"/>
              <w:jc w:val="right"/>
              <w:rPr>
                <w:rFonts w:cs="Arial"/>
                <w:sz w:val="18"/>
                <w:szCs w:val="18"/>
                <w:highlight w:val="yellow"/>
              </w:rPr>
            </w:pPr>
            <w:r w:rsidRPr="00101030">
              <w:rPr>
                <w:rFonts w:cs="Arial"/>
                <w:sz w:val="18"/>
                <w:szCs w:val="18"/>
              </w:rPr>
              <w:t>+4.6</w:t>
            </w:r>
          </w:p>
        </w:tc>
      </w:tr>
      <w:tr w:rsidR="000A1CD9" w:rsidRPr="00844399" w14:paraId="466953AB" w14:textId="77777777" w:rsidTr="001B7940">
        <w:trPr>
          <w:trHeight w:val="30"/>
        </w:trPr>
        <w:tc>
          <w:tcPr>
            <w:tcW w:w="2380" w:type="dxa"/>
            <w:shd w:val="clear" w:color="auto" w:fill="7FB8CB"/>
          </w:tcPr>
          <w:p w14:paraId="567A1B40" w14:textId="77777777" w:rsidR="000A1CD9" w:rsidRPr="00B030AE" w:rsidRDefault="000A1CD9" w:rsidP="001B7940">
            <w:pPr>
              <w:keepNext/>
              <w:keepLines/>
              <w:spacing w:after="0" w:line="240" w:lineRule="auto"/>
              <w:rPr>
                <w:rFonts w:cs="Arial"/>
                <w:b/>
                <w:color w:val="FFFFFF" w:themeColor="background1"/>
                <w:spacing w:val="-28"/>
                <w:sz w:val="18"/>
                <w:szCs w:val="18"/>
              </w:rPr>
            </w:pPr>
            <w:r w:rsidRPr="00B030AE">
              <w:rPr>
                <w:rFonts w:cs="Arial"/>
                <w:b/>
                <w:color w:val="FFFFFF" w:themeColor="background1"/>
                <w:sz w:val="18"/>
                <w:szCs w:val="18"/>
              </w:rPr>
              <w:t>Total (including mobile handsets)</w:t>
            </w:r>
          </w:p>
        </w:tc>
        <w:tc>
          <w:tcPr>
            <w:tcW w:w="1134" w:type="dxa"/>
            <w:shd w:val="clear" w:color="auto" w:fill="7FB8CB"/>
          </w:tcPr>
          <w:p w14:paraId="25744C4E" w14:textId="77777777" w:rsidR="000A1CD9" w:rsidRPr="00A04558" w:rsidRDefault="000A1CD9" w:rsidP="00FC618C">
            <w:pPr>
              <w:keepNext/>
              <w:keepLines/>
              <w:spacing w:after="0" w:line="240" w:lineRule="auto"/>
              <w:jc w:val="right"/>
              <w:rPr>
                <w:rFonts w:cs="Arial"/>
                <w:b/>
                <w:color w:val="FFFFFF" w:themeColor="background1"/>
                <w:spacing w:val="-28"/>
                <w:sz w:val="18"/>
                <w:szCs w:val="18"/>
              </w:rPr>
            </w:pPr>
            <w:r w:rsidRPr="00A04558">
              <w:rPr>
                <w:rFonts w:cs="Arial"/>
                <w:b/>
                <w:color w:val="FFFFFF" w:themeColor="background1"/>
                <w:sz w:val="18"/>
                <w:szCs w:val="18"/>
              </w:rPr>
              <w:t>28.23</w:t>
            </w:r>
          </w:p>
        </w:tc>
        <w:tc>
          <w:tcPr>
            <w:tcW w:w="1134" w:type="dxa"/>
            <w:shd w:val="clear" w:color="auto" w:fill="7FB8CB"/>
          </w:tcPr>
          <w:p w14:paraId="79A00EF2" w14:textId="77777777" w:rsidR="000A1CD9" w:rsidRPr="00A04558" w:rsidRDefault="000A1CD9" w:rsidP="00FC618C">
            <w:pPr>
              <w:keepNext/>
              <w:keepLines/>
              <w:spacing w:after="0" w:line="240" w:lineRule="auto"/>
              <w:jc w:val="right"/>
              <w:rPr>
                <w:rFonts w:cs="Arial"/>
                <w:b/>
                <w:color w:val="FFFFFF" w:themeColor="background1"/>
                <w:spacing w:val="-28"/>
                <w:sz w:val="18"/>
                <w:szCs w:val="18"/>
              </w:rPr>
            </w:pPr>
            <w:r w:rsidRPr="00A04558">
              <w:rPr>
                <w:rFonts w:cs="Arial"/>
                <w:b/>
                <w:color w:val="FFFFFF" w:themeColor="background1"/>
                <w:sz w:val="18"/>
                <w:szCs w:val="18"/>
              </w:rPr>
              <w:t>32.00</w:t>
            </w:r>
          </w:p>
        </w:tc>
        <w:tc>
          <w:tcPr>
            <w:tcW w:w="1134" w:type="dxa"/>
            <w:shd w:val="clear" w:color="auto" w:fill="7FB8CB"/>
          </w:tcPr>
          <w:p w14:paraId="0C6A461D" w14:textId="77777777" w:rsidR="000A1CD9" w:rsidRPr="00A04558" w:rsidRDefault="000A1CD9" w:rsidP="00FC618C">
            <w:pPr>
              <w:keepNext/>
              <w:keepLines/>
              <w:spacing w:after="0" w:line="240" w:lineRule="auto"/>
              <w:jc w:val="right"/>
              <w:rPr>
                <w:rFonts w:cs="Arial"/>
                <w:b/>
                <w:color w:val="FFFFFF" w:themeColor="background1"/>
                <w:sz w:val="18"/>
                <w:szCs w:val="18"/>
              </w:rPr>
            </w:pPr>
            <w:r w:rsidRPr="00A04558">
              <w:rPr>
                <w:rFonts w:cs="Arial"/>
                <w:b/>
                <w:color w:val="FFFFFF" w:themeColor="background1"/>
                <w:sz w:val="18"/>
                <w:szCs w:val="18"/>
              </w:rPr>
              <w:t>33.05</w:t>
            </w:r>
          </w:p>
        </w:tc>
        <w:tc>
          <w:tcPr>
            <w:tcW w:w="1134" w:type="dxa"/>
            <w:shd w:val="clear" w:color="auto" w:fill="7FB8CB"/>
          </w:tcPr>
          <w:p w14:paraId="64108519" w14:textId="77777777" w:rsidR="000A1CD9" w:rsidRPr="00A04558" w:rsidRDefault="000A1CD9" w:rsidP="00FC618C">
            <w:pPr>
              <w:keepNext/>
              <w:keepLines/>
              <w:spacing w:after="0" w:line="240" w:lineRule="auto"/>
              <w:jc w:val="right"/>
              <w:rPr>
                <w:rFonts w:cs="Arial"/>
                <w:b/>
                <w:color w:val="FFFFFF" w:themeColor="background1"/>
                <w:sz w:val="18"/>
                <w:szCs w:val="18"/>
              </w:rPr>
            </w:pPr>
            <w:r w:rsidRPr="00A04558">
              <w:rPr>
                <w:rFonts w:cs="Arial"/>
                <w:b/>
                <w:color w:val="FFFFFF" w:themeColor="background1"/>
                <w:sz w:val="18"/>
                <w:szCs w:val="18"/>
              </w:rPr>
              <w:t>33.76</w:t>
            </w:r>
          </w:p>
        </w:tc>
        <w:tc>
          <w:tcPr>
            <w:tcW w:w="1134" w:type="dxa"/>
            <w:shd w:val="clear" w:color="auto" w:fill="7FB8CB"/>
          </w:tcPr>
          <w:p w14:paraId="68CF039F" w14:textId="77777777" w:rsidR="000A1CD9" w:rsidRPr="00A04558" w:rsidRDefault="000A1CD9" w:rsidP="00FC618C">
            <w:pPr>
              <w:keepNext/>
              <w:keepLines/>
              <w:spacing w:after="0" w:line="240" w:lineRule="auto"/>
              <w:jc w:val="right"/>
              <w:rPr>
                <w:rFonts w:cs="Arial"/>
                <w:b/>
                <w:color w:val="FFFFFF" w:themeColor="background1"/>
                <w:sz w:val="18"/>
                <w:szCs w:val="18"/>
              </w:rPr>
            </w:pPr>
            <w:r w:rsidRPr="00A04558">
              <w:rPr>
                <w:rFonts w:cs="Arial"/>
                <w:b/>
                <w:color w:val="FFFFFF" w:themeColor="background1"/>
                <w:sz w:val="18"/>
                <w:szCs w:val="18"/>
              </w:rPr>
              <w:t>35.26</w:t>
            </w:r>
          </w:p>
        </w:tc>
        <w:tc>
          <w:tcPr>
            <w:tcW w:w="1134" w:type="dxa"/>
            <w:shd w:val="clear" w:color="auto" w:fill="7FB8CB"/>
          </w:tcPr>
          <w:p w14:paraId="68CAC80C" w14:textId="77777777" w:rsidR="000A1CD9" w:rsidRPr="00A04558" w:rsidRDefault="000A1CD9" w:rsidP="00FC618C">
            <w:pPr>
              <w:keepNext/>
              <w:keepLines/>
              <w:spacing w:after="0" w:line="240" w:lineRule="auto"/>
              <w:jc w:val="right"/>
              <w:rPr>
                <w:rFonts w:cs="Arial"/>
                <w:b/>
                <w:color w:val="FFFFFF" w:themeColor="background1"/>
                <w:sz w:val="18"/>
                <w:szCs w:val="18"/>
                <w:highlight w:val="yellow"/>
              </w:rPr>
            </w:pPr>
            <w:r w:rsidRPr="00A04558">
              <w:rPr>
                <w:rFonts w:cs="Arial"/>
                <w:b/>
                <w:color w:val="FFFFFF" w:themeColor="background1"/>
                <w:sz w:val="18"/>
                <w:szCs w:val="18"/>
              </w:rPr>
              <w:t>+4.5</w:t>
            </w:r>
          </w:p>
        </w:tc>
      </w:tr>
    </w:tbl>
    <w:p w14:paraId="51BBA2C2" w14:textId="77777777" w:rsidR="000A1CD9" w:rsidRPr="00531CD0" w:rsidRDefault="000A1CD9" w:rsidP="000A1CD9">
      <w:pPr>
        <w:pStyle w:val="ACMANotes"/>
        <w:rPr>
          <w:rFonts w:eastAsia="Malgun Gothic"/>
        </w:rPr>
      </w:pPr>
      <w:r w:rsidRPr="00531CD0">
        <w:rPr>
          <w:rFonts w:eastAsia="Malgun Gothic"/>
        </w:rPr>
        <w:t>n/a=not available.</w:t>
      </w:r>
    </w:p>
    <w:p w14:paraId="265FCBF0" w14:textId="77777777" w:rsidR="000A1CD9" w:rsidRPr="00531CD0" w:rsidRDefault="000A1CD9" w:rsidP="000A1CD9">
      <w:pPr>
        <w:pStyle w:val="ACMANotes"/>
      </w:pPr>
      <w:r w:rsidRPr="00531CD0">
        <w:rPr>
          <w:rFonts w:eastAsia="Malgun Gothic"/>
        </w:rPr>
        <w:t>*</w:t>
      </w:r>
      <w:r w:rsidRPr="00531CD0">
        <w:t xml:space="preserve">Fixed wireless: for example, WiMAX uses an air interface to connect an internet service. An antenna installed at the customer’s premises receives signals from the service provider’s base station. </w:t>
      </w:r>
    </w:p>
    <w:p w14:paraId="441F7966" w14:textId="77777777" w:rsidR="000A1CD9" w:rsidRPr="00531CD0" w:rsidRDefault="000A1CD9" w:rsidP="000A1CD9">
      <w:pPr>
        <w:pStyle w:val="ACMANotes"/>
      </w:pPr>
      <w:r w:rsidRPr="00531CD0">
        <w:t>Note: ABS subscriber statistics measure the number of ‘subscriber lines’ rather than the number of ‘users’. Counts of subscribers are not the same as counts of people/organisations with internet access as some subscribers may have accounts with more than one ISP or multiple accounts with a single ISP. Relates to ISPs with more than 1,000 subscribers. Subscriber numbers for ‘fixed wireless’ and ‘other’ were not available separately for June 2015 but are included in the total.</w:t>
      </w:r>
    </w:p>
    <w:p w14:paraId="06811546" w14:textId="77777777" w:rsidR="000A1CD9" w:rsidRPr="00531CD0" w:rsidRDefault="000A1CD9" w:rsidP="000A1CD9">
      <w:pPr>
        <w:pStyle w:val="ACMANotes"/>
      </w:pPr>
      <w:r w:rsidRPr="00531CD0">
        <w:t xml:space="preserve">Source: ABS, </w:t>
      </w:r>
      <w:hyperlink r:id="rId45" w:history="1">
        <w:r w:rsidRPr="00531CD0">
          <w:rPr>
            <w:i w:val="0"/>
            <w:color w:val="0000FF"/>
            <w:u w:val="single"/>
          </w:rPr>
          <w:t>8153.0 Internet activity, Australia</w:t>
        </w:r>
      </w:hyperlink>
      <w:r w:rsidRPr="00531CD0">
        <w:t>, June 201</w:t>
      </w:r>
      <w:r w:rsidRPr="009C1BE9">
        <w:t>6</w:t>
      </w:r>
      <w:r w:rsidRPr="00531CD0">
        <w:t>.</w:t>
      </w:r>
    </w:p>
    <w:p w14:paraId="2119E264" w14:textId="77777777" w:rsidR="000A1CD9" w:rsidRPr="00531CD0" w:rsidRDefault="000A1CD9" w:rsidP="000A1CD9">
      <w:pPr>
        <w:pStyle w:val="ACMASpaceaftertable"/>
      </w:pPr>
    </w:p>
    <w:p w14:paraId="790EE680" w14:textId="77777777" w:rsidR="000A1CD9" w:rsidRPr="00A53D0E" w:rsidRDefault="000A1CD9" w:rsidP="000A1CD9">
      <w:pPr>
        <w:rPr>
          <w:rFonts w:cs="Arial"/>
        </w:rPr>
      </w:pPr>
      <w:r w:rsidRPr="00A25F87">
        <w:rPr>
          <w:rFonts w:cs="Arial"/>
        </w:rPr>
        <w:t xml:space="preserve">In 2015, a number of service providers announced they would no longer be offering dial-up internet. TPG ceased sales of its dial-up internet plans at the start of 2015, while in June 2015 Telstra announced it would retire the last of </w:t>
      </w:r>
      <w:r>
        <w:rPr>
          <w:rFonts w:cs="Arial"/>
        </w:rPr>
        <w:t>its dial-up internet services by</w:t>
      </w:r>
      <w:r w:rsidRPr="00A25F87">
        <w:rPr>
          <w:rFonts w:cs="Arial"/>
        </w:rPr>
        <w:t xml:space="preserve"> December</w:t>
      </w:r>
      <w:r>
        <w:rPr>
          <w:rFonts w:cs="Arial"/>
        </w:rPr>
        <w:t xml:space="preserve"> 2015</w:t>
      </w:r>
      <w:r w:rsidRPr="00A25F87">
        <w:rPr>
          <w:rFonts w:cs="Arial"/>
        </w:rPr>
        <w:t>.</w:t>
      </w:r>
      <w:r w:rsidRPr="00A25F87">
        <w:rPr>
          <w:rFonts w:cs="Arial"/>
          <w:vertAlign w:val="superscript"/>
        </w:rPr>
        <w:endnoteReference w:id="56"/>
      </w:r>
      <w:r w:rsidRPr="00A25F87">
        <w:rPr>
          <w:rFonts w:cs="Arial"/>
        </w:rPr>
        <w:t xml:space="preserve"> Optus</w:t>
      </w:r>
      <w:r>
        <w:rPr>
          <w:rFonts w:cs="Arial"/>
        </w:rPr>
        <w:t xml:space="preserve"> and Dodo continue to offer dial-</w:t>
      </w:r>
      <w:r w:rsidRPr="00A25F87">
        <w:rPr>
          <w:rFonts w:cs="Arial"/>
        </w:rPr>
        <w:t xml:space="preserve">up as part of </w:t>
      </w:r>
      <w:r>
        <w:rPr>
          <w:rFonts w:cs="Arial"/>
        </w:rPr>
        <w:t>their</w:t>
      </w:r>
      <w:r w:rsidRPr="00A25F87">
        <w:rPr>
          <w:rFonts w:cs="Arial"/>
        </w:rPr>
        <w:t xml:space="preserve"> suite of internet service options. </w:t>
      </w:r>
      <w:r>
        <w:rPr>
          <w:rFonts w:cs="Arial"/>
        </w:rPr>
        <w:t xml:space="preserve">Dodo offers unlimited dial-up internet for $1 per month. </w:t>
      </w:r>
    </w:p>
    <w:p w14:paraId="4BADA3FA" w14:textId="77777777" w:rsidR="000A1CD9" w:rsidRDefault="000A1CD9" w:rsidP="00FA2FD0">
      <w:pPr>
        <w:pStyle w:val="Heading3"/>
      </w:pPr>
      <w:bookmarkStart w:id="302" w:name="_Toc433790300"/>
      <w:bookmarkStart w:id="303" w:name="_Toc462132212"/>
      <w:bookmarkStart w:id="304" w:name="_Toc462899555"/>
      <w:bookmarkStart w:id="305" w:name="_Toc463529041"/>
      <w:bookmarkStart w:id="306" w:name="_Toc465842861"/>
      <w:r w:rsidRPr="00FD7E86">
        <w:t>Mobile-internet s</w:t>
      </w:r>
      <w:bookmarkEnd w:id="302"/>
      <w:r>
        <w:t>ubscribers</w:t>
      </w:r>
      <w:bookmarkEnd w:id="303"/>
      <w:bookmarkEnd w:id="304"/>
      <w:bookmarkEnd w:id="305"/>
      <w:bookmarkEnd w:id="306"/>
      <w:r>
        <w:t xml:space="preserve"> </w:t>
      </w:r>
    </w:p>
    <w:p w14:paraId="5F7881D0" w14:textId="77777777" w:rsidR="000A1CD9" w:rsidRPr="00EA1DF5" w:rsidRDefault="000A1CD9" w:rsidP="00FA2FD0">
      <w:pPr>
        <w:keepNext/>
        <w:spacing w:after="80"/>
        <w:rPr>
          <w:rFonts w:cs="Arial"/>
        </w:rPr>
      </w:pPr>
      <w:r w:rsidRPr="00EA1DF5">
        <w:rPr>
          <w:rFonts w:cs="Arial"/>
        </w:rPr>
        <w:t xml:space="preserve">There were </w:t>
      </w:r>
      <w:r w:rsidR="00EA6B7D">
        <w:rPr>
          <w:rFonts w:cs="Arial"/>
        </w:rPr>
        <w:t>21.97</w:t>
      </w:r>
      <w:r>
        <w:rPr>
          <w:rFonts w:cs="Arial"/>
        </w:rPr>
        <w:t> </w:t>
      </w:r>
      <w:r w:rsidRPr="00EA1DF5">
        <w:rPr>
          <w:rFonts w:cs="Arial"/>
        </w:rPr>
        <w:t xml:space="preserve">million mobile-internet </w:t>
      </w:r>
      <w:r>
        <w:rPr>
          <w:rFonts w:cs="Arial"/>
        </w:rPr>
        <w:t>service subscribers at June 2016</w:t>
      </w:r>
      <w:r w:rsidRPr="00EA1DF5">
        <w:rPr>
          <w:rFonts w:cs="Arial"/>
        </w:rPr>
        <w:t xml:space="preserve">. This is an increase of </w:t>
      </w:r>
      <w:r w:rsidRPr="009C1BE9">
        <w:rPr>
          <w:rFonts w:cs="Arial"/>
        </w:rPr>
        <w:t>four</w:t>
      </w:r>
      <w:r w:rsidRPr="00EA1DF5">
        <w:rPr>
          <w:rFonts w:cs="Arial"/>
        </w:rPr>
        <w:t xml:space="preserve"> per cent over the year. There are two types of mobile-internet services reported here:</w:t>
      </w:r>
    </w:p>
    <w:p w14:paraId="2D18FA28" w14:textId="77777777" w:rsidR="000A1CD9" w:rsidRPr="00EA1DF5" w:rsidRDefault="000A1CD9" w:rsidP="00FA2FD0">
      <w:pPr>
        <w:pStyle w:val="ListBullet"/>
        <w:keepNext/>
        <w:spacing w:line="259" w:lineRule="auto"/>
      </w:pPr>
      <w:r w:rsidRPr="00EA1DF5">
        <w:t xml:space="preserve">mobile handset—such as smartphones </w:t>
      </w:r>
    </w:p>
    <w:p w14:paraId="32419218" w14:textId="77777777" w:rsidR="000A1CD9" w:rsidRPr="00EA1DF5" w:rsidRDefault="000A1CD9" w:rsidP="000A1CD9">
      <w:pPr>
        <w:pStyle w:val="ListBulletLast"/>
        <w:spacing w:line="259" w:lineRule="auto"/>
      </w:pPr>
      <w:r w:rsidRPr="00EA1DF5">
        <w:t xml:space="preserve">mobile wireless—using dongles, datacards or USB modems. </w:t>
      </w:r>
    </w:p>
    <w:p w14:paraId="188E7A16" w14:textId="77777777" w:rsidR="000A1CD9" w:rsidRPr="00EA1DF5" w:rsidRDefault="000A1CD9" w:rsidP="000A1CD9">
      <w:r w:rsidRPr="00EA1DF5">
        <w:t xml:space="preserve">Mobile-internet subscribers account for </w:t>
      </w:r>
      <w:r>
        <w:rPr>
          <w:rFonts w:cs="Arial"/>
        </w:rPr>
        <w:t>86</w:t>
      </w:r>
      <w:r w:rsidRPr="00EA1DF5">
        <w:t xml:space="preserve"> per cent of all mobile services in operation at </w:t>
      </w:r>
      <w:r w:rsidRPr="00EA1DF5">
        <w:rPr>
          <w:rFonts w:cs="Arial"/>
        </w:rPr>
        <w:t>June 201</w:t>
      </w:r>
      <w:r w:rsidRPr="009C1BE9">
        <w:rPr>
          <w:rFonts w:cs="Arial"/>
        </w:rPr>
        <w:t>6</w:t>
      </w:r>
      <w:r w:rsidRPr="00EA1DF5">
        <w:t>.</w:t>
      </w:r>
      <w:r w:rsidRPr="00EA1DF5">
        <w:rPr>
          <w:vertAlign w:val="superscript"/>
        </w:rPr>
        <w:endnoteReference w:id="57"/>
      </w:r>
      <w:r w:rsidRPr="00EA1DF5">
        <w:t xml:space="preserve"> </w:t>
      </w:r>
    </w:p>
    <w:p w14:paraId="2CEE6FE4" w14:textId="77777777" w:rsidR="000A1CD9" w:rsidRPr="00531CD0" w:rsidRDefault="000A1CD9" w:rsidP="000A1CD9">
      <w:r w:rsidRPr="00EA1DF5">
        <w:lastRenderedPageBreak/>
        <w:t xml:space="preserve">The latest data from the ABS shows that mobile handset subscribers increased </w:t>
      </w:r>
      <w:r>
        <w:t>five</w:t>
      </w:r>
      <w:r w:rsidRPr="00EA1DF5">
        <w:t xml:space="preserve"> per cent in t</w:t>
      </w:r>
      <w:r>
        <w:t>he 12</w:t>
      </w:r>
      <w:r w:rsidR="00FD1455">
        <w:t> </w:t>
      </w:r>
      <w:r>
        <w:t>months to June 2016</w:t>
      </w:r>
      <w:r w:rsidRPr="00EA1DF5">
        <w:rPr>
          <w:rFonts w:cs="Arial"/>
        </w:rPr>
        <w:t xml:space="preserve"> to reach </w:t>
      </w:r>
      <w:r w:rsidRPr="00944B1B">
        <w:rPr>
          <w:rFonts w:cs="Arial"/>
        </w:rPr>
        <w:t>21.97</w:t>
      </w:r>
      <w:r w:rsidRPr="00EA1DF5">
        <w:t xml:space="preserve"> million subscribers. Mobile wireless internet subscribers increased by </w:t>
      </w:r>
      <w:r w:rsidRPr="00944B1B">
        <w:t>0.6</w:t>
      </w:r>
      <w:r w:rsidRPr="00EA1DF5">
        <w:t xml:space="preserve"> per cent to reach just over </w:t>
      </w:r>
      <w:r w:rsidRPr="004A1BD4">
        <w:t>six million</w:t>
      </w:r>
      <w:r w:rsidRPr="00EA1DF5">
        <w:t xml:space="preserve"> subscribers (Figure 1.</w:t>
      </w:r>
      <w:r>
        <w:t>10</w:t>
      </w:r>
      <w:r w:rsidRPr="00EA1DF5">
        <w:t xml:space="preserve">). </w:t>
      </w:r>
    </w:p>
    <w:p w14:paraId="524745C2" w14:textId="77777777" w:rsidR="000A1CD9" w:rsidRDefault="000A1CD9" w:rsidP="009C1BE9">
      <w:pPr>
        <w:pStyle w:val="ACMAFigureHeader"/>
        <w:keepNext/>
      </w:pPr>
      <w:bookmarkStart w:id="307" w:name="_Ref398848072"/>
      <w:bookmarkStart w:id="308" w:name="_Ref398848050"/>
      <w:r w:rsidRPr="004A1BD4">
        <w:t>Figure 1.</w:t>
      </w:r>
      <w:bookmarkEnd w:id="307"/>
      <w:r w:rsidRPr="004A1BD4">
        <w:t>10</w:t>
      </w:r>
      <w:r w:rsidRPr="004A1BD4">
        <w:tab/>
        <w:t xml:space="preserve">Mobile-internet subscribers in Australia </w:t>
      </w:r>
      <w:r w:rsidRPr="009C1BE9">
        <w:t>(millions)</w:t>
      </w:r>
      <w:bookmarkEnd w:id="308"/>
    </w:p>
    <w:p w14:paraId="134C0BB4" w14:textId="77777777" w:rsidR="00EB6413" w:rsidRDefault="00EB6413" w:rsidP="009C1BE9">
      <w:pPr>
        <w:pStyle w:val="ACMAFigureHeader"/>
        <w:keepNext/>
      </w:pPr>
      <w:r>
        <w:rPr>
          <w:noProof/>
        </w:rPr>
        <w:drawing>
          <wp:inline distT="0" distB="0" distL="0" distR="0" wp14:anchorId="5053A8BB" wp14:editId="286B9B6B">
            <wp:extent cx="5897880" cy="1869744"/>
            <wp:effectExtent l="0" t="0" r="7620" b="0"/>
            <wp:docPr id="50" name="Picture 50" descr="Data for Figure 1.10 is in the .ods file for Chapter 1 on the landing page ‘Communications report 2015-16’, available from the ACMA website." title="Figure 1.10  Mobile-internet subscribers in Australia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 1.10_Figure 1.10.png"/>
                    <pic:cNvPicPr/>
                  </pic:nvPicPr>
                  <pic:blipFill rotWithShape="1">
                    <a:blip r:embed="rId46">
                      <a:extLst>
                        <a:ext uri="{28A0092B-C50C-407E-A947-70E740481C1C}">
                          <a14:useLocalDpi xmlns:a14="http://schemas.microsoft.com/office/drawing/2010/main" val="0"/>
                        </a:ext>
                      </a:extLst>
                    </a:blip>
                    <a:srcRect l="689" t="1071" b="1112"/>
                    <a:stretch/>
                  </pic:blipFill>
                  <pic:spPr bwMode="auto">
                    <a:xfrm>
                      <a:off x="0" y="0"/>
                      <a:ext cx="5899470" cy="1870248"/>
                    </a:xfrm>
                    <a:prstGeom prst="rect">
                      <a:avLst/>
                    </a:prstGeom>
                    <a:ln>
                      <a:noFill/>
                    </a:ln>
                    <a:extLst>
                      <a:ext uri="{53640926-AAD7-44D8-BBD7-CCE9431645EC}">
                        <a14:shadowObscured xmlns:a14="http://schemas.microsoft.com/office/drawing/2010/main"/>
                      </a:ext>
                    </a:extLst>
                  </pic:spPr>
                </pic:pic>
              </a:graphicData>
            </a:graphic>
          </wp:inline>
        </w:drawing>
      </w:r>
    </w:p>
    <w:p w14:paraId="6769C544" w14:textId="77777777" w:rsidR="000A1CD9" w:rsidRPr="00FD7B97" w:rsidRDefault="000A1CD9" w:rsidP="00132588">
      <w:pPr>
        <w:pStyle w:val="ACMANotes"/>
      </w:pPr>
      <w:r w:rsidRPr="00FD7B97">
        <w:t>Base: Number of subscribers.</w:t>
      </w:r>
    </w:p>
    <w:p w14:paraId="5FC1A97A" w14:textId="77777777" w:rsidR="000A1CD9" w:rsidRPr="00FD7B97" w:rsidRDefault="000A1CD9" w:rsidP="000A1CD9">
      <w:pPr>
        <w:pStyle w:val="ACMANotes"/>
      </w:pPr>
      <w:r w:rsidRPr="00FD7B97">
        <w:t xml:space="preserve">Note: The ABS has revised some mobile handset internet subscriber figures published in previous ACMA reports. </w:t>
      </w:r>
    </w:p>
    <w:p w14:paraId="238F9D1E" w14:textId="77777777" w:rsidR="000A1CD9" w:rsidRDefault="000A1CD9" w:rsidP="000A1CD9">
      <w:pPr>
        <w:pStyle w:val="ACMANotes"/>
      </w:pPr>
      <w:r w:rsidRPr="00FD7B97">
        <w:t xml:space="preserve">Source: ABS, </w:t>
      </w:r>
      <w:hyperlink r:id="rId47" w:history="1">
        <w:r w:rsidRPr="003F2304">
          <w:rPr>
            <w:i w:val="0"/>
            <w:color w:val="0000FF"/>
            <w:u w:val="single"/>
          </w:rPr>
          <w:t>8153.0 Internet activity, Australia</w:t>
        </w:r>
      </w:hyperlink>
      <w:r w:rsidRPr="003F2304">
        <w:rPr>
          <w:i w:val="0"/>
        </w:rPr>
        <w:t>,</w:t>
      </w:r>
      <w:r w:rsidRPr="00FD7B97">
        <w:t xml:space="preserve"> June </w:t>
      </w:r>
      <w:r w:rsidRPr="009C1BE9">
        <w:t>2016</w:t>
      </w:r>
      <w:r w:rsidRPr="00FD7B97">
        <w:t>.</w:t>
      </w:r>
    </w:p>
    <w:p w14:paraId="578B3BAC" w14:textId="77777777" w:rsidR="000A1CD9" w:rsidRPr="00FD7B97" w:rsidRDefault="000A1CD9" w:rsidP="000A1CD9">
      <w:pPr>
        <w:pStyle w:val="ACMASpaceaftertable"/>
      </w:pPr>
    </w:p>
    <w:p w14:paraId="137D2308" w14:textId="77777777" w:rsidR="000A1CD9" w:rsidRPr="00FD7E86" w:rsidRDefault="000A1CD9" w:rsidP="000A1CD9">
      <w:pPr>
        <w:pStyle w:val="Heading3"/>
      </w:pPr>
      <w:bookmarkStart w:id="309" w:name="_Toc462132213"/>
      <w:bookmarkStart w:id="310" w:name="_Toc462899556"/>
      <w:bookmarkStart w:id="311" w:name="_Toc463529042"/>
      <w:bookmarkStart w:id="312" w:name="_Toc465842862"/>
      <w:r w:rsidRPr="00ED31EE">
        <w:t>Domain name registrations</w:t>
      </w:r>
      <w:bookmarkEnd w:id="309"/>
      <w:bookmarkEnd w:id="310"/>
      <w:bookmarkEnd w:id="311"/>
      <w:bookmarkEnd w:id="312"/>
    </w:p>
    <w:p w14:paraId="42B5B2D0" w14:textId="77777777" w:rsidR="000A1CD9" w:rsidRDefault="000A1CD9" w:rsidP="000A1CD9">
      <w:r w:rsidRPr="00E8715B">
        <w:t>The number of domain names r</w:t>
      </w:r>
      <w:r>
        <w:t>egistered in Australia continues</w:t>
      </w:r>
      <w:r w:rsidRPr="00E8715B">
        <w:t xml:space="preserve"> to increase</w:t>
      </w:r>
      <w:r>
        <w:t xml:space="preserve">, providing evidence about internet use by businesses and organisations. </w:t>
      </w:r>
    </w:p>
    <w:p w14:paraId="4F99A549" w14:textId="77777777" w:rsidR="000A1CD9" w:rsidRDefault="000A1CD9" w:rsidP="000A1CD9">
      <w:r>
        <w:t xml:space="preserve">The </w:t>
      </w:r>
      <w:r w:rsidRPr="00E8715B">
        <w:t>‘</w:t>
      </w:r>
      <w:r>
        <w:t>.</w:t>
      </w:r>
      <w:r w:rsidRPr="00E8715B">
        <w:t xml:space="preserve">au’ domain </w:t>
      </w:r>
      <w:r>
        <w:t xml:space="preserve">is used </w:t>
      </w:r>
      <w:r w:rsidRPr="00E8715B">
        <w:t xml:space="preserve">to identify the locality of </w:t>
      </w:r>
      <w:r>
        <w:t>a</w:t>
      </w:r>
      <w:r w:rsidRPr="00E8715B">
        <w:t xml:space="preserve"> business.</w:t>
      </w:r>
      <w:r>
        <w:t xml:space="preserve"> In the 12 months to June 2016</w:t>
      </w:r>
      <w:r w:rsidRPr="00E8715B">
        <w:t xml:space="preserve">, the number of registered </w:t>
      </w:r>
      <w:r>
        <w:t>‘</w:t>
      </w:r>
      <w:r w:rsidRPr="00E8715B">
        <w:t>.au</w:t>
      </w:r>
      <w:r>
        <w:t>’</w:t>
      </w:r>
      <w:r w:rsidRPr="00E8715B">
        <w:t xml:space="preserve"> domain names in</w:t>
      </w:r>
      <w:r>
        <w:t>creased by two per cent to 3.04</w:t>
      </w:r>
      <w:r w:rsidRPr="00E8715B">
        <w:t xml:space="preserve"> million. </w:t>
      </w:r>
    </w:p>
    <w:p w14:paraId="5466C58C" w14:textId="77777777" w:rsidR="000A1CD9" w:rsidRDefault="000A1CD9" w:rsidP="000A1CD9">
      <w:pPr>
        <w:spacing w:after="80"/>
      </w:pPr>
      <w:r w:rsidRPr="00E8715B">
        <w:t xml:space="preserve">The registration of </w:t>
      </w:r>
      <w:r>
        <w:t>‘</w:t>
      </w:r>
      <w:r w:rsidRPr="00E8715B">
        <w:t>.au</w:t>
      </w:r>
      <w:r>
        <w:t>’</w:t>
      </w:r>
      <w:r w:rsidRPr="00E8715B">
        <w:t xml:space="preserve"> domain</w:t>
      </w:r>
      <w:r>
        <w:t xml:space="preserve"> names is administered by the not-for-profit organisation .auDA </w:t>
      </w:r>
      <w:r w:rsidRPr="00E8715B">
        <w:t>(.au</w:t>
      </w:r>
      <w:r>
        <w:t> </w:t>
      </w:r>
      <w:r w:rsidRPr="00E8715B">
        <w:t xml:space="preserve">Domain Administration Ltd). The </w:t>
      </w:r>
      <w:r>
        <w:t>‘</w:t>
      </w:r>
      <w:r w:rsidRPr="00E8715B">
        <w:t>.au</w:t>
      </w:r>
      <w:r>
        <w:t>’</w:t>
      </w:r>
      <w:r w:rsidRPr="00E8715B">
        <w:t xml:space="preserve"> country code for Australia covers the second-level domains</w:t>
      </w:r>
      <w:r>
        <w:t xml:space="preserve"> (2LDs), which fall into three broad categories:</w:t>
      </w:r>
    </w:p>
    <w:p w14:paraId="05B57882" w14:textId="77777777" w:rsidR="000A1CD9" w:rsidRPr="00EA1DF5" w:rsidRDefault="000A1CD9" w:rsidP="00FD1455">
      <w:pPr>
        <w:pStyle w:val="ListBullet"/>
      </w:pPr>
      <w:r>
        <w:t>‘Open’ 2LDs—open to the general public—asn.au, com.au, net.au, id.au, org.au.</w:t>
      </w:r>
    </w:p>
    <w:p w14:paraId="1DDCD53E" w14:textId="77777777" w:rsidR="000A1CD9" w:rsidRDefault="000A1CD9" w:rsidP="00FD1455">
      <w:pPr>
        <w:pStyle w:val="ListBullet"/>
      </w:pPr>
      <w:r>
        <w:t>‘Closed’ 2LDs—closed to the general public, and only available to entities within a defined sector—edu.au, gov.au, csiro.au.</w:t>
      </w:r>
    </w:p>
    <w:p w14:paraId="3BED5FF9" w14:textId="77777777" w:rsidR="000A1CD9" w:rsidRDefault="000A1CD9" w:rsidP="000A1CD9">
      <w:pPr>
        <w:pStyle w:val="ListBulletLast"/>
      </w:pPr>
      <w:r>
        <w:t xml:space="preserve">Community Geographic Domain Names (CGDNs)—reserved for use by community groups and only for Australian geographic </w:t>
      </w:r>
      <w:r w:rsidRPr="00420C8E">
        <w:t>locations</w:t>
      </w:r>
      <w:r>
        <w:t xml:space="preserve">—act.au, nsw.au and so on. </w:t>
      </w:r>
    </w:p>
    <w:p w14:paraId="1C87B2FE" w14:textId="77777777" w:rsidR="000A1CD9" w:rsidRPr="00E8715B" w:rsidRDefault="000A1CD9" w:rsidP="000A1CD9">
      <w:r w:rsidRPr="00E8715B">
        <w:t xml:space="preserve">The </w:t>
      </w:r>
      <w:r>
        <w:t>‘.com.au’ domain, designed for commercial entities, including companies and businesses, now accounts for 88</w:t>
      </w:r>
      <w:r w:rsidRPr="00E8715B">
        <w:t xml:space="preserve"> per cent of </w:t>
      </w:r>
      <w:r>
        <w:t>2LDs, up from 86 per cent a year ago.</w:t>
      </w:r>
      <w:r>
        <w:rPr>
          <w:rStyle w:val="EndnoteReference"/>
        </w:rPr>
        <w:endnoteReference w:id="58"/>
      </w:r>
      <w:r>
        <w:t xml:space="preserve"> </w:t>
      </w:r>
    </w:p>
    <w:p w14:paraId="1CEA8474" w14:textId="77777777" w:rsidR="000A1CD9" w:rsidRDefault="000A1CD9" w:rsidP="000A1CD9">
      <w:r>
        <w:t xml:space="preserve">At June 2016, </w:t>
      </w:r>
      <w:r w:rsidRPr="00514039">
        <w:t>4,704</w:t>
      </w:r>
      <w:r>
        <w:rPr>
          <w:color w:val="1F4E79"/>
          <w:lang w:eastAsia="en-US"/>
        </w:rPr>
        <w:t xml:space="preserve"> </w:t>
      </w:r>
      <w:r>
        <w:t>‘.</w:t>
      </w:r>
      <w:r w:rsidRPr="00E8715B">
        <w:t xml:space="preserve">gov.au’ domain names </w:t>
      </w:r>
      <w:r>
        <w:t>were registered (including all tiers of government), up from 4,632 at June 2015</w:t>
      </w:r>
      <w:r w:rsidRPr="00E8715B">
        <w:rPr>
          <w:rFonts w:cs="Arial"/>
          <w:szCs w:val="20"/>
        </w:rPr>
        <w:t>.</w:t>
      </w:r>
      <w:r w:rsidRPr="00E8715B">
        <w:rPr>
          <w:rFonts w:cs="Arial"/>
          <w:szCs w:val="20"/>
          <w:vertAlign w:val="superscript"/>
        </w:rPr>
        <w:endnoteReference w:id="59"/>
      </w:r>
    </w:p>
    <w:p w14:paraId="6BE8293C" w14:textId="77777777" w:rsidR="000A1CD9" w:rsidRDefault="000A1CD9" w:rsidP="000926B9">
      <w:pPr>
        <w:pStyle w:val="Heading3"/>
        <w:keepNext w:val="0"/>
      </w:pPr>
      <w:bookmarkStart w:id="313" w:name="_Toc462132214"/>
      <w:bookmarkStart w:id="314" w:name="_Toc462899557"/>
      <w:bookmarkStart w:id="315" w:name="_Toc433790302"/>
      <w:bookmarkStart w:id="316" w:name="_Toc463529043"/>
      <w:bookmarkStart w:id="317" w:name="_Toc465842863"/>
      <w:r w:rsidRPr="00FD7E86">
        <w:t xml:space="preserve">Number of </w:t>
      </w:r>
      <w:bookmarkEnd w:id="313"/>
      <w:bookmarkEnd w:id="314"/>
      <w:bookmarkEnd w:id="315"/>
      <w:bookmarkEnd w:id="316"/>
      <w:r>
        <w:t>ISPs</w:t>
      </w:r>
      <w:bookmarkEnd w:id="317"/>
    </w:p>
    <w:p w14:paraId="4482CD7F" w14:textId="77777777" w:rsidR="000A1CD9" w:rsidRDefault="000A1CD9" w:rsidP="000926B9">
      <w:pPr>
        <w:rPr>
          <w:rFonts w:cs="Arial"/>
        </w:rPr>
      </w:pPr>
      <w:r>
        <w:t>The 2015–16 financial year saw major changes in the market composition of the major ISPs in Australia.</w:t>
      </w:r>
    </w:p>
    <w:p w14:paraId="69124DC9" w14:textId="77777777" w:rsidR="000A1CD9" w:rsidRPr="0083578E" w:rsidRDefault="000A1CD9" w:rsidP="000926B9">
      <w:pPr>
        <w:spacing w:after="80"/>
        <w:rPr>
          <w:rFonts w:cs="Arial"/>
        </w:rPr>
      </w:pPr>
      <w:r>
        <w:rPr>
          <w:rFonts w:cs="Arial"/>
        </w:rPr>
        <w:t>At June 2016</w:t>
      </w:r>
      <w:r w:rsidRPr="0083578E">
        <w:rPr>
          <w:rFonts w:cs="Arial"/>
        </w:rPr>
        <w:t xml:space="preserve">, there were </w:t>
      </w:r>
      <w:r>
        <w:rPr>
          <w:rFonts w:cs="Arial"/>
        </w:rPr>
        <w:t>66</w:t>
      </w:r>
      <w:r w:rsidRPr="0083578E">
        <w:rPr>
          <w:rFonts w:cs="Arial"/>
        </w:rPr>
        <w:t xml:space="preserve"> ISPs with more than 1,000 subscribers operating in Australia, </w:t>
      </w:r>
      <w:r w:rsidRPr="00101030">
        <w:t>down</w:t>
      </w:r>
      <w:r w:rsidRPr="0083578E">
        <w:rPr>
          <w:rFonts w:cs="Arial"/>
        </w:rPr>
        <w:t xml:space="preserve"> from </w:t>
      </w:r>
      <w:r>
        <w:rPr>
          <w:rFonts w:cs="Arial"/>
        </w:rPr>
        <w:t>69</w:t>
      </w:r>
      <w:r w:rsidR="00FD1455">
        <w:rPr>
          <w:rFonts w:cs="Arial"/>
        </w:rPr>
        <w:t> </w:t>
      </w:r>
      <w:r>
        <w:rPr>
          <w:rFonts w:cs="Arial"/>
        </w:rPr>
        <w:t>at June 2015</w:t>
      </w:r>
      <w:r w:rsidRPr="0083578E">
        <w:rPr>
          <w:rFonts w:cs="Arial"/>
        </w:rPr>
        <w:t>. The distribution of ISPs by number of internet subscribers was:</w:t>
      </w:r>
    </w:p>
    <w:p w14:paraId="7E3F1140" w14:textId="77777777" w:rsidR="000A1CD9" w:rsidRPr="0083578E" w:rsidRDefault="000A1CD9" w:rsidP="000926B9">
      <w:pPr>
        <w:pStyle w:val="ListBullet"/>
        <w:spacing w:line="259" w:lineRule="auto"/>
      </w:pPr>
      <w:r>
        <w:t>33</w:t>
      </w:r>
      <w:r w:rsidRPr="0083578E">
        <w:t xml:space="preserve"> with 1,001–</w:t>
      </w:r>
      <w:r>
        <w:t xml:space="preserve">10,000 subscribers, </w:t>
      </w:r>
      <w:r w:rsidRPr="00101030">
        <w:t>down</w:t>
      </w:r>
      <w:r>
        <w:t xml:space="preserve"> from 39 at June 2015</w:t>
      </w:r>
    </w:p>
    <w:p w14:paraId="5485C068" w14:textId="77777777" w:rsidR="000A1CD9" w:rsidRPr="0083578E" w:rsidRDefault="000A1CD9" w:rsidP="000926B9">
      <w:pPr>
        <w:pStyle w:val="ListBullet"/>
        <w:spacing w:line="259" w:lineRule="auto"/>
      </w:pPr>
      <w:r>
        <w:t>23</w:t>
      </w:r>
      <w:r w:rsidRPr="0083578E">
        <w:t xml:space="preserve"> with 10,001</w:t>
      </w:r>
      <w:r>
        <w:t xml:space="preserve">–100,000 subscribers, </w:t>
      </w:r>
      <w:r w:rsidRPr="00101030">
        <w:t>up</w:t>
      </w:r>
      <w:r>
        <w:t xml:space="preserve"> from 20 at June 2015</w:t>
      </w:r>
    </w:p>
    <w:p w14:paraId="2A332EDF" w14:textId="77777777" w:rsidR="000A1CD9" w:rsidRPr="0083578E" w:rsidRDefault="000A1CD9" w:rsidP="000926B9">
      <w:pPr>
        <w:pStyle w:val="ListBulletLast"/>
      </w:pPr>
      <w:r>
        <w:t>10</w:t>
      </w:r>
      <w:r w:rsidRPr="0083578E">
        <w:t xml:space="preserve"> with 100,001 or</w:t>
      </w:r>
      <w:r>
        <w:t xml:space="preserve"> more subscribers, unchanged from the previous year</w:t>
      </w:r>
      <w:r w:rsidRPr="0083578E">
        <w:t>.</w:t>
      </w:r>
      <w:r w:rsidRPr="0083578E">
        <w:rPr>
          <w:vertAlign w:val="superscript"/>
        </w:rPr>
        <w:endnoteReference w:id="60"/>
      </w:r>
    </w:p>
    <w:p w14:paraId="0899F9BB" w14:textId="77777777" w:rsidR="00F851EB" w:rsidRDefault="000A1CD9" w:rsidP="000A1CD9">
      <w:r w:rsidRPr="0083578E">
        <w:lastRenderedPageBreak/>
        <w:t>Table 1.3 provides a snapshot of the internet services in o</w:t>
      </w:r>
      <w:r>
        <w:t>peration (SIOs) for the top four</w:t>
      </w:r>
      <w:r w:rsidRPr="0083578E">
        <w:t xml:space="preserve"> ISPs by number of subscribers in the Australian market—Telstra, Optus,</w:t>
      </w:r>
      <w:r>
        <w:t xml:space="preserve"> TPG (which includes iiNet) and Vocus Communications (which includes M2 Group)</w:t>
      </w:r>
      <w:r w:rsidRPr="0083578E">
        <w:t>.</w:t>
      </w:r>
      <w:r>
        <w:t xml:space="preserve"> All four</w:t>
      </w:r>
      <w:r w:rsidRPr="0083578E">
        <w:t xml:space="preserve"> report</w:t>
      </w:r>
      <w:r>
        <w:t>ed</w:t>
      </w:r>
      <w:r w:rsidRPr="0083578E">
        <w:t xml:space="preserve"> </w:t>
      </w:r>
      <w:r w:rsidRPr="00F45C61">
        <w:t>growth</w:t>
      </w:r>
      <w:r w:rsidRPr="0083578E">
        <w:t xml:space="preserve"> in the total number of broadband </w:t>
      </w:r>
      <w:r w:rsidRPr="00F851EB">
        <w:t>subscribers</w:t>
      </w:r>
      <w:r w:rsidRPr="0083578E">
        <w:t>.</w:t>
      </w:r>
      <w:r w:rsidRPr="00FD7E86">
        <w:t xml:space="preserve"> </w:t>
      </w:r>
    </w:p>
    <w:p w14:paraId="160E30CF" w14:textId="77777777" w:rsidR="000A1CD9" w:rsidRPr="00F851EB" w:rsidRDefault="000A1CD9" w:rsidP="000A1CD9">
      <w:r>
        <w:t>Previously the fourth-largest broadband provider in Australia, the Perth-based iiNet was acquired by TPG in August 2015.</w:t>
      </w:r>
      <w:r>
        <w:rPr>
          <w:rStyle w:val="EndnoteReference"/>
        </w:rPr>
        <w:endnoteReference w:id="61"/>
      </w:r>
      <w:r>
        <w:t xml:space="preserve"> M2 Group, which owned Dodo and iPrimus, merged with Vocus Communications in February 2016. The Australian brands of this group include Dodo, iPrimus, engin and Commander.</w:t>
      </w:r>
      <w:r>
        <w:rPr>
          <w:rStyle w:val="EndnoteReference"/>
        </w:rPr>
        <w:endnoteReference w:id="62"/>
      </w:r>
      <w:r>
        <w:t xml:space="preserve">  </w:t>
      </w:r>
    </w:p>
    <w:p w14:paraId="39733FAE" w14:textId="77777777" w:rsidR="000A1CD9" w:rsidRPr="00531CD0" w:rsidRDefault="000A1CD9" w:rsidP="00ED6390">
      <w:pPr>
        <w:pStyle w:val="ACMATableHeader"/>
        <w:keepNext/>
        <w:keepLines/>
        <w:numPr>
          <w:ilvl w:val="0"/>
          <w:numId w:val="0"/>
        </w:numPr>
        <w:ind w:left="1134" w:hanging="1134"/>
        <w:rPr>
          <w:color w:val="FFFFFF"/>
          <w:sz w:val="18"/>
        </w:rPr>
      </w:pPr>
      <w:bookmarkStart w:id="318" w:name="_Ref398650993"/>
      <w:r w:rsidRPr="00531CD0">
        <w:t>Table 1.</w:t>
      </w:r>
      <w:bookmarkEnd w:id="318"/>
      <w:r w:rsidRPr="00531CD0">
        <w:t>3</w:t>
      </w:r>
      <w:r>
        <w:tab/>
      </w:r>
      <w:r w:rsidRPr="00531CD0">
        <w:t>SIOs for key Australian ISPs</w:t>
      </w:r>
    </w:p>
    <w:tbl>
      <w:tblPr>
        <w:tblpPr w:leftFromText="180" w:rightFromText="180" w:vertAnchor="text" w:tblpY="1"/>
        <w:tblOverlap w:val="never"/>
        <w:tblW w:w="957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57" w:type="dxa"/>
          <w:left w:w="57" w:type="dxa"/>
          <w:bottom w:w="57" w:type="dxa"/>
          <w:right w:w="57" w:type="dxa"/>
        </w:tblCellMar>
        <w:tblLook w:val="01E0" w:firstRow="1" w:lastRow="1" w:firstColumn="1" w:lastColumn="1" w:noHBand="0" w:noVBand="0"/>
        <w:tblCaption w:val="Table 1.3 SIOs for key Australian ISPs"/>
      </w:tblPr>
      <w:tblGrid>
        <w:gridCol w:w="1813"/>
        <w:gridCol w:w="2835"/>
        <w:gridCol w:w="1231"/>
        <w:gridCol w:w="1231"/>
        <w:gridCol w:w="1231"/>
        <w:gridCol w:w="1231"/>
      </w:tblGrid>
      <w:tr w:rsidR="000A1CD9" w:rsidRPr="006E632B" w14:paraId="6B83904E" w14:textId="77777777" w:rsidTr="00E32E84">
        <w:trPr>
          <w:trHeight w:val="425"/>
          <w:tblHeader/>
        </w:trPr>
        <w:tc>
          <w:tcPr>
            <w:tcW w:w="1813" w:type="dxa"/>
            <w:shd w:val="clear" w:color="auto" w:fill="007298"/>
            <w:tcMar>
              <w:left w:w="113" w:type="dxa"/>
            </w:tcMar>
          </w:tcPr>
          <w:p w14:paraId="155EBED2" w14:textId="77777777" w:rsidR="000A1CD9" w:rsidRPr="00F851EB" w:rsidRDefault="000A1CD9" w:rsidP="00ED6390">
            <w:pPr>
              <w:pStyle w:val="TableHeading"/>
              <w:keepNext/>
              <w:keepLines/>
              <w:spacing w:before="0" w:line="240" w:lineRule="auto"/>
            </w:pPr>
            <w:r w:rsidRPr="00F851EB">
              <w:t>ISP</w:t>
            </w:r>
          </w:p>
        </w:tc>
        <w:tc>
          <w:tcPr>
            <w:tcW w:w="2835" w:type="dxa"/>
            <w:shd w:val="clear" w:color="auto" w:fill="007298"/>
            <w:tcMar>
              <w:left w:w="113" w:type="dxa"/>
            </w:tcMar>
          </w:tcPr>
          <w:p w14:paraId="6ECB3223" w14:textId="77777777" w:rsidR="000A1CD9" w:rsidRPr="00F851EB" w:rsidRDefault="000A1CD9" w:rsidP="00ED6390">
            <w:pPr>
              <w:pStyle w:val="TableHeading"/>
              <w:keepNext/>
              <w:keepLines/>
              <w:spacing w:before="0" w:line="240" w:lineRule="auto"/>
            </w:pPr>
            <w:r w:rsidRPr="00F851EB">
              <w:t>Internet SIO</w:t>
            </w:r>
          </w:p>
        </w:tc>
        <w:tc>
          <w:tcPr>
            <w:tcW w:w="1231" w:type="dxa"/>
            <w:shd w:val="clear" w:color="auto" w:fill="007298"/>
            <w:noWrap/>
            <w:tcMar>
              <w:right w:w="57" w:type="dxa"/>
            </w:tcMar>
          </w:tcPr>
          <w:p w14:paraId="044F5D3B" w14:textId="77777777" w:rsidR="000A1CD9" w:rsidRPr="00F851EB" w:rsidRDefault="008D3805" w:rsidP="00ED6390">
            <w:pPr>
              <w:pStyle w:val="TableHeading"/>
              <w:keepNext/>
              <w:keepLines/>
              <w:spacing w:before="0" w:line="240" w:lineRule="auto"/>
              <w:jc w:val="right"/>
            </w:pPr>
            <w:r w:rsidRPr="00F851EB">
              <w:t xml:space="preserve">2014 </w:t>
            </w:r>
            <w:r w:rsidRPr="00F851EB">
              <w:br/>
            </w:r>
            <w:r w:rsidR="000A1CD9" w:rsidRPr="00F851EB">
              <w:t>(‘000)</w:t>
            </w:r>
          </w:p>
        </w:tc>
        <w:tc>
          <w:tcPr>
            <w:tcW w:w="1231" w:type="dxa"/>
            <w:shd w:val="clear" w:color="auto" w:fill="007298"/>
            <w:noWrap/>
            <w:tcMar>
              <w:right w:w="57" w:type="dxa"/>
            </w:tcMar>
          </w:tcPr>
          <w:p w14:paraId="73B8654A" w14:textId="77777777" w:rsidR="000A1CD9" w:rsidRPr="00F851EB" w:rsidRDefault="000A1CD9" w:rsidP="00ED6390">
            <w:pPr>
              <w:pStyle w:val="TableHeading"/>
              <w:keepNext/>
              <w:keepLines/>
              <w:spacing w:before="0" w:line="240" w:lineRule="auto"/>
              <w:jc w:val="right"/>
            </w:pPr>
            <w:r w:rsidRPr="00F851EB">
              <w:t>2015</w:t>
            </w:r>
            <w:r w:rsidR="008D3805" w:rsidRPr="00F851EB">
              <w:t xml:space="preserve"> </w:t>
            </w:r>
            <w:r w:rsidR="008D3805" w:rsidRPr="00F851EB">
              <w:br/>
            </w:r>
            <w:r w:rsidRPr="00F851EB">
              <w:t>(‘000)</w:t>
            </w:r>
          </w:p>
        </w:tc>
        <w:tc>
          <w:tcPr>
            <w:tcW w:w="1231" w:type="dxa"/>
            <w:shd w:val="clear" w:color="auto" w:fill="007298"/>
            <w:noWrap/>
            <w:tcMar>
              <w:right w:w="57" w:type="dxa"/>
            </w:tcMar>
          </w:tcPr>
          <w:p w14:paraId="0412C551" w14:textId="77777777" w:rsidR="000A1CD9" w:rsidRPr="00F851EB" w:rsidRDefault="000A1CD9" w:rsidP="00ED6390">
            <w:pPr>
              <w:pStyle w:val="TableHeading"/>
              <w:keepNext/>
              <w:keepLines/>
              <w:spacing w:before="0" w:line="240" w:lineRule="auto"/>
              <w:jc w:val="right"/>
            </w:pPr>
            <w:r w:rsidRPr="00F851EB">
              <w:t>2016</w:t>
            </w:r>
            <w:r w:rsidR="008D3805" w:rsidRPr="00F851EB">
              <w:t xml:space="preserve"> </w:t>
            </w:r>
            <w:r w:rsidR="008D3805" w:rsidRPr="00F851EB">
              <w:br/>
            </w:r>
            <w:r w:rsidRPr="00F851EB">
              <w:t>(‘000)</w:t>
            </w:r>
          </w:p>
        </w:tc>
        <w:tc>
          <w:tcPr>
            <w:tcW w:w="1231" w:type="dxa"/>
            <w:shd w:val="clear" w:color="auto" w:fill="007298"/>
            <w:noWrap/>
            <w:tcMar>
              <w:right w:w="57" w:type="dxa"/>
            </w:tcMar>
          </w:tcPr>
          <w:p w14:paraId="5F286A99" w14:textId="77777777" w:rsidR="000A1CD9" w:rsidRPr="00F851EB" w:rsidRDefault="000A1CD9" w:rsidP="00ED6390">
            <w:pPr>
              <w:pStyle w:val="TableHeading"/>
              <w:keepNext/>
              <w:keepLines/>
              <w:spacing w:before="0" w:line="240" w:lineRule="auto"/>
              <w:jc w:val="right"/>
            </w:pPr>
            <w:r w:rsidRPr="00F851EB">
              <w:t>Change</w:t>
            </w:r>
          </w:p>
          <w:p w14:paraId="2C8E55F0" w14:textId="77777777" w:rsidR="000A1CD9" w:rsidRPr="00F851EB" w:rsidRDefault="000A1CD9" w:rsidP="00ED6390">
            <w:pPr>
              <w:pStyle w:val="TableHeading"/>
              <w:keepNext/>
              <w:keepLines/>
              <w:spacing w:before="0" w:line="240" w:lineRule="auto"/>
              <w:jc w:val="right"/>
            </w:pPr>
            <w:r w:rsidRPr="00F851EB">
              <w:t>(%)</w:t>
            </w:r>
          </w:p>
        </w:tc>
      </w:tr>
      <w:tr w:rsidR="000A1CD9" w:rsidRPr="006E632B" w14:paraId="009FF996" w14:textId="77777777" w:rsidTr="00E32E84">
        <w:trPr>
          <w:trHeight w:val="139"/>
        </w:trPr>
        <w:tc>
          <w:tcPr>
            <w:tcW w:w="1813" w:type="dxa"/>
            <w:vMerge w:val="restart"/>
            <w:shd w:val="clear" w:color="auto" w:fill="7FB8CB"/>
            <w:tcMar>
              <w:left w:w="113" w:type="dxa"/>
            </w:tcMar>
            <w:vAlign w:val="center"/>
          </w:tcPr>
          <w:p w14:paraId="3144026A" w14:textId="77777777" w:rsidR="000A1CD9" w:rsidRPr="006E7298" w:rsidRDefault="000A1CD9" w:rsidP="00ED6390">
            <w:pPr>
              <w:keepNext/>
              <w:keepLines/>
              <w:spacing w:after="0" w:line="240" w:lineRule="auto"/>
              <w:rPr>
                <w:rFonts w:cs="Arial"/>
                <w:b/>
                <w:color w:val="FFFFFF" w:themeColor="background1"/>
                <w:sz w:val="18"/>
                <w:szCs w:val="18"/>
                <w:lang w:eastAsia="en-US"/>
              </w:rPr>
            </w:pPr>
            <w:r w:rsidRPr="006E7298">
              <w:rPr>
                <w:rFonts w:cs="Arial"/>
                <w:b/>
                <w:color w:val="FFFFFF" w:themeColor="background1"/>
                <w:sz w:val="18"/>
                <w:szCs w:val="18"/>
                <w:lang w:eastAsia="en-US"/>
              </w:rPr>
              <w:t>Telstra</w:t>
            </w:r>
          </w:p>
        </w:tc>
        <w:tc>
          <w:tcPr>
            <w:tcW w:w="2835" w:type="dxa"/>
            <w:shd w:val="clear" w:color="auto" w:fill="7FB8CB"/>
            <w:tcMar>
              <w:left w:w="113" w:type="dxa"/>
            </w:tcMar>
          </w:tcPr>
          <w:p w14:paraId="191D5C93" w14:textId="77777777" w:rsidR="000A1CD9" w:rsidRPr="006E7298" w:rsidRDefault="000A1CD9"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Fixed-broadband retail</w:t>
            </w:r>
          </w:p>
        </w:tc>
        <w:tc>
          <w:tcPr>
            <w:tcW w:w="1231" w:type="dxa"/>
            <w:shd w:val="clear" w:color="auto" w:fill="D2E1E9"/>
            <w:tcMar>
              <w:right w:w="57" w:type="dxa"/>
            </w:tcMar>
          </w:tcPr>
          <w:p w14:paraId="1675327F" w14:textId="77777777" w:rsidR="000A1CD9" w:rsidRPr="0085516D" w:rsidDel="0006558B" w:rsidRDefault="000A1CD9" w:rsidP="00ED6390">
            <w:pPr>
              <w:keepNext/>
              <w:keepLines/>
              <w:tabs>
                <w:tab w:val="left" w:pos="723"/>
              </w:tabs>
              <w:spacing w:after="0" w:line="240" w:lineRule="auto"/>
              <w:jc w:val="right"/>
              <w:rPr>
                <w:rFonts w:cs="Arial"/>
                <w:b/>
                <w:sz w:val="18"/>
                <w:szCs w:val="18"/>
              </w:rPr>
            </w:pPr>
            <w:r w:rsidRPr="003A03C2">
              <w:rPr>
                <w:rFonts w:cs="Arial"/>
                <w:sz w:val="18"/>
                <w:szCs w:val="18"/>
              </w:rPr>
              <w:t>2,956</w:t>
            </w:r>
            <w:r w:rsidRPr="00101030">
              <w:rPr>
                <w:rFonts w:cs="Arial"/>
                <w:sz w:val="18"/>
                <w:szCs w:val="18"/>
                <w:vertAlign w:val="superscript"/>
              </w:rPr>
              <w:t>†</w:t>
            </w:r>
          </w:p>
        </w:tc>
        <w:tc>
          <w:tcPr>
            <w:tcW w:w="1231" w:type="dxa"/>
            <w:shd w:val="clear" w:color="auto" w:fill="D2E1E9"/>
            <w:tcMar>
              <w:right w:w="57" w:type="dxa"/>
            </w:tcMar>
          </w:tcPr>
          <w:p w14:paraId="291EE35E" w14:textId="77777777" w:rsidR="000A1CD9" w:rsidRPr="0085516D" w:rsidRDefault="000A1CD9" w:rsidP="00ED6390">
            <w:pPr>
              <w:keepNext/>
              <w:keepLines/>
              <w:tabs>
                <w:tab w:val="left" w:pos="723"/>
              </w:tabs>
              <w:spacing w:after="0" w:line="240" w:lineRule="auto"/>
              <w:jc w:val="right"/>
              <w:rPr>
                <w:rFonts w:cs="Arial"/>
                <w:sz w:val="18"/>
                <w:szCs w:val="18"/>
              </w:rPr>
            </w:pPr>
            <w:r w:rsidRPr="0085516D">
              <w:rPr>
                <w:rFonts w:cs="Arial"/>
                <w:sz w:val="18"/>
                <w:szCs w:val="18"/>
              </w:rPr>
              <w:t>3,145</w:t>
            </w:r>
          </w:p>
        </w:tc>
        <w:tc>
          <w:tcPr>
            <w:tcW w:w="1231" w:type="dxa"/>
            <w:shd w:val="clear" w:color="auto" w:fill="D2E1E9"/>
            <w:tcMar>
              <w:right w:w="57" w:type="dxa"/>
            </w:tcMar>
          </w:tcPr>
          <w:p w14:paraId="21054D97" w14:textId="77777777" w:rsidR="000A1CD9" w:rsidRPr="003A03C2" w:rsidRDefault="000A1CD9" w:rsidP="00ED6390">
            <w:pPr>
              <w:keepNext/>
              <w:keepLines/>
              <w:tabs>
                <w:tab w:val="left" w:pos="723"/>
              </w:tabs>
              <w:spacing w:after="0" w:line="240" w:lineRule="auto"/>
              <w:jc w:val="right"/>
              <w:rPr>
                <w:rFonts w:cs="Arial"/>
                <w:sz w:val="18"/>
                <w:szCs w:val="18"/>
              </w:rPr>
            </w:pPr>
            <w:r w:rsidRPr="003A03C2">
              <w:rPr>
                <w:rFonts w:cs="Arial"/>
                <w:sz w:val="18"/>
                <w:szCs w:val="18"/>
              </w:rPr>
              <w:t>3,379</w:t>
            </w:r>
          </w:p>
        </w:tc>
        <w:tc>
          <w:tcPr>
            <w:tcW w:w="1231" w:type="dxa"/>
            <w:shd w:val="clear" w:color="auto" w:fill="D2E1E9"/>
            <w:tcMar>
              <w:right w:w="57" w:type="dxa"/>
            </w:tcMar>
          </w:tcPr>
          <w:p w14:paraId="637E556C" w14:textId="77777777" w:rsidR="000A1CD9" w:rsidRPr="00984456" w:rsidRDefault="000A1CD9" w:rsidP="00ED6390">
            <w:pPr>
              <w:keepNext/>
              <w:keepLines/>
              <w:tabs>
                <w:tab w:val="left" w:pos="723"/>
              </w:tabs>
              <w:spacing w:after="0" w:line="240" w:lineRule="auto"/>
              <w:jc w:val="right"/>
              <w:rPr>
                <w:rFonts w:cs="Arial"/>
                <w:sz w:val="18"/>
                <w:szCs w:val="18"/>
                <w:highlight w:val="yellow"/>
              </w:rPr>
            </w:pPr>
            <w:r w:rsidRPr="00984456">
              <w:rPr>
                <w:rFonts w:cs="Arial"/>
                <w:sz w:val="18"/>
                <w:szCs w:val="18"/>
              </w:rPr>
              <w:t>7.4</w:t>
            </w:r>
          </w:p>
        </w:tc>
      </w:tr>
      <w:tr w:rsidR="000A1CD9" w:rsidRPr="006E632B" w14:paraId="48CABF0F" w14:textId="77777777" w:rsidTr="00E32E84">
        <w:trPr>
          <w:trHeight w:val="103"/>
        </w:trPr>
        <w:tc>
          <w:tcPr>
            <w:tcW w:w="1813" w:type="dxa"/>
            <w:vMerge/>
            <w:shd w:val="clear" w:color="auto" w:fill="7FB8CB"/>
            <w:tcMar>
              <w:left w:w="113" w:type="dxa"/>
            </w:tcMar>
            <w:vAlign w:val="center"/>
          </w:tcPr>
          <w:p w14:paraId="1436B1CF" w14:textId="77777777" w:rsidR="000A1CD9" w:rsidRPr="006E7298" w:rsidRDefault="000A1CD9"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tcPr>
          <w:p w14:paraId="114FFC2A" w14:textId="77777777" w:rsidR="000A1CD9" w:rsidRPr="006E7298" w:rsidRDefault="000A1CD9" w:rsidP="00ED6390">
            <w:pPr>
              <w:keepNext/>
              <w:keepLines/>
              <w:spacing w:after="0" w:line="240" w:lineRule="auto"/>
              <w:rPr>
                <w:rFonts w:cs="Arial"/>
                <w:color w:val="FFFFFF" w:themeColor="background1"/>
                <w:sz w:val="18"/>
                <w:szCs w:val="18"/>
              </w:rPr>
            </w:pPr>
            <w:r w:rsidRPr="006E7298">
              <w:rPr>
                <w:rFonts w:cs="Arial"/>
                <w:color w:val="FFFFFF" w:themeColor="background1"/>
                <w:sz w:val="18"/>
                <w:szCs w:val="18"/>
              </w:rPr>
              <w:t>Fixed-broadband wholesale</w:t>
            </w:r>
          </w:p>
        </w:tc>
        <w:tc>
          <w:tcPr>
            <w:tcW w:w="1231" w:type="dxa"/>
            <w:shd w:val="clear" w:color="auto" w:fill="D2E1E9"/>
            <w:tcMar>
              <w:right w:w="57" w:type="dxa"/>
            </w:tcMar>
          </w:tcPr>
          <w:p w14:paraId="44898B72"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789</w:t>
            </w:r>
          </w:p>
        </w:tc>
        <w:tc>
          <w:tcPr>
            <w:tcW w:w="1231" w:type="dxa"/>
            <w:shd w:val="clear" w:color="auto" w:fill="D2E1E9"/>
            <w:tcMar>
              <w:right w:w="57" w:type="dxa"/>
            </w:tcMar>
          </w:tcPr>
          <w:p w14:paraId="6BB76EBD"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840</w:t>
            </w:r>
          </w:p>
        </w:tc>
        <w:tc>
          <w:tcPr>
            <w:tcW w:w="1231" w:type="dxa"/>
            <w:shd w:val="clear" w:color="auto" w:fill="D2E1E9"/>
            <w:tcMar>
              <w:right w:w="57" w:type="dxa"/>
            </w:tcMar>
          </w:tcPr>
          <w:p w14:paraId="77203467"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840</w:t>
            </w:r>
          </w:p>
        </w:tc>
        <w:tc>
          <w:tcPr>
            <w:tcW w:w="1231" w:type="dxa"/>
            <w:shd w:val="clear" w:color="auto" w:fill="D2E1E9"/>
            <w:tcMar>
              <w:right w:w="57" w:type="dxa"/>
            </w:tcMar>
          </w:tcPr>
          <w:p w14:paraId="29875B6A" w14:textId="77777777" w:rsidR="000A1CD9" w:rsidRPr="006E632B" w:rsidRDefault="00CD7337" w:rsidP="00ED6390">
            <w:pPr>
              <w:keepNext/>
              <w:keepLines/>
              <w:tabs>
                <w:tab w:val="left" w:pos="723"/>
              </w:tabs>
              <w:spacing w:after="0" w:line="240" w:lineRule="auto"/>
              <w:jc w:val="right"/>
              <w:rPr>
                <w:rFonts w:cs="Arial"/>
                <w:sz w:val="18"/>
                <w:szCs w:val="18"/>
                <w:highlight w:val="yellow"/>
              </w:rPr>
            </w:pPr>
            <w:r>
              <w:rPr>
                <w:rFonts w:cs="Arial"/>
                <w:sz w:val="18"/>
                <w:szCs w:val="18"/>
              </w:rPr>
              <w:t>−</w:t>
            </w:r>
            <w:r w:rsidR="000A1CD9" w:rsidRPr="006E632B">
              <w:rPr>
                <w:rFonts w:cs="Arial"/>
                <w:sz w:val="18"/>
                <w:szCs w:val="18"/>
              </w:rPr>
              <w:t>0.1</w:t>
            </w:r>
          </w:p>
        </w:tc>
      </w:tr>
      <w:tr w:rsidR="000A1CD9" w:rsidRPr="006E632B" w14:paraId="3EC88B51" w14:textId="77777777" w:rsidTr="00E32E84">
        <w:trPr>
          <w:trHeight w:val="425"/>
        </w:trPr>
        <w:tc>
          <w:tcPr>
            <w:tcW w:w="1813" w:type="dxa"/>
            <w:vMerge/>
            <w:shd w:val="clear" w:color="auto" w:fill="7FB8CB"/>
            <w:tcMar>
              <w:left w:w="113" w:type="dxa"/>
            </w:tcMar>
            <w:vAlign w:val="center"/>
          </w:tcPr>
          <w:p w14:paraId="25107C37" w14:textId="77777777" w:rsidR="000A1CD9" w:rsidRPr="006E7298" w:rsidRDefault="000A1CD9"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tcPr>
          <w:p w14:paraId="047A14B0" w14:textId="77777777" w:rsidR="000A1CD9" w:rsidRPr="006E7298" w:rsidRDefault="000A1CD9" w:rsidP="00ED6390">
            <w:pPr>
              <w:keepNext/>
              <w:keepLines/>
              <w:spacing w:after="0" w:line="240" w:lineRule="auto"/>
              <w:rPr>
                <w:rFonts w:cs="Arial"/>
                <w:color w:val="FFFFFF" w:themeColor="background1"/>
                <w:spacing w:val="-28"/>
                <w:sz w:val="18"/>
                <w:szCs w:val="18"/>
              </w:rPr>
            </w:pPr>
            <w:r w:rsidRPr="006E7298">
              <w:rPr>
                <w:rFonts w:cs="Arial"/>
                <w:color w:val="FFFFFF" w:themeColor="background1"/>
                <w:sz w:val="18"/>
                <w:szCs w:val="18"/>
              </w:rPr>
              <w:t>ISDN access (basic line equivalents)</w:t>
            </w:r>
          </w:p>
        </w:tc>
        <w:tc>
          <w:tcPr>
            <w:tcW w:w="1231" w:type="dxa"/>
            <w:shd w:val="clear" w:color="auto" w:fill="D2E1E9"/>
            <w:tcMar>
              <w:right w:w="57" w:type="dxa"/>
            </w:tcMar>
          </w:tcPr>
          <w:p w14:paraId="5A785B15"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1,225</w:t>
            </w:r>
          </w:p>
        </w:tc>
        <w:tc>
          <w:tcPr>
            <w:tcW w:w="1231" w:type="dxa"/>
            <w:shd w:val="clear" w:color="auto" w:fill="D2E1E9"/>
            <w:tcMar>
              <w:right w:w="57" w:type="dxa"/>
            </w:tcMar>
          </w:tcPr>
          <w:p w14:paraId="564B28D7"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1,137</w:t>
            </w:r>
          </w:p>
        </w:tc>
        <w:tc>
          <w:tcPr>
            <w:tcW w:w="1231" w:type="dxa"/>
            <w:shd w:val="clear" w:color="auto" w:fill="D2E1E9"/>
            <w:tcMar>
              <w:right w:w="57" w:type="dxa"/>
            </w:tcMar>
          </w:tcPr>
          <w:p w14:paraId="1C6AB5BF"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1,049</w:t>
            </w:r>
          </w:p>
        </w:tc>
        <w:tc>
          <w:tcPr>
            <w:tcW w:w="1231" w:type="dxa"/>
            <w:shd w:val="clear" w:color="auto" w:fill="D2E1E9"/>
            <w:tcMar>
              <w:right w:w="57" w:type="dxa"/>
            </w:tcMar>
          </w:tcPr>
          <w:p w14:paraId="44CB1A9B" w14:textId="77777777" w:rsidR="000A1CD9" w:rsidRPr="006E632B" w:rsidRDefault="000A1CD9" w:rsidP="00ED6390">
            <w:pPr>
              <w:keepNext/>
              <w:keepLines/>
              <w:tabs>
                <w:tab w:val="left" w:pos="723"/>
              </w:tabs>
              <w:spacing w:after="0" w:line="240" w:lineRule="auto"/>
              <w:jc w:val="right"/>
              <w:rPr>
                <w:rFonts w:cs="Arial"/>
                <w:sz w:val="18"/>
                <w:szCs w:val="18"/>
                <w:highlight w:val="yellow"/>
              </w:rPr>
            </w:pPr>
            <w:r w:rsidRPr="006E632B">
              <w:rPr>
                <w:rFonts w:cs="Arial"/>
                <w:sz w:val="18"/>
                <w:szCs w:val="18"/>
              </w:rPr>
              <w:t>–7.7</w:t>
            </w:r>
          </w:p>
        </w:tc>
      </w:tr>
      <w:tr w:rsidR="000A1CD9" w:rsidRPr="006E632B" w14:paraId="46028438" w14:textId="77777777" w:rsidTr="001B7940">
        <w:trPr>
          <w:trHeight w:val="335"/>
        </w:trPr>
        <w:tc>
          <w:tcPr>
            <w:tcW w:w="1813" w:type="dxa"/>
            <w:vMerge/>
            <w:shd w:val="clear" w:color="auto" w:fill="7FB8CB"/>
            <w:tcMar>
              <w:left w:w="113" w:type="dxa"/>
            </w:tcMar>
            <w:vAlign w:val="center"/>
          </w:tcPr>
          <w:p w14:paraId="2E95888E" w14:textId="77777777" w:rsidR="000A1CD9" w:rsidRPr="006E7298" w:rsidRDefault="000A1CD9" w:rsidP="00ED6390">
            <w:pPr>
              <w:keepNext/>
              <w:keepLines/>
              <w:spacing w:after="0" w:line="240" w:lineRule="auto"/>
              <w:rPr>
                <w:rFonts w:cs="Arial"/>
                <w:b/>
                <w:color w:val="FFFFFF" w:themeColor="background1"/>
                <w:spacing w:val="-28"/>
                <w:sz w:val="18"/>
                <w:szCs w:val="18"/>
              </w:rPr>
            </w:pPr>
          </w:p>
        </w:tc>
        <w:tc>
          <w:tcPr>
            <w:tcW w:w="2835" w:type="dxa"/>
            <w:shd w:val="clear" w:color="auto" w:fill="7FB8CB"/>
            <w:tcMar>
              <w:left w:w="113" w:type="dxa"/>
            </w:tcMar>
          </w:tcPr>
          <w:p w14:paraId="39A4792B" w14:textId="77777777" w:rsidR="000A1CD9" w:rsidRPr="006E7298" w:rsidRDefault="000A1CD9" w:rsidP="00ED6390">
            <w:pPr>
              <w:keepNext/>
              <w:keepLines/>
              <w:spacing w:after="0" w:line="240" w:lineRule="auto"/>
              <w:rPr>
                <w:rFonts w:cs="Arial"/>
                <w:color w:val="FFFFFF" w:themeColor="background1"/>
                <w:spacing w:val="-28"/>
                <w:sz w:val="18"/>
                <w:szCs w:val="18"/>
              </w:rPr>
            </w:pPr>
            <w:r w:rsidRPr="006E7298">
              <w:rPr>
                <w:rFonts w:cs="Arial"/>
                <w:b/>
                <w:color w:val="FFFFFF" w:themeColor="background1"/>
                <w:sz w:val="18"/>
                <w:szCs w:val="18"/>
              </w:rPr>
              <w:t>Total fixed internet subscribers</w:t>
            </w:r>
          </w:p>
        </w:tc>
        <w:tc>
          <w:tcPr>
            <w:tcW w:w="1231" w:type="dxa"/>
            <w:shd w:val="clear" w:color="auto" w:fill="7FB8CB"/>
            <w:tcMar>
              <w:right w:w="57" w:type="dxa"/>
            </w:tcMar>
          </w:tcPr>
          <w:p w14:paraId="75C92855" w14:textId="77777777" w:rsidR="000A1CD9" w:rsidRPr="006E7298" w:rsidRDefault="000A1CD9" w:rsidP="00ED6390">
            <w:pPr>
              <w:keepNext/>
              <w:keepLines/>
              <w:tabs>
                <w:tab w:val="left" w:pos="723"/>
              </w:tabs>
              <w:spacing w:after="0" w:line="240" w:lineRule="auto"/>
              <w:jc w:val="right"/>
              <w:rPr>
                <w:rFonts w:cs="Arial"/>
                <w:color w:val="FFFFFF" w:themeColor="background1"/>
                <w:sz w:val="18"/>
                <w:szCs w:val="18"/>
              </w:rPr>
            </w:pPr>
            <w:r w:rsidRPr="006E7298">
              <w:rPr>
                <w:rFonts w:cs="Arial"/>
                <w:b/>
                <w:color w:val="FFFFFF" w:themeColor="background1"/>
                <w:sz w:val="18"/>
                <w:szCs w:val="18"/>
              </w:rPr>
              <w:t>4,970</w:t>
            </w:r>
          </w:p>
        </w:tc>
        <w:tc>
          <w:tcPr>
            <w:tcW w:w="1231" w:type="dxa"/>
            <w:shd w:val="clear" w:color="auto" w:fill="7FB8CB"/>
            <w:tcMar>
              <w:right w:w="57" w:type="dxa"/>
            </w:tcMar>
          </w:tcPr>
          <w:p w14:paraId="411D2A2F" w14:textId="77777777" w:rsidR="000A1CD9" w:rsidRPr="006E7298" w:rsidRDefault="000A1CD9"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5,122</w:t>
            </w:r>
          </w:p>
        </w:tc>
        <w:tc>
          <w:tcPr>
            <w:tcW w:w="1231" w:type="dxa"/>
            <w:shd w:val="clear" w:color="auto" w:fill="7FB8CB"/>
            <w:tcMar>
              <w:right w:w="57" w:type="dxa"/>
            </w:tcMar>
          </w:tcPr>
          <w:p w14:paraId="16E816BB" w14:textId="77777777" w:rsidR="000A1CD9" w:rsidRPr="006E7298" w:rsidRDefault="000A1CD9"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5,268</w:t>
            </w:r>
          </w:p>
        </w:tc>
        <w:tc>
          <w:tcPr>
            <w:tcW w:w="1231" w:type="dxa"/>
            <w:shd w:val="clear" w:color="auto" w:fill="7FB8CB"/>
            <w:tcMar>
              <w:right w:w="57" w:type="dxa"/>
            </w:tcMar>
          </w:tcPr>
          <w:p w14:paraId="60BCCC9D" w14:textId="77777777" w:rsidR="000A1CD9" w:rsidRPr="006E7298" w:rsidRDefault="000A1CD9" w:rsidP="00ED6390">
            <w:pPr>
              <w:keepNext/>
              <w:keepLines/>
              <w:tabs>
                <w:tab w:val="left" w:pos="723"/>
              </w:tabs>
              <w:spacing w:after="0" w:line="240" w:lineRule="auto"/>
              <w:jc w:val="right"/>
              <w:rPr>
                <w:rFonts w:cs="Arial"/>
                <w:b/>
                <w:color w:val="FFFFFF" w:themeColor="background1"/>
                <w:sz w:val="18"/>
                <w:szCs w:val="18"/>
                <w:highlight w:val="yellow"/>
              </w:rPr>
            </w:pPr>
            <w:r w:rsidRPr="006E7298">
              <w:rPr>
                <w:rFonts w:cs="Arial"/>
                <w:b/>
                <w:color w:val="FFFFFF" w:themeColor="background1"/>
                <w:sz w:val="18"/>
                <w:szCs w:val="18"/>
              </w:rPr>
              <w:t>2.9</w:t>
            </w:r>
          </w:p>
        </w:tc>
      </w:tr>
      <w:tr w:rsidR="000A1CD9" w:rsidRPr="006E632B" w14:paraId="68ADBE51" w14:textId="77777777" w:rsidTr="00E32E84">
        <w:trPr>
          <w:trHeight w:val="232"/>
        </w:trPr>
        <w:tc>
          <w:tcPr>
            <w:tcW w:w="1813" w:type="dxa"/>
            <w:vMerge/>
            <w:shd w:val="clear" w:color="auto" w:fill="7FB8CB"/>
            <w:tcMar>
              <w:left w:w="113" w:type="dxa"/>
            </w:tcMar>
            <w:vAlign w:val="center"/>
          </w:tcPr>
          <w:p w14:paraId="6997225F" w14:textId="77777777" w:rsidR="000A1CD9" w:rsidRPr="006E7298" w:rsidRDefault="000A1CD9" w:rsidP="00ED6390">
            <w:pPr>
              <w:keepNext/>
              <w:keepLines/>
              <w:spacing w:after="0" w:line="240" w:lineRule="auto"/>
              <w:rPr>
                <w:rFonts w:cs="Arial"/>
                <w:b/>
                <w:color w:val="FFFFFF" w:themeColor="background1"/>
                <w:spacing w:val="-28"/>
                <w:sz w:val="18"/>
                <w:szCs w:val="18"/>
              </w:rPr>
            </w:pPr>
          </w:p>
        </w:tc>
        <w:tc>
          <w:tcPr>
            <w:tcW w:w="2835" w:type="dxa"/>
            <w:shd w:val="clear" w:color="auto" w:fill="7FB8CB"/>
            <w:tcMar>
              <w:left w:w="113" w:type="dxa"/>
            </w:tcMar>
          </w:tcPr>
          <w:p w14:paraId="660E8208" w14:textId="77777777" w:rsidR="000A1CD9" w:rsidRPr="006E7298" w:rsidRDefault="000A1CD9" w:rsidP="00ED6390">
            <w:pPr>
              <w:keepNext/>
              <w:keepLines/>
              <w:spacing w:after="0" w:line="240" w:lineRule="auto"/>
              <w:rPr>
                <w:rFonts w:cs="Arial"/>
                <w:color w:val="FFFFFF" w:themeColor="background1"/>
                <w:spacing w:val="-28"/>
                <w:sz w:val="18"/>
                <w:szCs w:val="18"/>
              </w:rPr>
            </w:pPr>
            <w:r w:rsidRPr="006E7298">
              <w:rPr>
                <w:rFonts w:cs="Arial"/>
                <w:color w:val="FFFFFF" w:themeColor="background1"/>
                <w:sz w:val="18"/>
                <w:szCs w:val="18"/>
              </w:rPr>
              <w:t>Mobile broadband (data card)</w:t>
            </w:r>
          </w:p>
        </w:tc>
        <w:tc>
          <w:tcPr>
            <w:tcW w:w="1231" w:type="dxa"/>
            <w:shd w:val="clear" w:color="auto" w:fill="D2E1E9"/>
            <w:tcMar>
              <w:right w:w="57" w:type="dxa"/>
            </w:tcMar>
          </w:tcPr>
          <w:p w14:paraId="559F5FD8"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3,679</w:t>
            </w:r>
          </w:p>
        </w:tc>
        <w:tc>
          <w:tcPr>
            <w:tcW w:w="1231" w:type="dxa"/>
            <w:shd w:val="clear" w:color="auto" w:fill="D2E1E9"/>
            <w:tcMar>
              <w:right w:w="57" w:type="dxa"/>
            </w:tcMar>
          </w:tcPr>
          <w:p w14:paraId="5E2CD3BC"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3,866</w:t>
            </w:r>
          </w:p>
        </w:tc>
        <w:tc>
          <w:tcPr>
            <w:tcW w:w="1231" w:type="dxa"/>
            <w:shd w:val="clear" w:color="auto" w:fill="D2E1E9"/>
            <w:tcMar>
              <w:right w:w="57" w:type="dxa"/>
            </w:tcMar>
          </w:tcPr>
          <w:p w14:paraId="78C3AD35"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3,960</w:t>
            </w:r>
          </w:p>
        </w:tc>
        <w:tc>
          <w:tcPr>
            <w:tcW w:w="1231" w:type="dxa"/>
            <w:shd w:val="clear" w:color="auto" w:fill="D2E1E9"/>
            <w:tcMar>
              <w:right w:w="57" w:type="dxa"/>
            </w:tcMar>
          </w:tcPr>
          <w:p w14:paraId="05D8C943" w14:textId="77777777" w:rsidR="000A1CD9" w:rsidRPr="006E632B" w:rsidRDefault="000A1CD9" w:rsidP="00ED6390">
            <w:pPr>
              <w:keepNext/>
              <w:keepLines/>
              <w:tabs>
                <w:tab w:val="left" w:pos="723"/>
              </w:tabs>
              <w:spacing w:after="0" w:line="240" w:lineRule="auto"/>
              <w:jc w:val="right"/>
              <w:rPr>
                <w:rFonts w:cs="Arial"/>
                <w:sz w:val="18"/>
                <w:szCs w:val="18"/>
                <w:highlight w:val="yellow"/>
              </w:rPr>
            </w:pPr>
            <w:r w:rsidRPr="006E632B">
              <w:rPr>
                <w:rFonts w:cs="Arial"/>
                <w:sz w:val="18"/>
                <w:szCs w:val="18"/>
              </w:rPr>
              <w:t>2.4</w:t>
            </w:r>
          </w:p>
        </w:tc>
      </w:tr>
      <w:tr w:rsidR="000A1CD9" w:rsidRPr="006E632B" w14:paraId="5FC3F788" w14:textId="77777777" w:rsidTr="00E32E84">
        <w:trPr>
          <w:trHeight w:val="203"/>
        </w:trPr>
        <w:tc>
          <w:tcPr>
            <w:tcW w:w="1813" w:type="dxa"/>
            <w:vMerge w:val="restart"/>
            <w:shd w:val="clear" w:color="auto" w:fill="7FB8CB"/>
            <w:tcMar>
              <w:left w:w="113" w:type="dxa"/>
            </w:tcMar>
            <w:vAlign w:val="center"/>
          </w:tcPr>
          <w:p w14:paraId="6C6B255B" w14:textId="77777777" w:rsidR="000A1CD9" w:rsidRPr="006E7298" w:rsidRDefault="000A1CD9" w:rsidP="00ED6390">
            <w:pPr>
              <w:keepNext/>
              <w:keepLines/>
              <w:spacing w:after="0" w:line="240" w:lineRule="auto"/>
              <w:rPr>
                <w:rFonts w:cs="Arial"/>
                <w:b/>
                <w:color w:val="FFFFFF" w:themeColor="background1"/>
                <w:sz w:val="18"/>
                <w:szCs w:val="18"/>
              </w:rPr>
            </w:pPr>
            <w:r w:rsidRPr="006E7298">
              <w:rPr>
                <w:rFonts w:cs="Arial"/>
                <w:b/>
                <w:color w:val="FFFFFF" w:themeColor="background1"/>
                <w:sz w:val="18"/>
                <w:szCs w:val="18"/>
              </w:rPr>
              <w:t>Optus</w:t>
            </w:r>
          </w:p>
        </w:tc>
        <w:tc>
          <w:tcPr>
            <w:tcW w:w="2835" w:type="dxa"/>
            <w:shd w:val="clear" w:color="auto" w:fill="7FB8CB"/>
            <w:tcMar>
              <w:left w:w="113" w:type="dxa"/>
            </w:tcMar>
          </w:tcPr>
          <w:p w14:paraId="6584FE88" w14:textId="77777777" w:rsidR="000A1CD9" w:rsidRPr="006E7298" w:rsidRDefault="000A1CD9"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On-net broadband customers*</w:t>
            </w:r>
          </w:p>
        </w:tc>
        <w:tc>
          <w:tcPr>
            <w:tcW w:w="1231" w:type="dxa"/>
            <w:shd w:val="clear" w:color="auto" w:fill="D2E1E9"/>
            <w:tcMar>
              <w:right w:w="57" w:type="dxa"/>
            </w:tcMar>
          </w:tcPr>
          <w:p w14:paraId="3A258597" w14:textId="77777777" w:rsidR="000A1CD9" w:rsidRPr="00984456" w:rsidDel="0006558B" w:rsidRDefault="000A1CD9" w:rsidP="00ED6390">
            <w:pPr>
              <w:keepNext/>
              <w:keepLines/>
              <w:tabs>
                <w:tab w:val="left" w:pos="723"/>
              </w:tabs>
              <w:spacing w:after="0" w:line="240" w:lineRule="auto"/>
              <w:jc w:val="right"/>
              <w:rPr>
                <w:rFonts w:cs="Arial"/>
                <w:b/>
                <w:sz w:val="18"/>
                <w:szCs w:val="18"/>
              </w:rPr>
            </w:pPr>
            <w:r w:rsidRPr="00984456">
              <w:rPr>
                <w:rFonts w:cs="Arial"/>
                <w:sz w:val="18"/>
                <w:szCs w:val="18"/>
              </w:rPr>
              <w:t>982</w:t>
            </w:r>
          </w:p>
        </w:tc>
        <w:tc>
          <w:tcPr>
            <w:tcW w:w="1231" w:type="dxa"/>
            <w:shd w:val="clear" w:color="auto" w:fill="D2E1E9"/>
            <w:tcMar>
              <w:right w:w="57" w:type="dxa"/>
            </w:tcMar>
          </w:tcPr>
          <w:p w14:paraId="4C82D80F" w14:textId="77777777" w:rsidR="000A1CD9" w:rsidRPr="00B12CE6" w:rsidRDefault="000A1CD9" w:rsidP="00ED6390">
            <w:pPr>
              <w:keepNext/>
              <w:keepLines/>
              <w:tabs>
                <w:tab w:val="left" w:pos="723"/>
              </w:tabs>
              <w:spacing w:after="0" w:line="240" w:lineRule="auto"/>
              <w:jc w:val="right"/>
              <w:rPr>
                <w:rFonts w:cs="Arial"/>
                <w:sz w:val="18"/>
                <w:szCs w:val="18"/>
              </w:rPr>
            </w:pPr>
            <w:r w:rsidRPr="00C30DCC">
              <w:rPr>
                <w:rFonts w:cs="Arial"/>
                <w:sz w:val="18"/>
                <w:szCs w:val="18"/>
              </w:rPr>
              <w:t>979</w:t>
            </w:r>
          </w:p>
        </w:tc>
        <w:tc>
          <w:tcPr>
            <w:tcW w:w="1231" w:type="dxa"/>
            <w:shd w:val="clear" w:color="auto" w:fill="D2E1E9"/>
            <w:tcMar>
              <w:right w:w="57" w:type="dxa"/>
            </w:tcMar>
          </w:tcPr>
          <w:p w14:paraId="52A787FF" w14:textId="77777777" w:rsidR="000A1CD9" w:rsidRPr="000609CE" w:rsidRDefault="000A1CD9" w:rsidP="00ED6390">
            <w:pPr>
              <w:keepNext/>
              <w:keepLines/>
              <w:tabs>
                <w:tab w:val="left" w:pos="723"/>
              </w:tabs>
              <w:spacing w:after="0" w:line="240" w:lineRule="auto"/>
              <w:jc w:val="right"/>
              <w:rPr>
                <w:rFonts w:cs="Arial"/>
                <w:sz w:val="18"/>
                <w:szCs w:val="18"/>
              </w:rPr>
            </w:pPr>
            <w:r w:rsidRPr="000609CE">
              <w:rPr>
                <w:rFonts w:cs="Arial"/>
                <w:sz w:val="18"/>
                <w:szCs w:val="18"/>
              </w:rPr>
              <w:t>914</w:t>
            </w:r>
          </w:p>
        </w:tc>
        <w:tc>
          <w:tcPr>
            <w:tcW w:w="1231" w:type="dxa"/>
            <w:shd w:val="clear" w:color="auto" w:fill="D2E1E9"/>
            <w:tcMar>
              <w:right w:w="57" w:type="dxa"/>
            </w:tcMar>
          </w:tcPr>
          <w:p w14:paraId="00192598" w14:textId="77777777" w:rsidR="000A1CD9" w:rsidRPr="00E021E0" w:rsidRDefault="000A1CD9" w:rsidP="00ED6390">
            <w:pPr>
              <w:keepNext/>
              <w:keepLines/>
              <w:tabs>
                <w:tab w:val="left" w:pos="723"/>
              </w:tabs>
              <w:spacing w:after="0" w:line="240" w:lineRule="auto"/>
              <w:jc w:val="right"/>
              <w:rPr>
                <w:rFonts w:cs="Arial"/>
                <w:sz w:val="18"/>
                <w:szCs w:val="18"/>
                <w:highlight w:val="yellow"/>
              </w:rPr>
            </w:pPr>
            <w:r w:rsidRPr="00E021E0">
              <w:rPr>
                <w:rFonts w:cs="Arial"/>
                <w:sz w:val="18"/>
                <w:szCs w:val="18"/>
              </w:rPr>
              <w:t>–6.6</w:t>
            </w:r>
          </w:p>
        </w:tc>
      </w:tr>
      <w:tr w:rsidR="000A1CD9" w:rsidRPr="006E632B" w14:paraId="58BF9333" w14:textId="77777777" w:rsidTr="00E32E84">
        <w:trPr>
          <w:trHeight w:val="183"/>
        </w:trPr>
        <w:tc>
          <w:tcPr>
            <w:tcW w:w="1813" w:type="dxa"/>
            <w:vMerge/>
            <w:shd w:val="clear" w:color="auto" w:fill="7FB8CB"/>
            <w:tcMar>
              <w:left w:w="113" w:type="dxa"/>
            </w:tcMar>
            <w:vAlign w:val="center"/>
          </w:tcPr>
          <w:p w14:paraId="7BFC08E7" w14:textId="77777777" w:rsidR="000A1CD9" w:rsidRPr="006E7298" w:rsidRDefault="000A1CD9"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tcPr>
          <w:p w14:paraId="0EEE6DFF" w14:textId="77777777" w:rsidR="000A1CD9" w:rsidRPr="006E7298" w:rsidRDefault="000A1CD9" w:rsidP="00ED6390">
            <w:pPr>
              <w:keepNext/>
              <w:keepLines/>
              <w:spacing w:after="0" w:line="240" w:lineRule="auto"/>
              <w:rPr>
                <w:rFonts w:cs="Arial"/>
                <w:color w:val="FFFFFF" w:themeColor="background1"/>
                <w:sz w:val="18"/>
                <w:szCs w:val="18"/>
              </w:rPr>
            </w:pPr>
            <w:r w:rsidRPr="006E7298">
              <w:rPr>
                <w:rFonts w:cs="Arial"/>
                <w:color w:val="FFFFFF" w:themeColor="background1"/>
                <w:sz w:val="18"/>
                <w:szCs w:val="18"/>
              </w:rPr>
              <w:t>Off-net resale</w:t>
            </w:r>
          </w:p>
        </w:tc>
        <w:tc>
          <w:tcPr>
            <w:tcW w:w="1231" w:type="dxa"/>
            <w:shd w:val="clear" w:color="auto" w:fill="D2E1E9"/>
            <w:tcMar>
              <w:right w:w="57" w:type="dxa"/>
            </w:tcMar>
          </w:tcPr>
          <w:p w14:paraId="6BFE8EA6"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9</w:t>
            </w:r>
          </w:p>
        </w:tc>
        <w:tc>
          <w:tcPr>
            <w:tcW w:w="1231" w:type="dxa"/>
            <w:shd w:val="clear" w:color="auto" w:fill="D2E1E9"/>
            <w:tcMar>
              <w:right w:w="57" w:type="dxa"/>
            </w:tcMar>
          </w:tcPr>
          <w:p w14:paraId="1FB36D4B"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7</w:t>
            </w:r>
          </w:p>
        </w:tc>
        <w:tc>
          <w:tcPr>
            <w:tcW w:w="1231" w:type="dxa"/>
            <w:shd w:val="clear" w:color="auto" w:fill="D2E1E9"/>
            <w:tcMar>
              <w:right w:w="57" w:type="dxa"/>
            </w:tcMar>
          </w:tcPr>
          <w:p w14:paraId="41749ACE"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31</w:t>
            </w:r>
          </w:p>
        </w:tc>
        <w:tc>
          <w:tcPr>
            <w:tcW w:w="1231" w:type="dxa"/>
            <w:shd w:val="clear" w:color="auto" w:fill="D2E1E9"/>
            <w:tcMar>
              <w:right w:w="57" w:type="dxa"/>
            </w:tcMar>
          </w:tcPr>
          <w:p w14:paraId="3163B265" w14:textId="77777777" w:rsidR="000A1CD9" w:rsidRPr="006E632B" w:rsidRDefault="000A1CD9" w:rsidP="00ED6390">
            <w:pPr>
              <w:keepNext/>
              <w:keepLines/>
              <w:tabs>
                <w:tab w:val="left" w:pos="723"/>
              </w:tabs>
              <w:spacing w:after="0" w:line="240" w:lineRule="auto"/>
              <w:jc w:val="right"/>
              <w:rPr>
                <w:rFonts w:cs="Arial"/>
                <w:sz w:val="18"/>
                <w:szCs w:val="18"/>
                <w:highlight w:val="yellow"/>
              </w:rPr>
            </w:pPr>
            <w:r w:rsidRPr="006E632B">
              <w:rPr>
                <w:rFonts w:cs="Arial"/>
                <w:sz w:val="18"/>
                <w:szCs w:val="18"/>
              </w:rPr>
              <w:t>342.9</w:t>
            </w:r>
          </w:p>
        </w:tc>
      </w:tr>
      <w:tr w:rsidR="000A1CD9" w:rsidRPr="006E632B" w14:paraId="2C408867" w14:textId="77777777" w:rsidTr="00E32E84">
        <w:trPr>
          <w:trHeight w:val="149"/>
        </w:trPr>
        <w:tc>
          <w:tcPr>
            <w:tcW w:w="1813" w:type="dxa"/>
            <w:vMerge/>
            <w:shd w:val="clear" w:color="auto" w:fill="7FB8CB"/>
            <w:tcMar>
              <w:left w:w="113" w:type="dxa"/>
            </w:tcMar>
            <w:vAlign w:val="center"/>
          </w:tcPr>
          <w:p w14:paraId="487EE272" w14:textId="77777777" w:rsidR="000A1CD9" w:rsidRPr="006E7298" w:rsidRDefault="000A1CD9"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tcPr>
          <w:p w14:paraId="46C1FDDD" w14:textId="77777777" w:rsidR="000A1CD9" w:rsidRPr="006E7298" w:rsidRDefault="000A1CD9" w:rsidP="00ED6390">
            <w:pPr>
              <w:keepNext/>
              <w:keepLines/>
              <w:spacing w:after="0" w:line="240" w:lineRule="auto"/>
              <w:rPr>
                <w:rFonts w:cs="Arial"/>
                <w:color w:val="FFFFFF" w:themeColor="background1"/>
                <w:sz w:val="18"/>
                <w:szCs w:val="18"/>
              </w:rPr>
            </w:pPr>
            <w:r w:rsidRPr="006E7298">
              <w:rPr>
                <w:rFonts w:cs="Arial"/>
                <w:color w:val="FFFFFF" w:themeColor="background1"/>
                <w:sz w:val="18"/>
                <w:szCs w:val="18"/>
              </w:rPr>
              <w:t>Off-net NBN</w:t>
            </w:r>
          </w:p>
        </w:tc>
        <w:tc>
          <w:tcPr>
            <w:tcW w:w="1231" w:type="dxa"/>
            <w:shd w:val="clear" w:color="auto" w:fill="D2E1E9"/>
            <w:tcMar>
              <w:right w:w="57" w:type="dxa"/>
            </w:tcMar>
          </w:tcPr>
          <w:p w14:paraId="1B34E7F2"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13</w:t>
            </w:r>
          </w:p>
        </w:tc>
        <w:tc>
          <w:tcPr>
            <w:tcW w:w="1231" w:type="dxa"/>
            <w:shd w:val="clear" w:color="auto" w:fill="D2E1E9"/>
            <w:tcMar>
              <w:right w:w="57" w:type="dxa"/>
            </w:tcMar>
          </w:tcPr>
          <w:p w14:paraId="57B2EE87"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54</w:t>
            </w:r>
          </w:p>
        </w:tc>
        <w:tc>
          <w:tcPr>
            <w:tcW w:w="1231" w:type="dxa"/>
            <w:shd w:val="clear" w:color="auto" w:fill="D2E1E9"/>
            <w:tcMar>
              <w:right w:w="57" w:type="dxa"/>
            </w:tcMar>
          </w:tcPr>
          <w:p w14:paraId="0675930E"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136</w:t>
            </w:r>
          </w:p>
        </w:tc>
        <w:tc>
          <w:tcPr>
            <w:tcW w:w="1231" w:type="dxa"/>
            <w:shd w:val="clear" w:color="auto" w:fill="D2E1E9"/>
            <w:tcMar>
              <w:right w:w="57" w:type="dxa"/>
            </w:tcMar>
          </w:tcPr>
          <w:p w14:paraId="679723AD" w14:textId="77777777" w:rsidR="000A1CD9" w:rsidRPr="006E632B" w:rsidRDefault="000A1CD9" w:rsidP="00ED6390">
            <w:pPr>
              <w:keepNext/>
              <w:keepLines/>
              <w:tabs>
                <w:tab w:val="left" w:pos="723"/>
              </w:tabs>
              <w:spacing w:after="0" w:line="240" w:lineRule="auto"/>
              <w:jc w:val="right"/>
              <w:rPr>
                <w:rFonts w:cs="Arial"/>
                <w:sz w:val="18"/>
                <w:szCs w:val="18"/>
                <w:highlight w:val="yellow"/>
              </w:rPr>
            </w:pPr>
            <w:r w:rsidRPr="006E632B">
              <w:rPr>
                <w:rFonts w:cs="Arial"/>
                <w:sz w:val="18"/>
                <w:szCs w:val="18"/>
              </w:rPr>
              <w:t>151.9</w:t>
            </w:r>
          </w:p>
        </w:tc>
      </w:tr>
      <w:tr w:rsidR="000A1CD9" w:rsidRPr="006E632B" w14:paraId="3FE06DDC" w14:textId="77777777" w:rsidTr="00E32E84">
        <w:trPr>
          <w:trHeight w:val="243"/>
        </w:trPr>
        <w:tc>
          <w:tcPr>
            <w:tcW w:w="1813" w:type="dxa"/>
            <w:vMerge/>
            <w:shd w:val="clear" w:color="auto" w:fill="7FB8CB"/>
            <w:tcMar>
              <w:left w:w="113" w:type="dxa"/>
            </w:tcMar>
            <w:vAlign w:val="center"/>
          </w:tcPr>
          <w:p w14:paraId="42BDA81E" w14:textId="77777777" w:rsidR="000A1CD9" w:rsidRPr="006E7298" w:rsidRDefault="000A1CD9"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tcPr>
          <w:p w14:paraId="00E7526E" w14:textId="77777777" w:rsidR="000A1CD9" w:rsidRPr="006E7298" w:rsidRDefault="000A1CD9" w:rsidP="00ED6390">
            <w:pPr>
              <w:keepNext/>
              <w:keepLines/>
              <w:spacing w:after="0" w:line="240" w:lineRule="auto"/>
              <w:rPr>
                <w:rFonts w:cs="Arial"/>
                <w:color w:val="FFFFFF" w:themeColor="background1"/>
                <w:sz w:val="18"/>
                <w:szCs w:val="18"/>
              </w:rPr>
            </w:pPr>
            <w:r w:rsidRPr="006E7298">
              <w:rPr>
                <w:rFonts w:cs="Arial"/>
                <w:color w:val="FFFFFF" w:themeColor="background1"/>
                <w:sz w:val="18"/>
                <w:szCs w:val="18"/>
              </w:rPr>
              <w:t>Dial-up</w:t>
            </w:r>
          </w:p>
        </w:tc>
        <w:tc>
          <w:tcPr>
            <w:tcW w:w="1231" w:type="dxa"/>
            <w:shd w:val="clear" w:color="auto" w:fill="D2E1E9"/>
            <w:tcMar>
              <w:right w:w="57" w:type="dxa"/>
            </w:tcMar>
          </w:tcPr>
          <w:p w14:paraId="4551FD09"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10</w:t>
            </w:r>
          </w:p>
        </w:tc>
        <w:tc>
          <w:tcPr>
            <w:tcW w:w="1231" w:type="dxa"/>
            <w:shd w:val="clear" w:color="auto" w:fill="D2E1E9"/>
            <w:tcMar>
              <w:right w:w="57" w:type="dxa"/>
            </w:tcMar>
          </w:tcPr>
          <w:p w14:paraId="75650926"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9</w:t>
            </w:r>
          </w:p>
        </w:tc>
        <w:tc>
          <w:tcPr>
            <w:tcW w:w="1231" w:type="dxa"/>
            <w:shd w:val="clear" w:color="auto" w:fill="D2E1E9"/>
            <w:tcMar>
              <w:right w:w="57" w:type="dxa"/>
            </w:tcMar>
          </w:tcPr>
          <w:p w14:paraId="401CFC07"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3</w:t>
            </w:r>
          </w:p>
        </w:tc>
        <w:tc>
          <w:tcPr>
            <w:tcW w:w="1231" w:type="dxa"/>
            <w:shd w:val="clear" w:color="auto" w:fill="D2E1E9"/>
            <w:tcMar>
              <w:right w:w="57" w:type="dxa"/>
            </w:tcMar>
          </w:tcPr>
          <w:p w14:paraId="32FD70E2" w14:textId="77777777" w:rsidR="000A1CD9" w:rsidRPr="006E632B" w:rsidRDefault="000A1CD9" w:rsidP="00ED6390">
            <w:pPr>
              <w:keepNext/>
              <w:keepLines/>
              <w:tabs>
                <w:tab w:val="left" w:pos="723"/>
              </w:tabs>
              <w:spacing w:after="0" w:line="240" w:lineRule="auto"/>
              <w:jc w:val="right"/>
              <w:rPr>
                <w:rFonts w:cs="Arial"/>
                <w:sz w:val="18"/>
                <w:szCs w:val="18"/>
                <w:highlight w:val="yellow"/>
              </w:rPr>
            </w:pPr>
            <w:r w:rsidRPr="006E632B">
              <w:rPr>
                <w:rFonts w:cs="Arial"/>
                <w:sz w:val="18"/>
                <w:szCs w:val="18"/>
              </w:rPr>
              <w:t>–66.7</w:t>
            </w:r>
          </w:p>
        </w:tc>
      </w:tr>
      <w:tr w:rsidR="000A1CD9" w:rsidRPr="006E632B" w14:paraId="160EC062" w14:textId="77777777" w:rsidTr="00E32E84">
        <w:trPr>
          <w:trHeight w:val="425"/>
        </w:trPr>
        <w:tc>
          <w:tcPr>
            <w:tcW w:w="1813" w:type="dxa"/>
            <w:vMerge/>
            <w:shd w:val="clear" w:color="auto" w:fill="7FB8CB"/>
            <w:tcMar>
              <w:left w:w="113" w:type="dxa"/>
            </w:tcMar>
            <w:vAlign w:val="center"/>
          </w:tcPr>
          <w:p w14:paraId="1FE37002" w14:textId="77777777" w:rsidR="000A1CD9" w:rsidRPr="006E7298" w:rsidRDefault="000A1CD9"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tcPr>
          <w:p w14:paraId="734CC375" w14:textId="77777777" w:rsidR="000A1CD9" w:rsidRPr="006E7298" w:rsidRDefault="000A1CD9" w:rsidP="00ED6390">
            <w:pPr>
              <w:keepNext/>
              <w:keepLines/>
              <w:spacing w:after="0" w:line="240" w:lineRule="auto"/>
              <w:rPr>
                <w:rFonts w:cs="Arial"/>
                <w:color w:val="FFFFFF" w:themeColor="background1"/>
                <w:sz w:val="18"/>
                <w:szCs w:val="18"/>
              </w:rPr>
            </w:pPr>
            <w:r w:rsidRPr="006E7298">
              <w:rPr>
                <w:rFonts w:cs="Arial"/>
                <w:b/>
                <w:color w:val="FFFFFF" w:themeColor="background1"/>
                <w:sz w:val="18"/>
                <w:szCs w:val="18"/>
              </w:rPr>
              <w:t>Total fixed internet subscribers</w:t>
            </w:r>
          </w:p>
        </w:tc>
        <w:tc>
          <w:tcPr>
            <w:tcW w:w="1231" w:type="dxa"/>
            <w:shd w:val="clear" w:color="auto" w:fill="7FB8CB"/>
            <w:tcMar>
              <w:right w:w="57" w:type="dxa"/>
            </w:tcMar>
          </w:tcPr>
          <w:p w14:paraId="62F34B53" w14:textId="77777777" w:rsidR="000A1CD9" w:rsidRPr="006E7298" w:rsidRDefault="000A1CD9" w:rsidP="00ED6390">
            <w:pPr>
              <w:keepNext/>
              <w:keepLines/>
              <w:tabs>
                <w:tab w:val="left" w:pos="723"/>
              </w:tabs>
              <w:spacing w:after="0" w:line="240" w:lineRule="auto"/>
              <w:jc w:val="right"/>
              <w:rPr>
                <w:rFonts w:cs="Arial"/>
                <w:color w:val="FFFFFF" w:themeColor="background1"/>
                <w:sz w:val="18"/>
                <w:szCs w:val="18"/>
              </w:rPr>
            </w:pPr>
            <w:r w:rsidRPr="006E7298">
              <w:rPr>
                <w:rFonts w:cs="Arial"/>
                <w:b/>
                <w:color w:val="FFFFFF" w:themeColor="background1"/>
                <w:sz w:val="18"/>
                <w:szCs w:val="18"/>
              </w:rPr>
              <w:t>1,014</w:t>
            </w:r>
          </w:p>
        </w:tc>
        <w:tc>
          <w:tcPr>
            <w:tcW w:w="1231" w:type="dxa"/>
            <w:shd w:val="clear" w:color="auto" w:fill="7FB8CB"/>
            <w:tcMar>
              <w:right w:w="57" w:type="dxa"/>
            </w:tcMar>
          </w:tcPr>
          <w:p w14:paraId="2A9D97AE" w14:textId="77777777" w:rsidR="000A1CD9" w:rsidRPr="006E7298" w:rsidRDefault="000A1CD9"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1,049</w:t>
            </w:r>
          </w:p>
        </w:tc>
        <w:tc>
          <w:tcPr>
            <w:tcW w:w="1231" w:type="dxa"/>
            <w:shd w:val="clear" w:color="auto" w:fill="7FB8CB"/>
            <w:tcMar>
              <w:right w:w="57" w:type="dxa"/>
            </w:tcMar>
          </w:tcPr>
          <w:p w14:paraId="7AD0B098" w14:textId="77777777" w:rsidR="000A1CD9" w:rsidRPr="006E7298" w:rsidRDefault="000A1CD9"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1,084</w:t>
            </w:r>
          </w:p>
        </w:tc>
        <w:tc>
          <w:tcPr>
            <w:tcW w:w="1231" w:type="dxa"/>
            <w:shd w:val="clear" w:color="auto" w:fill="7FB8CB"/>
            <w:tcMar>
              <w:right w:w="57" w:type="dxa"/>
            </w:tcMar>
          </w:tcPr>
          <w:p w14:paraId="3313B4E0" w14:textId="77777777" w:rsidR="000A1CD9" w:rsidRPr="006E7298" w:rsidRDefault="000A1CD9" w:rsidP="00ED6390">
            <w:pPr>
              <w:keepNext/>
              <w:keepLines/>
              <w:tabs>
                <w:tab w:val="left" w:pos="723"/>
              </w:tabs>
              <w:spacing w:after="0" w:line="240" w:lineRule="auto"/>
              <w:jc w:val="right"/>
              <w:rPr>
                <w:rFonts w:cs="Arial"/>
                <w:b/>
                <w:color w:val="FFFFFF" w:themeColor="background1"/>
                <w:sz w:val="18"/>
                <w:szCs w:val="18"/>
                <w:highlight w:val="yellow"/>
              </w:rPr>
            </w:pPr>
            <w:r w:rsidRPr="006E7298">
              <w:rPr>
                <w:rFonts w:cs="Arial"/>
                <w:b/>
                <w:color w:val="FFFFFF" w:themeColor="background1"/>
                <w:sz w:val="18"/>
                <w:szCs w:val="18"/>
              </w:rPr>
              <w:t>3.3</w:t>
            </w:r>
          </w:p>
        </w:tc>
      </w:tr>
      <w:tr w:rsidR="000A1CD9" w:rsidRPr="006E632B" w14:paraId="1E1207A0" w14:textId="77777777" w:rsidTr="00E32E84">
        <w:trPr>
          <w:trHeight w:val="95"/>
        </w:trPr>
        <w:tc>
          <w:tcPr>
            <w:tcW w:w="1813" w:type="dxa"/>
            <w:vMerge w:val="restart"/>
            <w:shd w:val="clear" w:color="auto" w:fill="7FB8CB"/>
            <w:tcMar>
              <w:left w:w="113" w:type="dxa"/>
            </w:tcMar>
            <w:vAlign w:val="center"/>
          </w:tcPr>
          <w:p w14:paraId="4EF71C42" w14:textId="77777777" w:rsidR="000A1CD9" w:rsidRPr="006E7298" w:rsidRDefault="000A1CD9" w:rsidP="00ED6390">
            <w:pPr>
              <w:keepNext/>
              <w:keepLines/>
              <w:spacing w:after="0" w:line="240" w:lineRule="auto"/>
              <w:rPr>
                <w:rFonts w:cs="Arial"/>
                <w:b/>
                <w:color w:val="FFFFFF" w:themeColor="background1"/>
                <w:sz w:val="18"/>
                <w:szCs w:val="18"/>
              </w:rPr>
            </w:pPr>
            <w:r w:rsidRPr="006E7298">
              <w:rPr>
                <w:rFonts w:cs="Arial"/>
                <w:b/>
                <w:color w:val="FFFFFF" w:themeColor="background1"/>
                <w:sz w:val="18"/>
                <w:szCs w:val="18"/>
              </w:rPr>
              <w:t xml:space="preserve">iiNet </w:t>
            </w:r>
            <w:r w:rsidRPr="006E7298">
              <w:rPr>
                <w:rFonts w:cs="Arial"/>
                <w:b/>
                <w:color w:val="FFFFFF" w:themeColor="background1"/>
                <w:sz w:val="18"/>
                <w:szCs w:val="18"/>
              </w:rPr>
              <w:br/>
              <w:t xml:space="preserve">(TPG Telecom) </w:t>
            </w:r>
          </w:p>
        </w:tc>
        <w:tc>
          <w:tcPr>
            <w:tcW w:w="2835" w:type="dxa"/>
            <w:shd w:val="clear" w:color="auto" w:fill="7FB8CB"/>
            <w:tcMar>
              <w:left w:w="113" w:type="dxa"/>
            </w:tcMar>
          </w:tcPr>
          <w:p w14:paraId="7903F3B4" w14:textId="77777777" w:rsidR="000A1CD9" w:rsidRPr="006E7298" w:rsidRDefault="000A1CD9"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On-net</w:t>
            </w:r>
            <w:r w:rsidRPr="006E7298">
              <w:rPr>
                <w:rFonts w:cs="Arial"/>
                <w:color w:val="FFFFFF" w:themeColor="background1"/>
                <w:sz w:val="18"/>
                <w:szCs w:val="18"/>
                <w:vertAlign w:val="superscript"/>
              </w:rPr>
              <w:t>†</w:t>
            </w:r>
          </w:p>
        </w:tc>
        <w:tc>
          <w:tcPr>
            <w:tcW w:w="1231" w:type="dxa"/>
            <w:shd w:val="clear" w:color="auto" w:fill="D2E1E9"/>
            <w:tcMar>
              <w:right w:w="57" w:type="dxa"/>
            </w:tcMar>
          </w:tcPr>
          <w:p w14:paraId="27A93787" w14:textId="77777777" w:rsidR="000A1CD9" w:rsidRPr="0085516D" w:rsidRDefault="000A1CD9" w:rsidP="00ED6390">
            <w:pPr>
              <w:keepNext/>
              <w:keepLines/>
              <w:tabs>
                <w:tab w:val="left" w:pos="723"/>
              </w:tabs>
              <w:spacing w:after="0" w:line="240" w:lineRule="auto"/>
              <w:jc w:val="right"/>
              <w:rPr>
                <w:rFonts w:cs="Arial"/>
                <w:sz w:val="18"/>
                <w:szCs w:val="18"/>
              </w:rPr>
            </w:pPr>
            <w:r w:rsidRPr="0085516D">
              <w:rPr>
                <w:rFonts w:cs="Arial"/>
                <w:sz w:val="18"/>
                <w:szCs w:val="18"/>
              </w:rPr>
              <w:t>619</w:t>
            </w:r>
          </w:p>
        </w:tc>
        <w:tc>
          <w:tcPr>
            <w:tcW w:w="1231" w:type="dxa"/>
            <w:shd w:val="clear" w:color="auto" w:fill="D2E1E9"/>
            <w:tcMar>
              <w:right w:w="57" w:type="dxa"/>
            </w:tcMar>
          </w:tcPr>
          <w:p w14:paraId="21C408B1" w14:textId="77777777" w:rsidR="000A1CD9" w:rsidRPr="003A03C2" w:rsidRDefault="000A1CD9" w:rsidP="00ED6390">
            <w:pPr>
              <w:keepNext/>
              <w:keepLines/>
              <w:tabs>
                <w:tab w:val="left" w:pos="723"/>
              </w:tabs>
              <w:spacing w:after="0" w:line="240" w:lineRule="auto"/>
              <w:jc w:val="right"/>
              <w:rPr>
                <w:rFonts w:cs="Arial"/>
                <w:sz w:val="18"/>
                <w:szCs w:val="18"/>
              </w:rPr>
            </w:pPr>
            <w:r w:rsidRPr="003A03C2">
              <w:rPr>
                <w:rFonts w:cs="Arial"/>
                <w:sz w:val="18"/>
                <w:szCs w:val="18"/>
              </w:rPr>
              <w:t>587</w:t>
            </w:r>
          </w:p>
        </w:tc>
        <w:tc>
          <w:tcPr>
            <w:tcW w:w="1231" w:type="dxa"/>
            <w:shd w:val="clear" w:color="auto" w:fill="D2E1E9"/>
            <w:tcMar>
              <w:right w:w="57" w:type="dxa"/>
            </w:tcMar>
          </w:tcPr>
          <w:p w14:paraId="788E2F30" w14:textId="77777777" w:rsidR="000A1CD9" w:rsidRPr="00C30DCC" w:rsidRDefault="000A1CD9" w:rsidP="00ED6390">
            <w:pPr>
              <w:keepNext/>
              <w:keepLines/>
              <w:tabs>
                <w:tab w:val="left" w:pos="723"/>
              </w:tabs>
              <w:spacing w:after="0" w:line="240" w:lineRule="auto"/>
              <w:jc w:val="right"/>
              <w:rPr>
                <w:rFonts w:cs="Arial"/>
                <w:color w:val="000000" w:themeColor="text1"/>
                <w:sz w:val="18"/>
                <w:szCs w:val="18"/>
                <w:highlight w:val="yellow"/>
              </w:rPr>
            </w:pPr>
            <w:r w:rsidRPr="00984456">
              <w:rPr>
                <w:rFonts w:cs="Arial"/>
                <w:color w:val="000000" w:themeColor="text1"/>
                <w:sz w:val="18"/>
                <w:szCs w:val="18"/>
              </w:rPr>
              <w:t>539</w:t>
            </w:r>
          </w:p>
        </w:tc>
        <w:tc>
          <w:tcPr>
            <w:tcW w:w="1231" w:type="dxa"/>
            <w:shd w:val="clear" w:color="auto" w:fill="D2E1E9"/>
            <w:tcMar>
              <w:right w:w="57" w:type="dxa"/>
            </w:tcMar>
          </w:tcPr>
          <w:p w14:paraId="01B529D2" w14:textId="77777777" w:rsidR="000A1CD9" w:rsidRPr="00E021E0" w:rsidRDefault="008D3805" w:rsidP="00ED6390">
            <w:pPr>
              <w:keepNext/>
              <w:keepLines/>
              <w:tabs>
                <w:tab w:val="left" w:pos="723"/>
              </w:tabs>
              <w:spacing w:after="0" w:line="240" w:lineRule="auto"/>
              <w:jc w:val="right"/>
              <w:rPr>
                <w:rFonts w:cs="Arial"/>
                <w:color w:val="000000" w:themeColor="text1"/>
                <w:sz w:val="18"/>
                <w:szCs w:val="18"/>
                <w:highlight w:val="yellow"/>
              </w:rPr>
            </w:pPr>
            <w:r w:rsidRPr="006E632B">
              <w:rPr>
                <w:rFonts w:cs="Arial"/>
                <w:sz w:val="18"/>
                <w:szCs w:val="18"/>
              </w:rPr>
              <w:t>–</w:t>
            </w:r>
            <w:r w:rsidR="000A1CD9" w:rsidRPr="00B12CE6">
              <w:rPr>
                <w:rFonts w:cs="Arial"/>
                <w:color w:val="000000" w:themeColor="text1"/>
                <w:sz w:val="18"/>
                <w:szCs w:val="18"/>
              </w:rPr>
              <w:t>8.2</w:t>
            </w:r>
          </w:p>
        </w:tc>
      </w:tr>
      <w:tr w:rsidR="000A1CD9" w:rsidRPr="006E632B" w14:paraId="37C1DD25" w14:textId="77777777" w:rsidTr="00E32E84">
        <w:trPr>
          <w:trHeight w:val="143"/>
        </w:trPr>
        <w:tc>
          <w:tcPr>
            <w:tcW w:w="1813" w:type="dxa"/>
            <w:vMerge/>
            <w:shd w:val="clear" w:color="auto" w:fill="7FB8CB"/>
            <w:tcMar>
              <w:left w:w="113" w:type="dxa"/>
            </w:tcMar>
            <w:vAlign w:val="center"/>
          </w:tcPr>
          <w:p w14:paraId="34BB50A8" w14:textId="77777777" w:rsidR="000A1CD9" w:rsidRPr="006E7298" w:rsidRDefault="000A1CD9"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tcPr>
          <w:p w14:paraId="11120B1C" w14:textId="77777777" w:rsidR="000A1CD9" w:rsidRPr="006E7298" w:rsidRDefault="000A1CD9" w:rsidP="00ED6390">
            <w:pPr>
              <w:keepNext/>
              <w:keepLines/>
              <w:spacing w:after="0" w:line="240" w:lineRule="auto"/>
              <w:rPr>
                <w:rFonts w:cs="Arial"/>
                <w:color w:val="FFFFFF" w:themeColor="background1"/>
                <w:spacing w:val="-28"/>
                <w:sz w:val="18"/>
                <w:szCs w:val="18"/>
              </w:rPr>
            </w:pPr>
            <w:r w:rsidRPr="006E7298">
              <w:rPr>
                <w:rFonts w:cs="Arial"/>
                <w:color w:val="FFFFFF" w:themeColor="background1"/>
                <w:sz w:val="18"/>
                <w:szCs w:val="18"/>
              </w:rPr>
              <w:t>Off-net</w:t>
            </w:r>
          </w:p>
        </w:tc>
        <w:tc>
          <w:tcPr>
            <w:tcW w:w="1231" w:type="dxa"/>
            <w:shd w:val="clear" w:color="auto" w:fill="D2E1E9"/>
            <w:tcMar>
              <w:right w:w="57" w:type="dxa"/>
            </w:tcMar>
          </w:tcPr>
          <w:p w14:paraId="7C40EEFC"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266</w:t>
            </w:r>
          </w:p>
        </w:tc>
        <w:tc>
          <w:tcPr>
            <w:tcW w:w="1231" w:type="dxa"/>
            <w:tcBorders>
              <w:bottom w:val="single" w:sz="24" w:space="0" w:color="FFFFFF"/>
            </w:tcBorders>
            <w:shd w:val="clear" w:color="auto" w:fill="D2E1E9"/>
            <w:tcMar>
              <w:right w:w="57" w:type="dxa"/>
            </w:tcMar>
          </w:tcPr>
          <w:p w14:paraId="621D3421" w14:textId="77777777" w:rsidR="000A1CD9" w:rsidRPr="006E632B" w:rsidRDefault="000A1CD9" w:rsidP="00ED6390">
            <w:pPr>
              <w:keepNext/>
              <w:keepLines/>
              <w:tabs>
                <w:tab w:val="left" w:pos="723"/>
              </w:tabs>
              <w:spacing w:after="0" w:line="240" w:lineRule="auto"/>
              <w:jc w:val="right"/>
              <w:rPr>
                <w:rFonts w:cs="Arial"/>
                <w:sz w:val="18"/>
                <w:szCs w:val="18"/>
              </w:rPr>
            </w:pPr>
            <w:r w:rsidRPr="006E632B">
              <w:rPr>
                <w:rFonts w:cs="Arial"/>
                <w:sz w:val="18"/>
                <w:szCs w:val="18"/>
              </w:rPr>
              <w:t>258</w:t>
            </w:r>
          </w:p>
        </w:tc>
        <w:tc>
          <w:tcPr>
            <w:tcW w:w="1231" w:type="dxa"/>
            <w:shd w:val="clear" w:color="auto" w:fill="D2E1E9"/>
            <w:tcMar>
              <w:right w:w="57" w:type="dxa"/>
            </w:tcMar>
          </w:tcPr>
          <w:p w14:paraId="1565B620" w14:textId="77777777" w:rsidR="000A1CD9" w:rsidRPr="00AD37AD" w:rsidRDefault="000A1CD9" w:rsidP="00ED6390">
            <w:pPr>
              <w:keepNext/>
              <w:keepLines/>
              <w:tabs>
                <w:tab w:val="left" w:pos="723"/>
              </w:tabs>
              <w:spacing w:after="0" w:line="240" w:lineRule="auto"/>
              <w:jc w:val="right"/>
              <w:rPr>
                <w:rFonts w:cs="Arial"/>
                <w:color w:val="000000" w:themeColor="text1"/>
                <w:sz w:val="18"/>
                <w:szCs w:val="18"/>
                <w:highlight w:val="yellow"/>
              </w:rPr>
            </w:pPr>
            <w:r w:rsidRPr="006E632B">
              <w:rPr>
                <w:rFonts w:cs="Arial"/>
                <w:color w:val="000000" w:themeColor="text1"/>
                <w:sz w:val="18"/>
                <w:szCs w:val="18"/>
              </w:rPr>
              <w:t>212</w:t>
            </w:r>
          </w:p>
        </w:tc>
        <w:tc>
          <w:tcPr>
            <w:tcW w:w="1231" w:type="dxa"/>
            <w:shd w:val="clear" w:color="auto" w:fill="D2E1E9"/>
            <w:tcMar>
              <w:right w:w="57" w:type="dxa"/>
            </w:tcMar>
          </w:tcPr>
          <w:p w14:paraId="7A089ED2" w14:textId="77777777" w:rsidR="000A1CD9" w:rsidRPr="00AD37AD" w:rsidRDefault="008D3805" w:rsidP="00ED6390">
            <w:pPr>
              <w:keepNext/>
              <w:keepLines/>
              <w:tabs>
                <w:tab w:val="left" w:pos="723"/>
              </w:tabs>
              <w:spacing w:after="0" w:line="240" w:lineRule="auto"/>
              <w:jc w:val="right"/>
              <w:rPr>
                <w:rFonts w:cs="Arial"/>
                <w:color w:val="000000" w:themeColor="text1"/>
                <w:sz w:val="18"/>
                <w:szCs w:val="18"/>
                <w:highlight w:val="yellow"/>
              </w:rPr>
            </w:pPr>
            <w:r w:rsidRPr="006E632B">
              <w:rPr>
                <w:rFonts w:cs="Arial"/>
                <w:sz w:val="18"/>
                <w:szCs w:val="18"/>
              </w:rPr>
              <w:t>–</w:t>
            </w:r>
            <w:r w:rsidR="000A1CD9" w:rsidRPr="006E632B">
              <w:rPr>
                <w:rFonts w:cs="Arial"/>
                <w:color w:val="000000" w:themeColor="text1"/>
                <w:sz w:val="18"/>
                <w:szCs w:val="18"/>
              </w:rPr>
              <w:t>17.8</w:t>
            </w:r>
          </w:p>
        </w:tc>
      </w:tr>
      <w:tr w:rsidR="000A1CD9" w:rsidRPr="006E632B" w14:paraId="64C7377C" w14:textId="77777777" w:rsidTr="00E32E84">
        <w:trPr>
          <w:trHeight w:val="177"/>
        </w:trPr>
        <w:tc>
          <w:tcPr>
            <w:tcW w:w="1813" w:type="dxa"/>
            <w:vMerge/>
            <w:shd w:val="clear" w:color="auto" w:fill="7FB8CB"/>
            <w:tcMar>
              <w:left w:w="113" w:type="dxa"/>
            </w:tcMar>
            <w:vAlign w:val="center"/>
          </w:tcPr>
          <w:p w14:paraId="234D9BDA" w14:textId="77777777" w:rsidR="000A1CD9" w:rsidRPr="006E7298" w:rsidRDefault="000A1CD9"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tcPr>
          <w:p w14:paraId="7360B1A4" w14:textId="77777777" w:rsidR="000A1CD9" w:rsidRPr="006E7298" w:rsidRDefault="000A1CD9" w:rsidP="00ED6390">
            <w:pPr>
              <w:keepNext/>
              <w:keepLines/>
              <w:spacing w:after="0" w:line="240" w:lineRule="auto"/>
              <w:rPr>
                <w:rFonts w:cs="Arial"/>
                <w:color w:val="FFFFFF" w:themeColor="background1"/>
                <w:spacing w:val="-28"/>
                <w:sz w:val="18"/>
                <w:szCs w:val="18"/>
              </w:rPr>
            </w:pPr>
            <w:r w:rsidRPr="006E7298">
              <w:rPr>
                <w:rFonts w:cs="Arial"/>
                <w:color w:val="FFFFFF" w:themeColor="background1"/>
                <w:sz w:val="18"/>
                <w:szCs w:val="18"/>
              </w:rPr>
              <w:t>NBN + Fibre</w:t>
            </w:r>
            <w:r w:rsidRPr="006E7298">
              <w:rPr>
                <w:rFonts w:cs="Arial"/>
                <w:color w:val="FFFFFF" w:themeColor="background1"/>
                <w:sz w:val="18"/>
                <w:szCs w:val="18"/>
                <w:vertAlign w:val="superscript"/>
              </w:rPr>
              <w:t>†</w:t>
            </w:r>
          </w:p>
        </w:tc>
        <w:tc>
          <w:tcPr>
            <w:tcW w:w="1231" w:type="dxa"/>
            <w:shd w:val="clear" w:color="auto" w:fill="D2E1E9"/>
            <w:tcMar>
              <w:right w:w="57" w:type="dxa"/>
            </w:tcMar>
          </w:tcPr>
          <w:p w14:paraId="5F8BCA4D" w14:textId="77777777" w:rsidR="000A1CD9" w:rsidRPr="0085516D" w:rsidRDefault="000A1CD9" w:rsidP="00ED6390">
            <w:pPr>
              <w:keepNext/>
              <w:keepLines/>
              <w:tabs>
                <w:tab w:val="left" w:pos="723"/>
              </w:tabs>
              <w:spacing w:after="0" w:line="240" w:lineRule="auto"/>
              <w:jc w:val="right"/>
              <w:rPr>
                <w:rFonts w:cs="Arial"/>
                <w:sz w:val="18"/>
                <w:szCs w:val="18"/>
              </w:rPr>
            </w:pPr>
            <w:r w:rsidRPr="0085516D">
              <w:rPr>
                <w:rFonts w:cs="Arial"/>
                <w:sz w:val="18"/>
                <w:szCs w:val="18"/>
              </w:rPr>
              <w:t>65</w:t>
            </w:r>
          </w:p>
        </w:tc>
        <w:tc>
          <w:tcPr>
            <w:tcW w:w="1231" w:type="dxa"/>
            <w:shd w:val="clear" w:color="auto" w:fill="D2E1E9"/>
            <w:tcMar>
              <w:right w:w="57" w:type="dxa"/>
            </w:tcMar>
          </w:tcPr>
          <w:p w14:paraId="10DCD134" w14:textId="77777777" w:rsidR="000A1CD9" w:rsidRPr="003A03C2" w:rsidRDefault="000A1CD9" w:rsidP="00ED6390">
            <w:pPr>
              <w:keepNext/>
              <w:keepLines/>
              <w:tabs>
                <w:tab w:val="left" w:pos="723"/>
              </w:tabs>
              <w:spacing w:after="0" w:line="240" w:lineRule="auto"/>
              <w:jc w:val="right"/>
              <w:rPr>
                <w:rFonts w:cs="Arial"/>
                <w:sz w:val="18"/>
                <w:szCs w:val="18"/>
              </w:rPr>
            </w:pPr>
            <w:r w:rsidRPr="003A03C2">
              <w:rPr>
                <w:rFonts w:cs="Arial"/>
                <w:sz w:val="18"/>
                <w:szCs w:val="18"/>
              </w:rPr>
              <w:t>144</w:t>
            </w:r>
          </w:p>
        </w:tc>
        <w:tc>
          <w:tcPr>
            <w:tcW w:w="1231" w:type="dxa"/>
            <w:shd w:val="clear" w:color="auto" w:fill="D2E1E9"/>
            <w:tcMar>
              <w:right w:w="57" w:type="dxa"/>
            </w:tcMar>
          </w:tcPr>
          <w:p w14:paraId="02527A95" w14:textId="77777777" w:rsidR="000A1CD9" w:rsidRPr="00C30DCC" w:rsidRDefault="000A1CD9" w:rsidP="00ED6390">
            <w:pPr>
              <w:keepNext/>
              <w:keepLines/>
              <w:tabs>
                <w:tab w:val="left" w:pos="723"/>
              </w:tabs>
              <w:spacing w:after="0" w:line="240" w:lineRule="auto"/>
              <w:jc w:val="right"/>
              <w:rPr>
                <w:rFonts w:cs="Arial"/>
                <w:color w:val="000000" w:themeColor="text1"/>
                <w:sz w:val="18"/>
                <w:szCs w:val="18"/>
                <w:highlight w:val="yellow"/>
              </w:rPr>
            </w:pPr>
            <w:r w:rsidRPr="00984456">
              <w:rPr>
                <w:rFonts w:cs="Arial"/>
                <w:color w:val="000000" w:themeColor="text1"/>
                <w:sz w:val="18"/>
                <w:szCs w:val="18"/>
              </w:rPr>
              <w:t>232</w:t>
            </w:r>
          </w:p>
        </w:tc>
        <w:tc>
          <w:tcPr>
            <w:tcW w:w="1231" w:type="dxa"/>
            <w:shd w:val="clear" w:color="auto" w:fill="D2E1E9"/>
            <w:tcMar>
              <w:right w:w="57" w:type="dxa"/>
            </w:tcMar>
          </w:tcPr>
          <w:p w14:paraId="31354C91" w14:textId="77777777" w:rsidR="000A1CD9" w:rsidRPr="00AD37AD" w:rsidRDefault="000A1CD9" w:rsidP="00ED6390">
            <w:pPr>
              <w:keepNext/>
              <w:keepLines/>
              <w:tabs>
                <w:tab w:val="left" w:pos="723"/>
              </w:tabs>
              <w:spacing w:after="0" w:line="240" w:lineRule="auto"/>
              <w:jc w:val="right"/>
              <w:rPr>
                <w:rFonts w:cs="Arial"/>
                <w:color w:val="000000" w:themeColor="text1"/>
                <w:sz w:val="18"/>
                <w:szCs w:val="18"/>
                <w:highlight w:val="yellow"/>
              </w:rPr>
            </w:pPr>
            <w:r w:rsidRPr="00B12CE6">
              <w:rPr>
                <w:rFonts w:cs="Arial"/>
                <w:color w:val="000000" w:themeColor="text1"/>
                <w:sz w:val="18"/>
                <w:szCs w:val="18"/>
              </w:rPr>
              <w:t>61.1</w:t>
            </w:r>
          </w:p>
        </w:tc>
      </w:tr>
      <w:tr w:rsidR="000A1CD9" w:rsidRPr="006E632B" w14:paraId="5AD42580" w14:textId="77777777" w:rsidTr="00E32E84">
        <w:trPr>
          <w:trHeight w:val="425"/>
        </w:trPr>
        <w:tc>
          <w:tcPr>
            <w:tcW w:w="1813" w:type="dxa"/>
            <w:vMerge/>
            <w:shd w:val="clear" w:color="auto" w:fill="7FB8CB"/>
            <w:tcMar>
              <w:left w:w="113" w:type="dxa"/>
            </w:tcMar>
            <w:vAlign w:val="center"/>
          </w:tcPr>
          <w:p w14:paraId="49A8749A" w14:textId="77777777" w:rsidR="000A1CD9" w:rsidRPr="006E7298" w:rsidRDefault="000A1CD9"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tcPr>
          <w:p w14:paraId="5E8E08A4" w14:textId="77777777" w:rsidR="000A1CD9" w:rsidRPr="006E7298" w:rsidRDefault="000A1CD9" w:rsidP="00ED6390">
            <w:pPr>
              <w:keepNext/>
              <w:keepLines/>
              <w:spacing w:after="0" w:line="240" w:lineRule="auto"/>
              <w:rPr>
                <w:rFonts w:cs="Arial"/>
                <w:color w:val="FFFFFF" w:themeColor="background1"/>
                <w:spacing w:val="-28"/>
                <w:sz w:val="18"/>
                <w:szCs w:val="18"/>
              </w:rPr>
            </w:pPr>
            <w:r w:rsidRPr="006E7298">
              <w:rPr>
                <w:rFonts w:cs="Arial"/>
                <w:b/>
                <w:color w:val="FFFFFF" w:themeColor="background1"/>
                <w:sz w:val="18"/>
                <w:szCs w:val="18"/>
              </w:rPr>
              <w:t>Total fixed internet subscribers</w:t>
            </w:r>
          </w:p>
        </w:tc>
        <w:tc>
          <w:tcPr>
            <w:tcW w:w="1231" w:type="dxa"/>
            <w:tcBorders>
              <w:bottom w:val="single" w:sz="24" w:space="0" w:color="FFFFFF"/>
            </w:tcBorders>
            <w:shd w:val="clear" w:color="auto" w:fill="7FB8CB"/>
            <w:tcMar>
              <w:right w:w="57" w:type="dxa"/>
            </w:tcMar>
          </w:tcPr>
          <w:p w14:paraId="09EE6D79" w14:textId="77777777" w:rsidR="000A1CD9" w:rsidRPr="006E7298" w:rsidRDefault="000A1CD9"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950</w:t>
            </w:r>
          </w:p>
        </w:tc>
        <w:tc>
          <w:tcPr>
            <w:tcW w:w="1231" w:type="dxa"/>
            <w:tcBorders>
              <w:bottom w:val="single" w:sz="24" w:space="0" w:color="FFFFFF"/>
            </w:tcBorders>
            <w:shd w:val="clear" w:color="auto" w:fill="7FB8CB"/>
            <w:tcMar>
              <w:right w:w="57" w:type="dxa"/>
            </w:tcMar>
          </w:tcPr>
          <w:p w14:paraId="1AEA7208" w14:textId="77777777" w:rsidR="000A1CD9" w:rsidRPr="006E7298" w:rsidRDefault="000A1CD9"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989</w:t>
            </w:r>
          </w:p>
        </w:tc>
        <w:tc>
          <w:tcPr>
            <w:tcW w:w="1231" w:type="dxa"/>
            <w:tcBorders>
              <w:bottom w:val="single" w:sz="24" w:space="0" w:color="FFFFFF"/>
            </w:tcBorders>
            <w:shd w:val="clear" w:color="auto" w:fill="7FB8CB"/>
            <w:tcMar>
              <w:right w:w="57" w:type="dxa"/>
            </w:tcMar>
          </w:tcPr>
          <w:p w14:paraId="2F2563CA" w14:textId="77777777" w:rsidR="000A1CD9" w:rsidRPr="006E7298" w:rsidRDefault="000A1CD9" w:rsidP="00ED6390">
            <w:pPr>
              <w:keepNext/>
              <w:keepLines/>
              <w:tabs>
                <w:tab w:val="left" w:pos="723"/>
              </w:tabs>
              <w:spacing w:after="0" w:line="240" w:lineRule="auto"/>
              <w:jc w:val="right"/>
              <w:rPr>
                <w:rFonts w:cs="Arial"/>
                <w:b/>
                <w:color w:val="FFFFFF" w:themeColor="background1"/>
                <w:sz w:val="18"/>
                <w:szCs w:val="18"/>
                <w:highlight w:val="yellow"/>
              </w:rPr>
            </w:pPr>
            <w:r w:rsidRPr="006E7298">
              <w:rPr>
                <w:rFonts w:cs="Arial"/>
                <w:b/>
                <w:color w:val="FFFFFF" w:themeColor="background1"/>
                <w:sz w:val="18"/>
                <w:szCs w:val="18"/>
              </w:rPr>
              <w:t>983</w:t>
            </w:r>
          </w:p>
        </w:tc>
        <w:tc>
          <w:tcPr>
            <w:tcW w:w="1231" w:type="dxa"/>
            <w:tcBorders>
              <w:bottom w:val="single" w:sz="24" w:space="0" w:color="FFFFFF"/>
            </w:tcBorders>
            <w:shd w:val="clear" w:color="auto" w:fill="7FB8CB"/>
            <w:tcMar>
              <w:right w:w="57" w:type="dxa"/>
            </w:tcMar>
          </w:tcPr>
          <w:p w14:paraId="48720FC7" w14:textId="77777777" w:rsidR="000A1CD9" w:rsidRPr="006E7298" w:rsidRDefault="008D3805" w:rsidP="00ED6390">
            <w:pPr>
              <w:keepNext/>
              <w:keepLines/>
              <w:tabs>
                <w:tab w:val="left" w:pos="723"/>
              </w:tabs>
              <w:spacing w:after="0" w:line="240" w:lineRule="auto"/>
              <w:jc w:val="right"/>
              <w:rPr>
                <w:rFonts w:cs="Arial"/>
                <w:b/>
                <w:color w:val="FFFFFF" w:themeColor="background1"/>
                <w:sz w:val="18"/>
                <w:szCs w:val="18"/>
                <w:highlight w:val="yellow"/>
              </w:rPr>
            </w:pPr>
            <w:r w:rsidRPr="006E7298">
              <w:rPr>
                <w:rFonts w:cs="Arial"/>
                <w:b/>
                <w:color w:val="FFFFFF" w:themeColor="background1"/>
                <w:sz w:val="18"/>
                <w:szCs w:val="18"/>
              </w:rPr>
              <w:t>–</w:t>
            </w:r>
            <w:r w:rsidR="000A1CD9" w:rsidRPr="006E7298">
              <w:rPr>
                <w:rFonts w:cs="Arial"/>
                <w:b/>
                <w:color w:val="FFFFFF" w:themeColor="background1"/>
                <w:sz w:val="18"/>
                <w:szCs w:val="18"/>
              </w:rPr>
              <w:t>0.61</w:t>
            </w:r>
          </w:p>
        </w:tc>
      </w:tr>
      <w:tr w:rsidR="00F851EB" w:rsidRPr="006E632B" w14:paraId="32298388" w14:textId="77777777" w:rsidTr="00E32E84">
        <w:trPr>
          <w:trHeight w:val="102"/>
        </w:trPr>
        <w:tc>
          <w:tcPr>
            <w:tcW w:w="1813" w:type="dxa"/>
            <w:vMerge w:val="restart"/>
            <w:shd w:val="clear" w:color="auto" w:fill="7FB8CB"/>
            <w:tcMar>
              <w:left w:w="113" w:type="dxa"/>
            </w:tcMar>
            <w:vAlign w:val="center"/>
          </w:tcPr>
          <w:p w14:paraId="17AF8209"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b/>
                <w:color w:val="FFFFFF" w:themeColor="background1"/>
                <w:sz w:val="18"/>
                <w:szCs w:val="18"/>
              </w:rPr>
              <w:t>TPG Telecom (excluding iiNet)</w:t>
            </w:r>
          </w:p>
        </w:tc>
        <w:tc>
          <w:tcPr>
            <w:tcW w:w="2835" w:type="dxa"/>
            <w:shd w:val="clear" w:color="auto" w:fill="7FB8CB"/>
            <w:tcMar>
              <w:left w:w="113" w:type="dxa"/>
            </w:tcMar>
            <w:vAlign w:val="center"/>
          </w:tcPr>
          <w:p w14:paraId="431C4147"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On-net bundle</w:t>
            </w:r>
          </w:p>
        </w:tc>
        <w:tc>
          <w:tcPr>
            <w:tcW w:w="1231" w:type="dxa"/>
            <w:shd w:val="clear" w:color="auto" w:fill="D2E1E9"/>
            <w:tcMar>
              <w:right w:w="57" w:type="dxa"/>
            </w:tcMar>
            <w:vAlign w:val="center"/>
          </w:tcPr>
          <w:p w14:paraId="2E010880" w14:textId="77777777" w:rsidR="00F851EB" w:rsidRPr="00AB4287" w:rsidRDefault="00F851EB" w:rsidP="00ED6390">
            <w:pPr>
              <w:keepNext/>
              <w:keepLines/>
              <w:tabs>
                <w:tab w:val="left" w:pos="723"/>
              </w:tabs>
              <w:spacing w:after="0" w:line="240" w:lineRule="auto"/>
              <w:jc w:val="right"/>
              <w:rPr>
                <w:rFonts w:cs="Arial"/>
                <w:sz w:val="18"/>
                <w:szCs w:val="18"/>
              </w:rPr>
            </w:pPr>
            <w:r w:rsidRPr="00984456">
              <w:rPr>
                <w:rFonts w:cs="Arial"/>
                <w:sz w:val="18"/>
                <w:szCs w:val="18"/>
              </w:rPr>
              <w:t>471</w:t>
            </w:r>
          </w:p>
        </w:tc>
        <w:tc>
          <w:tcPr>
            <w:tcW w:w="1231" w:type="dxa"/>
            <w:shd w:val="clear" w:color="auto" w:fill="D2E1E9"/>
            <w:tcMar>
              <w:right w:w="57" w:type="dxa"/>
            </w:tcMar>
            <w:vAlign w:val="center"/>
          </w:tcPr>
          <w:p w14:paraId="78AFE9D1" w14:textId="77777777" w:rsidR="00F851EB" w:rsidRPr="00AB4287" w:rsidRDefault="00F851EB" w:rsidP="00ED6390">
            <w:pPr>
              <w:keepNext/>
              <w:keepLines/>
              <w:tabs>
                <w:tab w:val="left" w:pos="723"/>
              </w:tabs>
              <w:spacing w:after="0" w:line="240" w:lineRule="auto"/>
              <w:jc w:val="right"/>
              <w:rPr>
                <w:rFonts w:cs="Arial"/>
                <w:sz w:val="18"/>
                <w:szCs w:val="18"/>
              </w:rPr>
            </w:pPr>
            <w:r w:rsidRPr="00C30DCC">
              <w:rPr>
                <w:rFonts w:cs="Arial"/>
                <w:sz w:val="18"/>
                <w:szCs w:val="18"/>
              </w:rPr>
              <w:t>542</w:t>
            </w:r>
          </w:p>
        </w:tc>
        <w:tc>
          <w:tcPr>
            <w:tcW w:w="1231" w:type="dxa"/>
            <w:shd w:val="clear" w:color="auto" w:fill="D2E1E9"/>
            <w:tcMar>
              <w:right w:w="57" w:type="dxa"/>
            </w:tcMar>
            <w:vAlign w:val="center"/>
          </w:tcPr>
          <w:p w14:paraId="0FA9F688" w14:textId="77777777" w:rsidR="00F851EB" w:rsidRPr="00AB4287" w:rsidRDefault="00F851EB" w:rsidP="00ED6390">
            <w:pPr>
              <w:keepNext/>
              <w:keepLines/>
              <w:tabs>
                <w:tab w:val="left" w:pos="723"/>
              </w:tabs>
              <w:spacing w:after="0" w:line="240" w:lineRule="auto"/>
              <w:jc w:val="right"/>
              <w:rPr>
                <w:rFonts w:cs="Arial"/>
                <w:sz w:val="18"/>
                <w:szCs w:val="18"/>
              </w:rPr>
            </w:pPr>
            <w:r w:rsidRPr="00AB4287">
              <w:rPr>
                <w:rFonts w:cs="Arial"/>
                <w:sz w:val="18"/>
                <w:szCs w:val="18"/>
              </w:rPr>
              <w:t>582</w:t>
            </w:r>
          </w:p>
        </w:tc>
        <w:tc>
          <w:tcPr>
            <w:tcW w:w="1231" w:type="dxa"/>
            <w:shd w:val="clear" w:color="auto" w:fill="D2E1E9"/>
            <w:tcMar>
              <w:right w:w="57" w:type="dxa"/>
            </w:tcMar>
            <w:vAlign w:val="center"/>
          </w:tcPr>
          <w:p w14:paraId="06637FC6" w14:textId="77777777" w:rsidR="00F851EB" w:rsidRPr="00AB4287" w:rsidRDefault="00F851EB" w:rsidP="00ED6390">
            <w:pPr>
              <w:keepNext/>
              <w:keepLines/>
              <w:tabs>
                <w:tab w:val="left" w:pos="723"/>
              </w:tabs>
              <w:spacing w:after="0" w:line="240" w:lineRule="auto"/>
              <w:jc w:val="right"/>
              <w:rPr>
                <w:rFonts w:cs="Arial"/>
                <w:sz w:val="18"/>
                <w:szCs w:val="18"/>
              </w:rPr>
            </w:pPr>
            <w:r w:rsidRPr="00AB4287">
              <w:rPr>
                <w:rFonts w:cs="Arial"/>
                <w:sz w:val="18"/>
                <w:szCs w:val="18"/>
              </w:rPr>
              <w:t>7.4</w:t>
            </w:r>
          </w:p>
        </w:tc>
      </w:tr>
      <w:tr w:rsidR="00F851EB" w:rsidRPr="006E632B" w14:paraId="0883F9A8" w14:textId="77777777" w:rsidTr="00E32E84">
        <w:trPr>
          <w:trHeight w:val="20"/>
        </w:trPr>
        <w:tc>
          <w:tcPr>
            <w:tcW w:w="1813" w:type="dxa"/>
            <w:vMerge/>
            <w:shd w:val="clear" w:color="auto" w:fill="7FB8CB"/>
            <w:tcMar>
              <w:left w:w="113" w:type="dxa"/>
            </w:tcMar>
            <w:vAlign w:val="center"/>
          </w:tcPr>
          <w:p w14:paraId="7DA7BF82" w14:textId="77777777" w:rsidR="00F851EB" w:rsidRPr="006E7298" w:rsidRDefault="00F851EB"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vAlign w:val="center"/>
          </w:tcPr>
          <w:p w14:paraId="276AECE4"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On-net standalone</w:t>
            </w:r>
          </w:p>
        </w:tc>
        <w:tc>
          <w:tcPr>
            <w:tcW w:w="1231" w:type="dxa"/>
            <w:tcBorders>
              <w:bottom w:val="single" w:sz="24" w:space="0" w:color="FFFFFF"/>
            </w:tcBorders>
            <w:shd w:val="clear" w:color="auto" w:fill="D2E1E9"/>
            <w:tcMar>
              <w:right w:w="57" w:type="dxa"/>
            </w:tcMar>
            <w:vAlign w:val="center"/>
          </w:tcPr>
          <w:p w14:paraId="4C0EBAAC" w14:textId="77777777" w:rsidR="00F851EB" w:rsidRPr="00AB4287" w:rsidRDefault="00F851EB" w:rsidP="00ED6390">
            <w:pPr>
              <w:keepNext/>
              <w:keepLines/>
              <w:tabs>
                <w:tab w:val="left" w:pos="723"/>
              </w:tabs>
              <w:spacing w:after="0" w:line="240" w:lineRule="auto"/>
              <w:jc w:val="right"/>
              <w:rPr>
                <w:rFonts w:cs="Arial"/>
                <w:sz w:val="18"/>
                <w:szCs w:val="18"/>
              </w:rPr>
            </w:pPr>
            <w:r w:rsidRPr="006E632B">
              <w:rPr>
                <w:rFonts w:cs="Arial"/>
                <w:sz w:val="18"/>
                <w:szCs w:val="18"/>
              </w:rPr>
              <w:t>205</w:t>
            </w:r>
          </w:p>
        </w:tc>
        <w:tc>
          <w:tcPr>
            <w:tcW w:w="1231" w:type="dxa"/>
            <w:tcBorders>
              <w:bottom w:val="single" w:sz="24" w:space="0" w:color="FFFFFF"/>
            </w:tcBorders>
            <w:shd w:val="clear" w:color="auto" w:fill="D2E1E9"/>
            <w:tcMar>
              <w:right w:w="57" w:type="dxa"/>
            </w:tcMar>
            <w:vAlign w:val="center"/>
          </w:tcPr>
          <w:p w14:paraId="6C1C3C23" w14:textId="77777777" w:rsidR="00F851EB" w:rsidRPr="00AB4287" w:rsidRDefault="00F851EB" w:rsidP="00ED6390">
            <w:pPr>
              <w:keepNext/>
              <w:keepLines/>
              <w:tabs>
                <w:tab w:val="left" w:pos="723"/>
              </w:tabs>
              <w:spacing w:after="0" w:line="240" w:lineRule="auto"/>
              <w:jc w:val="right"/>
              <w:rPr>
                <w:rFonts w:cs="Arial"/>
                <w:sz w:val="18"/>
                <w:szCs w:val="18"/>
              </w:rPr>
            </w:pPr>
            <w:r w:rsidRPr="006E632B">
              <w:rPr>
                <w:rFonts w:cs="Arial"/>
                <w:sz w:val="18"/>
                <w:szCs w:val="18"/>
              </w:rPr>
              <w:t>173</w:t>
            </w:r>
          </w:p>
        </w:tc>
        <w:tc>
          <w:tcPr>
            <w:tcW w:w="1231" w:type="dxa"/>
            <w:tcBorders>
              <w:bottom w:val="single" w:sz="24" w:space="0" w:color="FFFFFF"/>
            </w:tcBorders>
            <w:shd w:val="clear" w:color="auto" w:fill="D2E1E9"/>
            <w:tcMar>
              <w:right w:w="57" w:type="dxa"/>
            </w:tcMar>
            <w:vAlign w:val="center"/>
          </w:tcPr>
          <w:p w14:paraId="123BFAE3" w14:textId="77777777" w:rsidR="00F851EB" w:rsidRPr="00AB4287" w:rsidRDefault="00F851EB" w:rsidP="00ED6390">
            <w:pPr>
              <w:keepNext/>
              <w:keepLines/>
              <w:tabs>
                <w:tab w:val="left" w:pos="723"/>
              </w:tabs>
              <w:spacing w:after="0" w:line="240" w:lineRule="auto"/>
              <w:jc w:val="right"/>
              <w:rPr>
                <w:rFonts w:cs="Arial"/>
                <w:sz w:val="18"/>
                <w:szCs w:val="18"/>
              </w:rPr>
            </w:pPr>
            <w:r w:rsidRPr="00AB4287">
              <w:rPr>
                <w:rFonts w:cs="Arial"/>
                <w:sz w:val="18"/>
                <w:szCs w:val="18"/>
              </w:rPr>
              <w:t>141</w:t>
            </w:r>
          </w:p>
        </w:tc>
        <w:tc>
          <w:tcPr>
            <w:tcW w:w="1231" w:type="dxa"/>
            <w:tcBorders>
              <w:bottom w:val="single" w:sz="24" w:space="0" w:color="FFFFFF"/>
            </w:tcBorders>
            <w:shd w:val="clear" w:color="auto" w:fill="D2E1E9"/>
            <w:tcMar>
              <w:right w:w="57" w:type="dxa"/>
            </w:tcMar>
            <w:vAlign w:val="center"/>
          </w:tcPr>
          <w:p w14:paraId="221486CC" w14:textId="77777777" w:rsidR="00F851EB" w:rsidRPr="00AB4287" w:rsidRDefault="00F851EB" w:rsidP="00ED6390">
            <w:pPr>
              <w:keepNext/>
              <w:keepLines/>
              <w:tabs>
                <w:tab w:val="left" w:pos="723"/>
              </w:tabs>
              <w:spacing w:after="0" w:line="240" w:lineRule="auto"/>
              <w:jc w:val="right"/>
              <w:rPr>
                <w:rFonts w:cs="Arial"/>
                <w:sz w:val="18"/>
                <w:szCs w:val="18"/>
              </w:rPr>
            </w:pPr>
            <w:r w:rsidRPr="00AB4287">
              <w:rPr>
                <w:rFonts w:cs="Arial"/>
                <w:sz w:val="18"/>
                <w:szCs w:val="18"/>
              </w:rPr>
              <w:t>–18.5</w:t>
            </w:r>
          </w:p>
        </w:tc>
      </w:tr>
      <w:tr w:rsidR="00F851EB" w:rsidRPr="006E632B" w14:paraId="4776E393" w14:textId="77777777" w:rsidTr="00E32E84">
        <w:trPr>
          <w:trHeight w:val="185"/>
        </w:trPr>
        <w:tc>
          <w:tcPr>
            <w:tcW w:w="1813" w:type="dxa"/>
            <w:vMerge/>
            <w:shd w:val="clear" w:color="auto" w:fill="7FB8CB"/>
            <w:tcMar>
              <w:left w:w="113" w:type="dxa"/>
            </w:tcMar>
            <w:vAlign w:val="center"/>
          </w:tcPr>
          <w:p w14:paraId="4A0D68B0" w14:textId="77777777" w:rsidR="00F851EB" w:rsidRPr="006E7298" w:rsidRDefault="00F851EB"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vAlign w:val="center"/>
          </w:tcPr>
          <w:p w14:paraId="7F760CCA"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Off-net (includes NBN)</w:t>
            </w:r>
          </w:p>
        </w:tc>
        <w:tc>
          <w:tcPr>
            <w:tcW w:w="1231" w:type="dxa"/>
            <w:shd w:val="clear" w:color="auto" w:fill="D2E1E9"/>
            <w:tcMar>
              <w:right w:w="57" w:type="dxa"/>
            </w:tcMar>
            <w:vAlign w:val="center"/>
          </w:tcPr>
          <w:p w14:paraId="6ED58DF4" w14:textId="77777777" w:rsidR="00F851EB" w:rsidRPr="006E632B" w:rsidRDefault="00F851EB" w:rsidP="00ED6390">
            <w:pPr>
              <w:keepNext/>
              <w:keepLines/>
              <w:tabs>
                <w:tab w:val="left" w:pos="723"/>
              </w:tabs>
              <w:spacing w:after="0" w:line="240" w:lineRule="auto"/>
              <w:jc w:val="right"/>
              <w:rPr>
                <w:rFonts w:cs="Arial"/>
                <w:b/>
                <w:sz w:val="18"/>
                <w:szCs w:val="18"/>
              </w:rPr>
            </w:pPr>
            <w:r w:rsidRPr="006E632B">
              <w:rPr>
                <w:rFonts w:cs="Arial"/>
                <w:sz w:val="18"/>
                <w:szCs w:val="18"/>
              </w:rPr>
              <w:t>72</w:t>
            </w:r>
          </w:p>
        </w:tc>
        <w:tc>
          <w:tcPr>
            <w:tcW w:w="1231" w:type="dxa"/>
            <w:shd w:val="clear" w:color="auto" w:fill="D2E1E9"/>
            <w:tcMar>
              <w:right w:w="57" w:type="dxa"/>
            </w:tcMar>
            <w:vAlign w:val="center"/>
          </w:tcPr>
          <w:p w14:paraId="11B3AB20" w14:textId="77777777" w:rsidR="00F851EB" w:rsidRPr="006E632B" w:rsidRDefault="00F851EB" w:rsidP="00ED6390">
            <w:pPr>
              <w:keepNext/>
              <w:keepLines/>
              <w:tabs>
                <w:tab w:val="left" w:pos="723"/>
              </w:tabs>
              <w:spacing w:after="0" w:line="240" w:lineRule="auto"/>
              <w:jc w:val="right"/>
              <w:rPr>
                <w:rFonts w:cs="Arial"/>
                <w:b/>
                <w:sz w:val="18"/>
                <w:szCs w:val="18"/>
              </w:rPr>
            </w:pPr>
            <w:r w:rsidRPr="006E632B">
              <w:rPr>
                <w:rFonts w:cs="Arial"/>
                <w:sz w:val="18"/>
                <w:szCs w:val="18"/>
              </w:rPr>
              <w:t>106</w:t>
            </w:r>
          </w:p>
        </w:tc>
        <w:tc>
          <w:tcPr>
            <w:tcW w:w="1231" w:type="dxa"/>
            <w:shd w:val="clear" w:color="auto" w:fill="D2E1E9"/>
            <w:tcMar>
              <w:right w:w="57" w:type="dxa"/>
            </w:tcMar>
            <w:vAlign w:val="center"/>
          </w:tcPr>
          <w:p w14:paraId="34B8AA3D" w14:textId="77777777" w:rsidR="00F851EB" w:rsidRPr="006E632B" w:rsidRDefault="00F851EB" w:rsidP="00ED6390">
            <w:pPr>
              <w:keepNext/>
              <w:keepLines/>
              <w:tabs>
                <w:tab w:val="left" w:pos="723"/>
              </w:tabs>
              <w:spacing w:after="0" w:line="240" w:lineRule="auto"/>
              <w:jc w:val="right"/>
              <w:rPr>
                <w:rFonts w:cs="Arial"/>
                <w:b/>
                <w:color w:val="000000" w:themeColor="text1"/>
                <w:sz w:val="18"/>
                <w:szCs w:val="18"/>
              </w:rPr>
            </w:pPr>
            <w:r w:rsidRPr="006E632B">
              <w:rPr>
                <w:rFonts w:cs="Arial"/>
                <w:color w:val="000000" w:themeColor="text1"/>
                <w:sz w:val="18"/>
                <w:szCs w:val="18"/>
              </w:rPr>
              <w:t>162</w:t>
            </w:r>
          </w:p>
        </w:tc>
        <w:tc>
          <w:tcPr>
            <w:tcW w:w="1231" w:type="dxa"/>
            <w:shd w:val="clear" w:color="auto" w:fill="D2E1E9"/>
            <w:tcMar>
              <w:right w:w="57" w:type="dxa"/>
            </w:tcMar>
            <w:vAlign w:val="center"/>
          </w:tcPr>
          <w:p w14:paraId="2B67C82B" w14:textId="77777777" w:rsidR="00F851EB" w:rsidRPr="008D3805" w:rsidRDefault="00F851EB" w:rsidP="00ED6390">
            <w:pPr>
              <w:keepNext/>
              <w:keepLines/>
              <w:tabs>
                <w:tab w:val="left" w:pos="723"/>
              </w:tabs>
              <w:spacing w:after="0" w:line="240" w:lineRule="auto"/>
              <w:jc w:val="right"/>
              <w:rPr>
                <w:rFonts w:cs="Arial"/>
                <w:b/>
                <w:sz w:val="18"/>
                <w:szCs w:val="18"/>
              </w:rPr>
            </w:pPr>
            <w:r w:rsidRPr="006E632B">
              <w:rPr>
                <w:rFonts w:cs="Arial"/>
                <w:color w:val="000000" w:themeColor="text1"/>
                <w:sz w:val="18"/>
                <w:szCs w:val="18"/>
              </w:rPr>
              <w:t>52.8</w:t>
            </w:r>
          </w:p>
        </w:tc>
      </w:tr>
      <w:tr w:rsidR="00F851EB" w:rsidRPr="006E7298" w14:paraId="63D85C63" w14:textId="77777777" w:rsidTr="00E32E84">
        <w:trPr>
          <w:trHeight w:val="108"/>
        </w:trPr>
        <w:tc>
          <w:tcPr>
            <w:tcW w:w="1813" w:type="dxa"/>
            <w:vMerge/>
            <w:tcBorders>
              <w:bottom w:val="single" w:sz="24" w:space="0" w:color="FFFFFF"/>
            </w:tcBorders>
            <w:shd w:val="clear" w:color="auto" w:fill="7FB8CB"/>
            <w:tcMar>
              <w:left w:w="113" w:type="dxa"/>
            </w:tcMar>
            <w:vAlign w:val="center"/>
          </w:tcPr>
          <w:p w14:paraId="370562F5" w14:textId="77777777" w:rsidR="00F851EB" w:rsidRPr="006E7298" w:rsidRDefault="00F851EB" w:rsidP="00ED6390">
            <w:pPr>
              <w:keepNext/>
              <w:keepLines/>
              <w:spacing w:after="0" w:line="240" w:lineRule="auto"/>
              <w:rPr>
                <w:rFonts w:cs="Arial"/>
                <w:b/>
                <w:color w:val="FFFFFF" w:themeColor="background1"/>
                <w:sz w:val="18"/>
                <w:szCs w:val="18"/>
              </w:rPr>
            </w:pPr>
          </w:p>
        </w:tc>
        <w:tc>
          <w:tcPr>
            <w:tcW w:w="2835" w:type="dxa"/>
            <w:tcBorders>
              <w:bottom w:val="single" w:sz="24" w:space="0" w:color="FFFFFF"/>
            </w:tcBorders>
            <w:shd w:val="clear" w:color="auto" w:fill="7FB8CB"/>
            <w:tcMar>
              <w:left w:w="113" w:type="dxa"/>
            </w:tcMar>
            <w:vAlign w:val="center"/>
          </w:tcPr>
          <w:p w14:paraId="64B221B3"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b/>
                <w:color w:val="FFFFFF" w:themeColor="background1"/>
                <w:sz w:val="18"/>
                <w:szCs w:val="18"/>
              </w:rPr>
              <w:t>Total broadband subscribers</w:t>
            </w:r>
          </w:p>
        </w:tc>
        <w:tc>
          <w:tcPr>
            <w:tcW w:w="1231" w:type="dxa"/>
            <w:tcBorders>
              <w:bottom w:val="single" w:sz="24" w:space="0" w:color="FFFFFF"/>
            </w:tcBorders>
            <w:shd w:val="clear" w:color="auto" w:fill="7FB8CB"/>
            <w:tcMar>
              <w:right w:w="57" w:type="dxa"/>
            </w:tcMar>
            <w:vAlign w:val="center"/>
          </w:tcPr>
          <w:p w14:paraId="20C3C1EC" w14:textId="77777777" w:rsidR="00F851EB" w:rsidRPr="006E7298" w:rsidRDefault="00F851EB"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748</w:t>
            </w:r>
          </w:p>
        </w:tc>
        <w:tc>
          <w:tcPr>
            <w:tcW w:w="1231" w:type="dxa"/>
            <w:tcBorders>
              <w:bottom w:val="single" w:sz="24" w:space="0" w:color="FFFFFF"/>
            </w:tcBorders>
            <w:shd w:val="clear" w:color="auto" w:fill="7FB8CB"/>
            <w:tcMar>
              <w:right w:w="57" w:type="dxa"/>
            </w:tcMar>
            <w:vAlign w:val="center"/>
          </w:tcPr>
          <w:p w14:paraId="10F331CF" w14:textId="77777777" w:rsidR="00F851EB" w:rsidRPr="006E7298" w:rsidRDefault="00F851EB"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821</w:t>
            </w:r>
          </w:p>
        </w:tc>
        <w:tc>
          <w:tcPr>
            <w:tcW w:w="1231" w:type="dxa"/>
            <w:tcBorders>
              <w:bottom w:val="single" w:sz="24" w:space="0" w:color="FFFFFF"/>
            </w:tcBorders>
            <w:shd w:val="clear" w:color="auto" w:fill="7FB8CB"/>
            <w:tcMar>
              <w:right w:w="57" w:type="dxa"/>
            </w:tcMar>
            <w:vAlign w:val="center"/>
          </w:tcPr>
          <w:p w14:paraId="5CCA9914" w14:textId="77777777" w:rsidR="00F851EB" w:rsidRPr="006E7298" w:rsidRDefault="00F851EB"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885</w:t>
            </w:r>
          </w:p>
        </w:tc>
        <w:tc>
          <w:tcPr>
            <w:tcW w:w="1231" w:type="dxa"/>
            <w:tcBorders>
              <w:bottom w:val="single" w:sz="24" w:space="0" w:color="FFFFFF"/>
            </w:tcBorders>
            <w:shd w:val="clear" w:color="auto" w:fill="7FB8CB"/>
            <w:tcMar>
              <w:right w:w="57" w:type="dxa"/>
            </w:tcMar>
            <w:vAlign w:val="center"/>
          </w:tcPr>
          <w:p w14:paraId="635F8E06" w14:textId="77777777" w:rsidR="00F851EB" w:rsidRPr="006E7298" w:rsidRDefault="00F851EB"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7.8</w:t>
            </w:r>
          </w:p>
        </w:tc>
      </w:tr>
      <w:tr w:rsidR="00F851EB" w:rsidRPr="006E632B" w14:paraId="1630E005" w14:textId="77777777" w:rsidTr="00E32E84">
        <w:trPr>
          <w:trHeight w:val="108"/>
        </w:trPr>
        <w:tc>
          <w:tcPr>
            <w:tcW w:w="1813" w:type="dxa"/>
            <w:vMerge w:val="restart"/>
            <w:shd w:val="clear" w:color="auto" w:fill="7FB8CB"/>
            <w:tcMar>
              <w:left w:w="113" w:type="dxa"/>
            </w:tcMar>
            <w:vAlign w:val="center"/>
          </w:tcPr>
          <w:p w14:paraId="7E5D247E"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b/>
                <w:color w:val="FFFFFF" w:themeColor="background1"/>
                <w:sz w:val="18"/>
                <w:szCs w:val="18"/>
              </w:rPr>
              <w:t xml:space="preserve">Vocus </w:t>
            </w:r>
            <w:r w:rsidRPr="006E7298">
              <w:rPr>
                <w:rFonts w:cs="Arial"/>
                <w:b/>
                <w:color w:val="FFFFFF" w:themeColor="background1"/>
                <w:sz w:val="18"/>
                <w:szCs w:val="18"/>
              </w:rPr>
              <w:br/>
              <w:t>Communications**</w:t>
            </w:r>
          </w:p>
        </w:tc>
        <w:tc>
          <w:tcPr>
            <w:tcW w:w="2835" w:type="dxa"/>
            <w:shd w:val="clear" w:color="auto" w:fill="7FB8CB"/>
            <w:tcMar>
              <w:left w:w="113" w:type="dxa"/>
            </w:tcMar>
            <w:vAlign w:val="center"/>
          </w:tcPr>
          <w:p w14:paraId="564DF081"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 xml:space="preserve">Bundled </w:t>
            </w:r>
          </w:p>
        </w:tc>
        <w:tc>
          <w:tcPr>
            <w:tcW w:w="1231" w:type="dxa"/>
            <w:shd w:val="clear" w:color="auto" w:fill="D2E1E9"/>
            <w:tcMar>
              <w:right w:w="57" w:type="dxa"/>
            </w:tcMar>
            <w:vAlign w:val="center"/>
          </w:tcPr>
          <w:p w14:paraId="07107316" w14:textId="77777777" w:rsidR="00F851EB" w:rsidRPr="006E632B" w:rsidRDefault="00F851EB" w:rsidP="00ED6390">
            <w:pPr>
              <w:keepNext/>
              <w:keepLines/>
              <w:tabs>
                <w:tab w:val="left" w:pos="723"/>
              </w:tabs>
              <w:spacing w:after="0" w:line="240" w:lineRule="auto"/>
              <w:jc w:val="right"/>
              <w:rPr>
                <w:rFonts w:cs="Arial"/>
                <w:b/>
                <w:sz w:val="18"/>
                <w:szCs w:val="18"/>
              </w:rPr>
            </w:pPr>
            <w:r w:rsidRPr="00B12CE6">
              <w:rPr>
                <w:rFonts w:cs="Arial"/>
                <w:sz w:val="18"/>
                <w:szCs w:val="18"/>
              </w:rPr>
              <w:t>n/a</w:t>
            </w:r>
          </w:p>
        </w:tc>
        <w:tc>
          <w:tcPr>
            <w:tcW w:w="1231" w:type="dxa"/>
            <w:shd w:val="clear" w:color="auto" w:fill="D2E1E9"/>
            <w:tcMar>
              <w:right w:w="57" w:type="dxa"/>
            </w:tcMar>
            <w:vAlign w:val="center"/>
          </w:tcPr>
          <w:p w14:paraId="1D1BCDE3" w14:textId="77777777" w:rsidR="00F851EB" w:rsidRPr="006E632B" w:rsidRDefault="00F851EB" w:rsidP="00ED6390">
            <w:pPr>
              <w:keepNext/>
              <w:keepLines/>
              <w:tabs>
                <w:tab w:val="left" w:pos="723"/>
              </w:tabs>
              <w:spacing w:after="0" w:line="240" w:lineRule="auto"/>
              <w:jc w:val="right"/>
              <w:rPr>
                <w:rFonts w:cs="Arial"/>
                <w:b/>
                <w:sz w:val="18"/>
                <w:szCs w:val="18"/>
              </w:rPr>
            </w:pPr>
            <w:r w:rsidRPr="000609CE">
              <w:rPr>
                <w:rFonts w:cs="Arial"/>
                <w:sz w:val="18"/>
                <w:szCs w:val="18"/>
              </w:rPr>
              <w:t>349</w:t>
            </w:r>
          </w:p>
        </w:tc>
        <w:tc>
          <w:tcPr>
            <w:tcW w:w="1231" w:type="dxa"/>
            <w:shd w:val="clear" w:color="auto" w:fill="D2E1E9"/>
            <w:tcMar>
              <w:right w:w="57" w:type="dxa"/>
            </w:tcMar>
            <w:vAlign w:val="center"/>
          </w:tcPr>
          <w:p w14:paraId="4EB64E76" w14:textId="77777777" w:rsidR="00F851EB" w:rsidRPr="006E632B" w:rsidRDefault="00F851EB" w:rsidP="00ED6390">
            <w:pPr>
              <w:keepNext/>
              <w:keepLines/>
              <w:tabs>
                <w:tab w:val="left" w:pos="723"/>
              </w:tabs>
              <w:spacing w:after="0" w:line="240" w:lineRule="auto"/>
              <w:jc w:val="right"/>
              <w:rPr>
                <w:rFonts w:cs="Arial"/>
                <w:b/>
                <w:color w:val="000000" w:themeColor="text1"/>
                <w:sz w:val="18"/>
                <w:szCs w:val="18"/>
              </w:rPr>
            </w:pPr>
            <w:r w:rsidRPr="00E021E0">
              <w:rPr>
                <w:rFonts w:cs="Arial"/>
                <w:sz w:val="18"/>
                <w:szCs w:val="18"/>
              </w:rPr>
              <w:t>385</w:t>
            </w:r>
          </w:p>
        </w:tc>
        <w:tc>
          <w:tcPr>
            <w:tcW w:w="1231" w:type="dxa"/>
            <w:shd w:val="clear" w:color="auto" w:fill="D2E1E9"/>
            <w:tcMar>
              <w:right w:w="57" w:type="dxa"/>
            </w:tcMar>
            <w:vAlign w:val="center"/>
          </w:tcPr>
          <w:p w14:paraId="42ECEC45" w14:textId="77777777" w:rsidR="00F851EB" w:rsidRPr="006E632B" w:rsidRDefault="00F851EB" w:rsidP="00ED6390">
            <w:pPr>
              <w:keepNext/>
              <w:keepLines/>
              <w:tabs>
                <w:tab w:val="left" w:pos="723"/>
              </w:tabs>
              <w:spacing w:after="0" w:line="240" w:lineRule="auto"/>
              <w:jc w:val="right"/>
              <w:rPr>
                <w:rFonts w:cs="Arial"/>
                <w:b/>
                <w:color w:val="000000" w:themeColor="text1"/>
                <w:sz w:val="18"/>
                <w:szCs w:val="18"/>
              </w:rPr>
            </w:pPr>
            <w:r w:rsidRPr="00E021E0">
              <w:rPr>
                <w:rFonts w:cs="Arial"/>
                <w:sz w:val="18"/>
                <w:szCs w:val="18"/>
              </w:rPr>
              <w:t>10.3</w:t>
            </w:r>
          </w:p>
        </w:tc>
      </w:tr>
      <w:tr w:rsidR="00F851EB" w:rsidRPr="006E632B" w14:paraId="7927DD07" w14:textId="77777777" w:rsidTr="00E32E84">
        <w:trPr>
          <w:trHeight w:val="108"/>
        </w:trPr>
        <w:tc>
          <w:tcPr>
            <w:tcW w:w="1813" w:type="dxa"/>
            <w:vMerge/>
            <w:shd w:val="clear" w:color="auto" w:fill="7FB8CB"/>
            <w:tcMar>
              <w:left w:w="113" w:type="dxa"/>
            </w:tcMar>
            <w:vAlign w:val="center"/>
          </w:tcPr>
          <w:p w14:paraId="6C0EE832" w14:textId="77777777" w:rsidR="00F851EB" w:rsidRPr="006E7298" w:rsidRDefault="00F851EB"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vAlign w:val="center"/>
          </w:tcPr>
          <w:p w14:paraId="12EEB1D7"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DSL</w:t>
            </w:r>
          </w:p>
        </w:tc>
        <w:tc>
          <w:tcPr>
            <w:tcW w:w="1231" w:type="dxa"/>
            <w:shd w:val="clear" w:color="auto" w:fill="D2E1E9"/>
            <w:tcMar>
              <w:right w:w="57" w:type="dxa"/>
            </w:tcMar>
            <w:vAlign w:val="center"/>
          </w:tcPr>
          <w:p w14:paraId="6A293954" w14:textId="77777777" w:rsidR="00F851EB" w:rsidRPr="006E632B" w:rsidRDefault="00F851EB" w:rsidP="00ED6390">
            <w:pPr>
              <w:keepNext/>
              <w:keepLines/>
              <w:tabs>
                <w:tab w:val="left" w:pos="723"/>
              </w:tabs>
              <w:spacing w:after="0" w:line="240" w:lineRule="auto"/>
              <w:jc w:val="right"/>
              <w:rPr>
                <w:rFonts w:cs="Arial"/>
                <w:b/>
                <w:sz w:val="18"/>
                <w:szCs w:val="18"/>
              </w:rPr>
            </w:pPr>
            <w:r w:rsidRPr="006E632B">
              <w:rPr>
                <w:rFonts w:cs="Arial"/>
                <w:sz w:val="18"/>
                <w:szCs w:val="18"/>
              </w:rPr>
              <w:t>n/a</w:t>
            </w:r>
          </w:p>
        </w:tc>
        <w:tc>
          <w:tcPr>
            <w:tcW w:w="1231" w:type="dxa"/>
            <w:shd w:val="clear" w:color="auto" w:fill="D2E1E9"/>
            <w:tcMar>
              <w:right w:w="57" w:type="dxa"/>
            </w:tcMar>
            <w:vAlign w:val="center"/>
          </w:tcPr>
          <w:p w14:paraId="4A893C82" w14:textId="77777777" w:rsidR="00F851EB" w:rsidRPr="006E632B" w:rsidRDefault="00F851EB" w:rsidP="00ED6390">
            <w:pPr>
              <w:keepNext/>
              <w:keepLines/>
              <w:tabs>
                <w:tab w:val="left" w:pos="723"/>
              </w:tabs>
              <w:spacing w:after="0" w:line="240" w:lineRule="auto"/>
              <w:jc w:val="right"/>
              <w:rPr>
                <w:rFonts w:cs="Arial"/>
                <w:b/>
                <w:sz w:val="18"/>
                <w:szCs w:val="18"/>
              </w:rPr>
            </w:pPr>
            <w:r w:rsidRPr="006E632B">
              <w:rPr>
                <w:rFonts w:cs="Arial"/>
                <w:sz w:val="18"/>
                <w:szCs w:val="18"/>
              </w:rPr>
              <w:t>74</w:t>
            </w:r>
          </w:p>
        </w:tc>
        <w:tc>
          <w:tcPr>
            <w:tcW w:w="1231" w:type="dxa"/>
            <w:shd w:val="clear" w:color="auto" w:fill="D2E1E9"/>
            <w:tcMar>
              <w:right w:w="57" w:type="dxa"/>
            </w:tcMar>
            <w:vAlign w:val="center"/>
          </w:tcPr>
          <w:p w14:paraId="0DE31DC6" w14:textId="77777777" w:rsidR="00F851EB" w:rsidRPr="006E632B" w:rsidRDefault="00F851EB" w:rsidP="00ED6390">
            <w:pPr>
              <w:keepNext/>
              <w:keepLines/>
              <w:tabs>
                <w:tab w:val="left" w:pos="723"/>
              </w:tabs>
              <w:spacing w:after="0" w:line="240" w:lineRule="auto"/>
              <w:jc w:val="right"/>
              <w:rPr>
                <w:rFonts w:cs="Arial"/>
                <w:b/>
                <w:color w:val="000000" w:themeColor="text1"/>
                <w:sz w:val="18"/>
                <w:szCs w:val="18"/>
              </w:rPr>
            </w:pPr>
            <w:r w:rsidRPr="006E632B">
              <w:rPr>
                <w:rFonts w:cs="Arial"/>
                <w:sz w:val="18"/>
                <w:szCs w:val="18"/>
              </w:rPr>
              <w:t>51</w:t>
            </w:r>
          </w:p>
        </w:tc>
        <w:tc>
          <w:tcPr>
            <w:tcW w:w="1231" w:type="dxa"/>
            <w:shd w:val="clear" w:color="auto" w:fill="D2E1E9"/>
            <w:tcMar>
              <w:right w:w="57" w:type="dxa"/>
            </w:tcMar>
            <w:vAlign w:val="center"/>
          </w:tcPr>
          <w:p w14:paraId="5CF9E089" w14:textId="77777777" w:rsidR="00F851EB" w:rsidRPr="006E632B" w:rsidRDefault="00F851EB" w:rsidP="00ED6390">
            <w:pPr>
              <w:keepNext/>
              <w:keepLines/>
              <w:tabs>
                <w:tab w:val="left" w:pos="723"/>
              </w:tabs>
              <w:spacing w:after="0" w:line="240" w:lineRule="auto"/>
              <w:jc w:val="right"/>
              <w:rPr>
                <w:rFonts w:cs="Arial"/>
                <w:b/>
                <w:color w:val="000000" w:themeColor="text1"/>
                <w:sz w:val="18"/>
                <w:szCs w:val="18"/>
              </w:rPr>
            </w:pPr>
            <w:r w:rsidRPr="006E632B">
              <w:rPr>
                <w:rFonts w:cs="Arial"/>
                <w:sz w:val="18"/>
                <w:szCs w:val="18"/>
              </w:rPr>
              <w:t>–31.1</w:t>
            </w:r>
          </w:p>
        </w:tc>
      </w:tr>
      <w:tr w:rsidR="00F851EB" w:rsidRPr="006E632B" w14:paraId="2FF40D8A" w14:textId="77777777" w:rsidTr="00E32E84">
        <w:trPr>
          <w:trHeight w:val="108"/>
        </w:trPr>
        <w:tc>
          <w:tcPr>
            <w:tcW w:w="1813" w:type="dxa"/>
            <w:vMerge/>
            <w:shd w:val="clear" w:color="auto" w:fill="7FB8CB"/>
            <w:tcMar>
              <w:left w:w="113" w:type="dxa"/>
            </w:tcMar>
            <w:vAlign w:val="center"/>
          </w:tcPr>
          <w:p w14:paraId="09576004" w14:textId="77777777" w:rsidR="00F851EB" w:rsidRPr="006E7298" w:rsidRDefault="00F851EB"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vAlign w:val="center"/>
          </w:tcPr>
          <w:p w14:paraId="780B2056"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NBN</w:t>
            </w:r>
          </w:p>
        </w:tc>
        <w:tc>
          <w:tcPr>
            <w:tcW w:w="1231" w:type="dxa"/>
            <w:shd w:val="clear" w:color="auto" w:fill="D2E1E9"/>
            <w:tcMar>
              <w:right w:w="57" w:type="dxa"/>
            </w:tcMar>
            <w:vAlign w:val="center"/>
          </w:tcPr>
          <w:p w14:paraId="5DE48DDC" w14:textId="77777777" w:rsidR="00F851EB" w:rsidRPr="006E632B" w:rsidRDefault="00F851EB" w:rsidP="00ED6390">
            <w:pPr>
              <w:keepNext/>
              <w:keepLines/>
              <w:tabs>
                <w:tab w:val="left" w:pos="723"/>
              </w:tabs>
              <w:spacing w:after="0" w:line="240" w:lineRule="auto"/>
              <w:jc w:val="right"/>
              <w:rPr>
                <w:rFonts w:cs="Arial"/>
                <w:b/>
                <w:sz w:val="18"/>
                <w:szCs w:val="18"/>
              </w:rPr>
            </w:pPr>
            <w:r w:rsidRPr="006E632B">
              <w:rPr>
                <w:rFonts w:cs="Arial"/>
                <w:sz w:val="18"/>
                <w:szCs w:val="18"/>
              </w:rPr>
              <w:t>n/a</w:t>
            </w:r>
          </w:p>
        </w:tc>
        <w:tc>
          <w:tcPr>
            <w:tcW w:w="1231" w:type="dxa"/>
            <w:shd w:val="clear" w:color="auto" w:fill="D2E1E9"/>
            <w:tcMar>
              <w:right w:w="57" w:type="dxa"/>
            </w:tcMar>
            <w:vAlign w:val="center"/>
          </w:tcPr>
          <w:p w14:paraId="24230C43" w14:textId="77777777" w:rsidR="00F851EB" w:rsidRPr="006E632B" w:rsidRDefault="00F851EB" w:rsidP="00ED6390">
            <w:pPr>
              <w:keepNext/>
              <w:keepLines/>
              <w:tabs>
                <w:tab w:val="left" w:pos="723"/>
              </w:tabs>
              <w:spacing w:after="0" w:line="240" w:lineRule="auto"/>
              <w:jc w:val="right"/>
              <w:rPr>
                <w:rFonts w:cs="Arial"/>
                <w:b/>
                <w:sz w:val="18"/>
                <w:szCs w:val="18"/>
              </w:rPr>
            </w:pPr>
            <w:r w:rsidRPr="006E632B">
              <w:rPr>
                <w:rFonts w:cs="Arial"/>
                <w:sz w:val="18"/>
                <w:szCs w:val="18"/>
              </w:rPr>
              <w:t>26</w:t>
            </w:r>
          </w:p>
        </w:tc>
        <w:tc>
          <w:tcPr>
            <w:tcW w:w="1231" w:type="dxa"/>
            <w:shd w:val="clear" w:color="auto" w:fill="D2E1E9"/>
            <w:tcMar>
              <w:right w:w="57" w:type="dxa"/>
            </w:tcMar>
            <w:vAlign w:val="center"/>
          </w:tcPr>
          <w:p w14:paraId="6F9A29EC" w14:textId="77777777" w:rsidR="00F851EB" w:rsidRPr="006E632B" w:rsidRDefault="00F851EB" w:rsidP="00ED6390">
            <w:pPr>
              <w:keepNext/>
              <w:keepLines/>
              <w:tabs>
                <w:tab w:val="left" w:pos="723"/>
              </w:tabs>
              <w:spacing w:after="0" w:line="240" w:lineRule="auto"/>
              <w:jc w:val="right"/>
              <w:rPr>
                <w:rFonts w:cs="Arial"/>
                <w:b/>
                <w:color w:val="000000" w:themeColor="text1"/>
                <w:sz w:val="18"/>
                <w:szCs w:val="18"/>
              </w:rPr>
            </w:pPr>
            <w:r w:rsidRPr="006E632B">
              <w:rPr>
                <w:rFonts w:cs="Arial"/>
                <w:sz w:val="18"/>
                <w:szCs w:val="18"/>
              </w:rPr>
              <w:t>68</w:t>
            </w:r>
          </w:p>
        </w:tc>
        <w:tc>
          <w:tcPr>
            <w:tcW w:w="1231" w:type="dxa"/>
            <w:shd w:val="clear" w:color="auto" w:fill="D2E1E9"/>
            <w:tcMar>
              <w:right w:w="57" w:type="dxa"/>
            </w:tcMar>
            <w:vAlign w:val="center"/>
          </w:tcPr>
          <w:p w14:paraId="08473CCC" w14:textId="77777777" w:rsidR="00F851EB" w:rsidRPr="006E632B" w:rsidRDefault="00F851EB" w:rsidP="00ED6390">
            <w:pPr>
              <w:keepNext/>
              <w:keepLines/>
              <w:tabs>
                <w:tab w:val="left" w:pos="723"/>
              </w:tabs>
              <w:spacing w:after="0" w:line="240" w:lineRule="auto"/>
              <w:jc w:val="right"/>
              <w:rPr>
                <w:rFonts w:cs="Arial"/>
                <w:b/>
                <w:color w:val="000000" w:themeColor="text1"/>
                <w:sz w:val="18"/>
                <w:szCs w:val="18"/>
              </w:rPr>
            </w:pPr>
            <w:r w:rsidRPr="006E632B">
              <w:rPr>
                <w:rFonts w:cs="Arial"/>
                <w:sz w:val="18"/>
                <w:szCs w:val="18"/>
              </w:rPr>
              <w:t>161.5</w:t>
            </w:r>
          </w:p>
        </w:tc>
      </w:tr>
      <w:tr w:rsidR="00F851EB" w:rsidRPr="006E632B" w14:paraId="1CAD0F45" w14:textId="77777777" w:rsidTr="00E32E84">
        <w:trPr>
          <w:trHeight w:val="108"/>
        </w:trPr>
        <w:tc>
          <w:tcPr>
            <w:tcW w:w="1813" w:type="dxa"/>
            <w:vMerge/>
            <w:shd w:val="clear" w:color="auto" w:fill="7FB8CB"/>
            <w:tcMar>
              <w:left w:w="113" w:type="dxa"/>
            </w:tcMar>
            <w:vAlign w:val="center"/>
          </w:tcPr>
          <w:p w14:paraId="40B84026" w14:textId="77777777" w:rsidR="00F851EB" w:rsidRPr="006E7298" w:rsidRDefault="00F851EB"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vAlign w:val="center"/>
          </w:tcPr>
          <w:p w14:paraId="7781C38C"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color w:val="FFFFFF" w:themeColor="background1"/>
                <w:sz w:val="18"/>
                <w:szCs w:val="18"/>
              </w:rPr>
              <w:t xml:space="preserve">Amnet </w:t>
            </w:r>
          </w:p>
        </w:tc>
        <w:tc>
          <w:tcPr>
            <w:tcW w:w="1231" w:type="dxa"/>
            <w:shd w:val="clear" w:color="auto" w:fill="D2E1E9"/>
            <w:tcMar>
              <w:right w:w="57" w:type="dxa"/>
            </w:tcMar>
            <w:vAlign w:val="center"/>
          </w:tcPr>
          <w:p w14:paraId="4837D895" w14:textId="77777777" w:rsidR="00F851EB" w:rsidRPr="006E632B" w:rsidRDefault="00F851EB" w:rsidP="00ED6390">
            <w:pPr>
              <w:keepNext/>
              <w:keepLines/>
              <w:tabs>
                <w:tab w:val="left" w:pos="723"/>
              </w:tabs>
              <w:spacing w:after="0" w:line="240" w:lineRule="auto"/>
              <w:jc w:val="right"/>
              <w:rPr>
                <w:rFonts w:cs="Arial"/>
                <w:b/>
                <w:sz w:val="18"/>
                <w:szCs w:val="18"/>
              </w:rPr>
            </w:pPr>
            <w:r w:rsidRPr="006E632B">
              <w:rPr>
                <w:rFonts w:cs="Arial"/>
                <w:sz w:val="18"/>
                <w:szCs w:val="18"/>
              </w:rPr>
              <w:t>n/a</w:t>
            </w:r>
          </w:p>
        </w:tc>
        <w:tc>
          <w:tcPr>
            <w:tcW w:w="1231" w:type="dxa"/>
            <w:shd w:val="clear" w:color="auto" w:fill="D2E1E9"/>
            <w:tcMar>
              <w:right w:w="57" w:type="dxa"/>
            </w:tcMar>
            <w:vAlign w:val="center"/>
          </w:tcPr>
          <w:p w14:paraId="217C9663" w14:textId="77777777" w:rsidR="00F851EB" w:rsidRPr="006E632B" w:rsidRDefault="00F851EB" w:rsidP="00ED6390">
            <w:pPr>
              <w:keepNext/>
              <w:keepLines/>
              <w:tabs>
                <w:tab w:val="left" w:pos="723"/>
              </w:tabs>
              <w:spacing w:after="0" w:line="240" w:lineRule="auto"/>
              <w:jc w:val="right"/>
              <w:rPr>
                <w:rFonts w:cs="Arial"/>
                <w:b/>
                <w:sz w:val="18"/>
                <w:szCs w:val="18"/>
              </w:rPr>
            </w:pPr>
            <w:r w:rsidRPr="006E632B">
              <w:rPr>
                <w:rFonts w:cs="Arial"/>
                <w:sz w:val="18"/>
                <w:szCs w:val="18"/>
              </w:rPr>
              <w:t>16</w:t>
            </w:r>
          </w:p>
        </w:tc>
        <w:tc>
          <w:tcPr>
            <w:tcW w:w="1231" w:type="dxa"/>
            <w:shd w:val="clear" w:color="auto" w:fill="D2E1E9"/>
            <w:tcMar>
              <w:right w:w="57" w:type="dxa"/>
            </w:tcMar>
            <w:vAlign w:val="center"/>
          </w:tcPr>
          <w:p w14:paraId="43A207AA" w14:textId="77777777" w:rsidR="00F851EB" w:rsidRPr="006E632B" w:rsidRDefault="00F851EB" w:rsidP="00ED6390">
            <w:pPr>
              <w:keepNext/>
              <w:keepLines/>
              <w:tabs>
                <w:tab w:val="left" w:pos="723"/>
              </w:tabs>
              <w:spacing w:after="0" w:line="240" w:lineRule="auto"/>
              <w:jc w:val="right"/>
              <w:rPr>
                <w:rFonts w:cs="Arial"/>
                <w:b/>
                <w:color w:val="000000" w:themeColor="text1"/>
                <w:sz w:val="18"/>
                <w:szCs w:val="18"/>
              </w:rPr>
            </w:pPr>
            <w:r w:rsidRPr="006E632B">
              <w:rPr>
                <w:rFonts w:cs="Arial"/>
                <w:sz w:val="18"/>
                <w:szCs w:val="18"/>
              </w:rPr>
              <w:t>16</w:t>
            </w:r>
          </w:p>
        </w:tc>
        <w:tc>
          <w:tcPr>
            <w:tcW w:w="1231" w:type="dxa"/>
            <w:shd w:val="clear" w:color="auto" w:fill="D2E1E9"/>
            <w:tcMar>
              <w:right w:w="57" w:type="dxa"/>
            </w:tcMar>
            <w:vAlign w:val="center"/>
          </w:tcPr>
          <w:p w14:paraId="3A0CEB56" w14:textId="77777777" w:rsidR="00F851EB" w:rsidRPr="006E632B" w:rsidRDefault="00F851EB" w:rsidP="00ED6390">
            <w:pPr>
              <w:keepNext/>
              <w:keepLines/>
              <w:tabs>
                <w:tab w:val="left" w:pos="723"/>
              </w:tabs>
              <w:spacing w:after="0" w:line="240" w:lineRule="auto"/>
              <w:jc w:val="right"/>
              <w:rPr>
                <w:rFonts w:cs="Arial"/>
                <w:b/>
                <w:color w:val="000000" w:themeColor="text1"/>
                <w:sz w:val="18"/>
                <w:szCs w:val="18"/>
              </w:rPr>
            </w:pPr>
            <w:r w:rsidRPr="006E632B">
              <w:rPr>
                <w:rFonts w:cs="Arial"/>
                <w:sz w:val="18"/>
                <w:szCs w:val="18"/>
              </w:rPr>
              <w:t>0.0</w:t>
            </w:r>
          </w:p>
        </w:tc>
      </w:tr>
      <w:tr w:rsidR="00F851EB" w:rsidRPr="006E632B" w14:paraId="63D57447" w14:textId="77777777" w:rsidTr="00E32E84">
        <w:trPr>
          <w:trHeight w:val="108"/>
        </w:trPr>
        <w:tc>
          <w:tcPr>
            <w:tcW w:w="1813" w:type="dxa"/>
            <w:vMerge/>
            <w:shd w:val="clear" w:color="auto" w:fill="7FB8CB"/>
            <w:tcMar>
              <w:left w:w="113" w:type="dxa"/>
            </w:tcMar>
            <w:vAlign w:val="center"/>
          </w:tcPr>
          <w:p w14:paraId="362F996B" w14:textId="77777777" w:rsidR="00F851EB" w:rsidRPr="006E7298" w:rsidRDefault="00F851EB" w:rsidP="00ED6390">
            <w:pPr>
              <w:keepNext/>
              <w:keepLines/>
              <w:spacing w:after="0" w:line="240" w:lineRule="auto"/>
              <w:rPr>
                <w:rFonts w:cs="Arial"/>
                <w:b/>
                <w:color w:val="FFFFFF" w:themeColor="background1"/>
                <w:sz w:val="18"/>
                <w:szCs w:val="18"/>
              </w:rPr>
            </w:pPr>
          </w:p>
        </w:tc>
        <w:tc>
          <w:tcPr>
            <w:tcW w:w="2835" w:type="dxa"/>
            <w:shd w:val="clear" w:color="auto" w:fill="7FB8CB"/>
            <w:tcMar>
              <w:left w:w="113" w:type="dxa"/>
            </w:tcMar>
            <w:vAlign w:val="center"/>
          </w:tcPr>
          <w:p w14:paraId="5B1D5F0F" w14:textId="77777777" w:rsidR="00F851EB" w:rsidRPr="006E7298" w:rsidRDefault="00F851EB" w:rsidP="00ED6390">
            <w:pPr>
              <w:keepNext/>
              <w:keepLines/>
              <w:spacing w:after="0" w:line="240" w:lineRule="auto"/>
              <w:rPr>
                <w:rFonts w:cs="Arial"/>
                <w:b/>
                <w:color w:val="FFFFFF" w:themeColor="background1"/>
                <w:sz w:val="18"/>
                <w:szCs w:val="18"/>
              </w:rPr>
            </w:pPr>
            <w:r w:rsidRPr="006E7298">
              <w:rPr>
                <w:rFonts w:cs="Arial"/>
                <w:b/>
                <w:color w:val="FFFFFF" w:themeColor="background1"/>
                <w:sz w:val="18"/>
                <w:szCs w:val="18"/>
              </w:rPr>
              <w:t>Total broadband subscribers</w:t>
            </w:r>
          </w:p>
        </w:tc>
        <w:tc>
          <w:tcPr>
            <w:tcW w:w="1231" w:type="dxa"/>
            <w:shd w:val="clear" w:color="auto" w:fill="7FB8CB"/>
            <w:tcMar>
              <w:right w:w="57" w:type="dxa"/>
            </w:tcMar>
            <w:vAlign w:val="center"/>
          </w:tcPr>
          <w:p w14:paraId="10D49D57" w14:textId="77777777" w:rsidR="00F851EB" w:rsidRPr="006E7298" w:rsidRDefault="00F851EB"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414</w:t>
            </w:r>
          </w:p>
        </w:tc>
        <w:tc>
          <w:tcPr>
            <w:tcW w:w="1231" w:type="dxa"/>
            <w:shd w:val="clear" w:color="auto" w:fill="7FB8CB"/>
            <w:tcMar>
              <w:right w:w="57" w:type="dxa"/>
            </w:tcMar>
            <w:vAlign w:val="center"/>
          </w:tcPr>
          <w:p w14:paraId="47A4D2BE" w14:textId="77777777" w:rsidR="00F851EB" w:rsidRPr="006E7298" w:rsidRDefault="00F851EB"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465</w:t>
            </w:r>
          </w:p>
        </w:tc>
        <w:tc>
          <w:tcPr>
            <w:tcW w:w="1231" w:type="dxa"/>
            <w:shd w:val="clear" w:color="auto" w:fill="7FB8CB"/>
            <w:tcMar>
              <w:right w:w="57" w:type="dxa"/>
            </w:tcMar>
            <w:vAlign w:val="center"/>
          </w:tcPr>
          <w:p w14:paraId="1935AF73" w14:textId="77777777" w:rsidR="00F851EB" w:rsidRPr="006E7298" w:rsidRDefault="00F851EB"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520</w:t>
            </w:r>
          </w:p>
        </w:tc>
        <w:tc>
          <w:tcPr>
            <w:tcW w:w="1231" w:type="dxa"/>
            <w:shd w:val="clear" w:color="auto" w:fill="7FB8CB"/>
            <w:tcMar>
              <w:right w:w="57" w:type="dxa"/>
            </w:tcMar>
            <w:vAlign w:val="center"/>
          </w:tcPr>
          <w:p w14:paraId="3B987BE3" w14:textId="77777777" w:rsidR="00F851EB" w:rsidRPr="006E7298" w:rsidRDefault="00F851EB" w:rsidP="00ED6390">
            <w:pPr>
              <w:keepNext/>
              <w:keepLines/>
              <w:tabs>
                <w:tab w:val="left" w:pos="723"/>
              </w:tabs>
              <w:spacing w:after="0" w:line="240" w:lineRule="auto"/>
              <w:jc w:val="right"/>
              <w:rPr>
                <w:rFonts w:cs="Arial"/>
                <w:b/>
                <w:color w:val="FFFFFF" w:themeColor="background1"/>
                <w:sz w:val="18"/>
                <w:szCs w:val="18"/>
              </w:rPr>
            </w:pPr>
            <w:r w:rsidRPr="006E7298">
              <w:rPr>
                <w:rFonts w:cs="Arial"/>
                <w:b/>
                <w:color w:val="FFFFFF" w:themeColor="background1"/>
                <w:sz w:val="18"/>
                <w:szCs w:val="18"/>
              </w:rPr>
              <w:t>11.8</w:t>
            </w:r>
          </w:p>
        </w:tc>
      </w:tr>
    </w:tbl>
    <w:p w14:paraId="7526EDA2" w14:textId="77777777" w:rsidR="00E32E84" w:rsidRPr="00F851EB" w:rsidRDefault="00E32E84" w:rsidP="00132588">
      <w:pPr>
        <w:pStyle w:val="ACMANotes"/>
        <w:shd w:val="clear" w:color="auto" w:fill="FFFFFF" w:themeFill="background1"/>
      </w:pPr>
      <w:bookmarkStart w:id="319" w:name="_Toc399331720"/>
      <w:bookmarkStart w:id="320" w:name="_Toc399336901"/>
      <w:bookmarkStart w:id="321" w:name="_Toc402337500"/>
      <w:bookmarkStart w:id="322" w:name="_Toc462132215"/>
      <w:bookmarkStart w:id="323" w:name="_Toc462899558"/>
      <w:bookmarkStart w:id="324" w:name="_Toc433790304"/>
      <w:bookmarkStart w:id="325" w:name="_Toc463529044"/>
      <w:r w:rsidRPr="00F851EB">
        <w:t>*Optus on-net includes HFC, ULL and business-grade broadband customers.</w:t>
      </w:r>
    </w:p>
    <w:p w14:paraId="71774A66" w14:textId="77777777" w:rsidR="00E32E84" w:rsidRPr="00F851EB" w:rsidRDefault="00E32E84" w:rsidP="00132588">
      <w:pPr>
        <w:pStyle w:val="ACMANotes"/>
        <w:shd w:val="clear" w:color="auto" w:fill="FFFFFF" w:themeFill="background1"/>
      </w:pPr>
      <w:r w:rsidRPr="00F851EB">
        <w:t xml:space="preserve">**The ACMA previously reported on M2 Group Ltd, which in February 2016 merged with Vocus Communications Limited. The Australian brands in this group include iPrimus, Dodo, engin and Commander. </w:t>
      </w:r>
    </w:p>
    <w:p w14:paraId="086E1049" w14:textId="77777777" w:rsidR="00E32E84" w:rsidRPr="00F851EB" w:rsidRDefault="00E32E84" w:rsidP="00ED6390">
      <w:pPr>
        <w:pStyle w:val="ACMANotes"/>
        <w:keepNext/>
        <w:keepLines/>
      </w:pPr>
      <w:r w:rsidRPr="00F851EB">
        <w:lastRenderedPageBreak/>
        <w:t xml:space="preserve">†Revised from previous year. </w:t>
      </w:r>
    </w:p>
    <w:p w14:paraId="01738349" w14:textId="77777777" w:rsidR="00E32E84" w:rsidRPr="00F851EB" w:rsidRDefault="00E32E84" w:rsidP="00ED6390">
      <w:pPr>
        <w:pStyle w:val="ACMANotes"/>
        <w:keepNext/>
        <w:keepLines/>
      </w:pPr>
      <w:r w:rsidRPr="00F851EB">
        <w:t xml:space="preserve">Note: Includes resale figures. Terminology used is consistent with that used in company annual reports. The number of subscribers is measured using the number of subscriber lines rather than number of users. Subscribers may have multiple accounts with more than one ISP. Numbers presented in the table also includes SIO of subsidiaries. Numbers may not add up due to rounding. </w:t>
      </w:r>
    </w:p>
    <w:p w14:paraId="478034ED" w14:textId="77777777" w:rsidR="00E32E84" w:rsidRDefault="00E32E84" w:rsidP="00ED6390">
      <w:pPr>
        <w:pStyle w:val="ACMANotes"/>
        <w:keepNext/>
        <w:keepLines/>
      </w:pPr>
      <w:r w:rsidRPr="00F851EB">
        <w:t>Source: Company annual reports and press releases.</w:t>
      </w:r>
    </w:p>
    <w:p w14:paraId="1C7B44CA" w14:textId="77777777" w:rsidR="00E32E84" w:rsidRPr="00F851EB" w:rsidRDefault="00E32E84" w:rsidP="00E32E84">
      <w:pPr>
        <w:pStyle w:val="ACMASpaceaftertable"/>
      </w:pPr>
    </w:p>
    <w:p w14:paraId="400AAC69" w14:textId="77777777" w:rsidR="000A1CD9" w:rsidRPr="00FD7E86" w:rsidRDefault="00375F28" w:rsidP="000A1CD9">
      <w:pPr>
        <w:pStyle w:val="Heading3"/>
      </w:pPr>
      <w:bookmarkStart w:id="326" w:name="_Toc465842864"/>
      <w:r>
        <w:t>National Broadband N</w:t>
      </w:r>
      <w:r w:rsidR="000A1CD9" w:rsidRPr="00FD7E86">
        <w:t>etwork</w:t>
      </w:r>
      <w:bookmarkEnd w:id="319"/>
      <w:bookmarkEnd w:id="320"/>
      <w:bookmarkEnd w:id="321"/>
      <w:bookmarkEnd w:id="322"/>
      <w:bookmarkEnd w:id="323"/>
      <w:bookmarkEnd w:id="324"/>
      <w:bookmarkEnd w:id="325"/>
      <w:bookmarkEnd w:id="326"/>
    </w:p>
    <w:p w14:paraId="7485065E" w14:textId="77777777" w:rsidR="000A1CD9" w:rsidRDefault="00375F28" w:rsidP="000A1CD9">
      <w:pPr>
        <w:rPr>
          <w:rFonts w:cs="Arial"/>
          <w:szCs w:val="16"/>
        </w:rPr>
      </w:pPr>
      <w:r>
        <w:rPr>
          <w:rFonts w:cs="Arial"/>
          <w:szCs w:val="16"/>
        </w:rPr>
        <w:t>In 2015–16, the National Broadband N</w:t>
      </w:r>
      <w:r w:rsidR="000A1CD9">
        <w:rPr>
          <w:rFonts w:cs="Arial"/>
          <w:szCs w:val="16"/>
        </w:rPr>
        <w:t xml:space="preserve">etwork (NBN network), operated </w:t>
      </w:r>
      <w:r w:rsidR="000A1CD9" w:rsidRPr="00CD48D7">
        <w:rPr>
          <w:rFonts w:cs="Arial"/>
          <w:szCs w:val="16"/>
        </w:rPr>
        <w:t xml:space="preserve">by </w:t>
      </w:r>
      <w:r>
        <w:rPr>
          <w:rFonts w:cs="Arial"/>
          <w:szCs w:val="16"/>
        </w:rPr>
        <w:t>NBN Co L</w:t>
      </w:r>
      <w:r w:rsidR="000A1CD9" w:rsidRPr="00CD48D7">
        <w:rPr>
          <w:rFonts w:cs="Arial"/>
          <w:szCs w:val="16"/>
        </w:rPr>
        <w:t>imited (</w:t>
      </w:r>
      <w:r w:rsidR="008B7194">
        <w:rPr>
          <w:rFonts w:cs="Arial"/>
          <w:szCs w:val="16"/>
        </w:rPr>
        <w:t>NBN</w:t>
      </w:r>
      <w:r>
        <w:rPr>
          <w:rFonts w:cs="Arial"/>
          <w:szCs w:val="16"/>
        </w:rPr>
        <w:t xml:space="preserve"> Co</w:t>
      </w:r>
      <w:r w:rsidR="000A1CD9">
        <w:rPr>
          <w:rFonts w:cs="Arial"/>
          <w:szCs w:val="16"/>
        </w:rPr>
        <w:t xml:space="preserve">), continued to expand, with an increasing number of premises activated and enabled for NBN service. This year also saw an introduction of new NBN services. </w:t>
      </w:r>
    </w:p>
    <w:p w14:paraId="2E523644" w14:textId="77777777" w:rsidR="000A1CD9" w:rsidRDefault="000A1CD9" w:rsidP="000A1CD9">
      <w:pPr>
        <w:keepNext/>
        <w:spacing w:after="80"/>
        <w:rPr>
          <w:rFonts w:cs="Arial"/>
          <w:szCs w:val="16"/>
        </w:rPr>
      </w:pPr>
      <w:r>
        <w:rPr>
          <w:rFonts w:cs="Arial"/>
          <w:szCs w:val="16"/>
        </w:rPr>
        <w:t xml:space="preserve">The NBN </w:t>
      </w:r>
      <w:r w:rsidRPr="000623D0">
        <w:rPr>
          <w:rFonts w:cs="Arial"/>
          <w:szCs w:val="16"/>
        </w:rPr>
        <w:t>is an Australian Government initiative intended to deliver high-speed and reliable phone and internet services across Australia via a multi-technology mix including</w:t>
      </w:r>
      <w:r>
        <w:rPr>
          <w:rFonts w:cs="Arial"/>
          <w:szCs w:val="16"/>
        </w:rPr>
        <w:t>:</w:t>
      </w:r>
    </w:p>
    <w:p w14:paraId="22F89AC2" w14:textId="77777777" w:rsidR="000A1CD9" w:rsidRPr="001F49FA" w:rsidRDefault="000A1CD9" w:rsidP="000A1CD9">
      <w:pPr>
        <w:pStyle w:val="ListBullet"/>
        <w:keepNext/>
        <w:keepLines/>
      </w:pPr>
      <w:r>
        <w:t>fibre to the premises (FTTP)</w:t>
      </w:r>
    </w:p>
    <w:p w14:paraId="3655C5F7" w14:textId="77777777" w:rsidR="000A1CD9" w:rsidRPr="00964529" w:rsidRDefault="000A1CD9" w:rsidP="000A1CD9">
      <w:pPr>
        <w:pStyle w:val="ListBullet"/>
        <w:keepNext/>
        <w:keepLines/>
      </w:pPr>
      <w:r>
        <w:t>fibre to the building (FTTB)</w:t>
      </w:r>
    </w:p>
    <w:p w14:paraId="13986522" w14:textId="77777777" w:rsidR="000A1CD9" w:rsidRPr="00964529" w:rsidRDefault="000A1CD9" w:rsidP="000A1CD9">
      <w:pPr>
        <w:pStyle w:val="ListBullet"/>
        <w:keepNext/>
        <w:keepLines/>
      </w:pPr>
      <w:r>
        <w:t>fibre to the node (FTTN)</w:t>
      </w:r>
    </w:p>
    <w:p w14:paraId="586C7901" w14:textId="77777777" w:rsidR="000A1CD9" w:rsidRPr="00964529" w:rsidRDefault="000A1CD9" w:rsidP="000A1CD9">
      <w:pPr>
        <w:pStyle w:val="ListBullet"/>
        <w:keepNext/>
        <w:keepLines/>
      </w:pPr>
      <w:r>
        <w:t>Hybrid Fibre Coaxial (HFC)</w:t>
      </w:r>
    </w:p>
    <w:p w14:paraId="546B0948" w14:textId="77777777" w:rsidR="000A1CD9" w:rsidRPr="00964529" w:rsidRDefault="000A1CD9" w:rsidP="000A1CD9">
      <w:pPr>
        <w:pStyle w:val="ListBullet"/>
        <w:keepNext/>
        <w:keepLines/>
      </w:pPr>
      <w:r>
        <w:t>fixed wireless</w:t>
      </w:r>
    </w:p>
    <w:p w14:paraId="294FFAE8" w14:textId="77777777" w:rsidR="000A1CD9" w:rsidRPr="004D68A7" w:rsidRDefault="000A1CD9" w:rsidP="000A1CD9">
      <w:pPr>
        <w:pStyle w:val="ListBulletLast"/>
        <w:keepNext/>
        <w:keepLines/>
      </w:pPr>
      <w:r>
        <w:t xml:space="preserve">satellite. </w:t>
      </w:r>
    </w:p>
    <w:p w14:paraId="7C595165" w14:textId="77777777" w:rsidR="000A1CD9" w:rsidRPr="00A16448" w:rsidRDefault="000A1CD9" w:rsidP="000A1CD9">
      <w:pPr>
        <w:pStyle w:val="Bodysubheader0"/>
      </w:pPr>
      <w:bookmarkStart w:id="327" w:name="_Toc462132216"/>
      <w:bookmarkStart w:id="328" w:name="_Toc463529045"/>
      <w:r>
        <w:t xml:space="preserve">New NBN </w:t>
      </w:r>
      <w:r w:rsidR="00E0713D">
        <w:t xml:space="preserve">network </w:t>
      </w:r>
      <w:r>
        <w:t>services</w:t>
      </w:r>
      <w:bookmarkEnd w:id="327"/>
      <w:bookmarkEnd w:id="328"/>
      <w:r>
        <w:t xml:space="preserve"> </w:t>
      </w:r>
    </w:p>
    <w:p w14:paraId="09949BF6" w14:textId="77777777" w:rsidR="000A1CD9" w:rsidRDefault="000A1CD9" w:rsidP="000A1CD9">
      <w:r>
        <w:t xml:space="preserve">In September 2015, </w:t>
      </w:r>
      <w:r w:rsidR="00E0713D">
        <w:t xml:space="preserve">NBN </w:t>
      </w:r>
      <w:r w:rsidR="00375F28">
        <w:t xml:space="preserve">Co </w:t>
      </w:r>
      <w:r>
        <w:t xml:space="preserve">switched on its commercial FTTN network, promising to deliver speeds of </w:t>
      </w:r>
      <w:r w:rsidR="005C5169">
        <w:t xml:space="preserve">up to </w:t>
      </w:r>
      <w:r>
        <w:t>100 Mbps.</w:t>
      </w:r>
      <w:r>
        <w:rPr>
          <w:rStyle w:val="EndnoteReference"/>
        </w:rPr>
        <w:endnoteReference w:id="63"/>
      </w:r>
      <w:r>
        <w:t xml:space="preserve"> </w:t>
      </w:r>
      <w:r w:rsidR="00AC701F">
        <w:t>Services were launched in Belmont, NSW</w:t>
      </w:r>
      <w:r w:rsidR="00AC701F">
        <w:rPr>
          <w:rStyle w:val="EndnoteReference"/>
        </w:rPr>
        <w:endnoteReference w:id="64"/>
      </w:r>
      <w:r w:rsidR="00AC701F">
        <w:t xml:space="preserve"> with FTTN services becoming available in areas across the country by June 2016.</w:t>
      </w:r>
      <w:r w:rsidR="00AC701F">
        <w:rPr>
          <w:rStyle w:val="EndnoteReference"/>
        </w:rPr>
        <w:endnoteReference w:id="65"/>
      </w:r>
      <w:r w:rsidR="00AC701F" w:rsidRPr="00EA149D">
        <w:rPr>
          <w:vertAlign w:val="superscript"/>
        </w:rPr>
        <w:t>,</w:t>
      </w:r>
      <w:r w:rsidR="008F3F55">
        <w:rPr>
          <w:vertAlign w:val="superscript"/>
        </w:rPr>
        <w:t xml:space="preserve"> </w:t>
      </w:r>
      <w:r w:rsidR="00AC701F">
        <w:rPr>
          <w:rStyle w:val="EndnoteReference"/>
        </w:rPr>
        <w:endnoteReference w:id="66"/>
      </w:r>
      <w:r w:rsidR="00AC701F">
        <w:t xml:space="preserve"> NBN </w:t>
      </w:r>
      <w:r w:rsidR="00375F28">
        <w:t xml:space="preserve">Co </w:t>
      </w:r>
      <w:r w:rsidR="00AC701F">
        <w:t>began offering HFC services in Redcliffe, Queensland on 30</w:t>
      </w:r>
      <w:r w:rsidR="009F33CB">
        <w:t> </w:t>
      </w:r>
      <w:r w:rsidR="00AC701F">
        <w:t>June 2016.</w:t>
      </w:r>
      <w:r w:rsidR="00AC701F">
        <w:rPr>
          <w:rStyle w:val="EndnoteReference"/>
        </w:rPr>
        <w:endnoteReference w:id="67"/>
      </w:r>
    </w:p>
    <w:p w14:paraId="252FE10B" w14:textId="77777777" w:rsidR="000A1CD9" w:rsidRDefault="000A1CD9" w:rsidP="000A1CD9">
      <w:r>
        <w:t xml:space="preserve">In October 2015, </w:t>
      </w:r>
      <w:r w:rsidR="00E0713D">
        <w:t>NBN</w:t>
      </w:r>
      <w:r w:rsidR="00375F28">
        <w:t xml:space="preserve"> Co</w:t>
      </w:r>
      <w:r w:rsidR="00E0713D">
        <w:t xml:space="preserve"> </w:t>
      </w:r>
      <w:r>
        <w:t>launched its first satellite, Sky Muster 1, set to provide access to fast and affordable broadband for regional and remote Australians.</w:t>
      </w:r>
      <w:r>
        <w:rPr>
          <w:rStyle w:val="EndnoteReference"/>
        </w:rPr>
        <w:endnoteReference w:id="68"/>
      </w:r>
      <w:r>
        <w:t xml:space="preserve"> In </w:t>
      </w:r>
      <w:r w:rsidR="00AC701F">
        <w:t xml:space="preserve">April </w:t>
      </w:r>
      <w:r>
        <w:t xml:space="preserve">2016, </w:t>
      </w:r>
      <w:r w:rsidR="00E0713D">
        <w:t xml:space="preserve">NBN </w:t>
      </w:r>
      <w:r w:rsidR="00375F28">
        <w:t xml:space="preserve">Co </w:t>
      </w:r>
      <w:r>
        <w:t>announced it had commenced sales of wholesale broadband services via Sky Muster, targeting Australians living in remote regions.</w:t>
      </w:r>
      <w:r>
        <w:rPr>
          <w:rStyle w:val="EndnoteReference"/>
        </w:rPr>
        <w:endnoteReference w:id="69"/>
      </w:r>
      <w:r>
        <w:t xml:space="preserve"> </w:t>
      </w:r>
    </w:p>
    <w:p w14:paraId="38D93112" w14:textId="77777777" w:rsidR="000A1CD9" w:rsidRPr="00645D38" w:rsidRDefault="00E0713D" w:rsidP="000A1CD9">
      <w:pPr>
        <w:rPr>
          <w:rStyle w:val="EndnoteReference"/>
          <w:vertAlign w:val="baseline"/>
        </w:rPr>
      </w:pPr>
      <w:r>
        <w:t>NBN</w:t>
      </w:r>
      <w:r w:rsidR="00375F28">
        <w:t xml:space="preserve"> Co</w:t>
      </w:r>
      <w:r>
        <w:t xml:space="preserve">’s </w:t>
      </w:r>
      <w:r w:rsidR="000A1CD9" w:rsidRPr="00913204">
        <w:t>second broadband satellite Sky Muster II was successfully launched on 6 October 2016 to help provide additional data capacity to around 400,000 Australian homes and businesses.</w:t>
      </w:r>
      <w:r w:rsidR="000A1CD9" w:rsidRPr="00913204">
        <w:rPr>
          <w:rStyle w:val="EndnoteReference"/>
        </w:rPr>
        <w:endnoteReference w:id="70"/>
      </w:r>
      <w:r w:rsidR="000A1CD9">
        <w:rPr>
          <w:rStyle w:val="EndnoteReference"/>
        </w:rPr>
        <w:t xml:space="preserve"> </w:t>
      </w:r>
    </w:p>
    <w:p w14:paraId="7F3C63B7" w14:textId="77777777" w:rsidR="000A1CD9" w:rsidRDefault="000A1CD9" w:rsidP="000A1CD9">
      <w:pPr>
        <w:rPr>
          <w:rStyle w:val="EndnoteReference"/>
        </w:rPr>
      </w:pPr>
      <w:r>
        <w:t xml:space="preserve">In </w:t>
      </w:r>
      <w:r w:rsidR="00AC701F">
        <w:t>March</w:t>
      </w:r>
      <w:r>
        <w:t xml:space="preserve"> 2016, </w:t>
      </w:r>
      <w:r w:rsidR="00E0713D">
        <w:t xml:space="preserve">NBN </w:t>
      </w:r>
      <w:r w:rsidR="00375F28">
        <w:t xml:space="preserve">Co </w:t>
      </w:r>
      <w:r>
        <w:t>announced it was trialling a new technology—fibre to the distribution point (FttDp), thought to deliver faster broadband internet speeds, estimated at one Gigabit, or 1000 Megabits, per second.</w:t>
      </w:r>
      <w:r>
        <w:rPr>
          <w:rStyle w:val="EndnoteReference"/>
        </w:rPr>
        <w:endnoteReference w:id="71"/>
      </w:r>
      <w:r>
        <w:t xml:space="preserve"> It uses a distribution point unit for the fibre-to-copper connection to enable the fibre to run to the front of customers’ premises.</w:t>
      </w:r>
      <w:r>
        <w:rPr>
          <w:rStyle w:val="EndnoteReference"/>
        </w:rPr>
        <w:endnoteReference w:id="72"/>
      </w:r>
      <w:r>
        <w:t xml:space="preserve"> </w:t>
      </w:r>
    </w:p>
    <w:p w14:paraId="4ACA5E10" w14:textId="77777777" w:rsidR="000A1CD9" w:rsidRPr="00A16448" w:rsidRDefault="000A1CD9" w:rsidP="00A565E7">
      <w:pPr>
        <w:pStyle w:val="Bodysubheader0"/>
        <w:keepNext/>
      </w:pPr>
      <w:bookmarkStart w:id="329" w:name="_Toc462132217"/>
      <w:bookmarkStart w:id="330" w:name="_Toc463529046"/>
      <w:r>
        <w:t>NBN premises serviceable and activated</w:t>
      </w:r>
      <w:bookmarkEnd w:id="329"/>
      <w:bookmarkEnd w:id="330"/>
    </w:p>
    <w:p w14:paraId="50876BF2" w14:textId="77777777" w:rsidR="000A1CD9" w:rsidRPr="00762FDA" w:rsidRDefault="000A1CD9" w:rsidP="000A1CD9">
      <w:pPr>
        <w:spacing w:after="80"/>
        <w:rPr>
          <w:rFonts w:cs="Arial"/>
          <w:szCs w:val="16"/>
        </w:rPr>
      </w:pPr>
      <w:r w:rsidRPr="00645DFD">
        <w:rPr>
          <w:rFonts w:cs="Arial"/>
          <w:szCs w:val="16"/>
        </w:rPr>
        <w:t xml:space="preserve">Table 1.4 provides an overview of premises serviceable or covered by the </w:t>
      </w:r>
      <w:r>
        <w:rPr>
          <w:rFonts w:cs="Arial"/>
          <w:szCs w:val="16"/>
        </w:rPr>
        <w:t>NBN</w:t>
      </w:r>
      <w:r w:rsidRPr="00645DFD">
        <w:rPr>
          <w:rFonts w:cs="Arial"/>
          <w:szCs w:val="16"/>
        </w:rPr>
        <w:t xml:space="preserve"> and the number of premises with </w:t>
      </w:r>
      <w:r>
        <w:rPr>
          <w:rFonts w:cs="Arial"/>
          <w:szCs w:val="16"/>
        </w:rPr>
        <w:t>NBN</w:t>
      </w:r>
      <w:r w:rsidRPr="00645DFD">
        <w:rPr>
          <w:rFonts w:cs="Arial"/>
          <w:szCs w:val="16"/>
        </w:rPr>
        <w:t xml:space="preserve"> services activated. For premises serviceable or covered by the </w:t>
      </w:r>
      <w:r>
        <w:rPr>
          <w:rFonts w:cs="Arial"/>
          <w:szCs w:val="16"/>
        </w:rPr>
        <w:t>NBN</w:t>
      </w:r>
      <w:r w:rsidRPr="00645DFD">
        <w:rPr>
          <w:rFonts w:cs="Arial"/>
          <w:szCs w:val="16"/>
        </w:rPr>
        <w:t xml:space="preserve"> network at June 2016, </w:t>
      </w:r>
      <w:r w:rsidR="00E0713D">
        <w:rPr>
          <w:rFonts w:cs="Arial"/>
          <w:szCs w:val="16"/>
        </w:rPr>
        <w:t>NBN</w:t>
      </w:r>
      <w:r w:rsidR="00E0713D" w:rsidRPr="00645DFD">
        <w:rPr>
          <w:rFonts w:cs="Arial"/>
          <w:szCs w:val="16"/>
        </w:rPr>
        <w:t xml:space="preserve"> </w:t>
      </w:r>
      <w:r w:rsidR="00375F28">
        <w:rPr>
          <w:rFonts w:cs="Arial"/>
          <w:szCs w:val="16"/>
        </w:rPr>
        <w:t xml:space="preserve">Co </w:t>
      </w:r>
      <w:r w:rsidRPr="00645DFD">
        <w:rPr>
          <w:rFonts w:cs="Arial"/>
          <w:szCs w:val="16"/>
        </w:rPr>
        <w:t>reported that:</w:t>
      </w:r>
    </w:p>
    <w:p w14:paraId="7644FE79" w14:textId="77777777" w:rsidR="000A1CD9" w:rsidRPr="0082501B" w:rsidRDefault="000A1CD9" w:rsidP="000A1CD9">
      <w:pPr>
        <w:pStyle w:val="ListBullet"/>
      </w:pPr>
      <w:r w:rsidRPr="0082501B">
        <w:t>2,</w:t>
      </w:r>
      <w:r w:rsidR="005C5169">
        <w:t>835,687</w:t>
      </w:r>
      <w:r w:rsidRPr="0082501B">
        <w:t xml:space="preserve"> premises were </w:t>
      </w:r>
      <w:r w:rsidR="005C5169">
        <w:t>serviceable</w:t>
      </w:r>
      <w:r w:rsidRPr="0082501B">
        <w:t xml:space="preserve">, an increase of </w:t>
      </w:r>
      <w:r w:rsidR="005C5169">
        <w:t>146</w:t>
      </w:r>
      <w:r w:rsidRPr="0082501B">
        <w:t xml:space="preserve"> per cent since June 2015 (1,153,077). </w:t>
      </w:r>
      <w:r w:rsidR="00DA51DD">
        <w:t>Of these, 2,0</w:t>
      </w:r>
      <w:r w:rsidR="00AC701F" w:rsidRPr="0082501B">
        <w:t>0</w:t>
      </w:r>
      <w:r w:rsidR="00AC701F">
        <w:t>5,204</w:t>
      </w:r>
      <w:r w:rsidR="00AC701F" w:rsidRPr="0082501B">
        <w:t xml:space="preserve"> premises were serviceable by the </w:t>
      </w:r>
      <w:r w:rsidR="00AC701F">
        <w:t>NBN</w:t>
      </w:r>
      <w:r w:rsidR="00AC701F" w:rsidRPr="0082501B">
        <w:t xml:space="preserve"> fibre network and 420,524 premises were passed by the </w:t>
      </w:r>
      <w:r w:rsidR="00AC701F">
        <w:t xml:space="preserve">NBN </w:t>
      </w:r>
      <w:r w:rsidR="00AC701F" w:rsidRPr="0082501B">
        <w:t>fixed-wireless network, with 409,959 through the satellite.</w:t>
      </w:r>
      <w:r w:rsidRPr="0082501B">
        <w:t xml:space="preserve"> </w:t>
      </w:r>
    </w:p>
    <w:p w14:paraId="4FE366CF" w14:textId="77777777" w:rsidR="000A1CD9" w:rsidRDefault="000A1CD9" w:rsidP="000A1CD9">
      <w:pPr>
        <w:pStyle w:val="ListBulletLast"/>
      </w:pPr>
      <w:r w:rsidRPr="0082501B">
        <w:t xml:space="preserve">1,098,634 premises had activated an </w:t>
      </w:r>
      <w:r>
        <w:t>NBN</w:t>
      </w:r>
      <w:r w:rsidRPr="0082501B">
        <w:t xml:space="preserve"> service, an increase of 126 per cent since June 2015. This includes 942,356 premises connected to the fibre network and 156,278 premises connected to fixed</w:t>
      </w:r>
      <w:r w:rsidRPr="00C16B9A">
        <w:t>-wireless or satellite services.</w:t>
      </w:r>
    </w:p>
    <w:p w14:paraId="61EC00F8" w14:textId="77777777" w:rsidR="000A1CD9" w:rsidRDefault="000A1CD9" w:rsidP="007A3C67">
      <w:pPr>
        <w:keepNext/>
      </w:pPr>
      <w:r w:rsidRPr="000623D0">
        <w:lastRenderedPageBreak/>
        <w:t xml:space="preserve">Rollout of the </w:t>
      </w:r>
      <w:r>
        <w:t>NBN</w:t>
      </w:r>
      <w:r w:rsidRPr="000623D0">
        <w:t xml:space="preserve"> is scheduled for completion by 2020</w:t>
      </w:r>
      <w:r>
        <w:t>, with plans to connect eight million Australians.</w:t>
      </w:r>
      <w:r>
        <w:rPr>
          <w:rStyle w:val="EndnoteReference"/>
        </w:rPr>
        <w:endnoteReference w:id="73"/>
      </w:r>
      <w:r>
        <w:t xml:space="preserve"> </w:t>
      </w:r>
    </w:p>
    <w:p w14:paraId="35EE07E8" w14:textId="77777777" w:rsidR="000A1CD9" w:rsidRPr="00C16B9A" w:rsidRDefault="000A1CD9" w:rsidP="000A1CD9">
      <w:pPr>
        <w:pStyle w:val="ACMATableHeader"/>
        <w:keepNext/>
        <w:keepLines/>
        <w:numPr>
          <w:ilvl w:val="0"/>
          <w:numId w:val="0"/>
        </w:numPr>
      </w:pPr>
      <w:r>
        <w:t>Ta</w:t>
      </w:r>
      <w:r w:rsidRPr="00C16B9A">
        <w:t>ble 1.4</w:t>
      </w:r>
      <w:r>
        <w:tab/>
      </w:r>
      <w:r>
        <w:rPr>
          <w:rFonts w:cs="Arial"/>
        </w:rPr>
        <w:t>NBN</w:t>
      </w:r>
      <w:r w:rsidRPr="00C16B9A">
        <w:t xml:space="preserve"> services—</w:t>
      </w:r>
      <w:r>
        <w:t>c</w:t>
      </w:r>
      <w:r w:rsidRPr="00C16B9A">
        <w:t>umulative premises serviceable and premises activated</w:t>
      </w:r>
    </w:p>
    <w:tbl>
      <w:tblPr>
        <w:tblW w:w="921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57" w:type="dxa"/>
          <w:left w:w="57" w:type="dxa"/>
          <w:bottom w:w="57" w:type="dxa"/>
          <w:right w:w="57" w:type="dxa"/>
        </w:tblCellMar>
        <w:tblLook w:val="01E0" w:firstRow="1" w:lastRow="1" w:firstColumn="1" w:lastColumn="1" w:noHBand="0" w:noVBand="0"/>
        <w:tblCaption w:val="Table 1.4 NBN Services—Cumulative premises serviceable and premises activated"/>
      </w:tblPr>
      <w:tblGrid>
        <w:gridCol w:w="1418"/>
        <w:gridCol w:w="1701"/>
        <w:gridCol w:w="1523"/>
        <w:gridCol w:w="1524"/>
        <w:gridCol w:w="1524"/>
        <w:gridCol w:w="1524"/>
      </w:tblGrid>
      <w:tr w:rsidR="000A1CD9" w:rsidRPr="00645D38" w14:paraId="026C0E17" w14:textId="77777777" w:rsidTr="009B54F3">
        <w:trPr>
          <w:trHeight w:val="454"/>
          <w:tblHeader/>
        </w:trPr>
        <w:tc>
          <w:tcPr>
            <w:tcW w:w="1418" w:type="dxa"/>
            <w:shd w:val="clear" w:color="auto" w:fill="auto"/>
          </w:tcPr>
          <w:p w14:paraId="07B212A5" w14:textId="77777777" w:rsidR="000A1CD9" w:rsidRPr="00101030" w:rsidRDefault="000A1CD9" w:rsidP="001B7940">
            <w:pPr>
              <w:pStyle w:val="TableHeading"/>
              <w:spacing w:before="0" w:line="240" w:lineRule="auto"/>
              <w:rPr>
                <w:rFonts w:cs="Arial"/>
                <w:b w:val="0"/>
                <w:szCs w:val="18"/>
                <w:highlight w:val="yellow"/>
              </w:rPr>
            </w:pPr>
          </w:p>
        </w:tc>
        <w:tc>
          <w:tcPr>
            <w:tcW w:w="1701" w:type="dxa"/>
            <w:shd w:val="clear" w:color="auto" w:fill="auto"/>
          </w:tcPr>
          <w:p w14:paraId="558202BB" w14:textId="77777777" w:rsidR="000A1CD9" w:rsidRPr="00101030" w:rsidRDefault="000A1CD9" w:rsidP="001B7940">
            <w:pPr>
              <w:pStyle w:val="TableHeading"/>
              <w:spacing w:before="0" w:line="240" w:lineRule="auto"/>
              <w:rPr>
                <w:rFonts w:cs="Arial"/>
                <w:b w:val="0"/>
                <w:szCs w:val="18"/>
                <w:highlight w:val="yellow"/>
              </w:rPr>
            </w:pPr>
          </w:p>
        </w:tc>
        <w:tc>
          <w:tcPr>
            <w:tcW w:w="1523" w:type="dxa"/>
            <w:shd w:val="clear" w:color="auto" w:fill="007298"/>
          </w:tcPr>
          <w:p w14:paraId="77AFA203" w14:textId="77777777" w:rsidR="000A1CD9" w:rsidRPr="00BD09FE" w:rsidRDefault="000A1CD9" w:rsidP="00FC618C">
            <w:pPr>
              <w:pStyle w:val="TableHeading"/>
              <w:spacing w:before="0" w:line="240" w:lineRule="auto"/>
              <w:jc w:val="right"/>
            </w:pPr>
            <w:r w:rsidRPr="00BD09FE">
              <w:t>30 Jun 14</w:t>
            </w:r>
          </w:p>
        </w:tc>
        <w:tc>
          <w:tcPr>
            <w:tcW w:w="1524" w:type="dxa"/>
            <w:shd w:val="clear" w:color="auto" w:fill="007298"/>
          </w:tcPr>
          <w:p w14:paraId="27E74461" w14:textId="77777777" w:rsidR="000A1CD9" w:rsidRPr="00BD09FE" w:rsidRDefault="000A1CD9" w:rsidP="00FC618C">
            <w:pPr>
              <w:pStyle w:val="TableHeading"/>
              <w:spacing w:before="0" w:line="240" w:lineRule="auto"/>
              <w:jc w:val="right"/>
            </w:pPr>
            <w:r w:rsidRPr="00BD09FE">
              <w:t xml:space="preserve">30 Jun 15 </w:t>
            </w:r>
          </w:p>
        </w:tc>
        <w:tc>
          <w:tcPr>
            <w:tcW w:w="1524" w:type="dxa"/>
            <w:shd w:val="clear" w:color="auto" w:fill="007298"/>
          </w:tcPr>
          <w:p w14:paraId="6E36F74E" w14:textId="77777777" w:rsidR="000A1CD9" w:rsidRPr="00BD09FE" w:rsidRDefault="000A1CD9" w:rsidP="00FC618C">
            <w:pPr>
              <w:pStyle w:val="TableHeading"/>
              <w:spacing w:before="0" w:line="240" w:lineRule="auto"/>
              <w:jc w:val="right"/>
            </w:pPr>
            <w:r w:rsidRPr="00BD09FE">
              <w:t xml:space="preserve">30 Jun 16 </w:t>
            </w:r>
          </w:p>
        </w:tc>
        <w:tc>
          <w:tcPr>
            <w:tcW w:w="1524" w:type="dxa"/>
            <w:shd w:val="clear" w:color="auto" w:fill="007298"/>
          </w:tcPr>
          <w:p w14:paraId="4DBA62C5" w14:textId="77777777" w:rsidR="000A1CD9" w:rsidRPr="00BD09FE" w:rsidRDefault="000A1CD9" w:rsidP="00FC618C">
            <w:pPr>
              <w:pStyle w:val="TableHeading"/>
              <w:spacing w:before="0" w:line="240" w:lineRule="auto"/>
              <w:jc w:val="right"/>
            </w:pPr>
            <w:r w:rsidRPr="00BD09FE">
              <w:t xml:space="preserve">Change </w:t>
            </w:r>
            <w:r w:rsidR="00E43B42">
              <w:br/>
            </w:r>
            <w:r w:rsidRPr="00BD09FE">
              <w:t>2015–16 (%)</w:t>
            </w:r>
          </w:p>
        </w:tc>
      </w:tr>
      <w:tr w:rsidR="008B7194" w:rsidRPr="00645D38" w14:paraId="4BC70733" w14:textId="77777777" w:rsidTr="009B54F3">
        <w:trPr>
          <w:trHeight w:val="226"/>
        </w:trPr>
        <w:tc>
          <w:tcPr>
            <w:tcW w:w="1418" w:type="dxa"/>
            <w:vMerge w:val="restart"/>
            <w:shd w:val="clear" w:color="auto" w:fill="7FB8CB"/>
          </w:tcPr>
          <w:p w14:paraId="066538C3" w14:textId="77777777" w:rsidR="008B7194" w:rsidRPr="006E7298" w:rsidRDefault="008B7194" w:rsidP="001B7940">
            <w:pPr>
              <w:keepNext/>
              <w:keepLines/>
              <w:spacing w:after="0" w:line="240" w:lineRule="auto"/>
              <w:rPr>
                <w:rFonts w:cs="Arial"/>
                <w:color w:val="FFFFFF" w:themeColor="background1"/>
                <w:sz w:val="18"/>
                <w:szCs w:val="18"/>
              </w:rPr>
            </w:pPr>
            <w:r w:rsidRPr="006E7298">
              <w:rPr>
                <w:rFonts w:cs="Arial"/>
                <w:b/>
                <w:color w:val="FFFFFF" w:themeColor="background1"/>
                <w:sz w:val="18"/>
                <w:szCs w:val="18"/>
              </w:rPr>
              <w:t>Premises serviceable</w:t>
            </w:r>
          </w:p>
        </w:tc>
        <w:tc>
          <w:tcPr>
            <w:tcW w:w="1701" w:type="dxa"/>
            <w:shd w:val="clear" w:color="auto" w:fill="7FB8CB"/>
          </w:tcPr>
          <w:p w14:paraId="743F515A" w14:textId="77777777" w:rsidR="008B7194" w:rsidRPr="006E7298" w:rsidRDefault="008B7194" w:rsidP="001B7940">
            <w:pPr>
              <w:keepNext/>
              <w:keepLines/>
              <w:spacing w:after="0" w:line="240" w:lineRule="auto"/>
              <w:rPr>
                <w:rFonts w:cs="Arial"/>
                <w:color w:val="FFFFFF" w:themeColor="background1"/>
                <w:sz w:val="18"/>
                <w:szCs w:val="18"/>
              </w:rPr>
            </w:pPr>
            <w:r w:rsidRPr="006E7298">
              <w:rPr>
                <w:rFonts w:cs="Arial"/>
                <w:color w:val="FFFFFF" w:themeColor="background1"/>
                <w:sz w:val="18"/>
                <w:szCs w:val="18"/>
              </w:rPr>
              <w:t>Fixed-line footprint*</w:t>
            </w:r>
          </w:p>
        </w:tc>
        <w:tc>
          <w:tcPr>
            <w:tcW w:w="1523" w:type="dxa"/>
            <w:shd w:val="clear" w:color="auto" w:fill="D2E1E9"/>
          </w:tcPr>
          <w:p w14:paraId="3C20E997"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392,410</w:t>
            </w:r>
          </w:p>
        </w:tc>
        <w:tc>
          <w:tcPr>
            <w:tcW w:w="1524" w:type="dxa"/>
            <w:shd w:val="clear" w:color="auto" w:fill="D2E1E9"/>
          </w:tcPr>
          <w:p w14:paraId="55AE12CE"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836,680</w:t>
            </w:r>
          </w:p>
        </w:tc>
        <w:tc>
          <w:tcPr>
            <w:tcW w:w="1524" w:type="dxa"/>
            <w:shd w:val="clear" w:color="auto" w:fill="D2E1E9"/>
          </w:tcPr>
          <w:p w14:paraId="12145795"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2,0</w:t>
            </w:r>
            <w:r>
              <w:rPr>
                <w:rFonts w:cs="Arial"/>
                <w:sz w:val="18"/>
                <w:szCs w:val="18"/>
              </w:rPr>
              <w:t>05</w:t>
            </w:r>
            <w:r w:rsidRPr="00101030">
              <w:rPr>
                <w:rFonts w:cs="Arial"/>
                <w:sz w:val="18"/>
                <w:szCs w:val="18"/>
              </w:rPr>
              <w:t>,</w:t>
            </w:r>
            <w:r>
              <w:rPr>
                <w:rFonts w:cs="Arial"/>
                <w:sz w:val="18"/>
                <w:szCs w:val="18"/>
              </w:rPr>
              <w:t>204</w:t>
            </w:r>
          </w:p>
        </w:tc>
        <w:tc>
          <w:tcPr>
            <w:tcW w:w="1524" w:type="dxa"/>
            <w:shd w:val="clear" w:color="auto" w:fill="D2E1E9"/>
          </w:tcPr>
          <w:p w14:paraId="3170B470"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147</w:t>
            </w:r>
          </w:p>
        </w:tc>
      </w:tr>
      <w:tr w:rsidR="008B7194" w:rsidRPr="00645D38" w14:paraId="025473F1" w14:textId="77777777" w:rsidTr="009B54F3">
        <w:trPr>
          <w:trHeight w:val="256"/>
        </w:trPr>
        <w:tc>
          <w:tcPr>
            <w:tcW w:w="1418" w:type="dxa"/>
            <w:vMerge/>
            <w:shd w:val="clear" w:color="auto" w:fill="7FB8CB"/>
            <w:textDirection w:val="btLr"/>
          </w:tcPr>
          <w:p w14:paraId="2D6C198D" w14:textId="77777777" w:rsidR="008B7194" w:rsidRPr="006E7298" w:rsidRDefault="008B7194" w:rsidP="001B7940">
            <w:pPr>
              <w:keepNext/>
              <w:keepLines/>
              <w:spacing w:after="0" w:line="240" w:lineRule="auto"/>
              <w:rPr>
                <w:rFonts w:cs="Arial"/>
                <w:color w:val="FFFFFF" w:themeColor="background1"/>
                <w:sz w:val="18"/>
                <w:szCs w:val="18"/>
              </w:rPr>
            </w:pPr>
          </w:p>
        </w:tc>
        <w:tc>
          <w:tcPr>
            <w:tcW w:w="1701" w:type="dxa"/>
            <w:shd w:val="clear" w:color="auto" w:fill="7FB8CB"/>
          </w:tcPr>
          <w:p w14:paraId="271D10E3" w14:textId="77777777" w:rsidR="008B7194" w:rsidRPr="006E7298" w:rsidRDefault="008B7194" w:rsidP="001B7940">
            <w:pPr>
              <w:keepNext/>
              <w:keepLines/>
              <w:spacing w:after="0" w:line="240" w:lineRule="auto"/>
              <w:rPr>
                <w:rFonts w:cs="Arial"/>
                <w:color w:val="FFFFFF" w:themeColor="background1"/>
                <w:sz w:val="18"/>
                <w:szCs w:val="18"/>
              </w:rPr>
            </w:pPr>
            <w:r w:rsidRPr="006E7298">
              <w:rPr>
                <w:rFonts w:cs="Arial"/>
                <w:color w:val="FFFFFF" w:themeColor="background1"/>
                <w:sz w:val="18"/>
                <w:szCs w:val="18"/>
              </w:rPr>
              <w:t>Fixed wireless</w:t>
            </w:r>
          </w:p>
        </w:tc>
        <w:tc>
          <w:tcPr>
            <w:tcW w:w="1523" w:type="dxa"/>
            <w:shd w:val="clear" w:color="auto" w:fill="D2E1E9"/>
          </w:tcPr>
          <w:p w14:paraId="211DA610"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112,208</w:t>
            </w:r>
          </w:p>
        </w:tc>
        <w:tc>
          <w:tcPr>
            <w:tcW w:w="1524" w:type="dxa"/>
            <w:shd w:val="clear" w:color="auto" w:fill="D2E1E9"/>
          </w:tcPr>
          <w:p w14:paraId="0978863D"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268,397</w:t>
            </w:r>
          </w:p>
        </w:tc>
        <w:tc>
          <w:tcPr>
            <w:tcW w:w="1524" w:type="dxa"/>
            <w:shd w:val="clear" w:color="auto" w:fill="D2E1E9"/>
          </w:tcPr>
          <w:p w14:paraId="6FC27E24"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420,524</w:t>
            </w:r>
          </w:p>
        </w:tc>
        <w:tc>
          <w:tcPr>
            <w:tcW w:w="1524" w:type="dxa"/>
            <w:shd w:val="clear" w:color="auto" w:fill="D2E1E9"/>
          </w:tcPr>
          <w:p w14:paraId="136E1CD3"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57</w:t>
            </w:r>
          </w:p>
        </w:tc>
      </w:tr>
      <w:tr w:rsidR="008B7194" w:rsidRPr="00645D38" w14:paraId="09DBFDCD" w14:textId="77777777" w:rsidTr="009B54F3">
        <w:trPr>
          <w:trHeight w:val="248"/>
        </w:trPr>
        <w:tc>
          <w:tcPr>
            <w:tcW w:w="1418" w:type="dxa"/>
            <w:vMerge/>
            <w:shd w:val="clear" w:color="auto" w:fill="7FB8CB"/>
            <w:textDirection w:val="btLr"/>
          </w:tcPr>
          <w:p w14:paraId="7CF09B3F" w14:textId="77777777" w:rsidR="008B7194" w:rsidRPr="006E7298" w:rsidRDefault="008B7194" w:rsidP="001B7940">
            <w:pPr>
              <w:keepNext/>
              <w:keepLines/>
              <w:spacing w:after="0" w:line="240" w:lineRule="auto"/>
              <w:rPr>
                <w:rFonts w:cs="Arial"/>
                <w:color w:val="FFFFFF" w:themeColor="background1"/>
                <w:sz w:val="18"/>
                <w:szCs w:val="18"/>
              </w:rPr>
            </w:pPr>
          </w:p>
        </w:tc>
        <w:tc>
          <w:tcPr>
            <w:tcW w:w="1701" w:type="dxa"/>
            <w:shd w:val="clear" w:color="auto" w:fill="7FB8CB"/>
          </w:tcPr>
          <w:p w14:paraId="3580B0A8" w14:textId="77777777" w:rsidR="008B7194" w:rsidRPr="006E7298" w:rsidRDefault="008B7194" w:rsidP="001B7940">
            <w:pPr>
              <w:keepNext/>
              <w:keepLines/>
              <w:spacing w:after="0" w:line="240" w:lineRule="auto"/>
              <w:rPr>
                <w:rFonts w:cs="Arial"/>
                <w:color w:val="FFFFFF" w:themeColor="background1"/>
                <w:sz w:val="18"/>
                <w:szCs w:val="18"/>
              </w:rPr>
            </w:pPr>
            <w:r w:rsidRPr="006E7298">
              <w:rPr>
                <w:rFonts w:cs="Arial"/>
                <w:color w:val="FFFFFF" w:themeColor="background1"/>
                <w:sz w:val="18"/>
                <w:szCs w:val="18"/>
              </w:rPr>
              <w:t>Satellite</w:t>
            </w:r>
          </w:p>
        </w:tc>
        <w:tc>
          <w:tcPr>
            <w:tcW w:w="1523" w:type="dxa"/>
            <w:shd w:val="clear" w:color="auto" w:fill="D2E1E9"/>
          </w:tcPr>
          <w:p w14:paraId="2505F5AC"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48,000</w:t>
            </w:r>
          </w:p>
        </w:tc>
        <w:tc>
          <w:tcPr>
            <w:tcW w:w="1524" w:type="dxa"/>
            <w:shd w:val="clear" w:color="auto" w:fill="D2E1E9"/>
          </w:tcPr>
          <w:p w14:paraId="70AE9CC0"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48,000</w:t>
            </w:r>
          </w:p>
        </w:tc>
        <w:tc>
          <w:tcPr>
            <w:tcW w:w="1524" w:type="dxa"/>
            <w:shd w:val="clear" w:color="auto" w:fill="D2E1E9"/>
          </w:tcPr>
          <w:p w14:paraId="75C066B6"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409,959</w:t>
            </w:r>
          </w:p>
        </w:tc>
        <w:tc>
          <w:tcPr>
            <w:tcW w:w="1524" w:type="dxa"/>
            <w:shd w:val="clear" w:color="auto" w:fill="D2E1E9"/>
          </w:tcPr>
          <w:p w14:paraId="713142C9" w14:textId="77777777" w:rsidR="008B7194" w:rsidRPr="00101030" w:rsidRDefault="008B7194" w:rsidP="00FC618C">
            <w:pPr>
              <w:keepNext/>
              <w:keepLines/>
              <w:tabs>
                <w:tab w:val="left" w:pos="908"/>
              </w:tabs>
              <w:spacing w:after="0" w:line="240" w:lineRule="auto"/>
              <w:jc w:val="right"/>
              <w:rPr>
                <w:rFonts w:cs="Arial"/>
                <w:sz w:val="18"/>
                <w:szCs w:val="18"/>
              </w:rPr>
            </w:pPr>
            <w:r w:rsidRPr="00101030">
              <w:rPr>
                <w:rFonts w:cs="Arial"/>
                <w:sz w:val="18"/>
                <w:szCs w:val="18"/>
              </w:rPr>
              <w:t>754</w:t>
            </w:r>
          </w:p>
        </w:tc>
      </w:tr>
      <w:tr w:rsidR="005C5169" w:rsidRPr="00645D38" w14:paraId="7CF25C60" w14:textId="77777777" w:rsidTr="009B54F3">
        <w:trPr>
          <w:trHeight w:val="102"/>
        </w:trPr>
        <w:tc>
          <w:tcPr>
            <w:tcW w:w="1418" w:type="dxa"/>
            <w:vMerge/>
            <w:shd w:val="clear" w:color="auto" w:fill="7FB8CB"/>
            <w:textDirection w:val="btLr"/>
          </w:tcPr>
          <w:p w14:paraId="57A460C9" w14:textId="77777777" w:rsidR="005C5169" w:rsidRPr="006E7298" w:rsidRDefault="005C5169" w:rsidP="001B7940">
            <w:pPr>
              <w:keepNext/>
              <w:keepLines/>
              <w:spacing w:after="0" w:line="240" w:lineRule="auto"/>
              <w:rPr>
                <w:rFonts w:cs="Arial"/>
                <w:color w:val="FFFFFF" w:themeColor="background1"/>
                <w:sz w:val="18"/>
                <w:szCs w:val="18"/>
              </w:rPr>
            </w:pPr>
          </w:p>
        </w:tc>
        <w:tc>
          <w:tcPr>
            <w:tcW w:w="1701" w:type="dxa"/>
            <w:shd w:val="clear" w:color="auto" w:fill="7FB8CB"/>
          </w:tcPr>
          <w:p w14:paraId="5821EB84" w14:textId="77777777" w:rsidR="005C5169" w:rsidRPr="006E7298" w:rsidRDefault="005C5169" w:rsidP="001B7940">
            <w:pPr>
              <w:keepNext/>
              <w:keepLines/>
              <w:spacing w:after="0" w:line="240" w:lineRule="auto"/>
              <w:rPr>
                <w:rFonts w:cs="Arial"/>
                <w:color w:val="FFFFFF" w:themeColor="background1"/>
                <w:sz w:val="18"/>
                <w:szCs w:val="18"/>
              </w:rPr>
            </w:pPr>
            <w:r w:rsidRPr="006E7298">
              <w:rPr>
                <w:rFonts w:cs="Arial"/>
                <w:b/>
                <w:color w:val="FFFFFF" w:themeColor="background1"/>
                <w:sz w:val="18"/>
                <w:szCs w:val="18"/>
              </w:rPr>
              <w:t>Total</w:t>
            </w:r>
          </w:p>
        </w:tc>
        <w:tc>
          <w:tcPr>
            <w:tcW w:w="1523" w:type="dxa"/>
            <w:shd w:val="clear" w:color="auto" w:fill="7FB8CB"/>
          </w:tcPr>
          <w:p w14:paraId="28550165" w14:textId="77777777" w:rsidR="005C5169" w:rsidRPr="006E7298" w:rsidRDefault="005C5169" w:rsidP="00FC618C">
            <w:pPr>
              <w:keepNext/>
              <w:keepLines/>
              <w:tabs>
                <w:tab w:val="left" w:pos="908"/>
              </w:tabs>
              <w:spacing w:after="0" w:line="240" w:lineRule="auto"/>
              <w:jc w:val="right"/>
              <w:rPr>
                <w:rFonts w:cs="Arial"/>
                <w:b/>
                <w:color w:val="FFFFFF" w:themeColor="background1"/>
                <w:sz w:val="18"/>
                <w:szCs w:val="18"/>
              </w:rPr>
            </w:pPr>
            <w:r w:rsidRPr="006E7298">
              <w:rPr>
                <w:rFonts w:cs="Arial"/>
                <w:b/>
                <w:color w:val="FFFFFF" w:themeColor="background1"/>
                <w:sz w:val="18"/>
                <w:szCs w:val="18"/>
              </w:rPr>
              <w:t>552,618</w:t>
            </w:r>
          </w:p>
        </w:tc>
        <w:tc>
          <w:tcPr>
            <w:tcW w:w="1524" w:type="dxa"/>
            <w:shd w:val="clear" w:color="auto" w:fill="7FB8CB"/>
          </w:tcPr>
          <w:p w14:paraId="60233C62" w14:textId="77777777" w:rsidR="005C5169" w:rsidRPr="006E7298" w:rsidRDefault="005C5169" w:rsidP="00FC618C">
            <w:pPr>
              <w:keepNext/>
              <w:keepLines/>
              <w:tabs>
                <w:tab w:val="left" w:pos="908"/>
              </w:tabs>
              <w:spacing w:after="0" w:line="240" w:lineRule="auto"/>
              <w:jc w:val="right"/>
              <w:rPr>
                <w:rFonts w:cs="Arial"/>
                <w:b/>
                <w:color w:val="FFFFFF" w:themeColor="background1"/>
                <w:sz w:val="18"/>
                <w:szCs w:val="18"/>
              </w:rPr>
            </w:pPr>
            <w:r w:rsidRPr="006E7298">
              <w:rPr>
                <w:rFonts w:cs="Arial"/>
                <w:b/>
                <w:color w:val="FFFFFF" w:themeColor="background1"/>
                <w:sz w:val="18"/>
                <w:szCs w:val="18"/>
              </w:rPr>
              <w:t>1,153,077</w:t>
            </w:r>
          </w:p>
        </w:tc>
        <w:tc>
          <w:tcPr>
            <w:tcW w:w="1524" w:type="dxa"/>
            <w:shd w:val="clear" w:color="auto" w:fill="7FB8CB"/>
          </w:tcPr>
          <w:p w14:paraId="42D05A63" w14:textId="77777777" w:rsidR="005C5169" w:rsidRPr="006E7298" w:rsidRDefault="005C5169" w:rsidP="00FC618C">
            <w:pPr>
              <w:keepNext/>
              <w:keepLines/>
              <w:tabs>
                <w:tab w:val="left" w:pos="908"/>
              </w:tabs>
              <w:spacing w:after="0" w:line="240" w:lineRule="auto"/>
              <w:jc w:val="right"/>
              <w:rPr>
                <w:rFonts w:cs="Arial"/>
                <w:b/>
                <w:color w:val="FFFFFF" w:themeColor="background1"/>
                <w:sz w:val="18"/>
                <w:szCs w:val="18"/>
              </w:rPr>
            </w:pPr>
            <w:r w:rsidRPr="006E7298">
              <w:rPr>
                <w:rFonts w:cs="Arial"/>
                <w:b/>
                <w:color w:val="FFFFFF" w:themeColor="background1"/>
                <w:sz w:val="18"/>
                <w:szCs w:val="18"/>
              </w:rPr>
              <w:t>2,835,687</w:t>
            </w:r>
          </w:p>
        </w:tc>
        <w:tc>
          <w:tcPr>
            <w:tcW w:w="1524" w:type="dxa"/>
            <w:shd w:val="clear" w:color="auto" w:fill="7FB8CB"/>
          </w:tcPr>
          <w:p w14:paraId="4E285930" w14:textId="77777777" w:rsidR="005C5169" w:rsidRPr="006E7298" w:rsidRDefault="005C5169" w:rsidP="00FC618C">
            <w:pPr>
              <w:keepNext/>
              <w:keepLines/>
              <w:tabs>
                <w:tab w:val="left" w:pos="908"/>
              </w:tabs>
              <w:spacing w:after="0" w:line="240" w:lineRule="auto"/>
              <w:jc w:val="right"/>
              <w:rPr>
                <w:rFonts w:cs="Arial"/>
                <w:b/>
                <w:color w:val="FFFFFF" w:themeColor="background1"/>
                <w:sz w:val="18"/>
                <w:szCs w:val="18"/>
              </w:rPr>
            </w:pPr>
            <w:r w:rsidRPr="006E7298">
              <w:rPr>
                <w:rFonts w:cs="Arial"/>
                <w:b/>
                <w:color w:val="FFFFFF" w:themeColor="background1"/>
                <w:sz w:val="18"/>
                <w:szCs w:val="18"/>
              </w:rPr>
              <w:t>146</w:t>
            </w:r>
          </w:p>
        </w:tc>
      </w:tr>
      <w:tr w:rsidR="005C5169" w:rsidRPr="00645D38" w14:paraId="40491948" w14:textId="77777777" w:rsidTr="009B54F3">
        <w:trPr>
          <w:trHeight w:val="214"/>
        </w:trPr>
        <w:tc>
          <w:tcPr>
            <w:tcW w:w="1418" w:type="dxa"/>
            <w:vMerge w:val="restart"/>
            <w:shd w:val="clear" w:color="auto" w:fill="7FB8CB"/>
          </w:tcPr>
          <w:p w14:paraId="78CEDC30" w14:textId="77777777" w:rsidR="005C5169" w:rsidRPr="006E7298" w:rsidRDefault="005C5169" w:rsidP="001B7940">
            <w:pPr>
              <w:keepNext/>
              <w:keepLines/>
              <w:spacing w:after="0" w:line="240" w:lineRule="auto"/>
              <w:rPr>
                <w:rFonts w:cs="Arial"/>
                <w:color w:val="FFFFFF" w:themeColor="background1"/>
                <w:sz w:val="18"/>
                <w:szCs w:val="18"/>
              </w:rPr>
            </w:pPr>
            <w:r w:rsidRPr="006E7298">
              <w:rPr>
                <w:rFonts w:cs="Arial"/>
                <w:b/>
                <w:color w:val="FFFFFF" w:themeColor="background1"/>
                <w:sz w:val="18"/>
                <w:szCs w:val="18"/>
              </w:rPr>
              <w:t>Premises activated</w:t>
            </w:r>
          </w:p>
        </w:tc>
        <w:tc>
          <w:tcPr>
            <w:tcW w:w="1701" w:type="dxa"/>
            <w:shd w:val="clear" w:color="auto" w:fill="7FB8CB"/>
          </w:tcPr>
          <w:p w14:paraId="32E20D75" w14:textId="77777777" w:rsidR="005C5169" w:rsidRPr="006E7298" w:rsidRDefault="005C5169" w:rsidP="001B7940">
            <w:pPr>
              <w:keepNext/>
              <w:keepLines/>
              <w:spacing w:after="0" w:line="240" w:lineRule="auto"/>
              <w:rPr>
                <w:rFonts w:cs="Arial"/>
                <w:color w:val="FFFFFF" w:themeColor="background1"/>
                <w:sz w:val="18"/>
                <w:szCs w:val="18"/>
              </w:rPr>
            </w:pPr>
            <w:r w:rsidRPr="006E7298">
              <w:rPr>
                <w:rFonts w:cs="Arial"/>
                <w:color w:val="FFFFFF" w:themeColor="background1"/>
                <w:sz w:val="18"/>
                <w:szCs w:val="18"/>
              </w:rPr>
              <w:t>Fixed-line footprint*</w:t>
            </w:r>
          </w:p>
        </w:tc>
        <w:tc>
          <w:tcPr>
            <w:tcW w:w="1523" w:type="dxa"/>
            <w:shd w:val="clear" w:color="auto" w:fill="D2E1E9"/>
          </w:tcPr>
          <w:p w14:paraId="252B0A43"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151,127</w:t>
            </w:r>
          </w:p>
        </w:tc>
        <w:tc>
          <w:tcPr>
            <w:tcW w:w="1524" w:type="dxa"/>
            <w:shd w:val="clear" w:color="auto" w:fill="D2E1E9"/>
          </w:tcPr>
          <w:p w14:paraId="7F356E20"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399,854</w:t>
            </w:r>
          </w:p>
        </w:tc>
        <w:tc>
          <w:tcPr>
            <w:tcW w:w="1524" w:type="dxa"/>
            <w:shd w:val="clear" w:color="auto" w:fill="D2E1E9"/>
          </w:tcPr>
          <w:p w14:paraId="3FCEADE6"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942,356</w:t>
            </w:r>
          </w:p>
        </w:tc>
        <w:tc>
          <w:tcPr>
            <w:tcW w:w="1524" w:type="dxa"/>
            <w:shd w:val="clear" w:color="auto" w:fill="D2E1E9"/>
          </w:tcPr>
          <w:p w14:paraId="76F21629"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136</w:t>
            </w:r>
          </w:p>
        </w:tc>
      </w:tr>
      <w:tr w:rsidR="005C5169" w:rsidRPr="00645D38" w14:paraId="56422866" w14:textId="77777777" w:rsidTr="009B54F3">
        <w:trPr>
          <w:trHeight w:val="220"/>
        </w:trPr>
        <w:tc>
          <w:tcPr>
            <w:tcW w:w="1418" w:type="dxa"/>
            <w:vMerge/>
            <w:shd w:val="clear" w:color="auto" w:fill="7FB8CB"/>
          </w:tcPr>
          <w:p w14:paraId="4F5BB8B2" w14:textId="77777777" w:rsidR="005C5169" w:rsidRPr="006E7298" w:rsidRDefault="005C5169" w:rsidP="001B7940">
            <w:pPr>
              <w:keepNext/>
              <w:keepLines/>
              <w:spacing w:after="0" w:line="240" w:lineRule="auto"/>
              <w:rPr>
                <w:rFonts w:cs="Arial"/>
                <w:color w:val="FFFFFF" w:themeColor="background1"/>
                <w:sz w:val="18"/>
                <w:szCs w:val="18"/>
              </w:rPr>
            </w:pPr>
          </w:p>
        </w:tc>
        <w:tc>
          <w:tcPr>
            <w:tcW w:w="1701" w:type="dxa"/>
            <w:shd w:val="clear" w:color="auto" w:fill="7FB8CB"/>
          </w:tcPr>
          <w:p w14:paraId="0CC960D4" w14:textId="77777777" w:rsidR="005C5169" w:rsidRPr="006E7298" w:rsidRDefault="005C5169" w:rsidP="001B7940">
            <w:pPr>
              <w:keepNext/>
              <w:keepLines/>
              <w:spacing w:after="0" w:line="240" w:lineRule="auto"/>
              <w:rPr>
                <w:rFonts w:cs="Arial"/>
                <w:color w:val="FFFFFF" w:themeColor="background1"/>
                <w:sz w:val="18"/>
                <w:szCs w:val="18"/>
              </w:rPr>
            </w:pPr>
            <w:r w:rsidRPr="006E7298">
              <w:rPr>
                <w:rFonts w:cs="Arial"/>
                <w:color w:val="FFFFFF" w:themeColor="background1"/>
                <w:sz w:val="18"/>
                <w:szCs w:val="18"/>
              </w:rPr>
              <w:t>Fixed wireless</w:t>
            </w:r>
          </w:p>
        </w:tc>
        <w:tc>
          <w:tcPr>
            <w:tcW w:w="1523" w:type="dxa"/>
            <w:shd w:val="clear" w:color="auto" w:fill="D2E1E9"/>
          </w:tcPr>
          <w:p w14:paraId="24946887"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16,553</w:t>
            </w:r>
          </w:p>
        </w:tc>
        <w:tc>
          <w:tcPr>
            <w:tcW w:w="1524" w:type="dxa"/>
            <w:shd w:val="clear" w:color="auto" w:fill="D2E1E9"/>
          </w:tcPr>
          <w:p w14:paraId="6C7ACFC4"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47,473</w:t>
            </w:r>
          </w:p>
        </w:tc>
        <w:tc>
          <w:tcPr>
            <w:tcW w:w="1524" w:type="dxa"/>
            <w:shd w:val="clear" w:color="auto" w:fill="D2E1E9"/>
          </w:tcPr>
          <w:p w14:paraId="3E819268"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117,514</w:t>
            </w:r>
          </w:p>
        </w:tc>
        <w:tc>
          <w:tcPr>
            <w:tcW w:w="1524" w:type="dxa"/>
            <w:shd w:val="clear" w:color="auto" w:fill="D2E1E9"/>
          </w:tcPr>
          <w:p w14:paraId="0BDA7188"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148</w:t>
            </w:r>
          </w:p>
        </w:tc>
      </w:tr>
      <w:tr w:rsidR="005C5169" w:rsidRPr="00645D38" w14:paraId="7B257740" w14:textId="77777777" w:rsidTr="009B54F3">
        <w:trPr>
          <w:trHeight w:val="130"/>
        </w:trPr>
        <w:tc>
          <w:tcPr>
            <w:tcW w:w="1418" w:type="dxa"/>
            <w:vMerge/>
            <w:shd w:val="clear" w:color="auto" w:fill="7FB8CB"/>
          </w:tcPr>
          <w:p w14:paraId="4314C186" w14:textId="77777777" w:rsidR="005C5169" w:rsidRPr="006E7298" w:rsidRDefault="005C5169" w:rsidP="001B7940">
            <w:pPr>
              <w:keepNext/>
              <w:keepLines/>
              <w:spacing w:after="0" w:line="240" w:lineRule="auto"/>
              <w:rPr>
                <w:rFonts w:cs="Arial"/>
                <w:color w:val="FFFFFF" w:themeColor="background1"/>
                <w:sz w:val="18"/>
                <w:szCs w:val="18"/>
              </w:rPr>
            </w:pPr>
          </w:p>
        </w:tc>
        <w:tc>
          <w:tcPr>
            <w:tcW w:w="1701" w:type="dxa"/>
            <w:shd w:val="clear" w:color="auto" w:fill="7FB8CB"/>
          </w:tcPr>
          <w:p w14:paraId="0E50FDCF" w14:textId="77777777" w:rsidR="005C5169" w:rsidRPr="006E7298" w:rsidRDefault="005C5169" w:rsidP="001B7940">
            <w:pPr>
              <w:keepNext/>
              <w:keepLines/>
              <w:spacing w:after="0" w:line="240" w:lineRule="auto"/>
              <w:rPr>
                <w:rFonts w:cs="Arial"/>
                <w:color w:val="FFFFFF" w:themeColor="background1"/>
                <w:sz w:val="18"/>
                <w:szCs w:val="18"/>
              </w:rPr>
            </w:pPr>
            <w:r w:rsidRPr="006E7298">
              <w:rPr>
                <w:rFonts w:cs="Arial"/>
                <w:color w:val="FFFFFF" w:themeColor="background1"/>
                <w:sz w:val="18"/>
                <w:szCs w:val="18"/>
              </w:rPr>
              <w:t>Satellite</w:t>
            </w:r>
          </w:p>
        </w:tc>
        <w:tc>
          <w:tcPr>
            <w:tcW w:w="1523" w:type="dxa"/>
            <w:shd w:val="clear" w:color="auto" w:fill="D2E1E9"/>
          </w:tcPr>
          <w:p w14:paraId="5425B6A7"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42,948</w:t>
            </w:r>
          </w:p>
        </w:tc>
        <w:tc>
          <w:tcPr>
            <w:tcW w:w="1524" w:type="dxa"/>
            <w:shd w:val="clear" w:color="auto" w:fill="D2E1E9"/>
          </w:tcPr>
          <w:p w14:paraId="45DD174F"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38,288</w:t>
            </w:r>
          </w:p>
        </w:tc>
        <w:tc>
          <w:tcPr>
            <w:tcW w:w="1524" w:type="dxa"/>
            <w:shd w:val="clear" w:color="auto" w:fill="D2E1E9"/>
          </w:tcPr>
          <w:p w14:paraId="4DD40817"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38,764</w:t>
            </w:r>
          </w:p>
        </w:tc>
        <w:tc>
          <w:tcPr>
            <w:tcW w:w="1524" w:type="dxa"/>
            <w:shd w:val="clear" w:color="auto" w:fill="D2E1E9"/>
          </w:tcPr>
          <w:p w14:paraId="5A4744C1" w14:textId="77777777" w:rsidR="005C5169" w:rsidRPr="00101030" w:rsidRDefault="005C5169" w:rsidP="00FC618C">
            <w:pPr>
              <w:keepNext/>
              <w:keepLines/>
              <w:tabs>
                <w:tab w:val="left" w:pos="908"/>
              </w:tabs>
              <w:spacing w:after="0" w:line="240" w:lineRule="auto"/>
              <w:jc w:val="right"/>
              <w:rPr>
                <w:rFonts w:cs="Arial"/>
                <w:sz w:val="18"/>
                <w:szCs w:val="18"/>
              </w:rPr>
            </w:pPr>
            <w:r w:rsidRPr="00101030">
              <w:rPr>
                <w:rFonts w:cs="Arial"/>
                <w:sz w:val="18"/>
                <w:szCs w:val="18"/>
              </w:rPr>
              <w:t>1</w:t>
            </w:r>
          </w:p>
        </w:tc>
      </w:tr>
      <w:tr w:rsidR="005C5169" w:rsidRPr="00645D38" w14:paraId="1F48C7B5" w14:textId="77777777" w:rsidTr="009B54F3">
        <w:trPr>
          <w:trHeight w:val="136"/>
        </w:trPr>
        <w:tc>
          <w:tcPr>
            <w:tcW w:w="1418" w:type="dxa"/>
            <w:vMerge/>
            <w:shd w:val="clear" w:color="auto" w:fill="7FB8CB"/>
          </w:tcPr>
          <w:p w14:paraId="675CDBF7" w14:textId="77777777" w:rsidR="005C5169" w:rsidRPr="006E7298" w:rsidRDefault="005C5169" w:rsidP="001B7940">
            <w:pPr>
              <w:keepNext/>
              <w:keepLines/>
              <w:spacing w:after="0" w:line="240" w:lineRule="auto"/>
              <w:rPr>
                <w:rFonts w:cs="Arial"/>
                <w:color w:val="FFFFFF" w:themeColor="background1"/>
                <w:sz w:val="18"/>
                <w:szCs w:val="18"/>
              </w:rPr>
            </w:pPr>
          </w:p>
        </w:tc>
        <w:tc>
          <w:tcPr>
            <w:tcW w:w="1701" w:type="dxa"/>
            <w:shd w:val="clear" w:color="auto" w:fill="7FB8CB"/>
          </w:tcPr>
          <w:p w14:paraId="706F8D89" w14:textId="77777777" w:rsidR="005C5169" w:rsidRPr="006E7298" w:rsidRDefault="005C5169" w:rsidP="001B7940">
            <w:pPr>
              <w:keepNext/>
              <w:keepLines/>
              <w:spacing w:after="0" w:line="240" w:lineRule="auto"/>
              <w:rPr>
                <w:rFonts w:cs="Arial"/>
                <w:color w:val="FFFFFF" w:themeColor="background1"/>
                <w:sz w:val="18"/>
                <w:szCs w:val="18"/>
              </w:rPr>
            </w:pPr>
            <w:r w:rsidRPr="006E7298">
              <w:rPr>
                <w:rFonts w:cs="Arial"/>
                <w:b/>
                <w:color w:val="FFFFFF" w:themeColor="background1"/>
                <w:sz w:val="18"/>
                <w:szCs w:val="18"/>
              </w:rPr>
              <w:t>Total</w:t>
            </w:r>
          </w:p>
        </w:tc>
        <w:tc>
          <w:tcPr>
            <w:tcW w:w="1523" w:type="dxa"/>
            <w:shd w:val="clear" w:color="auto" w:fill="7FB8CB"/>
          </w:tcPr>
          <w:p w14:paraId="0295B5D0" w14:textId="77777777" w:rsidR="005C5169" w:rsidRPr="006E7298" w:rsidRDefault="005C5169" w:rsidP="00FC618C">
            <w:pPr>
              <w:keepNext/>
              <w:keepLines/>
              <w:tabs>
                <w:tab w:val="left" w:pos="908"/>
              </w:tabs>
              <w:spacing w:after="0" w:line="240" w:lineRule="auto"/>
              <w:jc w:val="right"/>
              <w:rPr>
                <w:rFonts w:cs="Arial"/>
                <w:b/>
                <w:color w:val="FFFFFF" w:themeColor="background1"/>
                <w:sz w:val="18"/>
                <w:szCs w:val="18"/>
              </w:rPr>
            </w:pPr>
            <w:r w:rsidRPr="006E7298">
              <w:rPr>
                <w:rFonts w:cs="Arial"/>
                <w:b/>
                <w:color w:val="FFFFFF" w:themeColor="background1"/>
                <w:sz w:val="18"/>
                <w:szCs w:val="18"/>
              </w:rPr>
              <w:t>210,628</w:t>
            </w:r>
          </w:p>
        </w:tc>
        <w:tc>
          <w:tcPr>
            <w:tcW w:w="1524" w:type="dxa"/>
            <w:shd w:val="clear" w:color="auto" w:fill="7FB8CB"/>
          </w:tcPr>
          <w:p w14:paraId="446C958C" w14:textId="77777777" w:rsidR="005C5169" w:rsidRPr="006E7298" w:rsidRDefault="005C5169" w:rsidP="00FC618C">
            <w:pPr>
              <w:keepNext/>
              <w:keepLines/>
              <w:tabs>
                <w:tab w:val="left" w:pos="908"/>
              </w:tabs>
              <w:spacing w:after="0" w:line="240" w:lineRule="auto"/>
              <w:jc w:val="right"/>
              <w:rPr>
                <w:rFonts w:cs="Arial"/>
                <w:b/>
                <w:color w:val="FFFFFF" w:themeColor="background1"/>
                <w:sz w:val="18"/>
                <w:szCs w:val="18"/>
              </w:rPr>
            </w:pPr>
            <w:r w:rsidRPr="006E7298">
              <w:rPr>
                <w:rFonts w:cs="Arial"/>
                <w:b/>
                <w:color w:val="FFFFFF" w:themeColor="background1"/>
                <w:sz w:val="18"/>
                <w:szCs w:val="18"/>
              </w:rPr>
              <w:t>485,615</w:t>
            </w:r>
          </w:p>
        </w:tc>
        <w:tc>
          <w:tcPr>
            <w:tcW w:w="1524" w:type="dxa"/>
            <w:shd w:val="clear" w:color="auto" w:fill="7FB8CB"/>
          </w:tcPr>
          <w:p w14:paraId="14B2036A" w14:textId="77777777" w:rsidR="005C5169" w:rsidRPr="006E7298" w:rsidRDefault="005C5169" w:rsidP="00FC618C">
            <w:pPr>
              <w:keepNext/>
              <w:keepLines/>
              <w:tabs>
                <w:tab w:val="left" w:pos="908"/>
              </w:tabs>
              <w:spacing w:after="0" w:line="240" w:lineRule="auto"/>
              <w:jc w:val="right"/>
              <w:rPr>
                <w:rFonts w:cs="Arial"/>
                <w:b/>
                <w:color w:val="FFFFFF" w:themeColor="background1"/>
                <w:sz w:val="18"/>
                <w:szCs w:val="18"/>
              </w:rPr>
            </w:pPr>
            <w:r w:rsidRPr="006E7298">
              <w:rPr>
                <w:rFonts w:cs="Arial"/>
                <w:b/>
                <w:color w:val="FFFFFF" w:themeColor="background1"/>
                <w:sz w:val="18"/>
                <w:szCs w:val="18"/>
              </w:rPr>
              <w:t>1,098,634</w:t>
            </w:r>
          </w:p>
        </w:tc>
        <w:tc>
          <w:tcPr>
            <w:tcW w:w="1524" w:type="dxa"/>
            <w:shd w:val="clear" w:color="auto" w:fill="7FB8CB"/>
          </w:tcPr>
          <w:p w14:paraId="0C39C50A" w14:textId="77777777" w:rsidR="005C5169" w:rsidRPr="006E7298" w:rsidRDefault="005C5169" w:rsidP="00FC618C">
            <w:pPr>
              <w:keepNext/>
              <w:keepLines/>
              <w:tabs>
                <w:tab w:val="left" w:pos="908"/>
              </w:tabs>
              <w:spacing w:after="0" w:line="240" w:lineRule="auto"/>
              <w:jc w:val="right"/>
              <w:rPr>
                <w:rFonts w:cs="Arial"/>
                <w:b/>
                <w:color w:val="FFFFFF" w:themeColor="background1"/>
                <w:sz w:val="18"/>
                <w:szCs w:val="18"/>
              </w:rPr>
            </w:pPr>
            <w:r w:rsidRPr="006E7298">
              <w:rPr>
                <w:rFonts w:cs="Arial"/>
                <w:b/>
                <w:color w:val="FFFFFF" w:themeColor="background1"/>
                <w:sz w:val="18"/>
                <w:szCs w:val="18"/>
              </w:rPr>
              <w:t>126</w:t>
            </w:r>
          </w:p>
        </w:tc>
      </w:tr>
    </w:tbl>
    <w:p w14:paraId="462231A3" w14:textId="77777777" w:rsidR="000A1CD9" w:rsidRPr="00555C84" w:rsidRDefault="000A1CD9" w:rsidP="000A1CD9">
      <w:pPr>
        <w:pStyle w:val="ACMANotes"/>
        <w:keepNext/>
        <w:keepLines/>
      </w:pPr>
      <w:r w:rsidRPr="00555C84">
        <w:rPr>
          <w:szCs w:val="18"/>
        </w:rPr>
        <w:t>*</w:t>
      </w:r>
      <w:r w:rsidRPr="00555C84">
        <w:t>Fixed-line footprint refers to all non-fixed wireless or satellite connections.</w:t>
      </w:r>
    </w:p>
    <w:p w14:paraId="28D70D9D" w14:textId="77777777" w:rsidR="000A1CD9" w:rsidRDefault="000A1CD9" w:rsidP="000A1CD9">
      <w:pPr>
        <w:pStyle w:val="ACMANotes"/>
        <w:keepNext/>
        <w:keepLines/>
      </w:pPr>
      <w:r w:rsidRPr="00B17E04">
        <w:t xml:space="preserve">Note: </w:t>
      </w:r>
      <w:r>
        <w:t>‘</w:t>
      </w:r>
      <w:r w:rsidRPr="00B17E04">
        <w:t>Premises serviceable</w:t>
      </w:r>
      <w:r>
        <w:t>’</w:t>
      </w:r>
      <w:r w:rsidRPr="00B17E04">
        <w:t xml:space="preserve"> refers to brownfield (existing) premises in a rollout region that is ready for service, greenfield (new development) lots/premises passed (by the </w:t>
      </w:r>
      <w:r w:rsidR="00787FE1">
        <w:t>NBN</w:t>
      </w:r>
      <w:r w:rsidR="00787FE1" w:rsidRPr="00B17E04">
        <w:t xml:space="preserve"> </w:t>
      </w:r>
      <w:r w:rsidRPr="00B17E04">
        <w:t xml:space="preserve">network) and/or premises covered by fixed wireless and satellite. It does not include Service Class Zero (SC0). SC0 are premises in the </w:t>
      </w:r>
      <w:r>
        <w:t>NBN</w:t>
      </w:r>
      <w:r w:rsidRPr="00B17E04">
        <w:t xml:space="preserve"> fibre network footprint that cannot presently be provided with</w:t>
      </w:r>
      <w:r>
        <w:t xml:space="preserve"> an NBN fibre service.</w:t>
      </w:r>
    </w:p>
    <w:p w14:paraId="5D31F9E1" w14:textId="77777777" w:rsidR="000A1CD9" w:rsidRPr="00B17E04" w:rsidRDefault="000A1CD9" w:rsidP="000A1CD9">
      <w:pPr>
        <w:pStyle w:val="ACMANotes"/>
        <w:keepNext/>
        <w:keepLines/>
      </w:pPr>
      <w:r>
        <w:t>‘</w:t>
      </w:r>
      <w:r w:rsidRPr="00B17E04">
        <w:t>Premises activated</w:t>
      </w:r>
      <w:r>
        <w:t>’</w:t>
      </w:r>
      <w:r w:rsidRPr="00B17E04">
        <w:t xml:space="preserve"> refers to premises that have an active service installed. Premises are activated after receiving and provisioning a service order from a retail service provider to install a new service.</w:t>
      </w:r>
    </w:p>
    <w:p w14:paraId="614C0F44" w14:textId="77777777" w:rsidR="004E4731" w:rsidRDefault="000A1CD9" w:rsidP="000A1CD9">
      <w:pPr>
        <w:pStyle w:val="ACMANotes"/>
        <w:keepNext/>
        <w:keepLines/>
        <w:rPr>
          <w:rStyle w:val="Hyperlink"/>
          <w:szCs w:val="16"/>
        </w:rPr>
      </w:pPr>
      <w:r>
        <w:rPr>
          <w:szCs w:val="16"/>
        </w:rPr>
        <w:t>Source</w:t>
      </w:r>
      <w:r w:rsidR="008B7194">
        <w:rPr>
          <w:szCs w:val="16"/>
        </w:rPr>
        <w:t xml:space="preserve">: </w:t>
      </w:r>
      <w:hyperlink r:id="rId48" w:history="1">
        <w:r w:rsidR="008B7194" w:rsidRPr="009C1BE9">
          <w:rPr>
            <w:rStyle w:val="Hyperlink"/>
            <w:i w:val="0"/>
            <w:szCs w:val="16"/>
          </w:rPr>
          <w:t>nbn</w:t>
        </w:r>
      </w:hyperlink>
      <w:r w:rsidR="008B7194" w:rsidRPr="009C1BE9">
        <w:rPr>
          <w:rStyle w:val="Hyperlink"/>
          <w:i w:val="0"/>
          <w:szCs w:val="16"/>
        </w:rPr>
        <w:t xml:space="preserve"> Weekly Progress Report, </w:t>
      </w:r>
      <w:hyperlink r:id="rId49" w:history="1">
        <w:r w:rsidR="009F33CB" w:rsidRPr="009F33CB">
          <w:rPr>
            <w:rStyle w:val="Hyperlink"/>
            <w:szCs w:val="16"/>
          </w:rPr>
          <w:t>www.nbnco.com.au/corporate-information/about-nbn-co/corporate-plan/weekly-progress-report.html</w:t>
        </w:r>
      </w:hyperlink>
      <w:r w:rsidR="008B7194">
        <w:rPr>
          <w:rStyle w:val="Hyperlink"/>
          <w:szCs w:val="16"/>
        </w:rPr>
        <w:t>; NBN Full Year Results, 2016</w:t>
      </w:r>
      <w:r w:rsidR="008B2948">
        <w:rPr>
          <w:szCs w:val="16"/>
        </w:rPr>
        <w:t>.</w:t>
      </w:r>
    </w:p>
    <w:p w14:paraId="3DF29E70" w14:textId="77777777" w:rsidR="000A1CD9" w:rsidRDefault="000A1CD9" w:rsidP="00BC4E15">
      <w:pPr>
        <w:pStyle w:val="ACMASpaceaftertable"/>
      </w:pPr>
    </w:p>
    <w:p w14:paraId="1FB4F665" w14:textId="77777777" w:rsidR="000A1CD9" w:rsidRPr="00FD7E86" w:rsidRDefault="000A1CD9" w:rsidP="000A1CD9">
      <w:pPr>
        <w:pStyle w:val="Heading3"/>
      </w:pPr>
      <w:bookmarkStart w:id="331" w:name="_Toc462132218"/>
      <w:bookmarkStart w:id="332" w:name="_Toc462899559"/>
      <w:bookmarkStart w:id="333" w:name="_Toc463529047"/>
      <w:bookmarkStart w:id="334" w:name="_Toc465842865"/>
      <w:bookmarkStart w:id="335" w:name="_Toc433790305"/>
      <w:r>
        <w:t>Submarine cables</w:t>
      </w:r>
      <w:bookmarkEnd w:id="331"/>
      <w:bookmarkEnd w:id="332"/>
      <w:bookmarkEnd w:id="333"/>
      <w:bookmarkEnd w:id="334"/>
    </w:p>
    <w:p w14:paraId="7C5D5402" w14:textId="77777777" w:rsidR="000A1CD9" w:rsidRPr="00C91521" w:rsidRDefault="000A1CD9" w:rsidP="00162F31">
      <w:pPr>
        <w:keepLines/>
      </w:pPr>
      <w:r w:rsidRPr="00C91521">
        <w:t>Submarine cables carry the bulk of Australia’s international voice and data traffic and contribute significantly to the Australian economy. At present there are nine international submarine cables connecting Australia to the rest of the world</w:t>
      </w:r>
      <w:r>
        <w:t xml:space="preserve"> across three protection zones</w:t>
      </w:r>
      <w:r w:rsidRPr="00101030">
        <w:t>―two located off the Sydney coast and one located off the Perth coast.</w:t>
      </w:r>
      <w:r>
        <w:t xml:space="preserve"> A</w:t>
      </w:r>
      <w:r w:rsidRPr="00C91521">
        <w:t>n almost complete international cable connect</w:t>
      </w:r>
      <w:r>
        <w:t>s</w:t>
      </w:r>
      <w:r w:rsidRPr="00C91521">
        <w:t xml:space="preserve"> oil and gas platforms in the Browse Basin off the </w:t>
      </w:r>
      <w:r>
        <w:t>n</w:t>
      </w:r>
      <w:r w:rsidRPr="00C91521">
        <w:t>orth</w:t>
      </w:r>
      <w:r>
        <w:t>-w</w:t>
      </w:r>
      <w:r w:rsidRPr="00C91521">
        <w:t>est coast to Port Hedland and Darwin.</w:t>
      </w:r>
    </w:p>
    <w:p w14:paraId="236CD055" w14:textId="77777777" w:rsidR="000A1CD9" w:rsidRPr="00C91521" w:rsidRDefault="000A1CD9" w:rsidP="000A1CD9">
      <w:r w:rsidRPr="00C91521">
        <w:t xml:space="preserve">Schedule 3A to the Telecommunications Act enables the ACMA to declare protection zones over nationally significant submarine cables and to prohibit or restrict activities that pose a risk of damaging cables in these zones. The legislation establishes offences for damaging a cable or for breaching prohibitions and restrictions, and sets out penalties for these offences. </w:t>
      </w:r>
    </w:p>
    <w:p w14:paraId="20810D3F" w14:textId="77777777" w:rsidR="000A1CD9" w:rsidRDefault="000A1CD9" w:rsidP="000A1CD9">
      <w:r>
        <w:t>Investment in undersea cables is underpinned by strong growth in data traffic. These investments also reflect the increasing importance of network resilience, as growing proportions of economic and business activity rely on data networks.</w:t>
      </w:r>
      <w:r>
        <w:rPr>
          <w:rStyle w:val="EndnoteReference"/>
        </w:rPr>
        <w:endnoteReference w:id="74"/>
      </w:r>
      <w:r>
        <w:t xml:space="preserve"> </w:t>
      </w:r>
    </w:p>
    <w:p w14:paraId="11E5DE7D" w14:textId="77777777" w:rsidR="000A1CD9" w:rsidRPr="00531CD0" w:rsidRDefault="000A1CD9" w:rsidP="000A1CD9">
      <w:pPr>
        <w:spacing w:after="80"/>
        <w:rPr>
          <w:highlight w:val="yellow"/>
        </w:rPr>
      </w:pPr>
      <w:r w:rsidRPr="00C91521">
        <w:t>During 2015</w:t>
      </w:r>
      <w:r>
        <w:rPr>
          <w:rFonts w:cs="Arial"/>
        </w:rPr>
        <w:t>–</w:t>
      </w:r>
      <w:r w:rsidRPr="00C91521">
        <w:t xml:space="preserve">16, the ACMA </w:t>
      </w:r>
      <w:r w:rsidRPr="00101030">
        <w:t xml:space="preserve">approved four separate requests to extend the duration of permits for a proposed international cable to be installed between Perth and Singapore. This included: </w:t>
      </w:r>
    </w:p>
    <w:p w14:paraId="3A952885" w14:textId="77777777" w:rsidR="000A1CD9" w:rsidRPr="00EA1DF5" w:rsidRDefault="000A1CD9" w:rsidP="000A1CD9">
      <w:pPr>
        <w:pStyle w:val="ListBullet"/>
        <w:spacing w:line="259" w:lineRule="auto"/>
      </w:pPr>
      <w:r>
        <w:t>APW-West Singapore to Perth link. It was announced in March 2016 that Telstra and Singtel, along with other entities, had entered into a memorandum of understanding to buy planned capacity on this link.</w:t>
      </w:r>
      <w:r>
        <w:rPr>
          <w:rStyle w:val="EndnoteReference"/>
        </w:rPr>
        <w:endnoteReference w:id="75"/>
      </w:r>
    </w:p>
    <w:p w14:paraId="07403842" w14:textId="77777777" w:rsidR="000A1CD9" w:rsidRDefault="000A1CD9" w:rsidP="000A1CD9">
      <w:pPr>
        <w:pStyle w:val="ListBullet"/>
      </w:pPr>
      <w:r>
        <w:t>Vocus and Nextgen announced in November 2015 they have partnered to build a new undersea cable connection between Australia and Singapore.</w:t>
      </w:r>
      <w:r>
        <w:rPr>
          <w:rStyle w:val="EndnoteReference"/>
        </w:rPr>
        <w:endnoteReference w:id="76"/>
      </w:r>
    </w:p>
    <w:p w14:paraId="45BAE975" w14:textId="77777777" w:rsidR="000A1CD9" w:rsidRDefault="000A1CD9" w:rsidP="000A1CD9">
      <w:pPr>
        <w:pStyle w:val="ListBulletLast"/>
      </w:pPr>
      <w:r>
        <w:t xml:space="preserve">A third proposed </w:t>
      </w:r>
      <w:r w:rsidR="008B7194">
        <w:t xml:space="preserve">undersea </w:t>
      </w:r>
      <w:r>
        <w:t xml:space="preserve">cable in the </w:t>
      </w:r>
      <w:r w:rsidRPr="00FD7B97">
        <w:t>region</w:t>
      </w:r>
      <w:r>
        <w:t xml:space="preserve"> is in the development phase.</w:t>
      </w:r>
      <w:r>
        <w:rPr>
          <w:rStyle w:val="EndnoteReference"/>
        </w:rPr>
        <w:endnoteReference w:id="77"/>
      </w:r>
    </w:p>
    <w:p w14:paraId="2E9B1129" w14:textId="77777777" w:rsidR="000A1CD9" w:rsidRDefault="000A1CD9" w:rsidP="000A1CD9">
      <w:r w:rsidRPr="00101030">
        <w:lastRenderedPageBreak/>
        <w:t>Three other permit extensions were also approved for separate proposals by another cable</w:t>
      </w:r>
      <w:r w:rsidR="00725E70">
        <w:t xml:space="preserve"> </w:t>
      </w:r>
      <w:r w:rsidR="00A6457A">
        <w:t xml:space="preserve">provider </w:t>
      </w:r>
      <w:r w:rsidRPr="00101030">
        <w:t>for installation of international cables on the east and west coasts of Australia.</w:t>
      </w:r>
    </w:p>
    <w:p w14:paraId="0DEE1BB4" w14:textId="77777777" w:rsidR="000A1CD9" w:rsidRPr="00C91521" w:rsidRDefault="000A1CD9" w:rsidP="000A1CD9">
      <w:r>
        <w:t xml:space="preserve">The ACMA </w:t>
      </w:r>
      <w:r w:rsidRPr="00C91521">
        <w:t>received a request to declare a new protection zone off the Sunshine Coast in Queensland. The request remains under consideration by the ACMA.</w:t>
      </w:r>
    </w:p>
    <w:p w14:paraId="02A978A6" w14:textId="77777777" w:rsidR="000A1CD9" w:rsidRPr="00FD7E86" w:rsidRDefault="000A1CD9" w:rsidP="000A1CD9">
      <w:pPr>
        <w:pStyle w:val="Heading3"/>
      </w:pPr>
      <w:bookmarkStart w:id="336" w:name="_Toc462132219"/>
      <w:bookmarkStart w:id="337" w:name="_Toc462899560"/>
      <w:bookmarkStart w:id="338" w:name="_Toc463529048"/>
      <w:bookmarkStart w:id="339" w:name="_Toc465842866"/>
      <w:r w:rsidRPr="00FD7E86">
        <w:t>Copper network switch-off</w:t>
      </w:r>
      <w:bookmarkEnd w:id="335"/>
      <w:bookmarkEnd w:id="336"/>
      <w:bookmarkEnd w:id="337"/>
      <w:bookmarkEnd w:id="338"/>
      <w:bookmarkEnd w:id="339"/>
      <w:r w:rsidRPr="00FD7E86">
        <w:t xml:space="preserve"> </w:t>
      </w:r>
    </w:p>
    <w:p w14:paraId="3A862AE2" w14:textId="77777777" w:rsidR="000A1CD9" w:rsidRPr="007D7238" w:rsidRDefault="000A1CD9" w:rsidP="000A1CD9">
      <w:pPr>
        <w:rPr>
          <w:rFonts w:cs="Arial"/>
          <w:szCs w:val="16"/>
        </w:rPr>
      </w:pPr>
      <w:r>
        <w:rPr>
          <w:rFonts w:cs="Arial"/>
          <w:szCs w:val="16"/>
        </w:rPr>
        <w:t xml:space="preserve">The </w:t>
      </w:r>
      <w:r w:rsidR="00215F07">
        <w:rPr>
          <w:rFonts w:cs="Arial"/>
          <w:szCs w:val="16"/>
        </w:rPr>
        <w:t xml:space="preserve">NBN </w:t>
      </w:r>
      <w:r>
        <w:rPr>
          <w:rFonts w:cs="Arial"/>
          <w:szCs w:val="16"/>
        </w:rPr>
        <w:t xml:space="preserve">is replacing and upgrading the existing fixed-line telephone and internet network infrastructure. </w:t>
      </w:r>
      <w:r w:rsidRPr="007D7238">
        <w:rPr>
          <w:rFonts w:cs="Arial"/>
          <w:szCs w:val="16"/>
        </w:rPr>
        <w:t xml:space="preserve">From 23 May 2014, </w:t>
      </w:r>
      <w:r>
        <w:rPr>
          <w:rFonts w:cs="Arial"/>
          <w:szCs w:val="16"/>
        </w:rPr>
        <w:t>it</w:t>
      </w:r>
      <w:r w:rsidRPr="007D7238">
        <w:rPr>
          <w:rFonts w:cs="Arial"/>
          <w:szCs w:val="16"/>
        </w:rPr>
        <w:t xml:space="preserve"> began replacing most existing fixed-line telephone links, ADSL internet and Telstra cable internet services (HFC)</w:t>
      </w:r>
      <w:r>
        <w:rPr>
          <w:rFonts w:cs="Arial"/>
          <w:szCs w:val="16"/>
        </w:rPr>
        <w:t xml:space="preserve"> in the first 15 Fibre Serving Area Modules (FSAMs)</w:t>
      </w:r>
      <w:r w:rsidRPr="007D7238">
        <w:rPr>
          <w:rFonts w:cs="Arial"/>
          <w:szCs w:val="16"/>
        </w:rPr>
        <w:t xml:space="preserve">. </w:t>
      </w:r>
    </w:p>
    <w:p w14:paraId="4827EAE2" w14:textId="77777777" w:rsidR="000A1CD9" w:rsidRPr="009C6213" w:rsidRDefault="000A1CD9" w:rsidP="000A1CD9">
      <w:pPr>
        <w:rPr>
          <w:rFonts w:cs="Arial"/>
          <w:szCs w:val="16"/>
        </w:rPr>
      </w:pPr>
      <w:r w:rsidRPr="007D7238">
        <w:rPr>
          <w:rFonts w:cs="Arial"/>
          <w:szCs w:val="16"/>
        </w:rPr>
        <w:t xml:space="preserve">All premises within the </w:t>
      </w:r>
      <w:r>
        <w:rPr>
          <w:rFonts w:cs="Arial"/>
          <w:szCs w:val="16"/>
        </w:rPr>
        <w:t>NBN</w:t>
      </w:r>
      <w:r w:rsidRPr="007D7238">
        <w:rPr>
          <w:rFonts w:cs="Arial"/>
          <w:szCs w:val="16"/>
        </w:rPr>
        <w:t xml:space="preserve"> fibre footprint in each region are required to switch over to the </w:t>
      </w:r>
      <w:r>
        <w:rPr>
          <w:rFonts w:cs="Arial"/>
          <w:szCs w:val="16"/>
        </w:rPr>
        <w:t>NBN</w:t>
      </w:r>
      <w:r w:rsidRPr="007D7238">
        <w:rPr>
          <w:rFonts w:cs="Arial"/>
          <w:szCs w:val="16"/>
        </w:rPr>
        <w:t xml:space="preserve"> network before the designated switch-off date to continue receiving fixed-line telephone and internet services. Table 1.5 shows the locations disconnected from the copper network during the reporting period.</w:t>
      </w:r>
    </w:p>
    <w:p w14:paraId="3E6AB538" w14:textId="77777777" w:rsidR="000A1CD9" w:rsidRDefault="000A1CD9" w:rsidP="000A1CD9">
      <w:pPr>
        <w:pStyle w:val="ACMATableHeader"/>
        <w:keepNext/>
        <w:keepLines/>
        <w:numPr>
          <w:ilvl w:val="0"/>
          <w:numId w:val="0"/>
        </w:numPr>
        <w:ind w:left="993" w:hanging="993"/>
      </w:pPr>
      <w:r>
        <w:t>Table 1.5</w:t>
      </w:r>
      <w:r>
        <w:tab/>
        <w:t>NBN</w:t>
      </w:r>
      <w:r w:rsidRPr="007D7238">
        <w:t xml:space="preserve"> network rollout</w:t>
      </w:r>
      <w:r>
        <w:t>—l</w:t>
      </w:r>
      <w:r w:rsidRPr="007D7238">
        <w:t>ocations/regions disconnec</w:t>
      </w:r>
      <w:r>
        <w:t xml:space="preserve">ted from the copper network, </w:t>
      </w:r>
      <w:r w:rsidR="00BC4E15">
        <w:br/>
      </w:r>
      <w:r>
        <w:t>2015–16</w:t>
      </w:r>
    </w:p>
    <w:tbl>
      <w:tblPr>
        <w:tblW w:w="942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Table 1.5 NBN network rollout—locations/regions disconnected from the copper network 2015–16 "/>
      </w:tblPr>
      <w:tblGrid>
        <w:gridCol w:w="1276"/>
        <w:gridCol w:w="8153"/>
      </w:tblGrid>
      <w:tr w:rsidR="00215F07" w:rsidRPr="009E6D3B" w14:paraId="2D626889" w14:textId="77777777" w:rsidTr="009B54F3">
        <w:trPr>
          <w:trHeight w:val="305"/>
          <w:tblHeader/>
        </w:trPr>
        <w:tc>
          <w:tcPr>
            <w:tcW w:w="1276" w:type="dxa"/>
            <w:shd w:val="clear" w:color="auto" w:fill="007298"/>
          </w:tcPr>
          <w:p w14:paraId="1EB70C5F" w14:textId="77777777" w:rsidR="00215F07" w:rsidRPr="00101030" w:rsidRDefault="00215F07" w:rsidP="000926B9">
            <w:pPr>
              <w:pStyle w:val="TableHeading"/>
              <w:spacing w:before="0" w:line="240" w:lineRule="auto"/>
            </w:pPr>
            <w:r w:rsidRPr="00101030">
              <w:t>State/</w:t>
            </w:r>
            <w:r w:rsidR="000926B9">
              <w:br/>
            </w:r>
            <w:r w:rsidRPr="00101030">
              <w:t>territory</w:t>
            </w:r>
          </w:p>
        </w:tc>
        <w:tc>
          <w:tcPr>
            <w:tcW w:w="8153" w:type="dxa"/>
            <w:shd w:val="clear" w:color="auto" w:fill="007298"/>
          </w:tcPr>
          <w:p w14:paraId="6F6268FB" w14:textId="77777777" w:rsidR="00215F07" w:rsidRPr="00101030" w:rsidRDefault="00215F07" w:rsidP="000926B9">
            <w:pPr>
              <w:pStyle w:val="TableHeading"/>
              <w:spacing w:before="0" w:line="240" w:lineRule="auto"/>
            </w:pPr>
            <w:r w:rsidRPr="00101030">
              <w:t>Location/region</w:t>
            </w:r>
            <w:r>
              <w:t>*</w:t>
            </w:r>
          </w:p>
        </w:tc>
      </w:tr>
      <w:tr w:rsidR="004E4731" w:rsidRPr="009E6D3B" w14:paraId="45B320F1" w14:textId="77777777" w:rsidTr="009B54F3">
        <w:trPr>
          <w:trHeight w:val="162"/>
          <w:tblHeader/>
        </w:trPr>
        <w:tc>
          <w:tcPr>
            <w:tcW w:w="1276" w:type="dxa"/>
            <w:shd w:val="clear" w:color="auto" w:fill="7FB8CB"/>
          </w:tcPr>
          <w:p w14:paraId="33511348" w14:textId="77777777" w:rsidR="00215F07" w:rsidRPr="006E7298" w:rsidRDefault="00215F07" w:rsidP="000926B9">
            <w:pPr>
              <w:pStyle w:val="ACMATableText"/>
              <w:spacing w:before="0" w:after="0"/>
              <w:rPr>
                <w:color w:val="FFFFFF" w:themeColor="background1"/>
                <w:sz w:val="18"/>
                <w:szCs w:val="18"/>
              </w:rPr>
            </w:pPr>
            <w:r w:rsidRPr="006E7298">
              <w:rPr>
                <w:color w:val="FFFFFF" w:themeColor="background1"/>
                <w:sz w:val="18"/>
                <w:szCs w:val="18"/>
              </w:rPr>
              <w:t>ACT</w:t>
            </w:r>
          </w:p>
        </w:tc>
        <w:tc>
          <w:tcPr>
            <w:tcW w:w="8153" w:type="dxa"/>
            <w:shd w:val="clear" w:color="auto" w:fill="D2E1E9"/>
          </w:tcPr>
          <w:p w14:paraId="485D7DE2" w14:textId="77777777" w:rsidR="00215F07" w:rsidRPr="00EA149D" w:rsidRDefault="00215F07" w:rsidP="000926B9">
            <w:pPr>
              <w:pStyle w:val="ACMATableText"/>
              <w:spacing w:before="0" w:after="0"/>
              <w:rPr>
                <w:sz w:val="18"/>
                <w:szCs w:val="18"/>
              </w:rPr>
            </w:pPr>
            <w:r w:rsidRPr="00EA149D">
              <w:rPr>
                <w:sz w:val="18"/>
                <w:szCs w:val="18"/>
              </w:rPr>
              <w:t xml:space="preserve">Acton (city), Braddon, Franklin, Gungahlin, Harrison, Lyneham, Mitchell, Nicholls, Palmerston, Watson </w:t>
            </w:r>
          </w:p>
        </w:tc>
      </w:tr>
      <w:tr w:rsidR="004E4731" w:rsidRPr="009E6D3B" w14:paraId="170C284F" w14:textId="77777777" w:rsidTr="009B54F3">
        <w:trPr>
          <w:trHeight w:val="454"/>
          <w:tblHeader/>
        </w:trPr>
        <w:tc>
          <w:tcPr>
            <w:tcW w:w="1276" w:type="dxa"/>
            <w:shd w:val="clear" w:color="auto" w:fill="7FB8CB"/>
          </w:tcPr>
          <w:p w14:paraId="04038F3A" w14:textId="77777777" w:rsidR="00215F07" w:rsidRPr="006E7298" w:rsidRDefault="00215F07" w:rsidP="000926B9">
            <w:pPr>
              <w:pStyle w:val="ACMATableText"/>
              <w:spacing w:before="0" w:after="0"/>
              <w:rPr>
                <w:color w:val="FFFFFF" w:themeColor="background1"/>
                <w:sz w:val="18"/>
                <w:szCs w:val="18"/>
              </w:rPr>
            </w:pPr>
            <w:r w:rsidRPr="006E7298">
              <w:rPr>
                <w:color w:val="FFFFFF" w:themeColor="background1"/>
                <w:sz w:val="18"/>
                <w:szCs w:val="18"/>
              </w:rPr>
              <w:t>NSW</w:t>
            </w:r>
          </w:p>
        </w:tc>
        <w:tc>
          <w:tcPr>
            <w:tcW w:w="8153" w:type="dxa"/>
            <w:shd w:val="clear" w:color="auto" w:fill="D2E1E9"/>
          </w:tcPr>
          <w:p w14:paraId="179A5719" w14:textId="77777777" w:rsidR="00215F07" w:rsidRPr="00EA149D" w:rsidRDefault="00215F07" w:rsidP="000926B9">
            <w:pPr>
              <w:pStyle w:val="ACMATableText"/>
              <w:spacing w:before="0" w:after="0"/>
              <w:rPr>
                <w:sz w:val="18"/>
                <w:szCs w:val="18"/>
              </w:rPr>
            </w:pPr>
            <w:r w:rsidRPr="00EA149D">
              <w:rPr>
                <w:sz w:val="18"/>
                <w:szCs w:val="18"/>
              </w:rPr>
              <w:t>Agnes Banks, Armidale, Auburn, Bellambi, Berala, Berkeley Vale, Blacktown, Boambee, Boambee East, Brownsville, Coffs Harbour, Corrimal, Dapto, East Corrimal, East Gosford, Fountaindale, Glenning Valley, Gosford, Haymarket, Hobartville, Homebush, Homebush West, Jamisontown, Kanahooka, Kiama, Killarney Vale, Kingswood, Korora, Koonawarra, Lalor Park, Lidcombe, Londonderry, Long Jetty, Millers Point, North Boambee Valley, Penrith, Point Frederick, Prospect, Richmond, Richmond Lowlands, Regents Park, Riverstone, Sapphire Beach, Sawtell, Seven Hills, Shelly Beach, Springfield, South Penrith, Strathfield, Taree, The Rocks Tinonee, Toormina, Tumbi Umbi, West Gosford, Windsor</w:t>
            </w:r>
          </w:p>
        </w:tc>
      </w:tr>
      <w:tr w:rsidR="004E4731" w:rsidRPr="009E6D3B" w14:paraId="2E4A0FC8" w14:textId="77777777" w:rsidTr="009B54F3">
        <w:trPr>
          <w:trHeight w:val="363"/>
          <w:tblHeader/>
        </w:trPr>
        <w:tc>
          <w:tcPr>
            <w:tcW w:w="1276" w:type="dxa"/>
            <w:shd w:val="clear" w:color="auto" w:fill="7FB8CB"/>
          </w:tcPr>
          <w:p w14:paraId="48732A74" w14:textId="77777777" w:rsidR="00215F07" w:rsidRPr="006E7298" w:rsidRDefault="00215F07" w:rsidP="000926B9">
            <w:pPr>
              <w:pStyle w:val="ACMATableText"/>
              <w:spacing w:before="0" w:after="0"/>
              <w:rPr>
                <w:color w:val="FFFFFF" w:themeColor="background1"/>
                <w:sz w:val="18"/>
                <w:szCs w:val="18"/>
              </w:rPr>
            </w:pPr>
            <w:r w:rsidRPr="006E7298">
              <w:rPr>
                <w:color w:val="FFFFFF" w:themeColor="background1"/>
                <w:sz w:val="18"/>
                <w:szCs w:val="18"/>
              </w:rPr>
              <w:t>NT</w:t>
            </w:r>
          </w:p>
        </w:tc>
        <w:tc>
          <w:tcPr>
            <w:tcW w:w="8153" w:type="dxa"/>
            <w:shd w:val="clear" w:color="auto" w:fill="D2E1E9"/>
          </w:tcPr>
          <w:p w14:paraId="0530701F" w14:textId="77777777" w:rsidR="00215F07" w:rsidRPr="00EA149D" w:rsidRDefault="00215F07" w:rsidP="000926B9">
            <w:pPr>
              <w:pStyle w:val="ACMATableText"/>
              <w:spacing w:before="0" w:after="0"/>
              <w:rPr>
                <w:sz w:val="18"/>
                <w:szCs w:val="18"/>
              </w:rPr>
            </w:pPr>
            <w:r w:rsidRPr="00EA149D">
              <w:rPr>
                <w:sz w:val="18"/>
                <w:szCs w:val="18"/>
              </w:rPr>
              <w:t xml:space="preserve">Alawa, Anula, Casuarina, Darwin, Darwin City, Karama, Leanyer, Larrakeyah, Lyons, Malak, Marrara, Moil, Muirhead, Tiwi, Wagaman, Wanguri, Wulagi </w:t>
            </w:r>
          </w:p>
        </w:tc>
      </w:tr>
      <w:tr w:rsidR="004E4731" w:rsidRPr="009E6D3B" w14:paraId="5A3F825A" w14:textId="77777777" w:rsidTr="009B54F3">
        <w:trPr>
          <w:trHeight w:val="454"/>
          <w:tblHeader/>
        </w:trPr>
        <w:tc>
          <w:tcPr>
            <w:tcW w:w="1276" w:type="dxa"/>
            <w:shd w:val="clear" w:color="auto" w:fill="7FB8CB"/>
          </w:tcPr>
          <w:p w14:paraId="6A4C402C" w14:textId="77777777" w:rsidR="00215F07" w:rsidRPr="006E7298" w:rsidRDefault="00215F07" w:rsidP="000926B9">
            <w:pPr>
              <w:pStyle w:val="ACMATableText"/>
              <w:spacing w:before="0" w:after="0"/>
              <w:rPr>
                <w:color w:val="FFFFFF" w:themeColor="background1"/>
                <w:sz w:val="18"/>
                <w:szCs w:val="18"/>
              </w:rPr>
            </w:pPr>
            <w:r w:rsidRPr="006E7298">
              <w:rPr>
                <w:color w:val="FFFFFF" w:themeColor="background1"/>
                <w:sz w:val="18"/>
                <w:szCs w:val="18"/>
              </w:rPr>
              <w:t>Qld</w:t>
            </w:r>
          </w:p>
        </w:tc>
        <w:tc>
          <w:tcPr>
            <w:tcW w:w="8153" w:type="dxa"/>
            <w:shd w:val="clear" w:color="auto" w:fill="D2E1E9"/>
          </w:tcPr>
          <w:p w14:paraId="0A46D3FF" w14:textId="77777777" w:rsidR="00215F07" w:rsidRPr="00EA149D" w:rsidRDefault="00215F07" w:rsidP="000926B9">
            <w:pPr>
              <w:pStyle w:val="ACMATableText"/>
              <w:spacing w:before="0" w:after="0"/>
              <w:rPr>
                <w:sz w:val="18"/>
                <w:szCs w:val="18"/>
              </w:rPr>
            </w:pPr>
            <w:r w:rsidRPr="00EA149D">
              <w:rPr>
                <w:sz w:val="18"/>
                <w:szCs w:val="18"/>
              </w:rPr>
              <w:t>Ascot, Aspley, Banyo, Bungalow, Cairns City, Cairns North, Castle Hill, Centenary Heights, Collingwood Park, Cranbrook, Eagle Farm, East Mackay, East Toowoomba, Fortitude Valley, Goodna, Hamilton, Harlaxton, Heatley &amp; Vincent, Hermit Park, Ipswich, Kallangur, Kurwongbah, Mackay, Mount Kynoch, New Farm, Northgate, North Toowoomba, North Ward, Nudgee, Nudgee Beach, Nundah, Paget, Parramatta Park, Petrie, Pinkenba, Portsmith, Railway Estate, Redbank Plains, Redwood, South Mackay, South Toowoomba, South Townsville, Teneriffe, Toowoomba, Townsville, Townsville City, Virginia, West Mackay, West End, Westcourt, Withcott, Zillmere</w:t>
            </w:r>
          </w:p>
        </w:tc>
      </w:tr>
      <w:tr w:rsidR="004E4731" w:rsidRPr="009E6D3B" w14:paraId="2FF70139" w14:textId="77777777" w:rsidTr="009B54F3">
        <w:trPr>
          <w:trHeight w:val="267"/>
          <w:tblHeader/>
        </w:trPr>
        <w:tc>
          <w:tcPr>
            <w:tcW w:w="1276" w:type="dxa"/>
            <w:shd w:val="clear" w:color="auto" w:fill="7FB8CB"/>
          </w:tcPr>
          <w:p w14:paraId="517890AF" w14:textId="77777777" w:rsidR="00215F07" w:rsidRPr="006E7298" w:rsidRDefault="00215F07" w:rsidP="000926B9">
            <w:pPr>
              <w:pStyle w:val="ACMATableText"/>
              <w:spacing w:before="0" w:after="0"/>
              <w:rPr>
                <w:color w:val="FFFFFF" w:themeColor="background1"/>
                <w:sz w:val="18"/>
                <w:szCs w:val="18"/>
              </w:rPr>
            </w:pPr>
            <w:r w:rsidRPr="006E7298">
              <w:rPr>
                <w:color w:val="FFFFFF" w:themeColor="background1"/>
                <w:sz w:val="18"/>
                <w:szCs w:val="18"/>
              </w:rPr>
              <w:t>SA</w:t>
            </w:r>
          </w:p>
        </w:tc>
        <w:tc>
          <w:tcPr>
            <w:tcW w:w="8153" w:type="dxa"/>
            <w:shd w:val="clear" w:color="auto" w:fill="D2E1E9"/>
          </w:tcPr>
          <w:p w14:paraId="1953692F" w14:textId="77777777" w:rsidR="00215F07" w:rsidRPr="00EA149D" w:rsidRDefault="00215F07" w:rsidP="000926B9">
            <w:pPr>
              <w:pStyle w:val="ACMATableText"/>
              <w:spacing w:before="0" w:after="0"/>
              <w:rPr>
                <w:sz w:val="18"/>
                <w:szCs w:val="18"/>
              </w:rPr>
            </w:pPr>
            <w:r w:rsidRPr="00EA149D">
              <w:rPr>
                <w:sz w:val="18"/>
                <w:szCs w:val="18"/>
              </w:rPr>
              <w:t xml:space="preserve">Aldinga, Aldinga Beach, McLaren Vale, Moana, Modbury, Port Noarlunga, Port Willunga South, Prospect, Seaford, Seaford Meadows, Seaford Rise, Willunga </w:t>
            </w:r>
          </w:p>
        </w:tc>
      </w:tr>
      <w:tr w:rsidR="004E4731" w:rsidRPr="009E6D3B" w14:paraId="6B08E5A6" w14:textId="77777777" w:rsidTr="009B54F3">
        <w:trPr>
          <w:trHeight w:val="454"/>
          <w:tblHeader/>
        </w:trPr>
        <w:tc>
          <w:tcPr>
            <w:tcW w:w="1276" w:type="dxa"/>
            <w:shd w:val="clear" w:color="auto" w:fill="7FB8CB"/>
          </w:tcPr>
          <w:p w14:paraId="31F6B6AF" w14:textId="77777777" w:rsidR="00215F07" w:rsidRPr="006E7298" w:rsidRDefault="00215F07" w:rsidP="000926B9">
            <w:pPr>
              <w:pStyle w:val="ACMATableText"/>
              <w:spacing w:before="0" w:after="0"/>
              <w:rPr>
                <w:color w:val="FFFFFF" w:themeColor="background1"/>
                <w:sz w:val="18"/>
                <w:szCs w:val="18"/>
              </w:rPr>
            </w:pPr>
            <w:r w:rsidRPr="006E7298">
              <w:rPr>
                <w:color w:val="FFFFFF" w:themeColor="background1"/>
                <w:sz w:val="18"/>
                <w:szCs w:val="18"/>
              </w:rPr>
              <w:t>Tas.</w:t>
            </w:r>
          </w:p>
        </w:tc>
        <w:tc>
          <w:tcPr>
            <w:tcW w:w="8153" w:type="dxa"/>
            <w:shd w:val="clear" w:color="auto" w:fill="D2E1E9"/>
          </w:tcPr>
          <w:p w14:paraId="60CB1C48" w14:textId="77777777" w:rsidR="00215F07" w:rsidRPr="00EA149D" w:rsidRDefault="00215F07" w:rsidP="000926B9">
            <w:pPr>
              <w:pStyle w:val="ACMATableText"/>
              <w:spacing w:before="0" w:after="0"/>
              <w:rPr>
                <w:sz w:val="18"/>
                <w:szCs w:val="18"/>
              </w:rPr>
            </w:pPr>
            <w:r w:rsidRPr="00EA149D">
              <w:rPr>
                <w:sz w:val="18"/>
                <w:szCs w:val="18"/>
              </w:rPr>
              <w:t>Battery Point, Bellerive, Blackmans Bay, Deloraine, Dynnyrne, East Launceston, George Town, Hobart, Invermay, Kingston, Launceston, Montagu Bay, Mowbray, Newstead, Rosny, Rosny Park, Smithton, Sorell, South Launceston, St Helens, Triabunna, West Hobart, West Launceston</w:t>
            </w:r>
          </w:p>
        </w:tc>
      </w:tr>
      <w:tr w:rsidR="004E4731" w:rsidRPr="009E6D3B" w14:paraId="6C2EEE0C" w14:textId="77777777" w:rsidTr="009B54F3">
        <w:trPr>
          <w:trHeight w:val="454"/>
          <w:tblHeader/>
        </w:trPr>
        <w:tc>
          <w:tcPr>
            <w:tcW w:w="1276" w:type="dxa"/>
            <w:shd w:val="clear" w:color="auto" w:fill="7FB8CB"/>
          </w:tcPr>
          <w:p w14:paraId="4F5EF5EF" w14:textId="77777777" w:rsidR="00215F07" w:rsidRPr="006E7298" w:rsidRDefault="00215F07" w:rsidP="000926B9">
            <w:pPr>
              <w:pStyle w:val="ACMATableText"/>
              <w:spacing w:before="0" w:after="0"/>
              <w:rPr>
                <w:color w:val="FFFFFF" w:themeColor="background1"/>
                <w:sz w:val="18"/>
                <w:szCs w:val="18"/>
              </w:rPr>
            </w:pPr>
            <w:r w:rsidRPr="006E7298">
              <w:rPr>
                <w:color w:val="FFFFFF" w:themeColor="background1"/>
                <w:sz w:val="18"/>
                <w:szCs w:val="18"/>
              </w:rPr>
              <w:t>Vic.</w:t>
            </w:r>
          </w:p>
        </w:tc>
        <w:tc>
          <w:tcPr>
            <w:tcW w:w="8153" w:type="dxa"/>
            <w:shd w:val="clear" w:color="auto" w:fill="D2E1E9"/>
          </w:tcPr>
          <w:p w14:paraId="090DA992" w14:textId="77777777" w:rsidR="00215F07" w:rsidRPr="00EA149D" w:rsidRDefault="00215F07" w:rsidP="000926B9">
            <w:pPr>
              <w:pStyle w:val="ACMATableText"/>
              <w:spacing w:before="0" w:after="0"/>
              <w:rPr>
                <w:sz w:val="18"/>
                <w:szCs w:val="18"/>
              </w:rPr>
            </w:pPr>
            <w:r w:rsidRPr="00EA149D">
              <w:rPr>
                <w:sz w:val="18"/>
                <w:szCs w:val="18"/>
              </w:rPr>
              <w:t>Airport West, Bacchus Marsh, Ballarat Central, Ballarat North, Black Hill, Brunswick, Brunswick East, Brunswick West, Bundoora, Carlton, Carlton North, Creswick, Darley, Docklands, Essendon Fields, Frankston, Gladstone Park, Invermay, Invermay Park, Keilor Park, Keysborough, Kurunjang, Lake Wendouree, Melbourne Airport, Melton West, Mill Park, Newington, Parkville, Princes Hill, Redan, Shepparton, Soldiers Hill, South Melbourne, South Morang, Tullamarine</w:t>
            </w:r>
          </w:p>
        </w:tc>
      </w:tr>
      <w:tr w:rsidR="004E4731" w:rsidRPr="009E6D3B" w14:paraId="053A2C08" w14:textId="77777777" w:rsidTr="009B54F3">
        <w:trPr>
          <w:trHeight w:val="454"/>
          <w:tblHeader/>
        </w:trPr>
        <w:tc>
          <w:tcPr>
            <w:tcW w:w="1276" w:type="dxa"/>
            <w:shd w:val="clear" w:color="auto" w:fill="7FB8CB"/>
          </w:tcPr>
          <w:p w14:paraId="5F6F4269" w14:textId="77777777" w:rsidR="00215F07" w:rsidRPr="006E7298" w:rsidRDefault="00215F07" w:rsidP="000926B9">
            <w:pPr>
              <w:pStyle w:val="ACMATableText"/>
              <w:spacing w:before="0" w:after="0"/>
              <w:rPr>
                <w:color w:val="FFFFFF" w:themeColor="background1"/>
                <w:sz w:val="18"/>
                <w:szCs w:val="18"/>
              </w:rPr>
            </w:pPr>
            <w:r w:rsidRPr="006E7298">
              <w:rPr>
                <w:color w:val="FFFFFF" w:themeColor="background1"/>
                <w:sz w:val="18"/>
                <w:szCs w:val="18"/>
              </w:rPr>
              <w:t>WA</w:t>
            </w:r>
          </w:p>
        </w:tc>
        <w:tc>
          <w:tcPr>
            <w:tcW w:w="8153" w:type="dxa"/>
            <w:shd w:val="clear" w:color="auto" w:fill="D2E1E9"/>
          </w:tcPr>
          <w:p w14:paraId="4A53A051" w14:textId="77777777" w:rsidR="00215F07" w:rsidRPr="00EA149D" w:rsidRDefault="00E43B42" w:rsidP="000926B9">
            <w:pPr>
              <w:pStyle w:val="ACMATableText"/>
              <w:spacing w:before="0" w:after="0"/>
              <w:rPr>
                <w:sz w:val="18"/>
                <w:szCs w:val="18"/>
              </w:rPr>
            </w:pPr>
            <w:r>
              <w:rPr>
                <w:sz w:val="18"/>
                <w:szCs w:val="18"/>
              </w:rPr>
              <w:t>Applecross, Ardross</w:t>
            </w:r>
            <w:r w:rsidR="00215F07" w:rsidRPr="00EA149D">
              <w:rPr>
                <w:sz w:val="18"/>
                <w:szCs w:val="18"/>
              </w:rPr>
              <w:t xml:space="preserve">, Beresford, Booragoon, Deepdale, Geraldton, Greenfields, Kensington, Madora Bay, Mandurah, Meadow Springs, San Remo, Silver Sands, South Perth, Utakarra, Victoria Park, Woorree, Wonthella </w:t>
            </w:r>
          </w:p>
        </w:tc>
      </w:tr>
    </w:tbl>
    <w:p w14:paraId="23B7D1E6" w14:textId="77777777" w:rsidR="00215F07" w:rsidRDefault="00A51D82" w:rsidP="000A1CD9">
      <w:pPr>
        <w:pStyle w:val="ACMANotes"/>
        <w:keepNext/>
        <w:keepLines/>
      </w:pPr>
      <w:r>
        <w:t>*</w:t>
      </w:r>
      <w:r w:rsidR="00215F07">
        <w:t>Location provided may refer to part or whole of a suburb/town.</w:t>
      </w:r>
    </w:p>
    <w:p w14:paraId="5DFC37B9" w14:textId="77777777" w:rsidR="000A1CD9" w:rsidRDefault="000A1CD9" w:rsidP="000A1CD9">
      <w:pPr>
        <w:pStyle w:val="ACMANotes"/>
        <w:keepNext/>
        <w:keepLines/>
      </w:pPr>
      <w:r>
        <w:t xml:space="preserve">Source: Telstra Wholesale, </w:t>
      </w:r>
      <w:hyperlink r:id="rId50" w:history="1">
        <w:r w:rsidRPr="003841B0">
          <w:rPr>
            <w:rStyle w:val="Hyperlink"/>
          </w:rPr>
          <w:t>NBN rollout and disconnection dates list</w:t>
        </w:r>
      </w:hyperlink>
      <w:r>
        <w:t>, viewed 25 August 2016</w:t>
      </w:r>
      <w:r w:rsidRPr="003841B0">
        <w:t>.</w:t>
      </w:r>
    </w:p>
    <w:p w14:paraId="2FF2A5E0" w14:textId="77777777" w:rsidR="000A1CD9" w:rsidRPr="00FD7E86" w:rsidRDefault="000A1CD9" w:rsidP="000A1CD9">
      <w:pPr>
        <w:pStyle w:val="ACMASpaceaftertable"/>
      </w:pPr>
    </w:p>
    <w:p w14:paraId="0AD24AE9" w14:textId="77777777" w:rsidR="000A1CD9" w:rsidRPr="00FD7E86" w:rsidRDefault="000A1CD9" w:rsidP="000A1CD9">
      <w:pPr>
        <w:keepNext/>
        <w:keepLines/>
      </w:pPr>
      <w:r w:rsidRPr="00E17A26">
        <w:rPr>
          <w:rFonts w:cs="Arial"/>
        </w:rPr>
        <w:lastRenderedPageBreak/>
        <w:t xml:space="preserve">The coverage of the </w:t>
      </w:r>
      <w:r>
        <w:rPr>
          <w:rFonts w:cs="Arial"/>
        </w:rPr>
        <w:t>NBN</w:t>
      </w:r>
      <w:r w:rsidRPr="00E17A26">
        <w:t xml:space="preserve"> network, including areas that are active or under construction, is published on the </w:t>
      </w:r>
      <w:r w:rsidR="0045769F">
        <w:rPr>
          <w:rFonts w:cs="Arial"/>
        </w:rPr>
        <w:t>NBN</w:t>
      </w:r>
      <w:r w:rsidR="0045769F" w:rsidRPr="00E17A26">
        <w:t xml:space="preserve"> </w:t>
      </w:r>
      <w:r w:rsidR="00912013">
        <w:t xml:space="preserve">Co </w:t>
      </w:r>
      <w:r w:rsidRPr="00E17A26">
        <w:t>website.</w:t>
      </w:r>
      <w:r w:rsidRPr="00E17A26">
        <w:rPr>
          <w:vertAlign w:val="superscript"/>
        </w:rPr>
        <w:endnoteReference w:id="78"/>
      </w:r>
      <w:r w:rsidRPr="00FD7E86" w:rsidDel="00472D4D">
        <w:rPr>
          <w:vertAlign w:val="superscript"/>
        </w:rPr>
        <w:t xml:space="preserve"> </w:t>
      </w:r>
    </w:p>
    <w:p w14:paraId="40907987" w14:textId="77777777" w:rsidR="000A1CD9" w:rsidRPr="00FD7E86" w:rsidRDefault="000A1CD9" w:rsidP="000A1CD9">
      <w:pPr>
        <w:pStyle w:val="Heading3"/>
      </w:pPr>
      <w:bookmarkStart w:id="340" w:name="_Toc462132220"/>
      <w:bookmarkStart w:id="341" w:name="_Toc462899561"/>
      <w:bookmarkStart w:id="342" w:name="_Toc463529049"/>
      <w:bookmarkStart w:id="343" w:name="_Toc465842867"/>
      <w:bookmarkStart w:id="344" w:name="_Toc433790307"/>
      <w:bookmarkStart w:id="345" w:name="_Toc399331721"/>
      <w:bookmarkStart w:id="346" w:name="_Toc399336902"/>
      <w:bookmarkStart w:id="347" w:name="_Toc402337501"/>
      <w:r>
        <w:t>P</w:t>
      </w:r>
      <w:r w:rsidRPr="00FD7E86">
        <w:t>ublicly accessible wireless internet</w:t>
      </w:r>
      <w:bookmarkEnd w:id="340"/>
      <w:bookmarkEnd w:id="341"/>
      <w:bookmarkEnd w:id="342"/>
      <w:bookmarkEnd w:id="343"/>
      <w:r w:rsidRPr="00FD7E86">
        <w:t xml:space="preserve"> </w:t>
      </w:r>
    </w:p>
    <w:p w14:paraId="01930252" w14:textId="77777777" w:rsidR="000A1CD9" w:rsidRPr="00D24934" w:rsidRDefault="000A1CD9" w:rsidP="000A1CD9">
      <w:r>
        <w:t xml:space="preserve">Other internet access networks, such as </w:t>
      </w:r>
      <w:r w:rsidRPr="00D24934">
        <w:t>Wi-Fi hotspots</w:t>
      </w:r>
      <w:r>
        <w:t>,</w:t>
      </w:r>
      <w:r w:rsidRPr="00D24934">
        <w:t xml:space="preserve"> continued to </w:t>
      </w:r>
      <w:r>
        <w:t>expand in Australia in 2015–</w:t>
      </w:r>
      <w:r w:rsidRPr="00D24934">
        <w:t xml:space="preserve">16. </w:t>
      </w:r>
    </w:p>
    <w:p w14:paraId="7FCCA1D5" w14:textId="77777777" w:rsidR="000A1CD9" w:rsidRPr="00D24934" w:rsidRDefault="000A1CD9" w:rsidP="000A1CD9">
      <w:r w:rsidRPr="00D24934">
        <w:t>In December 2015, Telstra announced it would abolish data caps and time restrictions until September 2016</w:t>
      </w:r>
      <w:r>
        <w:t xml:space="preserve"> </w:t>
      </w:r>
      <w:r w:rsidRPr="00D24934">
        <w:t>on its Telstra Air Network—a system of more than 4,000 Wi-Fi hotspots located at payphone sites, Telstra stores and home-located hotspots that Telstra users can connect to—allowing eligible Telstra mobile or broadband customers to gain free and unlimited access to the network. Previously, connections were restricted to 30</w:t>
      </w:r>
      <w:r>
        <w:t>-</w:t>
      </w:r>
      <w:r w:rsidRPr="00D24934">
        <w:t>minute sessions and the data was counted against the customer’s home data limit</w:t>
      </w:r>
      <w:r>
        <w:t>.</w:t>
      </w:r>
      <w:r>
        <w:rPr>
          <w:rStyle w:val="EndnoteReference"/>
        </w:rPr>
        <w:endnoteReference w:id="79"/>
      </w:r>
      <w:r w:rsidR="000A0F41">
        <w:rPr>
          <w:vertAlign w:val="superscript"/>
        </w:rPr>
        <w:t xml:space="preserve">, </w:t>
      </w:r>
      <w:r>
        <w:rPr>
          <w:rStyle w:val="EndnoteReference"/>
        </w:rPr>
        <w:endnoteReference w:id="80"/>
      </w:r>
    </w:p>
    <w:p w14:paraId="6869625C" w14:textId="77777777" w:rsidR="000A1CD9" w:rsidRPr="00D24934" w:rsidRDefault="000A1CD9" w:rsidP="000A1CD9">
      <w:r w:rsidRPr="00D24934">
        <w:t xml:space="preserve">The inaugural </w:t>
      </w:r>
      <w:r w:rsidRPr="00531CD0">
        <w:rPr>
          <w:i/>
        </w:rPr>
        <w:t>World Wi-Fi Day</w:t>
      </w:r>
      <w:r>
        <w:t xml:space="preserve"> was celebrated </w:t>
      </w:r>
      <w:r w:rsidRPr="00D24934">
        <w:t>on 20 June 2016. As the Australian partner of the organisation behind the initiative, The Wireless Broadband Alliance, Telstra offered all Australian consumers free Wi-Fi at more than 400,000 of its hotspots around Australia from 17 June to 20 June 2016</w:t>
      </w:r>
      <w:r>
        <w:t>.</w:t>
      </w:r>
      <w:r>
        <w:rPr>
          <w:rStyle w:val="EndnoteReference"/>
        </w:rPr>
        <w:endnoteReference w:id="81"/>
      </w:r>
      <w:r w:rsidRPr="00D24934">
        <w:t xml:space="preserve"> Consumers did not have to be Telstra customers to use the service. </w:t>
      </w:r>
    </w:p>
    <w:p w14:paraId="2DEF6413" w14:textId="77777777" w:rsidR="000A1CD9" w:rsidRDefault="000A1CD9" w:rsidP="000A1CD9">
      <w:r w:rsidRPr="00D24934">
        <w:t>Wi-Fi services continued to be deployed in shopping centres and public areas around the</w:t>
      </w:r>
      <w:r>
        <w:t xml:space="preserve"> country in the reporting period</w:t>
      </w:r>
      <w:r w:rsidRPr="00D24934">
        <w:t>. In March 2016, Optus launched Wi-Fi services in Mirvac shopping centres in Sydney and Brisbane</w:t>
      </w:r>
      <w:r>
        <w:rPr>
          <w:rStyle w:val="EndnoteReference"/>
        </w:rPr>
        <w:endnoteReference w:id="82"/>
      </w:r>
      <w:r>
        <w:t xml:space="preserve">, while </w:t>
      </w:r>
      <w:r w:rsidRPr="00D24934">
        <w:t>Telstra</w:t>
      </w:r>
      <w:r>
        <w:t>’s</w:t>
      </w:r>
      <w:r w:rsidRPr="00D24934">
        <w:t xml:space="preserve"> free Wi-Fi network was expanded in Brisbane</w:t>
      </w:r>
      <w:r>
        <w:t>’s</w:t>
      </w:r>
      <w:r w:rsidRPr="00D24934">
        <w:t xml:space="preserve"> CBD and surrounding suburbs in June 2016</w:t>
      </w:r>
      <w:r>
        <w:t>.</w:t>
      </w:r>
      <w:r>
        <w:rPr>
          <w:rStyle w:val="EndnoteReference"/>
        </w:rPr>
        <w:endnoteReference w:id="83"/>
      </w:r>
      <w:r w:rsidRPr="00D24934">
        <w:t xml:space="preserve"> </w:t>
      </w:r>
    </w:p>
    <w:p w14:paraId="53DF0205" w14:textId="77777777" w:rsidR="000A1CD9" w:rsidRDefault="000A1CD9" w:rsidP="000A1CD9">
      <w:r w:rsidRPr="00D24934">
        <w:t>Qantas announced plans to trial in-flight Wi-Fi across its domestic fleet of A330 and B373 aircraft in late 2016 ahead of the provision of free in-flight Wi-Fi on all domestic flights in early 2017</w:t>
      </w:r>
      <w:r>
        <w:t>.</w:t>
      </w:r>
      <w:r>
        <w:rPr>
          <w:rStyle w:val="EndnoteReference"/>
        </w:rPr>
        <w:endnoteReference w:id="84"/>
      </w:r>
      <w:r w:rsidRPr="00D24934">
        <w:t xml:space="preserve"> Virgin announced it would also offer in-flight Wi-Fi for domestic Australian flights in late 2017, although the cost to consumers was not specified</w:t>
      </w:r>
      <w:r>
        <w:t>.</w:t>
      </w:r>
      <w:r>
        <w:rPr>
          <w:rStyle w:val="EndnoteReference"/>
        </w:rPr>
        <w:endnoteReference w:id="85"/>
      </w:r>
      <w:r w:rsidRPr="00D24934">
        <w:t xml:space="preserve"> Wi-Fi connectivity continued to be offered on Sydney harbour ferries</w:t>
      </w:r>
      <w:r>
        <w:t>.</w:t>
      </w:r>
      <w:r>
        <w:rPr>
          <w:rStyle w:val="EndnoteReference"/>
        </w:rPr>
        <w:endnoteReference w:id="86"/>
      </w:r>
      <w:r w:rsidRPr="00D24934">
        <w:t xml:space="preserve"> </w:t>
      </w:r>
    </w:p>
    <w:p w14:paraId="2D5D60D8" w14:textId="77777777" w:rsidR="000A1CD9" w:rsidRPr="000F29EA" w:rsidRDefault="000A1CD9" w:rsidP="000A1CD9">
      <w:pPr>
        <w:pStyle w:val="Heading3"/>
      </w:pPr>
      <w:bookmarkStart w:id="348" w:name="_Toc462132221"/>
      <w:bookmarkStart w:id="349" w:name="_Toc462899562"/>
      <w:bookmarkStart w:id="350" w:name="_Toc463529050"/>
      <w:bookmarkStart w:id="351" w:name="_Toc465842868"/>
      <w:r w:rsidRPr="000F29EA">
        <w:t>Software</w:t>
      </w:r>
      <w:r>
        <w:t>-defined n</w:t>
      </w:r>
      <w:r w:rsidRPr="000F29EA">
        <w:t>etworking (SDN) and the cloud</w:t>
      </w:r>
      <w:bookmarkEnd w:id="344"/>
      <w:bookmarkEnd w:id="348"/>
      <w:bookmarkEnd w:id="349"/>
      <w:bookmarkEnd w:id="350"/>
      <w:bookmarkEnd w:id="351"/>
    </w:p>
    <w:p w14:paraId="72590EF0" w14:textId="77777777" w:rsidR="000A1CD9" w:rsidRDefault="000A1CD9" w:rsidP="000A1CD9">
      <w:r>
        <w:t xml:space="preserve">In addition to fixed and mobile networks, software-defined networks are an increasing part of the communications market. </w:t>
      </w:r>
    </w:p>
    <w:p w14:paraId="5D9F1089" w14:textId="77777777" w:rsidR="000A1CD9" w:rsidRDefault="000A1CD9" w:rsidP="000A1CD9">
      <w:r>
        <w:t>SDN and cloud providers include IT companies, start-up vendors, open-source technologies and telecommunications equipment vendors, such as Ericsson, Microsoft and Amazon.</w:t>
      </w:r>
      <w:r>
        <w:rPr>
          <w:rStyle w:val="EndnoteReference"/>
        </w:rPr>
        <w:endnoteReference w:id="87"/>
      </w:r>
      <w:r>
        <w:t xml:space="preserve"> During 2015–16, Telstra and Optus launched SDN solutions, including cloud-based services. </w:t>
      </w:r>
    </w:p>
    <w:p w14:paraId="3A4A41A5" w14:textId="77777777" w:rsidR="000A1CD9" w:rsidRDefault="000A1CD9" w:rsidP="000A1CD9">
      <w:r>
        <w:t>Telstra introduced its first SDN products for both Australian and international markets, enabling businesses to rapidly deploy and configure services over Telstra’s network. Telstra also launched Cloud Gateway, which allows customers to connect multiple clouds with ease, including world-leading cloud platforms Amazon Web Services (AWS), Microsoft Azure, Office 365 and VMware’s vCloud Air, as well as IBM SoftLayer.</w:t>
      </w:r>
      <w:r>
        <w:rPr>
          <w:rStyle w:val="EndnoteReference"/>
        </w:rPr>
        <w:endnoteReference w:id="88"/>
      </w:r>
      <w:r>
        <w:t xml:space="preserve"> </w:t>
      </w:r>
    </w:p>
    <w:p w14:paraId="4DC523AB" w14:textId="77777777" w:rsidR="000A1CD9" w:rsidRPr="002B3D83" w:rsidRDefault="000A1CD9" w:rsidP="000A1CD9">
      <w:r>
        <w:t xml:space="preserve">During the reporting period, </w:t>
      </w:r>
      <w:r w:rsidRPr="002B3D83">
        <w:t>Tel</w:t>
      </w:r>
      <w:r>
        <w:t>stra’s revenue from cloud services increased by 35 per cent to reach $386 million at June 2016, in the aftermath of its acquisition of cloud specialist company Kloud.</w:t>
      </w:r>
      <w:r>
        <w:rPr>
          <w:rStyle w:val="EndnoteReference"/>
        </w:rPr>
        <w:endnoteReference w:id="89"/>
      </w:r>
      <w:r>
        <w:rPr>
          <w:vertAlign w:val="superscript"/>
        </w:rPr>
        <w:t>,</w:t>
      </w:r>
      <w:r w:rsidR="00CD2DE1">
        <w:rPr>
          <w:vertAlign w:val="superscript"/>
        </w:rPr>
        <w:t xml:space="preserve"> </w:t>
      </w:r>
      <w:r>
        <w:rPr>
          <w:rStyle w:val="EndnoteReference"/>
        </w:rPr>
        <w:endnoteReference w:id="90"/>
      </w:r>
      <w:r>
        <w:t xml:space="preserve"> </w:t>
      </w:r>
    </w:p>
    <w:p w14:paraId="1EF630F6" w14:textId="77777777" w:rsidR="000A1CD9" w:rsidRDefault="000A1CD9" w:rsidP="000A1CD9">
      <w:r w:rsidRPr="003C6ACA">
        <w:t xml:space="preserve">Optus </w:t>
      </w:r>
      <w:r>
        <w:t xml:space="preserve">Wholesale launched a </w:t>
      </w:r>
      <w:r w:rsidRPr="009C1BE9">
        <w:t>white-label cloud</w:t>
      </w:r>
      <w:r>
        <w:t xml:space="preserve"> SDN solution called Cloud-N, offered at Equinix datacentres in Sydney and Melbourne, with plans to expand the services later in 2016.</w:t>
      </w:r>
      <w:r w:rsidR="009F33CB" w:rsidRPr="009C1BE9">
        <w:rPr>
          <w:rStyle w:val="EndnoteReference"/>
        </w:rPr>
        <w:endnoteReference w:id="91"/>
      </w:r>
      <w:r>
        <w:t xml:space="preserve"> The solution gives customers the freedom to design and control highly secure private Optus Cloud-N Services as their own.</w:t>
      </w:r>
      <w:r>
        <w:rPr>
          <w:rStyle w:val="EndnoteReference"/>
        </w:rPr>
        <w:endnoteReference w:id="92"/>
      </w:r>
      <w:r>
        <w:t xml:space="preserve">   </w:t>
      </w:r>
    </w:p>
    <w:p w14:paraId="65C11F09" w14:textId="77777777" w:rsidR="000A1CD9" w:rsidRDefault="000A1CD9" w:rsidP="000A1CD9">
      <w:r>
        <w:t>On 19 August 2016, Vodafone Australia was selected to deliver cloud services to two major government agencies in New Zealand—the Ministry of Business, Innovation and Employment (MBIE) and the Ministry of Justice. The MBIE will adopt connectivity (mobile, PTSN and network) and unified communications, and both the MBIE and Ministry of Justice will adopt Vodafone’s cloud-based contact centre solution.</w:t>
      </w:r>
      <w:r>
        <w:rPr>
          <w:rStyle w:val="EndnoteReference"/>
        </w:rPr>
        <w:endnoteReference w:id="93"/>
      </w:r>
      <w:r>
        <w:t xml:space="preserve"> </w:t>
      </w:r>
    </w:p>
    <w:p w14:paraId="3CD09C06" w14:textId="77777777" w:rsidR="000A1CD9" w:rsidRPr="003C6ACA" w:rsidRDefault="000A1CD9" w:rsidP="000A1CD9">
      <w:r>
        <w:lastRenderedPageBreak/>
        <w:t>Revenues from public cloud services are expected to soar globally to reach more than $195 billion in 2020—more than double the $96.5 billion in revenue forecast for 2016 and representing a compound annual growth rate of 20.4 per cent over 2015–2020.</w:t>
      </w:r>
      <w:r>
        <w:rPr>
          <w:rStyle w:val="EndnoteReference"/>
        </w:rPr>
        <w:endnoteReference w:id="94"/>
      </w:r>
      <w:r>
        <w:t xml:space="preserve"> </w:t>
      </w:r>
      <w:r>
        <w:rPr>
          <w:rFonts w:cs="Arial"/>
        </w:rPr>
        <w:t>One industry analyst forecasts that the total market value for public cloud infrastructure services in Australia will increase from $366 million in 2015 to $775 million in 2019.</w:t>
      </w:r>
      <w:r>
        <w:rPr>
          <w:rStyle w:val="EndnoteReference"/>
          <w:rFonts w:cs="Arial"/>
        </w:rPr>
        <w:endnoteReference w:id="95"/>
      </w:r>
    </w:p>
    <w:p w14:paraId="29FE6068" w14:textId="77777777" w:rsidR="000A1CD9" w:rsidRPr="002B3D83" w:rsidRDefault="000A1CD9" w:rsidP="00CC655E">
      <w:pPr>
        <w:pStyle w:val="Heading2"/>
        <w:numPr>
          <w:ilvl w:val="1"/>
          <w:numId w:val="12"/>
        </w:numPr>
        <w:ind w:hanging="792"/>
      </w:pPr>
      <w:bookmarkStart w:id="352" w:name="_Toc462132222"/>
      <w:bookmarkStart w:id="353" w:name="_Toc462899563"/>
      <w:bookmarkStart w:id="354" w:name="_Toc433790308"/>
      <w:bookmarkStart w:id="355" w:name="_Toc463529051"/>
      <w:bookmarkStart w:id="356" w:name="_Toc465842869"/>
      <w:r w:rsidRPr="002B3D83">
        <w:t>Communications mergers and acquisitions</w:t>
      </w:r>
      <w:bookmarkEnd w:id="345"/>
      <w:bookmarkEnd w:id="346"/>
      <w:bookmarkEnd w:id="347"/>
      <w:bookmarkEnd w:id="352"/>
      <w:bookmarkEnd w:id="353"/>
      <w:bookmarkEnd w:id="354"/>
      <w:bookmarkEnd w:id="355"/>
      <w:bookmarkEnd w:id="356"/>
      <w:r w:rsidRPr="002B3D83">
        <w:t xml:space="preserve"> </w:t>
      </w:r>
    </w:p>
    <w:p w14:paraId="1EC54189" w14:textId="77777777" w:rsidR="000A1CD9" w:rsidRDefault="000A1CD9" w:rsidP="00BD09FE">
      <w:pPr>
        <w:keepNext/>
        <w:rPr>
          <w:bCs/>
        </w:rPr>
      </w:pPr>
      <w:r>
        <w:rPr>
          <w:bCs/>
        </w:rPr>
        <w:t>The 2015–</w:t>
      </w:r>
      <w:r w:rsidRPr="001941E8">
        <w:rPr>
          <w:bCs/>
        </w:rPr>
        <w:t xml:space="preserve">16 financial year saw the continued consolidation of the Australian telecommunications market and an expansion of Australian communications providers </w:t>
      </w:r>
      <w:r>
        <w:rPr>
          <w:bCs/>
        </w:rPr>
        <w:t xml:space="preserve">operating in </w:t>
      </w:r>
      <w:r w:rsidRPr="001941E8">
        <w:rPr>
          <w:bCs/>
        </w:rPr>
        <w:t>international market</w:t>
      </w:r>
      <w:r>
        <w:rPr>
          <w:bCs/>
        </w:rPr>
        <w:t>s</w:t>
      </w:r>
      <w:r w:rsidRPr="001941E8">
        <w:rPr>
          <w:bCs/>
        </w:rPr>
        <w:t>.</w:t>
      </w:r>
      <w:r>
        <w:rPr>
          <w:bCs/>
        </w:rPr>
        <w:t xml:space="preserve"> The combined value of the domestic mergers and acquisitions was over $7.5 billion (Table 1.6). </w:t>
      </w:r>
    </w:p>
    <w:p w14:paraId="106FF0C0" w14:textId="77777777" w:rsidR="000A1CD9" w:rsidRPr="001941E8" w:rsidRDefault="000A1CD9" w:rsidP="00BD09FE">
      <w:pPr>
        <w:keepNext/>
        <w:rPr>
          <w:bCs/>
        </w:rPr>
      </w:pPr>
      <w:r w:rsidRPr="001941E8">
        <w:rPr>
          <w:bCs/>
        </w:rPr>
        <w:t xml:space="preserve">In August 2015, the </w:t>
      </w:r>
      <w:r>
        <w:rPr>
          <w:bCs/>
        </w:rPr>
        <w:t>Australian Competition and Consumer Commission (</w:t>
      </w:r>
      <w:r w:rsidRPr="001941E8">
        <w:rPr>
          <w:bCs/>
        </w:rPr>
        <w:t>ACCC</w:t>
      </w:r>
      <w:r>
        <w:rPr>
          <w:bCs/>
        </w:rPr>
        <w:t>)</w:t>
      </w:r>
      <w:r w:rsidRPr="001941E8">
        <w:rPr>
          <w:bCs/>
        </w:rPr>
        <w:t xml:space="preserve"> approved the merger between TPG and iiNet, creating Australia’s second</w:t>
      </w:r>
      <w:r>
        <w:rPr>
          <w:bCs/>
        </w:rPr>
        <w:t>-</w:t>
      </w:r>
      <w:r w:rsidRPr="001941E8">
        <w:rPr>
          <w:bCs/>
        </w:rPr>
        <w:t>large</w:t>
      </w:r>
      <w:r>
        <w:rPr>
          <w:bCs/>
        </w:rPr>
        <w:t xml:space="preserve">st retail broadband provider. </w:t>
      </w:r>
      <w:r w:rsidRPr="001941E8">
        <w:rPr>
          <w:bCs/>
        </w:rPr>
        <w:t>Several weeks earlier, Vocus and Amcom’s shareholders voted to merge into a $1.3 billion company specialising in business communic</w:t>
      </w:r>
      <w:r>
        <w:rPr>
          <w:bCs/>
        </w:rPr>
        <w:t xml:space="preserve">ations. </w:t>
      </w:r>
      <w:r w:rsidRPr="001941E8">
        <w:rPr>
          <w:bCs/>
        </w:rPr>
        <w:t xml:space="preserve">Vocus continued its expansion in February 2016 with its takeover of M2, including the Dodo and Primus Communications brands. </w:t>
      </w:r>
      <w:r>
        <w:rPr>
          <w:bCs/>
        </w:rPr>
        <w:t xml:space="preserve">In June 2016, Vocus announced it planned to acquire the fibre network specialist Nextgen </w:t>
      </w:r>
      <w:r w:rsidR="001F6210">
        <w:rPr>
          <w:bCs/>
        </w:rPr>
        <w:t>and on 22 September 2016 the</w:t>
      </w:r>
      <w:r>
        <w:rPr>
          <w:bCs/>
        </w:rPr>
        <w:t xml:space="preserve"> </w:t>
      </w:r>
      <w:r w:rsidR="001F6210">
        <w:rPr>
          <w:bCs/>
        </w:rPr>
        <w:t>ACCC announced it would not oppose the pro</w:t>
      </w:r>
      <w:r w:rsidR="003B6D18">
        <w:rPr>
          <w:bCs/>
        </w:rPr>
        <w:t>posed acquisition</w:t>
      </w:r>
      <w:r w:rsidR="000A0F41">
        <w:rPr>
          <w:bCs/>
        </w:rPr>
        <w:t>.</w:t>
      </w:r>
      <w:r w:rsidR="001F6210">
        <w:rPr>
          <w:rStyle w:val="EndnoteReference"/>
          <w:bCs/>
        </w:rPr>
        <w:endnoteReference w:id="96"/>
      </w:r>
      <w:r w:rsidR="003B6D18" w:rsidRPr="003B6D18">
        <w:rPr>
          <w:bCs/>
          <w:vertAlign w:val="superscript"/>
        </w:rPr>
        <w:t>,</w:t>
      </w:r>
      <w:r w:rsidR="000A0F41">
        <w:rPr>
          <w:bCs/>
          <w:vertAlign w:val="superscript"/>
        </w:rPr>
        <w:t xml:space="preserve"> </w:t>
      </w:r>
      <w:r w:rsidR="001F6210">
        <w:rPr>
          <w:rStyle w:val="EndnoteReference"/>
          <w:bCs/>
        </w:rPr>
        <w:endnoteReference w:id="97"/>
      </w:r>
      <w:r w:rsidR="00F752AE">
        <w:rPr>
          <w:bCs/>
        </w:rPr>
        <w:t xml:space="preserve"> T</w:t>
      </w:r>
      <w:r>
        <w:rPr>
          <w:bCs/>
        </w:rPr>
        <w:t>his will provide Vocus with 17,000 km of backhaul fibre between capital cities and regional areas.</w:t>
      </w:r>
      <w:r>
        <w:rPr>
          <w:rStyle w:val="EndnoteReference"/>
          <w:bCs/>
        </w:rPr>
        <w:endnoteReference w:id="98"/>
      </w:r>
      <w:r w:rsidRPr="001941E8">
        <w:rPr>
          <w:bCs/>
        </w:rPr>
        <w:t xml:space="preserve"> </w:t>
      </w:r>
    </w:p>
    <w:p w14:paraId="3173B045" w14:textId="77777777" w:rsidR="000A1CD9" w:rsidRPr="001941E8" w:rsidRDefault="000A1CD9" w:rsidP="000A1CD9">
      <w:pPr>
        <w:rPr>
          <w:bCs/>
        </w:rPr>
      </w:pPr>
      <w:r w:rsidRPr="001941E8">
        <w:rPr>
          <w:bCs/>
        </w:rPr>
        <w:t>The financial year also saw the rapid expansion of Speedcast International Limited,</w:t>
      </w:r>
      <w:r>
        <w:rPr>
          <w:bCs/>
        </w:rPr>
        <w:t xml:space="preserve"> </w:t>
      </w:r>
      <w:r w:rsidRPr="001941E8">
        <w:rPr>
          <w:bCs/>
        </w:rPr>
        <w:t>a Hong Kong-based Australian-listed provider of sat</w:t>
      </w:r>
      <w:r>
        <w:rPr>
          <w:bCs/>
        </w:rPr>
        <w:t xml:space="preserve">ellite communication services. </w:t>
      </w:r>
      <w:r w:rsidRPr="001941E8">
        <w:rPr>
          <w:bCs/>
        </w:rPr>
        <w:t xml:space="preserve">Its largest acquisition </w:t>
      </w:r>
      <w:r>
        <w:rPr>
          <w:bCs/>
        </w:rPr>
        <w:t xml:space="preserve">was announced in </w:t>
      </w:r>
      <w:r w:rsidRPr="001941E8">
        <w:rPr>
          <w:bCs/>
        </w:rPr>
        <w:t>December 2015 with the $45 million takeover of NewCom International</w:t>
      </w:r>
      <w:r>
        <w:rPr>
          <w:rStyle w:val="EndnoteReference"/>
          <w:bCs/>
        </w:rPr>
        <w:endnoteReference w:id="99"/>
      </w:r>
      <w:r w:rsidRPr="001941E8">
        <w:rPr>
          <w:bCs/>
        </w:rPr>
        <w:t xml:space="preserve">, a move that will allow Speedcast entry into the Central and South American market. </w:t>
      </w:r>
    </w:p>
    <w:p w14:paraId="3E3E1B96" w14:textId="77777777" w:rsidR="000A1CD9" w:rsidRDefault="000A1CD9" w:rsidP="000A1CD9">
      <w:pPr>
        <w:rPr>
          <w:bCs/>
        </w:rPr>
      </w:pPr>
      <w:r>
        <w:rPr>
          <w:bCs/>
        </w:rPr>
        <w:t>In 2015–16</w:t>
      </w:r>
      <w:r w:rsidR="0020356B">
        <w:rPr>
          <w:bCs/>
        </w:rPr>
        <w:t>,</w:t>
      </w:r>
      <w:r>
        <w:rPr>
          <w:bCs/>
        </w:rPr>
        <w:t xml:space="preserve"> </w:t>
      </w:r>
      <w:r w:rsidRPr="001941E8">
        <w:rPr>
          <w:bCs/>
        </w:rPr>
        <w:t>Telstra expand</w:t>
      </w:r>
      <w:r>
        <w:rPr>
          <w:bCs/>
        </w:rPr>
        <w:t>ed</w:t>
      </w:r>
      <w:r w:rsidRPr="001941E8">
        <w:rPr>
          <w:bCs/>
        </w:rPr>
        <w:t xml:space="preserve"> its presence in the mining communications technology sector with the creation of Telstra Mining Services and the purchase of CBO Telecommunications in June 2016.</w:t>
      </w:r>
      <w:r>
        <w:rPr>
          <w:rStyle w:val="EndnoteReference"/>
          <w:bCs/>
        </w:rPr>
        <w:endnoteReference w:id="100"/>
      </w:r>
      <w:r>
        <w:rPr>
          <w:bCs/>
        </w:rPr>
        <w:t xml:space="preserve"> </w:t>
      </w:r>
      <w:r w:rsidR="00BD2AE8" w:rsidRPr="001941E8">
        <w:rPr>
          <w:bCs/>
        </w:rPr>
        <w:t>While the specific value of this acquisition remains undisclosed, the purchase indicates a shift beyond traditional residential communications services.</w:t>
      </w:r>
    </w:p>
    <w:p w14:paraId="6FB51F22" w14:textId="77777777" w:rsidR="000A1CD9" w:rsidRDefault="000A1CD9" w:rsidP="000A1CD9">
      <w:r>
        <w:rPr>
          <w:bCs/>
        </w:rPr>
        <w:t xml:space="preserve">Telstra also expanded its presence in the cloud services environment. </w:t>
      </w:r>
      <w:r>
        <w:t xml:space="preserve">On 29 February 2016, Telstra acquired Kloud—a leading </w:t>
      </w:r>
      <w:r w:rsidRPr="00202E07">
        <w:t>specialist in cloud and collaboration solutions enabling professional and managed service delivery to enterprises across Australia and the Asia–Pacific region</w:t>
      </w:r>
      <w:r>
        <w:t xml:space="preserve">.  </w:t>
      </w:r>
    </w:p>
    <w:p w14:paraId="12784CCC" w14:textId="77777777" w:rsidR="000A1CD9" w:rsidRPr="00FD7E86" w:rsidRDefault="000A1CD9" w:rsidP="00F13B5A">
      <w:pPr>
        <w:pStyle w:val="ACMATableHeader"/>
        <w:keepNext/>
        <w:keepLines/>
        <w:numPr>
          <w:ilvl w:val="0"/>
          <w:numId w:val="0"/>
        </w:numPr>
      </w:pPr>
      <w:bookmarkStart w:id="357" w:name="_Ref398133030"/>
      <w:bookmarkStart w:id="358" w:name="_Ref398133022"/>
      <w:r w:rsidRPr="00D1077D">
        <w:lastRenderedPageBreak/>
        <w:t>Table 1.</w:t>
      </w:r>
      <w:bookmarkEnd w:id="357"/>
      <w:r>
        <w:t>6</w:t>
      </w:r>
      <w:r>
        <w:tab/>
      </w:r>
      <w:r w:rsidRPr="00D1077D">
        <w:t>Key communications mergers and acquisitions</w:t>
      </w:r>
      <w:bookmarkEnd w:id="358"/>
    </w:p>
    <w:tbl>
      <w:tblPr>
        <w:tblW w:w="9386" w:type="dxa"/>
        <w:tblBorders>
          <w:top w:val="single" w:sz="24" w:space="0" w:color="FFFFFF"/>
          <w:left w:val="single" w:sz="24" w:space="0" w:color="FFFFFF"/>
          <w:right w:val="single" w:sz="24" w:space="0" w:color="FFFFFF"/>
          <w:insideH w:val="single" w:sz="24" w:space="0" w:color="FFFFFF"/>
          <w:insideV w:val="single" w:sz="24" w:space="0" w:color="FFFFFF"/>
        </w:tblBorders>
        <w:tblLayout w:type="fixed"/>
        <w:tblCellMar>
          <w:top w:w="57" w:type="dxa"/>
          <w:left w:w="57" w:type="dxa"/>
          <w:bottom w:w="57" w:type="dxa"/>
          <w:right w:w="57" w:type="dxa"/>
        </w:tblCellMar>
        <w:tblLook w:val="04A0" w:firstRow="1" w:lastRow="0" w:firstColumn="1" w:lastColumn="0" w:noHBand="0" w:noVBand="1"/>
        <w:tblCaption w:val="Table 1.6 Key communications mergers and acquisitions"/>
      </w:tblPr>
      <w:tblGrid>
        <w:gridCol w:w="1388"/>
        <w:gridCol w:w="1843"/>
        <w:gridCol w:w="992"/>
        <w:gridCol w:w="1276"/>
        <w:gridCol w:w="3887"/>
      </w:tblGrid>
      <w:tr w:rsidR="000A1CD9" w:rsidRPr="009E6D3B" w14:paraId="5692007F" w14:textId="77777777" w:rsidTr="008E5367">
        <w:trPr>
          <w:trHeight w:val="177"/>
          <w:tblHeader/>
        </w:trPr>
        <w:tc>
          <w:tcPr>
            <w:tcW w:w="1388" w:type="dxa"/>
            <w:shd w:val="clear" w:color="auto" w:fill="007298"/>
            <w:vAlign w:val="center"/>
          </w:tcPr>
          <w:p w14:paraId="2C26E1E3" w14:textId="77777777" w:rsidR="000A1CD9" w:rsidRPr="00A51D82" w:rsidRDefault="000A1CD9" w:rsidP="00F13B5A">
            <w:pPr>
              <w:pStyle w:val="TableHeading"/>
              <w:keepNext/>
              <w:keepLines/>
              <w:spacing w:before="0" w:line="240" w:lineRule="auto"/>
            </w:pPr>
            <w:r w:rsidRPr="00A51D82">
              <w:t>Purchaser</w:t>
            </w:r>
          </w:p>
        </w:tc>
        <w:tc>
          <w:tcPr>
            <w:tcW w:w="1843" w:type="dxa"/>
            <w:shd w:val="clear" w:color="auto" w:fill="007298"/>
            <w:vAlign w:val="center"/>
          </w:tcPr>
          <w:p w14:paraId="6AB488A5" w14:textId="77777777" w:rsidR="000A1CD9" w:rsidRPr="00A51D82" w:rsidRDefault="000A1CD9" w:rsidP="00F13B5A">
            <w:pPr>
              <w:pStyle w:val="TableHeading"/>
              <w:keepNext/>
              <w:keepLines/>
              <w:spacing w:before="0" w:line="240" w:lineRule="auto"/>
            </w:pPr>
            <w:r w:rsidRPr="00A51D82">
              <w:t>Target</w:t>
            </w:r>
          </w:p>
        </w:tc>
        <w:tc>
          <w:tcPr>
            <w:tcW w:w="992" w:type="dxa"/>
            <w:shd w:val="clear" w:color="auto" w:fill="007298"/>
            <w:vAlign w:val="center"/>
          </w:tcPr>
          <w:p w14:paraId="2AEB1136" w14:textId="77777777" w:rsidR="000A1CD9" w:rsidRPr="00A51D82" w:rsidRDefault="000A1CD9" w:rsidP="00F13B5A">
            <w:pPr>
              <w:pStyle w:val="TableHeading"/>
              <w:keepNext/>
              <w:keepLines/>
              <w:spacing w:before="0" w:line="240" w:lineRule="auto"/>
            </w:pPr>
            <w:r w:rsidRPr="00A51D82">
              <w:t>Date</w:t>
            </w:r>
          </w:p>
        </w:tc>
        <w:tc>
          <w:tcPr>
            <w:tcW w:w="1276" w:type="dxa"/>
            <w:shd w:val="clear" w:color="auto" w:fill="007298"/>
            <w:vAlign w:val="center"/>
          </w:tcPr>
          <w:p w14:paraId="17001458" w14:textId="77777777" w:rsidR="000A1CD9" w:rsidRPr="00A51D82" w:rsidRDefault="000A1CD9" w:rsidP="009B54F3">
            <w:pPr>
              <w:pStyle w:val="TableHeading"/>
              <w:keepNext/>
              <w:keepLines/>
              <w:spacing w:before="0" w:line="240" w:lineRule="auto"/>
            </w:pPr>
            <w:r w:rsidRPr="00A51D82">
              <w:t>Value</w:t>
            </w:r>
          </w:p>
        </w:tc>
        <w:tc>
          <w:tcPr>
            <w:tcW w:w="3887" w:type="dxa"/>
            <w:shd w:val="clear" w:color="auto" w:fill="007298"/>
            <w:vAlign w:val="center"/>
          </w:tcPr>
          <w:p w14:paraId="791931A2" w14:textId="77777777" w:rsidR="000A1CD9" w:rsidRPr="00A51D82" w:rsidRDefault="000A1CD9" w:rsidP="00F13B5A">
            <w:pPr>
              <w:pStyle w:val="TableHeading"/>
              <w:keepNext/>
              <w:keepLines/>
              <w:spacing w:before="0" w:line="240" w:lineRule="auto"/>
            </w:pPr>
            <w:r w:rsidRPr="00A51D82">
              <w:t>Commentary</w:t>
            </w:r>
          </w:p>
        </w:tc>
      </w:tr>
      <w:tr w:rsidR="000A1CD9" w:rsidRPr="009E6D3B" w14:paraId="66936500" w14:textId="77777777" w:rsidTr="008E5367">
        <w:trPr>
          <w:trHeight w:val="398"/>
        </w:trPr>
        <w:tc>
          <w:tcPr>
            <w:tcW w:w="1388" w:type="dxa"/>
            <w:shd w:val="clear" w:color="auto" w:fill="7FB8CB"/>
          </w:tcPr>
          <w:p w14:paraId="3A29F0AA" w14:textId="77777777" w:rsidR="000A1CD9" w:rsidRPr="006E7298" w:rsidRDefault="000A1CD9" w:rsidP="00F13B5A">
            <w:pPr>
              <w:keepNext/>
              <w:keepLines/>
              <w:spacing w:after="0" w:line="240" w:lineRule="auto"/>
              <w:rPr>
                <w:rFonts w:cs="Arial"/>
                <w:color w:val="FFFFFF" w:themeColor="background1"/>
                <w:sz w:val="18"/>
                <w:szCs w:val="18"/>
              </w:rPr>
            </w:pPr>
            <w:r w:rsidRPr="006E7298">
              <w:rPr>
                <w:rFonts w:cs="Arial"/>
                <w:color w:val="FFFFFF" w:themeColor="background1"/>
                <w:sz w:val="18"/>
                <w:szCs w:val="18"/>
              </w:rPr>
              <w:t>Vocus</w:t>
            </w:r>
          </w:p>
        </w:tc>
        <w:tc>
          <w:tcPr>
            <w:tcW w:w="1843" w:type="dxa"/>
            <w:shd w:val="clear" w:color="auto" w:fill="D2E1E9"/>
          </w:tcPr>
          <w:p w14:paraId="76026C24" w14:textId="77777777" w:rsidR="000A1CD9" w:rsidRPr="00F27833" w:rsidRDefault="000A1CD9" w:rsidP="00F13B5A">
            <w:pPr>
              <w:keepNext/>
              <w:keepLines/>
              <w:spacing w:after="0" w:line="240" w:lineRule="auto"/>
              <w:rPr>
                <w:rFonts w:cs="Arial"/>
                <w:sz w:val="18"/>
                <w:szCs w:val="18"/>
              </w:rPr>
            </w:pPr>
            <w:r w:rsidRPr="00F27833">
              <w:rPr>
                <w:rFonts w:cs="Arial"/>
                <w:sz w:val="18"/>
                <w:szCs w:val="18"/>
              </w:rPr>
              <w:t>AmCom</w:t>
            </w:r>
          </w:p>
        </w:tc>
        <w:tc>
          <w:tcPr>
            <w:tcW w:w="992" w:type="dxa"/>
            <w:shd w:val="clear" w:color="auto" w:fill="D2E1E9"/>
          </w:tcPr>
          <w:p w14:paraId="55FB9EBB" w14:textId="77777777" w:rsidR="000A1CD9" w:rsidRPr="00C324E3" w:rsidRDefault="000A1CD9" w:rsidP="00F13B5A">
            <w:pPr>
              <w:keepNext/>
              <w:keepLines/>
              <w:spacing w:after="0" w:line="240" w:lineRule="auto"/>
              <w:rPr>
                <w:rFonts w:cs="Arial"/>
                <w:sz w:val="18"/>
                <w:szCs w:val="18"/>
              </w:rPr>
            </w:pPr>
            <w:r w:rsidRPr="00C324E3">
              <w:rPr>
                <w:rFonts w:cs="Arial"/>
                <w:sz w:val="18"/>
                <w:szCs w:val="18"/>
              </w:rPr>
              <w:t>June 2015</w:t>
            </w:r>
          </w:p>
        </w:tc>
        <w:tc>
          <w:tcPr>
            <w:tcW w:w="1276" w:type="dxa"/>
            <w:shd w:val="clear" w:color="auto" w:fill="D2E1E9"/>
          </w:tcPr>
          <w:p w14:paraId="31055D4D" w14:textId="77777777" w:rsidR="000A1CD9" w:rsidRPr="0085516D" w:rsidRDefault="000A1CD9" w:rsidP="009B54F3">
            <w:pPr>
              <w:keepNext/>
              <w:keepLines/>
              <w:spacing w:after="0" w:line="240" w:lineRule="auto"/>
              <w:rPr>
                <w:rFonts w:cs="Arial"/>
                <w:sz w:val="18"/>
                <w:szCs w:val="18"/>
              </w:rPr>
            </w:pPr>
            <w:r w:rsidRPr="0085516D">
              <w:rPr>
                <w:rFonts w:cs="Arial"/>
                <w:sz w:val="18"/>
                <w:szCs w:val="18"/>
              </w:rPr>
              <w:t>$1.2 billion</w:t>
            </w:r>
          </w:p>
        </w:tc>
        <w:tc>
          <w:tcPr>
            <w:tcW w:w="3887" w:type="dxa"/>
            <w:shd w:val="clear" w:color="auto" w:fill="D2E1E9"/>
          </w:tcPr>
          <w:p w14:paraId="35D925FF" w14:textId="77777777" w:rsidR="000A1CD9" w:rsidRPr="00C30DCC" w:rsidRDefault="000A1CD9" w:rsidP="00F13B5A">
            <w:pPr>
              <w:keepNext/>
              <w:keepLines/>
              <w:spacing w:after="0" w:line="240" w:lineRule="auto"/>
              <w:rPr>
                <w:rFonts w:cs="Arial"/>
                <w:sz w:val="18"/>
                <w:szCs w:val="18"/>
              </w:rPr>
            </w:pPr>
            <w:r w:rsidRPr="00984456">
              <w:rPr>
                <w:rFonts w:cs="Arial"/>
                <w:sz w:val="18"/>
                <w:szCs w:val="18"/>
              </w:rPr>
              <w:t>The merger increases Vocus’s</w:t>
            </w:r>
            <w:r w:rsidRPr="00C30DCC">
              <w:rPr>
                <w:rFonts w:cs="Arial"/>
                <w:sz w:val="18"/>
                <w:szCs w:val="18"/>
              </w:rPr>
              <w:t xml:space="preserve"> on-net building count to more than 2,700 in Australia. </w:t>
            </w:r>
          </w:p>
        </w:tc>
      </w:tr>
      <w:tr w:rsidR="000A1CD9" w:rsidRPr="009E6D3B" w14:paraId="53029277" w14:textId="77777777" w:rsidTr="008E5367">
        <w:trPr>
          <w:trHeight w:val="332"/>
        </w:trPr>
        <w:tc>
          <w:tcPr>
            <w:tcW w:w="1388" w:type="dxa"/>
            <w:shd w:val="clear" w:color="auto" w:fill="7FB8CB"/>
          </w:tcPr>
          <w:p w14:paraId="3F96A823" w14:textId="77777777" w:rsidR="000A1CD9" w:rsidRPr="006E7298" w:rsidRDefault="000A1CD9" w:rsidP="00F13B5A">
            <w:pPr>
              <w:keepNext/>
              <w:keepLines/>
              <w:spacing w:after="0" w:line="240" w:lineRule="auto"/>
              <w:rPr>
                <w:rFonts w:cs="Arial"/>
                <w:color w:val="FFFFFF" w:themeColor="background1"/>
                <w:sz w:val="18"/>
                <w:szCs w:val="18"/>
              </w:rPr>
            </w:pPr>
            <w:r w:rsidRPr="006E7298">
              <w:rPr>
                <w:rFonts w:cs="Arial"/>
                <w:color w:val="FFFFFF" w:themeColor="background1"/>
                <w:sz w:val="18"/>
                <w:szCs w:val="18"/>
              </w:rPr>
              <w:t>TPG Telecom</w:t>
            </w:r>
          </w:p>
        </w:tc>
        <w:tc>
          <w:tcPr>
            <w:tcW w:w="1843" w:type="dxa"/>
            <w:shd w:val="clear" w:color="auto" w:fill="D2E1E9"/>
          </w:tcPr>
          <w:p w14:paraId="11BD1937" w14:textId="77777777" w:rsidR="000A1CD9" w:rsidRPr="00C324E3" w:rsidRDefault="000A1CD9" w:rsidP="00F13B5A">
            <w:pPr>
              <w:keepNext/>
              <w:keepLines/>
              <w:spacing w:after="0" w:line="240" w:lineRule="auto"/>
              <w:rPr>
                <w:rFonts w:cs="Arial"/>
                <w:sz w:val="18"/>
                <w:szCs w:val="18"/>
              </w:rPr>
            </w:pPr>
            <w:r w:rsidRPr="00C324E3">
              <w:rPr>
                <w:rFonts w:cs="Arial"/>
                <w:sz w:val="18"/>
                <w:szCs w:val="18"/>
              </w:rPr>
              <w:t>iiNet</w:t>
            </w:r>
          </w:p>
        </w:tc>
        <w:tc>
          <w:tcPr>
            <w:tcW w:w="992" w:type="dxa"/>
            <w:shd w:val="clear" w:color="auto" w:fill="D2E1E9"/>
          </w:tcPr>
          <w:p w14:paraId="1E7D05EF" w14:textId="77777777" w:rsidR="000A1CD9" w:rsidRPr="0085516D" w:rsidRDefault="000A1CD9" w:rsidP="00F13B5A">
            <w:pPr>
              <w:keepNext/>
              <w:keepLines/>
              <w:spacing w:after="0" w:line="240" w:lineRule="auto"/>
              <w:rPr>
                <w:rFonts w:cs="Arial"/>
                <w:sz w:val="18"/>
                <w:szCs w:val="18"/>
              </w:rPr>
            </w:pPr>
            <w:r w:rsidRPr="0085516D">
              <w:rPr>
                <w:rFonts w:cs="Arial"/>
                <w:sz w:val="18"/>
                <w:szCs w:val="18"/>
              </w:rPr>
              <w:t>August 2015</w:t>
            </w:r>
          </w:p>
        </w:tc>
        <w:tc>
          <w:tcPr>
            <w:tcW w:w="1276" w:type="dxa"/>
            <w:shd w:val="clear" w:color="auto" w:fill="D2E1E9"/>
          </w:tcPr>
          <w:p w14:paraId="3D596915" w14:textId="77777777" w:rsidR="000A1CD9" w:rsidRPr="00984456" w:rsidRDefault="000A1CD9" w:rsidP="009B54F3">
            <w:pPr>
              <w:keepNext/>
              <w:keepLines/>
              <w:spacing w:after="0" w:line="240" w:lineRule="auto"/>
              <w:rPr>
                <w:rFonts w:cs="Arial"/>
                <w:sz w:val="18"/>
                <w:szCs w:val="18"/>
              </w:rPr>
            </w:pPr>
            <w:r w:rsidRPr="00984456">
              <w:rPr>
                <w:rFonts w:cs="Arial"/>
                <w:sz w:val="18"/>
                <w:szCs w:val="18"/>
              </w:rPr>
              <w:t>$1.6 billion</w:t>
            </w:r>
          </w:p>
        </w:tc>
        <w:tc>
          <w:tcPr>
            <w:tcW w:w="3887" w:type="dxa"/>
            <w:shd w:val="clear" w:color="auto" w:fill="D2E1E9"/>
          </w:tcPr>
          <w:p w14:paraId="2A211A81" w14:textId="77777777" w:rsidR="000A1CD9" w:rsidRPr="00B12CE6" w:rsidRDefault="000A1CD9" w:rsidP="00F13B5A">
            <w:pPr>
              <w:keepNext/>
              <w:keepLines/>
              <w:spacing w:after="0" w:line="240" w:lineRule="auto"/>
              <w:rPr>
                <w:rFonts w:cs="Arial"/>
                <w:sz w:val="18"/>
                <w:szCs w:val="18"/>
              </w:rPr>
            </w:pPr>
            <w:r w:rsidRPr="00984456">
              <w:rPr>
                <w:rFonts w:cs="Arial"/>
                <w:sz w:val="18"/>
                <w:szCs w:val="18"/>
              </w:rPr>
              <w:t>This deal made TPG the second</w:t>
            </w:r>
            <w:r w:rsidRPr="00C30DCC">
              <w:rPr>
                <w:rFonts w:cs="Arial"/>
                <w:sz w:val="18"/>
                <w:szCs w:val="18"/>
              </w:rPr>
              <w:t>-</w:t>
            </w:r>
            <w:r w:rsidRPr="00B12CE6">
              <w:rPr>
                <w:rFonts w:cs="Arial"/>
                <w:sz w:val="18"/>
                <w:szCs w:val="18"/>
              </w:rPr>
              <w:t xml:space="preserve">largest retail broadband provider in Australia. </w:t>
            </w:r>
          </w:p>
        </w:tc>
      </w:tr>
      <w:tr w:rsidR="000A1CD9" w:rsidRPr="009E6D3B" w14:paraId="7DC73C58" w14:textId="77777777" w:rsidTr="008E5367">
        <w:trPr>
          <w:trHeight w:val="737"/>
        </w:trPr>
        <w:tc>
          <w:tcPr>
            <w:tcW w:w="1388" w:type="dxa"/>
            <w:tcBorders>
              <w:top w:val="single" w:sz="24" w:space="0" w:color="FFFFFF"/>
              <w:bottom w:val="single" w:sz="24" w:space="0" w:color="FFFFFF"/>
            </w:tcBorders>
            <w:shd w:val="clear" w:color="auto" w:fill="7FB8CB"/>
          </w:tcPr>
          <w:p w14:paraId="24B9C3A3" w14:textId="77777777" w:rsidR="000A1CD9" w:rsidRPr="006E7298" w:rsidRDefault="000A1CD9" w:rsidP="00F13B5A">
            <w:pPr>
              <w:keepNext/>
              <w:keepLines/>
              <w:spacing w:after="0" w:line="240" w:lineRule="auto"/>
              <w:rPr>
                <w:rFonts w:cs="Arial"/>
                <w:color w:val="FFFFFF" w:themeColor="background1"/>
                <w:sz w:val="18"/>
                <w:szCs w:val="18"/>
              </w:rPr>
            </w:pPr>
            <w:r w:rsidRPr="006E7298">
              <w:rPr>
                <w:rFonts w:cs="Arial"/>
                <w:color w:val="FFFFFF" w:themeColor="background1"/>
                <w:sz w:val="18"/>
                <w:szCs w:val="18"/>
              </w:rPr>
              <w:t>Speedcast International</w:t>
            </w:r>
          </w:p>
        </w:tc>
        <w:tc>
          <w:tcPr>
            <w:tcW w:w="1843" w:type="dxa"/>
            <w:shd w:val="clear" w:color="auto" w:fill="D2E1E9"/>
          </w:tcPr>
          <w:p w14:paraId="059306FB" w14:textId="77777777" w:rsidR="000A1CD9" w:rsidRPr="00C324E3" w:rsidRDefault="000A1CD9" w:rsidP="00F13B5A">
            <w:pPr>
              <w:keepNext/>
              <w:keepLines/>
              <w:spacing w:after="0" w:line="240" w:lineRule="auto"/>
              <w:rPr>
                <w:rFonts w:cs="Arial"/>
                <w:sz w:val="18"/>
                <w:szCs w:val="18"/>
              </w:rPr>
            </w:pPr>
            <w:r w:rsidRPr="00C324E3">
              <w:rPr>
                <w:rFonts w:cs="Arial"/>
                <w:sz w:val="18"/>
                <w:szCs w:val="18"/>
              </w:rPr>
              <w:t>NewCom International</w:t>
            </w:r>
          </w:p>
        </w:tc>
        <w:tc>
          <w:tcPr>
            <w:tcW w:w="992" w:type="dxa"/>
            <w:shd w:val="clear" w:color="auto" w:fill="D2E1E9"/>
          </w:tcPr>
          <w:p w14:paraId="747F7896" w14:textId="77777777" w:rsidR="000A1CD9" w:rsidRPr="0085516D" w:rsidRDefault="000A1CD9" w:rsidP="00F13B5A">
            <w:pPr>
              <w:keepNext/>
              <w:keepLines/>
              <w:spacing w:after="0" w:line="240" w:lineRule="auto"/>
              <w:rPr>
                <w:rFonts w:cs="Arial"/>
                <w:sz w:val="18"/>
                <w:szCs w:val="18"/>
              </w:rPr>
            </w:pPr>
            <w:r w:rsidRPr="0085516D">
              <w:rPr>
                <w:rFonts w:cs="Arial"/>
                <w:sz w:val="18"/>
                <w:szCs w:val="18"/>
              </w:rPr>
              <w:t>December 2015</w:t>
            </w:r>
          </w:p>
        </w:tc>
        <w:tc>
          <w:tcPr>
            <w:tcW w:w="1276" w:type="dxa"/>
            <w:shd w:val="clear" w:color="auto" w:fill="D2E1E9"/>
          </w:tcPr>
          <w:p w14:paraId="5942158A" w14:textId="77777777" w:rsidR="000A1CD9" w:rsidRPr="00984456" w:rsidRDefault="000A1CD9" w:rsidP="009B54F3">
            <w:pPr>
              <w:keepNext/>
              <w:keepLines/>
              <w:spacing w:after="0" w:line="240" w:lineRule="auto"/>
              <w:rPr>
                <w:rFonts w:cs="Arial"/>
                <w:sz w:val="18"/>
                <w:szCs w:val="18"/>
              </w:rPr>
            </w:pPr>
            <w:r w:rsidRPr="00984456">
              <w:rPr>
                <w:rFonts w:cs="Arial"/>
                <w:sz w:val="18"/>
                <w:szCs w:val="18"/>
              </w:rPr>
              <w:t>$45 million</w:t>
            </w:r>
          </w:p>
        </w:tc>
        <w:tc>
          <w:tcPr>
            <w:tcW w:w="3887" w:type="dxa"/>
            <w:shd w:val="clear" w:color="auto" w:fill="D2E1E9"/>
          </w:tcPr>
          <w:p w14:paraId="5741437F" w14:textId="77777777" w:rsidR="000A1CD9" w:rsidRPr="00E021E0" w:rsidRDefault="000A1CD9" w:rsidP="00F13B5A">
            <w:pPr>
              <w:keepNext/>
              <w:keepLines/>
              <w:spacing w:after="0" w:line="240" w:lineRule="auto"/>
              <w:rPr>
                <w:rFonts w:cs="Arial"/>
                <w:sz w:val="18"/>
                <w:szCs w:val="18"/>
              </w:rPr>
            </w:pPr>
            <w:r w:rsidRPr="00984456">
              <w:rPr>
                <w:rFonts w:cs="Arial"/>
                <w:sz w:val="18"/>
                <w:szCs w:val="18"/>
              </w:rPr>
              <w:t>The takeover of NewCom International allows Speedcast, an Australian</w:t>
            </w:r>
            <w:r w:rsidRPr="00C30DCC">
              <w:rPr>
                <w:rFonts w:cs="Arial"/>
                <w:sz w:val="18"/>
                <w:szCs w:val="18"/>
              </w:rPr>
              <w:t>-</w:t>
            </w:r>
            <w:r w:rsidRPr="00B12CE6">
              <w:rPr>
                <w:rFonts w:cs="Arial"/>
                <w:sz w:val="18"/>
                <w:szCs w:val="18"/>
              </w:rPr>
              <w:t>listed satellite</w:t>
            </w:r>
            <w:r w:rsidRPr="000609CE">
              <w:rPr>
                <w:rFonts w:cs="Arial"/>
                <w:sz w:val="18"/>
                <w:szCs w:val="18"/>
              </w:rPr>
              <w:t xml:space="preserve"> company, to enter the central and </w:t>
            </w:r>
            <w:r w:rsidRPr="00E021E0">
              <w:rPr>
                <w:rFonts w:cs="Arial"/>
                <w:sz w:val="18"/>
                <w:szCs w:val="18"/>
              </w:rPr>
              <w:t xml:space="preserve">South American markets. </w:t>
            </w:r>
          </w:p>
        </w:tc>
      </w:tr>
      <w:tr w:rsidR="000A1CD9" w:rsidRPr="009E6D3B" w14:paraId="2A482AC3" w14:textId="77777777" w:rsidTr="008E5367">
        <w:trPr>
          <w:trHeight w:val="595"/>
        </w:trPr>
        <w:tc>
          <w:tcPr>
            <w:tcW w:w="1388" w:type="dxa"/>
            <w:tcBorders>
              <w:top w:val="single" w:sz="24" w:space="0" w:color="FFFFFF"/>
              <w:bottom w:val="single" w:sz="24" w:space="0" w:color="FFFFFF"/>
            </w:tcBorders>
            <w:shd w:val="clear" w:color="auto" w:fill="7FB8CB"/>
          </w:tcPr>
          <w:p w14:paraId="5F62FAAC" w14:textId="77777777" w:rsidR="000A1CD9" w:rsidRPr="006E7298" w:rsidRDefault="000A1CD9" w:rsidP="00F13B5A">
            <w:pPr>
              <w:keepNext/>
              <w:keepLines/>
              <w:spacing w:after="0" w:line="240" w:lineRule="auto"/>
              <w:rPr>
                <w:rFonts w:cs="Arial"/>
                <w:color w:val="FFFFFF" w:themeColor="background1"/>
                <w:sz w:val="18"/>
                <w:szCs w:val="18"/>
              </w:rPr>
            </w:pPr>
            <w:r w:rsidRPr="006E7298">
              <w:rPr>
                <w:rFonts w:cs="Arial"/>
                <w:color w:val="FFFFFF" w:themeColor="background1"/>
                <w:sz w:val="18"/>
                <w:szCs w:val="18"/>
              </w:rPr>
              <w:t>Amaysim</w:t>
            </w:r>
          </w:p>
        </w:tc>
        <w:tc>
          <w:tcPr>
            <w:tcW w:w="1843" w:type="dxa"/>
            <w:shd w:val="clear" w:color="auto" w:fill="D2E1E9"/>
          </w:tcPr>
          <w:p w14:paraId="73377851" w14:textId="77777777" w:rsidR="000A1CD9" w:rsidRPr="00F27833" w:rsidRDefault="000A1CD9" w:rsidP="00F13B5A">
            <w:pPr>
              <w:keepNext/>
              <w:keepLines/>
              <w:spacing w:after="0" w:line="240" w:lineRule="auto"/>
              <w:rPr>
                <w:rFonts w:cs="Arial"/>
                <w:sz w:val="18"/>
                <w:szCs w:val="18"/>
              </w:rPr>
            </w:pPr>
            <w:r w:rsidRPr="00F27833">
              <w:rPr>
                <w:rFonts w:cs="Arial"/>
                <w:sz w:val="18"/>
                <w:szCs w:val="18"/>
              </w:rPr>
              <w:t>Vaya</w:t>
            </w:r>
          </w:p>
        </w:tc>
        <w:tc>
          <w:tcPr>
            <w:tcW w:w="992" w:type="dxa"/>
            <w:shd w:val="clear" w:color="auto" w:fill="D2E1E9"/>
          </w:tcPr>
          <w:p w14:paraId="320FA17B" w14:textId="77777777" w:rsidR="000A1CD9" w:rsidRPr="00C324E3" w:rsidRDefault="000A1CD9" w:rsidP="00F13B5A">
            <w:pPr>
              <w:keepNext/>
              <w:keepLines/>
              <w:spacing w:after="0" w:line="240" w:lineRule="auto"/>
              <w:rPr>
                <w:rFonts w:cs="Arial"/>
                <w:sz w:val="18"/>
                <w:szCs w:val="18"/>
              </w:rPr>
            </w:pPr>
            <w:r w:rsidRPr="00C324E3">
              <w:rPr>
                <w:rFonts w:cs="Arial"/>
                <w:sz w:val="18"/>
                <w:szCs w:val="18"/>
              </w:rPr>
              <w:t>January 2016</w:t>
            </w:r>
          </w:p>
        </w:tc>
        <w:tc>
          <w:tcPr>
            <w:tcW w:w="1276" w:type="dxa"/>
            <w:shd w:val="clear" w:color="auto" w:fill="D2E1E9"/>
          </w:tcPr>
          <w:p w14:paraId="1CB2AE72" w14:textId="77777777" w:rsidR="000A1CD9" w:rsidRPr="0085516D" w:rsidRDefault="000A1CD9" w:rsidP="009B54F3">
            <w:pPr>
              <w:keepNext/>
              <w:keepLines/>
              <w:spacing w:after="0" w:line="240" w:lineRule="auto"/>
              <w:rPr>
                <w:rFonts w:cs="Arial"/>
                <w:sz w:val="18"/>
                <w:szCs w:val="18"/>
              </w:rPr>
            </w:pPr>
            <w:r w:rsidRPr="0085516D">
              <w:rPr>
                <w:rFonts w:cs="Arial"/>
                <w:sz w:val="18"/>
                <w:szCs w:val="18"/>
              </w:rPr>
              <w:t>$70 million</w:t>
            </w:r>
          </w:p>
        </w:tc>
        <w:tc>
          <w:tcPr>
            <w:tcW w:w="3887" w:type="dxa"/>
            <w:shd w:val="clear" w:color="auto" w:fill="D2E1E9"/>
          </w:tcPr>
          <w:p w14:paraId="0DDB1F30" w14:textId="77777777" w:rsidR="000A1CD9" w:rsidRPr="00984456" w:rsidRDefault="000A1CD9" w:rsidP="0020356B">
            <w:pPr>
              <w:keepNext/>
              <w:keepLines/>
              <w:spacing w:after="0" w:line="240" w:lineRule="auto"/>
              <w:rPr>
                <w:rFonts w:cs="Arial"/>
                <w:sz w:val="18"/>
                <w:szCs w:val="18"/>
              </w:rPr>
            </w:pPr>
            <w:r w:rsidRPr="00984456">
              <w:rPr>
                <w:rFonts w:cs="Arial"/>
                <w:sz w:val="18"/>
                <w:szCs w:val="18"/>
              </w:rPr>
              <w:t>The purchase of Vaya provides Amaysim with an</w:t>
            </w:r>
            <w:r w:rsidR="0020356B">
              <w:rPr>
                <w:rFonts w:cs="Arial"/>
                <w:sz w:val="18"/>
                <w:szCs w:val="18"/>
              </w:rPr>
              <w:t> </w:t>
            </w:r>
            <w:r w:rsidRPr="00984456">
              <w:rPr>
                <w:rFonts w:cs="Arial"/>
                <w:sz w:val="18"/>
                <w:szCs w:val="18"/>
              </w:rPr>
              <w:t>expanded customer base under the Optus banner.</w:t>
            </w:r>
          </w:p>
        </w:tc>
      </w:tr>
      <w:tr w:rsidR="000A1CD9" w:rsidRPr="009E6D3B" w14:paraId="66F393F7" w14:textId="77777777" w:rsidTr="008E5367">
        <w:trPr>
          <w:trHeight w:val="454"/>
        </w:trPr>
        <w:tc>
          <w:tcPr>
            <w:tcW w:w="1388" w:type="dxa"/>
            <w:tcBorders>
              <w:top w:val="single" w:sz="24" w:space="0" w:color="FFFFFF"/>
              <w:bottom w:val="single" w:sz="24" w:space="0" w:color="FFFFFF"/>
            </w:tcBorders>
            <w:shd w:val="clear" w:color="auto" w:fill="7FB8CB"/>
          </w:tcPr>
          <w:p w14:paraId="2D9D48C4" w14:textId="77777777" w:rsidR="000A1CD9" w:rsidRPr="006E7298" w:rsidRDefault="000A1CD9" w:rsidP="00F13B5A">
            <w:pPr>
              <w:keepNext/>
              <w:keepLines/>
              <w:tabs>
                <w:tab w:val="left" w:pos="664"/>
              </w:tabs>
              <w:spacing w:after="0" w:line="240" w:lineRule="auto"/>
              <w:rPr>
                <w:rFonts w:cs="Arial"/>
                <w:color w:val="FFFFFF" w:themeColor="background1"/>
                <w:sz w:val="18"/>
                <w:szCs w:val="18"/>
              </w:rPr>
            </w:pPr>
            <w:r w:rsidRPr="006E7298">
              <w:rPr>
                <w:rFonts w:cs="Arial"/>
                <w:color w:val="FFFFFF" w:themeColor="background1"/>
                <w:sz w:val="18"/>
                <w:szCs w:val="18"/>
              </w:rPr>
              <w:t>Telstra</w:t>
            </w:r>
          </w:p>
        </w:tc>
        <w:tc>
          <w:tcPr>
            <w:tcW w:w="1843" w:type="dxa"/>
            <w:shd w:val="clear" w:color="auto" w:fill="D2E1E9"/>
          </w:tcPr>
          <w:p w14:paraId="05FD5D73" w14:textId="77777777" w:rsidR="000A1CD9" w:rsidRPr="00F27833" w:rsidRDefault="000A1CD9" w:rsidP="00F13B5A">
            <w:pPr>
              <w:keepNext/>
              <w:keepLines/>
              <w:spacing w:after="0" w:line="240" w:lineRule="auto"/>
              <w:rPr>
                <w:rFonts w:cs="Arial"/>
                <w:sz w:val="18"/>
                <w:szCs w:val="18"/>
              </w:rPr>
            </w:pPr>
            <w:r w:rsidRPr="00F27833">
              <w:rPr>
                <w:rFonts w:cs="Arial"/>
                <w:sz w:val="18"/>
                <w:szCs w:val="18"/>
              </w:rPr>
              <w:t>Kloud</w:t>
            </w:r>
          </w:p>
        </w:tc>
        <w:tc>
          <w:tcPr>
            <w:tcW w:w="992" w:type="dxa"/>
            <w:shd w:val="clear" w:color="auto" w:fill="D2E1E9"/>
          </w:tcPr>
          <w:p w14:paraId="63F6BAE0" w14:textId="77777777" w:rsidR="000A1CD9" w:rsidRPr="00C324E3" w:rsidRDefault="000A1CD9" w:rsidP="00F13B5A">
            <w:pPr>
              <w:keepNext/>
              <w:keepLines/>
              <w:spacing w:after="0" w:line="240" w:lineRule="auto"/>
              <w:rPr>
                <w:rFonts w:cs="Arial"/>
                <w:sz w:val="18"/>
                <w:szCs w:val="18"/>
              </w:rPr>
            </w:pPr>
            <w:r w:rsidRPr="00C324E3">
              <w:rPr>
                <w:rFonts w:cs="Arial"/>
                <w:sz w:val="18"/>
                <w:szCs w:val="18"/>
              </w:rPr>
              <w:t>January 2016</w:t>
            </w:r>
          </w:p>
        </w:tc>
        <w:tc>
          <w:tcPr>
            <w:tcW w:w="1276" w:type="dxa"/>
            <w:shd w:val="clear" w:color="auto" w:fill="D2E1E9"/>
          </w:tcPr>
          <w:p w14:paraId="0B6C02C3" w14:textId="77777777" w:rsidR="000A1CD9" w:rsidRPr="0085516D" w:rsidRDefault="000A1CD9" w:rsidP="009B54F3">
            <w:pPr>
              <w:keepNext/>
              <w:keepLines/>
              <w:spacing w:after="0" w:line="240" w:lineRule="auto"/>
              <w:rPr>
                <w:rFonts w:cs="Arial"/>
                <w:sz w:val="18"/>
                <w:szCs w:val="18"/>
              </w:rPr>
            </w:pPr>
            <w:r w:rsidRPr="0085516D">
              <w:rPr>
                <w:rFonts w:cs="Arial"/>
                <w:sz w:val="18"/>
                <w:szCs w:val="18"/>
              </w:rPr>
              <w:t>$40 million</w:t>
            </w:r>
          </w:p>
        </w:tc>
        <w:tc>
          <w:tcPr>
            <w:tcW w:w="3887" w:type="dxa"/>
            <w:shd w:val="clear" w:color="auto" w:fill="D2E1E9"/>
          </w:tcPr>
          <w:p w14:paraId="49B2AF15" w14:textId="77777777" w:rsidR="000A1CD9" w:rsidRPr="00B12CE6" w:rsidRDefault="000A1CD9" w:rsidP="00F13B5A">
            <w:pPr>
              <w:keepNext/>
              <w:keepLines/>
              <w:spacing w:after="0" w:line="240" w:lineRule="auto"/>
              <w:rPr>
                <w:rFonts w:cs="Arial"/>
                <w:sz w:val="18"/>
                <w:szCs w:val="18"/>
              </w:rPr>
            </w:pPr>
            <w:r w:rsidRPr="00984456">
              <w:rPr>
                <w:rFonts w:cs="Arial"/>
                <w:sz w:val="18"/>
                <w:szCs w:val="18"/>
              </w:rPr>
              <w:t>The acquisition of Kloud expands Telstra’s presence in the provision of cloud-based services and provide</w:t>
            </w:r>
            <w:r w:rsidRPr="00C30DCC">
              <w:rPr>
                <w:rFonts w:cs="Arial"/>
                <w:sz w:val="18"/>
                <w:szCs w:val="18"/>
              </w:rPr>
              <w:t>s</w:t>
            </w:r>
            <w:r w:rsidRPr="00B12CE6">
              <w:rPr>
                <w:rFonts w:cs="Arial"/>
                <w:sz w:val="18"/>
                <w:szCs w:val="18"/>
              </w:rPr>
              <w:t xml:space="preserve"> access to Kloud’s 80 corporate and government customers.</w:t>
            </w:r>
          </w:p>
        </w:tc>
      </w:tr>
      <w:tr w:rsidR="000A1CD9" w:rsidRPr="009E6D3B" w14:paraId="7694D933" w14:textId="77777777" w:rsidTr="008E5367">
        <w:trPr>
          <w:trHeight w:val="497"/>
        </w:trPr>
        <w:tc>
          <w:tcPr>
            <w:tcW w:w="1388" w:type="dxa"/>
            <w:tcBorders>
              <w:top w:val="single" w:sz="24" w:space="0" w:color="FFFFFF"/>
              <w:bottom w:val="single" w:sz="24" w:space="0" w:color="FFFFFF"/>
            </w:tcBorders>
            <w:shd w:val="clear" w:color="auto" w:fill="7FB8CB"/>
          </w:tcPr>
          <w:p w14:paraId="298054AE" w14:textId="77777777" w:rsidR="000A1CD9" w:rsidRPr="006E7298" w:rsidRDefault="000A1CD9" w:rsidP="00F13B5A">
            <w:pPr>
              <w:keepNext/>
              <w:keepLines/>
              <w:spacing w:after="0" w:line="240" w:lineRule="auto"/>
              <w:rPr>
                <w:rFonts w:cs="Arial"/>
                <w:color w:val="FFFFFF" w:themeColor="background1"/>
                <w:sz w:val="18"/>
                <w:szCs w:val="18"/>
              </w:rPr>
            </w:pPr>
            <w:r w:rsidRPr="006E7298">
              <w:rPr>
                <w:rFonts w:cs="Arial"/>
                <w:color w:val="FFFFFF" w:themeColor="background1"/>
                <w:sz w:val="18"/>
                <w:szCs w:val="18"/>
              </w:rPr>
              <w:t>Vocus</w:t>
            </w:r>
          </w:p>
        </w:tc>
        <w:tc>
          <w:tcPr>
            <w:tcW w:w="1843" w:type="dxa"/>
            <w:shd w:val="clear" w:color="auto" w:fill="D2E1E9"/>
          </w:tcPr>
          <w:p w14:paraId="3B3D6AE8" w14:textId="77777777" w:rsidR="000A1CD9" w:rsidRPr="00F27833" w:rsidRDefault="000A1CD9" w:rsidP="00F13B5A">
            <w:pPr>
              <w:keepNext/>
              <w:keepLines/>
              <w:spacing w:after="0" w:line="240" w:lineRule="auto"/>
              <w:rPr>
                <w:rFonts w:cs="Arial"/>
                <w:sz w:val="18"/>
                <w:szCs w:val="18"/>
              </w:rPr>
            </w:pPr>
            <w:r w:rsidRPr="00F27833">
              <w:rPr>
                <w:rFonts w:cs="Arial"/>
                <w:sz w:val="18"/>
                <w:szCs w:val="18"/>
              </w:rPr>
              <w:t>M2</w:t>
            </w:r>
          </w:p>
        </w:tc>
        <w:tc>
          <w:tcPr>
            <w:tcW w:w="992" w:type="dxa"/>
            <w:shd w:val="clear" w:color="auto" w:fill="D2E1E9"/>
          </w:tcPr>
          <w:p w14:paraId="3E3B1C00" w14:textId="77777777" w:rsidR="000A1CD9" w:rsidRPr="00C324E3" w:rsidRDefault="000A1CD9" w:rsidP="00F13B5A">
            <w:pPr>
              <w:keepNext/>
              <w:keepLines/>
              <w:spacing w:after="0" w:line="240" w:lineRule="auto"/>
              <w:rPr>
                <w:rFonts w:cs="Arial"/>
                <w:sz w:val="18"/>
                <w:szCs w:val="18"/>
              </w:rPr>
            </w:pPr>
            <w:r w:rsidRPr="00C324E3">
              <w:rPr>
                <w:rFonts w:cs="Arial"/>
                <w:sz w:val="18"/>
                <w:szCs w:val="18"/>
              </w:rPr>
              <w:t>February 2016</w:t>
            </w:r>
          </w:p>
        </w:tc>
        <w:tc>
          <w:tcPr>
            <w:tcW w:w="1276" w:type="dxa"/>
            <w:shd w:val="clear" w:color="auto" w:fill="D2E1E9"/>
          </w:tcPr>
          <w:p w14:paraId="7CADFE0B" w14:textId="77777777" w:rsidR="000A1CD9" w:rsidRPr="0085516D" w:rsidRDefault="000A1CD9" w:rsidP="009B54F3">
            <w:pPr>
              <w:keepNext/>
              <w:keepLines/>
              <w:spacing w:after="0" w:line="240" w:lineRule="auto"/>
              <w:rPr>
                <w:rFonts w:cs="Arial"/>
                <w:sz w:val="18"/>
                <w:szCs w:val="18"/>
              </w:rPr>
            </w:pPr>
            <w:r w:rsidRPr="0085516D">
              <w:rPr>
                <w:rFonts w:cs="Arial"/>
                <w:sz w:val="18"/>
                <w:szCs w:val="18"/>
              </w:rPr>
              <w:t>$3.8 billion</w:t>
            </w:r>
          </w:p>
        </w:tc>
        <w:tc>
          <w:tcPr>
            <w:tcW w:w="3887" w:type="dxa"/>
            <w:shd w:val="clear" w:color="auto" w:fill="D2E1E9"/>
          </w:tcPr>
          <w:p w14:paraId="39F7E83A" w14:textId="77777777" w:rsidR="000A1CD9" w:rsidRPr="00B12CE6" w:rsidRDefault="000A1CD9" w:rsidP="00F13B5A">
            <w:pPr>
              <w:keepNext/>
              <w:keepLines/>
              <w:spacing w:after="0" w:line="240" w:lineRule="auto"/>
              <w:rPr>
                <w:rFonts w:cs="Arial"/>
                <w:sz w:val="18"/>
                <w:szCs w:val="18"/>
              </w:rPr>
            </w:pPr>
            <w:r w:rsidRPr="00984456">
              <w:rPr>
                <w:rFonts w:cs="Arial"/>
                <w:sz w:val="18"/>
                <w:szCs w:val="18"/>
              </w:rPr>
              <w:t>The acquisition of M2 by Vocus will create the fourth-</w:t>
            </w:r>
            <w:r w:rsidRPr="00C30DCC">
              <w:rPr>
                <w:rFonts w:cs="Arial"/>
                <w:sz w:val="18"/>
                <w:szCs w:val="18"/>
              </w:rPr>
              <w:t>largest telecommunications</w:t>
            </w:r>
            <w:r w:rsidRPr="00B12CE6">
              <w:rPr>
                <w:rFonts w:cs="Arial"/>
                <w:sz w:val="18"/>
                <w:szCs w:val="18"/>
              </w:rPr>
              <w:t xml:space="preserve"> company in Australia. </w:t>
            </w:r>
          </w:p>
        </w:tc>
      </w:tr>
      <w:tr w:rsidR="000A1CD9" w:rsidRPr="009E6D3B" w14:paraId="5AD6ACB6" w14:textId="77777777" w:rsidTr="008E5367">
        <w:trPr>
          <w:trHeight w:val="454"/>
        </w:trPr>
        <w:tc>
          <w:tcPr>
            <w:tcW w:w="1388" w:type="dxa"/>
            <w:tcBorders>
              <w:top w:val="single" w:sz="24" w:space="0" w:color="FFFFFF"/>
              <w:bottom w:val="single" w:sz="24" w:space="0" w:color="FFFFFF"/>
            </w:tcBorders>
            <w:shd w:val="clear" w:color="auto" w:fill="7FB8CB"/>
          </w:tcPr>
          <w:p w14:paraId="475D7B74" w14:textId="77777777" w:rsidR="000A1CD9" w:rsidRPr="006E7298" w:rsidRDefault="000A1CD9" w:rsidP="00F13B5A">
            <w:pPr>
              <w:keepNext/>
              <w:keepLines/>
              <w:spacing w:after="0" w:line="240" w:lineRule="auto"/>
              <w:rPr>
                <w:rFonts w:cs="Arial"/>
                <w:color w:val="FFFFFF" w:themeColor="background1"/>
                <w:sz w:val="18"/>
                <w:szCs w:val="18"/>
              </w:rPr>
            </w:pPr>
            <w:r w:rsidRPr="006E7298">
              <w:rPr>
                <w:rFonts w:cs="Arial"/>
                <w:color w:val="FFFFFF" w:themeColor="background1"/>
                <w:sz w:val="18"/>
                <w:szCs w:val="18"/>
              </w:rPr>
              <w:t>Telstra</w:t>
            </w:r>
          </w:p>
        </w:tc>
        <w:tc>
          <w:tcPr>
            <w:tcW w:w="1843" w:type="dxa"/>
            <w:shd w:val="clear" w:color="auto" w:fill="D2E1E9"/>
          </w:tcPr>
          <w:p w14:paraId="6855E9C7" w14:textId="77777777" w:rsidR="000A1CD9" w:rsidRPr="00C324E3" w:rsidRDefault="000A1CD9" w:rsidP="00F13B5A">
            <w:pPr>
              <w:keepNext/>
              <w:keepLines/>
              <w:spacing w:after="0" w:line="240" w:lineRule="auto"/>
              <w:rPr>
                <w:rFonts w:cs="Arial"/>
                <w:sz w:val="18"/>
                <w:szCs w:val="18"/>
              </w:rPr>
            </w:pPr>
            <w:r w:rsidRPr="00F27833">
              <w:rPr>
                <w:rFonts w:cs="Arial"/>
                <w:sz w:val="18"/>
                <w:szCs w:val="18"/>
              </w:rPr>
              <w:t xml:space="preserve">CBO </w:t>
            </w:r>
            <w:r w:rsidR="008E5367" w:rsidRPr="008E5367">
              <w:rPr>
                <w:rFonts w:cs="Arial"/>
                <w:sz w:val="18"/>
                <w:szCs w:val="18"/>
              </w:rPr>
              <w:t>Telecommunications</w:t>
            </w:r>
          </w:p>
        </w:tc>
        <w:tc>
          <w:tcPr>
            <w:tcW w:w="992" w:type="dxa"/>
            <w:shd w:val="clear" w:color="auto" w:fill="D2E1E9"/>
          </w:tcPr>
          <w:p w14:paraId="42F672ED" w14:textId="77777777" w:rsidR="000A1CD9" w:rsidRPr="0085516D" w:rsidRDefault="000A1CD9" w:rsidP="00F13B5A">
            <w:pPr>
              <w:keepNext/>
              <w:keepLines/>
              <w:spacing w:after="0" w:line="240" w:lineRule="auto"/>
              <w:rPr>
                <w:rFonts w:cs="Arial"/>
                <w:sz w:val="18"/>
                <w:szCs w:val="18"/>
              </w:rPr>
            </w:pPr>
            <w:r w:rsidRPr="0085516D">
              <w:rPr>
                <w:rFonts w:cs="Arial"/>
                <w:sz w:val="18"/>
                <w:szCs w:val="18"/>
              </w:rPr>
              <w:t>June 2016</w:t>
            </w:r>
          </w:p>
        </w:tc>
        <w:tc>
          <w:tcPr>
            <w:tcW w:w="1276" w:type="dxa"/>
            <w:shd w:val="clear" w:color="auto" w:fill="D2E1E9"/>
          </w:tcPr>
          <w:p w14:paraId="03A3BCB4" w14:textId="77777777" w:rsidR="000A1CD9" w:rsidRPr="00984456" w:rsidRDefault="000A1CD9" w:rsidP="009B54F3">
            <w:pPr>
              <w:keepNext/>
              <w:keepLines/>
              <w:spacing w:after="0" w:line="240" w:lineRule="auto"/>
              <w:rPr>
                <w:rFonts w:cs="Arial"/>
                <w:sz w:val="18"/>
                <w:szCs w:val="18"/>
              </w:rPr>
            </w:pPr>
            <w:r w:rsidRPr="00984456">
              <w:rPr>
                <w:rFonts w:cs="Arial"/>
                <w:sz w:val="18"/>
                <w:szCs w:val="18"/>
              </w:rPr>
              <w:t>Undisclosed</w:t>
            </w:r>
          </w:p>
        </w:tc>
        <w:tc>
          <w:tcPr>
            <w:tcW w:w="3887" w:type="dxa"/>
            <w:shd w:val="clear" w:color="auto" w:fill="D2E1E9"/>
          </w:tcPr>
          <w:p w14:paraId="3B8AE742" w14:textId="77777777" w:rsidR="000A1CD9" w:rsidRPr="00984456" w:rsidRDefault="000A1CD9" w:rsidP="00F13B5A">
            <w:pPr>
              <w:keepNext/>
              <w:keepLines/>
              <w:spacing w:after="0" w:line="240" w:lineRule="auto"/>
              <w:rPr>
                <w:rFonts w:cs="Arial"/>
                <w:sz w:val="18"/>
                <w:szCs w:val="18"/>
              </w:rPr>
            </w:pPr>
            <w:r w:rsidRPr="00984456">
              <w:rPr>
                <w:rFonts w:cs="Arial"/>
                <w:sz w:val="18"/>
                <w:szCs w:val="18"/>
              </w:rPr>
              <w:t>This purchase extends Telstra’s move into the mining telecommunications sector.</w:t>
            </w:r>
          </w:p>
        </w:tc>
      </w:tr>
      <w:tr w:rsidR="000A1CD9" w:rsidRPr="009E6D3B" w14:paraId="380BACE4" w14:textId="77777777" w:rsidTr="008E5367">
        <w:trPr>
          <w:trHeight w:val="630"/>
        </w:trPr>
        <w:tc>
          <w:tcPr>
            <w:tcW w:w="1388" w:type="dxa"/>
            <w:tcBorders>
              <w:top w:val="single" w:sz="24" w:space="0" w:color="FFFFFF"/>
              <w:bottom w:val="single" w:sz="24" w:space="0" w:color="FFFFFF"/>
            </w:tcBorders>
            <w:shd w:val="clear" w:color="auto" w:fill="7FB8CB"/>
          </w:tcPr>
          <w:p w14:paraId="78ACA4DF" w14:textId="77777777" w:rsidR="000A1CD9" w:rsidRPr="006E7298" w:rsidRDefault="000A1CD9" w:rsidP="00F13B5A">
            <w:pPr>
              <w:keepNext/>
              <w:keepLines/>
              <w:spacing w:after="0" w:line="240" w:lineRule="auto"/>
              <w:rPr>
                <w:rFonts w:cs="Arial"/>
                <w:color w:val="FFFFFF" w:themeColor="background1"/>
                <w:sz w:val="18"/>
                <w:szCs w:val="18"/>
              </w:rPr>
            </w:pPr>
            <w:r w:rsidRPr="006E7298">
              <w:rPr>
                <w:rFonts w:cs="Arial"/>
                <w:color w:val="FFFFFF" w:themeColor="background1"/>
                <w:sz w:val="18"/>
                <w:szCs w:val="18"/>
              </w:rPr>
              <w:t>Vocus</w:t>
            </w:r>
          </w:p>
        </w:tc>
        <w:tc>
          <w:tcPr>
            <w:tcW w:w="1843" w:type="dxa"/>
            <w:shd w:val="clear" w:color="auto" w:fill="D2E1E9"/>
          </w:tcPr>
          <w:p w14:paraId="123DE84A" w14:textId="77777777" w:rsidR="000A1CD9" w:rsidRPr="00F27833" w:rsidRDefault="000A1CD9" w:rsidP="00F13B5A">
            <w:pPr>
              <w:keepNext/>
              <w:keepLines/>
              <w:spacing w:after="0" w:line="240" w:lineRule="auto"/>
              <w:rPr>
                <w:rFonts w:cs="Arial"/>
                <w:sz w:val="18"/>
                <w:szCs w:val="18"/>
              </w:rPr>
            </w:pPr>
            <w:r w:rsidRPr="00F27833">
              <w:rPr>
                <w:rFonts w:cs="Arial"/>
                <w:sz w:val="18"/>
                <w:szCs w:val="18"/>
              </w:rPr>
              <w:t>Nextgen</w:t>
            </w:r>
          </w:p>
        </w:tc>
        <w:tc>
          <w:tcPr>
            <w:tcW w:w="992" w:type="dxa"/>
            <w:shd w:val="clear" w:color="auto" w:fill="D2E1E9"/>
          </w:tcPr>
          <w:p w14:paraId="6C051A4C" w14:textId="77777777" w:rsidR="000A1CD9" w:rsidRPr="00C324E3" w:rsidRDefault="000A1CD9" w:rsidP="00F13B5A">
            <w:pPr>
              <w:keepNext/>
              <w:keepLines/>
              <w:spacing w:after="0" w:line="240" w:lineRule="auto"/>
              <w:rPr>
                <w:rFonts w:cs="Arial"/>
                <w:sz w:val="18"/>
                <w:szCs w:val="18"/>
              </w:rPr>
            </w:pPr>
            <w:r w:rsidRPr="00C324E3">
              <w:rPr>
                <w:rFonts w:cs="Arial"/>
                <w:sz w:val="18"/>
                <w:szCs w:val="18"/>
              </w:rPr>
              <w:t>June 2016</w:t>
            </w:r>
          </w:p>
        </w:tc>
        <w:tc>
          <w:tcPr>
            <w:tcW w:w="1276" w:type="dxa"/>
            <w:shd w:val="clear" w:color="auto" w:fill="D2E1E9"/>
          </w:tcPr>
          <w:p w14:paraId="1ACED763" w14:textId="77777777" w:rsidR="000A1CD9" w:rsidRPr="0085516D" w:rsidRDefault="000A1CD9" w:rsidP="009B54F3">
            <w:pPr>
              <w:keepNext/>
              <w:keepLines/>
              <w:spacing w:after="0" w:line="240" w:lineRule="auto"/>
              <w:rPr>
                <w:rFonts w:cs="Arial"/>
                <w:sz w:val="18"/>
                <w:szCs w:val="18"/>
              </w:rPr>
            </w:pPr>
            <w:r w:rsidRPr="0085516D">
              <w:rPr>
                <w:rFonts w:cs="Arial"/>
                <w:sz w:val="18"/>
                <w:szCs w:val="18"/>
              </w:rPr>
              <w:t>$807 million</w:t>
            </w:r>
          </w:p>
        </w:tc>
        <w:tc>
          <w:tcPr>
            <w:tcW w:w="3887" w:type="dxa"/>
            <w:shd w:val="clear" w:color="auto" w:fill="D2E1E9"/>
          </w:tcPr>
          <w:p w14:paraId="0C29BB86" w14:textId="77777777" w:rsidR="000A1CD9" w:rsidRPr="00984456" w:rsidRDefault="000A1CD9" w:rsidP="00F13B5A">
            <w:pPr>
              <w:keepNext/>
              <w:keepLines/>
              <w:spacing w:after="0" w:line="240" w:lineRule="auto"/>
              <w:rPr>
                <w:rFonts w:cs="Arial"/>
                <w:sz w:val="18"/>
                <w:szCs w:val="18"/>
              </w:rPr>
            </w:pPr>
            <w:r w:rsidRPr="00984456">
              <w:rPr>
                <w:rFonts w:cs="Arial"/>
                <w:sz w:val="18"/>
                <w:szCs w:val="18"/>
              </w:rPr>
              <w:t xml:space="preserve">The acquisition of Nextgen provides Vocus with an additional 17,000 km of fibre network, enabling it to create a fully vertically integrated </w:t>
            </w:r>
            <w:r w:rsidR="00741C6F" w:rsidRPr="004E3B05">
              <w:rPr>
                <w:rFonts w:cs="Arial"/>
                <w:color w:val="000000" w:themeColor="text1"/>
                <w:sz w:val="18"/>
                <w:szCs w:val="18"/>
              </w:rPr>
              <w:t>fixed-line tel</w:t>
            </w:r>
            <w:r w:rsidR="00741C6F">
              <w:rPr>
                <w:rFonts w:cs="Arial"/>
                <w:color w:val="000000" w:themeColor="text1"/>
                <w:sz w:val="18"/>
                <w:szCs w:val="18"/>
              </w:rPr>
              <w:t>ecommunications provider</w:t>
            </w:r>
            <w:r w:rsidRPr="00984456">
              <w:rPr>
                <w:rFonts w:cs="Arial"/>
                <w:sz w:val="18"/>
                <w:szCs w:val="18"/>
              </w:rPr>
              <w:t xml:space="preserve">. </w:t>
            </w:r>
          </w:p>
        </w:tc>
      </w:tr>
    </w:tbl>
    <w:p w14:paraId="32F47CEC" w14:textId="77777777" w:rsidR="000A1CD9" w:rsidRDefault="000A1CD9" w:rsidP="00F13B5A">
      <w:pPr>
        <w:pStyle w:val="ACMANotes"/>
        <w:keepNext/>
        <w:keepLines/>
        <w:rPr>
          <w:rFonts w:eastAsia="Calibri"/>
          <w:lang w:eastAsia="en-US"/>
        </w:rPr>
      </w:pPr>
      <w:r w:rsidRPr="00FD7E86">
        <w:rPr>
          <w:rFonts w:eastAsia="Calibri"/>
          <w:lang w:eastAsia="en-US"/>
        </w:rPr>
        <w:t>Sou</w:t>
      </w:r>
      <w:r>
        <w:rPr>
          <w:rFonts w:eastAsia="Calibri"/>
          <w:lang w:eastAsia="en-US"/>
        </w:rPr>
        <w:t xml:space="preserve">rce: Company annual reports, </w:t>
      </w:r>
      <w:r w:rsidRPr="00FD7E86">
        <w:rPr>
          <w:rFonts w:eastAsia="Calibri"/>
          <w:lang w:eastAsia="en-US"/>
        </w:rPr>
        <w:t>press releases</w:t>
      </w:r>
      <w:r>
        <w:rPr>
          <w:rFonts w:eastAsia="Calibri"/>
          <w:lang w:eastAsia="en-US"/>
        </w:rPr>
        <w:t xml:space="preserve"> and media coverage.</w:t>
      </w:r>
    </w:p>
    <w:p w14:paraId="68693842" w14:textId="77777777" w:rsidR="000A1CD9" w:rsidRPr="00FD7E86" w:rsidRDefault="000A1CD9" w:rsidP="000A1CD9">
      <w:pPr>
        <w:pStyle w:val="ACMASpaceaftertable"/>
        <w:rPr>
          <w:rFonts w:eastAsia="Calibri"/>
          <w:lang w:eastAsia="en-US"/>
        </w:rPr>
      </w:pPr>
    </w:p>
    <w:p w14:paraId="27A0239B" w14:textId="77777777" w:rsidR="000A1CD9" w:rsidRPr="00DF2B2D" w:rsidRDefault="000A1CD9" w:rsidP="00CC655E">
      <w:pPr>
        <w:pStyle w:val="Heading2"/>
        <w:numPr>
          <w:ilvl w:val="1"/>
          <w:numId w:val="12"/>
        </w:numPr>
        <w:ind w:hanging="792"/>
      </w:pPr>
      <w:bookmarkStart w:id="359" w:name="_Toc399331723"/>
      <w:bookmarkStart w:id="360" w:name="_Toc399336904"/>
      <w:bookmarkStart w:id="361" w:name="_Toc402337503"/>
      <w:bookmarkStart w:id="362" w:name="_Toc462132223"/>
      <w:bookmarkStart w:id="363" w:name="_Toc462899564"/>
      <w:bookmarkStart w:id="364" w:name="_Toc433790309"/>
      <w:bookmarkStart w:id="365" w:name="_Toc463529052"/>
      <w:bookmarkStart w:id="366" w:name="_Toc465842870"/>
      <w:r w:rsidRPr="00DF2B2D">
        <w:t>Carrier licensing and CSPs</w:t>
      </w:r>
      <w:bookmarkEnd w:id="359"/>
      <w:bookmarkEnd w:id="360"/>
      <w:bookmarkEnd w:id="361"/>
      <w:bookmarkEnd w:id="362"/>
      <w:bookmarkEnd w:id="363"/>
      <w:bookmarkEnd w:id="364"/>
      <w:bookmarkEnd w:id="365"/>
      <w:bookmarkEnd w:id="366"/>
      <w:r w:rsidRPr="00DF2B2D">
        <w:t xml:space="preserve"> </w:t>
      </w:r>
    </w:p>
    <w:p w14:paraId="4582ACCD" w14:textId="77777777" w:rsidR="000A1CD9" w:rsidRPr="00E17A26" w:rsidRDefault="000A1CD9" w:rsidP="000A1CD9">
      <w:r w:rsidRPr="00E17A26">
        <w:t>There were 250 licensed carriers in Australia at the end of 2015–16, with the ACMA granting 31 carrier licences over the year (Figure 1.</w:t>
      </w:r>
      <w:r>
        <w:t>11</w:t>
      </w:r>
      <w:r w:rsidRPr="00E17A26">
        <w:t xml:space="preserve">). In the same period, </w:t>
      </w:r>
      <w:r>
        <w:t>10</w:t>
      </w:r>
      <w:r w:rsidRPr="00E17A26">
        <w:t xml:space="preserve"> carriers surrendered their licences, with no licensed carriers being deregistered by the Australian Securities and Investments Commission. </w:t>
      </w:r>
    </w:p>
    <w:p w14:paraId="412C16DB" w14:textId="77777777" w:rsidR="000A1CD9" w:rsidRPr="00E17A26" w:rsidRDefault="000A1CD9" w:rsidP="000A1CD9">
      <w:pPr>
        <w:rPr>
          <w:rFonts w:cs="Arial"/>
        </w:rPr>
      </w:pPr>
      <w:r w:rsidRPr="00E17A26">
        <w:rPr>
          <w:rFonts w:cs="Arial"/>
        </w:rPr>
        <w:t>At 30 June 2016, there were 84 nominated carrier declarations (NCDs) in force. In 2015–16, the ACMA granted nine NCDs and revoked four.</w:t>
      </w:r>
      <w:r w:rsidRPr="00E17A26">
        <w:rPr>
          <w:rFonts w:cs="Arial"/>
          <w:vertAlign w:val="superscript"/>
        </w:rPr>
        <w:endnoteReference w:id="101"/>
      </w:r>
      <w:r w:rsidRPr="00E17A26">
        <w:rPr>
          <w:rFonts w:cs="Arial"/>
        </w:rPr>
        <w:t xml:space="preserve"> During the same period, the ACMA issued four trial certificates compared with three in the previous period.</w:t>
      </w:r>
      <w:r w:rsidRPr="00E17A26">
        <w:rPr>
          <w:vertAlign w:val="superscript"/>
        </w:rPr>
        <w:endnoteReference w:id="102"/>
      </w:r>
      <w:r w:rsidRPr="00E17A26" w:rsidDel="00193029">
        <w:rPr>
          <w:rFonts w:cs="Arial"/>
        </w:rPr>
        <w:t xml:space="preserve"> </w:t>
      </w:r>
    </w:p>
    <w:p w14:paraId="537595FE" w14:textId="77777777" w:rsidR="000A1CD9" w:rsidRPr="00E17A26" w:rsidRDefault="000A1CD9" w:rsidP="000A1CD9">
      <w:pPr>
        <w:keepLines/>
      </w:pPr>
      <w:r w:rsidRPr="00FA7DD4">
        <w:t>In the year to 30 June 2016, the total number of CSPs identified as members of the TIO scheme continued to rise, reaching 1,599 (a 3.9 per cent increase). While CSPs do not need to be licensed or registered, TIO scheme membership is mandatory for all eligible CSPs that provide or resell telecommunications services to consumers and small businesses.</w:t>
      </w:r>
      <w:r w:rsidRPr="00E17A26">
        <w:t xml:space="preserve"> </w:t>
      </w:r>
    </w:p>
    <w:p w14:paraId="61080138" w14:textId="77777777" w:rsidR="000A1CD9" w:rsidRPr="000B17E4" w:rsidRDefault="000A1CD9" w:rsidP="006B490C">
      <w:pPr>
        <w:pStyle w:val="ACMAFigureHeader"/>
        <w:keepNext/>
        <w:keepLines/>
        <w:ind w:left="1134" w:hanging="1134"/>
        <w:rPr>
          <w:rFonts w:ascii="Calibri" w:hAnsi="Calibri"/>
        </w:rPr>
      </w:pPr>
      <w:r w:rsidRPr="000B17E4">
        <w:lastRenderedPageBreak/>
        <w:t>Figure 1.</w:t>
      </w:r>
      <w:r>
        <w:t>11</w:t>
      </w:r>
      <w:r>
        <w:tab/>
      </w:r>
      <w:r w:rsidR="006B490C">
        <w:tab/>
      </w:r>
      <w:r w:rsidR="006B490C">
        <w:tab/>
      </w:r>
      <w:r w:rsidRPr="000B17E4">
        <w:t>Carrier licensing and nominated carrier declarations</w:t>
      </w:r>
    </w:p>
    <w:p w14:paraId="0B23BA48" w14:textId="77777777" w:rsidR="000A1CD9" w:rsidRPr="00FE6023" w:rsidRDefault="00ED6390" w:rsidP="000A1CD9">
      <w:pPr>
        <w:keepNext/>
        <w:keepLines/>
        <w:spacing w:after="0"/>
        <w:rPr>
          <w:rFonts w:ascii="Calibri" w:hAnsi="Calibri"/>
          <w:highlight w:val="yellow"/>
        </w:rPr>
      </w:pPr>
      <w:r>
        <w:rPr>
          <w:rFonts w:ascii="Calibri" w:hAnsi="Calibri"/>
          <w:noProof/>
        </w:rPr>
        <w:drawing>
          <wp:inline distT="0" distB="0" distL="0" distR="0" wp14:anchorId="38A613A7" wp14:editId="73A8CD42">
            <wp:extent cx="5899481" cy="4215130"/>
            <wp:effectExtent l="0" t="0" r="0" b="0"/>
            <wp:docPr id="118" name="Picture 118" descr="Data for Figure 1.11 is in the .ods file for Chapter 1 on the landing page ‘Communications report 2015-16’, available from the ACMA website." title="Figure 1.11 Carrier licensing and nominated carrier decl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e 1.11_Figure 1.11.png"/>
                    <pic:cNvPicPr/>
                  </pic:nvPicPr>
                  <pic:blipFill rotWithShape="1">
                    <a:blip r:embed="rId51">
                      <a:extLst>
                        <a:ext uri="{28A0092B-C50C-407E-A947-70E740481C1C}">
                          <a14:useLocalDpi xmlns:a14="http://schemas.microsoft.com/office/drawing/2010/main" val="0"/>
                        </a:ext>
                      </a:extLst>
                    </a:blip>
                    <a:srcRect l="689"/>
                    <a:stretch/>
                  </pic:blipFill>
                  <pic:spPr bwMode="auto">
                    <a:xfrm>
                      <a:off x="0" y="0"/>
                      <a:ext cx="5899481" cy="4215130"/>
                    </a:xfrm>
                    <a:prstGeom prst="rect">
                      <a:avLst/>
                    </a:prstGeom>
                    <a:ln>
                      <a:noFill/>
                    </a:ln>
                    <a:extLst>
                      <a:ext uri="{53640926-AAD7-44D8-BBD7-CCE9431645EC}">
                        <a14:shadowObscured xmlns:a14="http://schemas.microsoft.com/office/drawing/2010/main"/>
                      </a:ext>
                    </a:extLst>
                  </pic:spPr>
                </pic:pic>
              </a:graphicData>
            </a:graphic>
          </wp:inline>
        </w:drawing>
      </w:r>
    </w:p>
    <w:p w14:paraId="74AE1613" w14:textId="77777777" w:rsidR="000A1CD9" w:rsidRDefault="000A1CD9" w:rsidP="000A1CD9">
      <w:pPr>
        <w:pStyle w:val="ACMANotes"/>
      </w:pPr>
      <w:r w:rsidRPr="00E17A26">
        <w:t>Source: ACMA.</w:t>
      </w:r>
    </w:p>
    <w:p w14:paraId="5591C066" w14:textId="77777777" w:rsidR="000A1CD9" w:rsidRPr="00FD7B97" w:rsidRDefault="000A1CD9" w:rsidP="000A1CD9">
      <w:pPr>
        <w:pStyle w:val="ACMASpaceaftertable"/>
      </w:pPr>
    </w:p>
    <w:p w14:paraId="538EFFAA" w14:textId="77777777" w:rsidR="000A1CD9" w:rsidRPr="009D0255" w:rsidRDefault="000A1CD9" w:rsidP="00A825C7">
      <w:pPr>
        <w:pStyle w:val="Heading2"/>
        <w:keepLines/>
        <w:numPr>
          <w:ilvl w:val="1"/>
          <w:numId w:val="12"/>
        </w:numPr>
        <w:ind w:hanging="792"/>
      </w:pPr>
      <w:bookmarkStart w:id="367" w:name="_Toc399331724"/>
      <w:bookmarkStart w:id="368" w:name="_Toc399336905"/>
      <w:bookmarkStart w:id="369" w:name="_Toc402337504"/>
      <w:bookmarkStart w:id="370" w:name="_Toc462132224"/>
      <w:bookmarkStart w:id="371" w:name="_Toc462899565"/>
      <w:bookmarkStart w:id="372" w:name="_Toc433790310"/>
      <w:bookmarkStart w:id="373" w:name="_Toc463529053"/>
      <w:bookmarkStart w:id="374" w:name="_Toc465842871"/>
      <w:r w:rsidRPr="009D0255">
        <w:t>Allocation of numbers</w:t>
      </w:r>
      <w:bookmarkEnd w:id="367"/>
      <w:bookmarkEnd w:id="368"/>
      <w:bookmarkEnd w:id="369"/>
      <w:bookmarkEnd w:id="370"/>
      <w:bookmarkEnd w:id="371"/>
      <w:bookmarkEnd w:id="372"/>
      <w:bookmarkEnd w:id="373"/>
      <w:bookmarkEnd w:id="374"/>
    </w:p>
    <w:p w14:paraId="2FF30B34" w14:textId="77777777" w:rsidR="000A1CD9" w:rsidRPr="009D0255" w:rsidRDefault="00CD2DE1" w:rsidP="00A825C7">
      <w:pPr>
        <w:pStyle w:val="Heading3"/>
        <w:keepLines/>
      </w:pPr>
      <w:bookmarkStart w:id="375" w:name="_Toc399331725"/>
      <w:bookmarkStart w:id="376" w:name="_Toc399336906"/>
      <w:bookmarkStart w:id="377" w:name="_Toc402337505"/>
      <w:bookmarkStart w:id="378" w:name="_Toc462132225"/>
      <w:bookmarkStart w:id="379" w:name="_Toc462899566"/>
      <w:bookmarkStart w:id="380" w:name="_Toc433790311"/>
      <w:bookmarkStart w:id="381" w:name="_Toc463529054"/>
      <w:bookmarkStart w:id="382" w:name="_Toc465842872"/>
      <w:r>
        <w:t>S</w:t>
      </w:r>
      <w:r w:rsidR="000A1CD9" w:rsidRPr="009D0255">
        <w:t>martnumbers</w:t>
      </w:r>
      <w:bookmarkEnd w:id="375"/>
      <w:bookmarkEnd w:id="376"/>
      <w:bookmarkEnd w:id="377"/>
      <w:bookmarkEnd w:id="378"/>
      <w:bookmarkEnd w:id="379"/>
      <w:bookmarkEnd w:id="380"/>
      <w:bookmarkEnd w:id="381"/>
      <w:bookmarkEnd w:id="382"/>
    </w:p>
    <w:p w14:paraId="1A0199B1" w14:textId="77777777" w:rsidR="000A1CD9" w:rsidRPr="009D0255" w:rsidRDefault="000A1CD9" w:rsidP="00A825C7">
      <w:pPr>
        <w:keepNext/>
        <w:keepLines/>
        <w:spacing w:line="240" w:lineRule="auto"/>
        <w:rPr>
          <w:rFonts w:cs="Arial"/>
          <w:bCs/>
        </w:rPr>
      </w:pPr>
      <w:r w:rsidRPr="009D0255">
        <w:rPr>
          <w:rFonts w:cs="Arial"/>
          <w:bCs/>
        </w:rPr>
        <w:t>The smartnumbers auction system was introduced in 2004 as an efficient way to</w:t>
      </w:r>
      <w:r w:rsidRPr="009D0255" w:rsidDel="00F21F8B">
        <w:rPr>
          <w:rFonts w:cs="Arial"/>
          <w:bCs/>
        </w:rPr>
        <w:t xml:space="preserve"> </w:t>
      </w:r>
      <w:r w:rsidRPr="009D0255">
        <w:rPr>
          <w:rFonts w:cs="Arial"/>
          <w:bCs/>
        </w:rPr>
        <w:t xml:space="preserve">allocate freephone and local rate numbers (FLRNs)—numbers commencing with 13, 1300 and 1800—and to enable an appropriate return for this valuable and limited resource. In 2015–16, the ACMA sold 5,051 numbers, raising approximately $1.75 million in revenue. This quantity of numbers was a 17 per cent increase </w:t>
      </w:r>
      <w:r>
        <w:rPr>
          <w:rFonts w:cs="Arial"/>
          <w:bCs/>
        </w:rPr>
        <w:t>on</w:t>
      </w:r>
      <w:r w:rsidRPr="009D0255">
        <w:rPr>
          <w:rFonts w:cs="Arial"/>
          <w:bCs/>
        </w:rPr>
        <w:t xml:space="preserve"> the 4,330 numbers sold in 2014–15</w:t>
      </w:r>
      <w:r>
        <w:rPr>
          <w:rFonts w:cs="Arial"/>
          <w:bCs/>
        </w:rPr>
        <w:t xml:space="preserve"> (</w:t>
      </w:r>
      <w:r w:rsidRPr="009D0255">
        <w:rPr>
          <w:rFonts w:cs="Arial"/>
          <w:bCs/>
        </w:rPr>
        <w:t>which raised approximately $1.66 million in revenue</w:t>
      </w:r>
      <w:r>
        <w:rPr>
          <w:rFonts w:cs="Arial"/>
          <w:bCs/>
        </w:rPr>
        <w:t>)</w:t>
      </w:r>
      <w:r w:rsidRPr="009D0255">
        <w:rPr>
          <w:rFonts w:cs="Arial"/>
          <w:bCs/>
        </w:rPr>
        <w:t xml:space="preserve">. </w:t>
      </w:r>
    </w:p>
    <w:p w14:paraId="4A71DFEF" w14:textId="77777777" w:rsidR="000A1CD9" w:rsidRPr="009D0255" w:rsidRDefault="000A1CD9" w:rsidP="00A825C7">
      <w:pPr>
        <w:keepNext/>
        <w:keepLines/>
      </w:pPr>
      <w:r w:rsidRPr="009D0255">
        <w:rPr>
          <w:rFonts w:cs="Arial"/>
          <w:bCs/>
        </w:rPr>
        <w:t>On 9 July 201</w:t>
      </w:r>
      <w:r w:rsidR="00BC16E6">
        <w:rPr>
          <w:rFonts w:cs="Arial"/>
          <w:bCs/>
        </w:rPr>
        <w:t>5</w:t>
      </w:r>
      <w:r w:rsidRPr="009D0255">
        <w:rPr>
          <w:rFonts w:cs="Arial"/>
          <w:bCs/>
        </w:rPr>
        <w:t xml:space="preserve">, the ACMA completed the last smartnumbers auction. </w:t>
      </w:r>
      <w:r w:rsidRPr="009D0255">
        <w:t xml:space="preserve">From August 2015, the sale of smartnumbers changed from auction to immediate purchase. This change benefits individuals and organisations that purchase smartnumbers by reducing the delay, uncertainty and complexity inherent in the auction process. </w:t>
      </w:r>
    </w:p>
    <w:p w14:paraId="0DA8BC5A" w14:textId="77777777" w:rsidR="000A1CD9" w:rsidRPr="009D0255" w:rsidRDefault="000A1CD9" w:rsidP="000A1CD9">
      <w:pPr>
        <w:pStyle w:val="Heading3"/>
      </w:pPr>
      <w:bookmarkStart w:id="383" w:name="_Toc399331726"/>
      <w:bookmarkStart w:id="384" w:name="_Toc399336907"/>
      <w:bookmarkStart w:id="385" w:name="_Toc402337506"/>
      <w:bookmarkStart w:id="386" w:name="_Toc462132226"/>
      <w:bookmarkStart w:id="387" w:name="_Toc462899567"/>
      <w:bookmarkStart w:id="388" w:name="_Toc433790312"/>
      <w:bookmarkStart w:id="389" w:name="_Toc463529055"/>
      <w:bookmarkStart w:id="390" w:name="_Toc465842873"/>
      <w:r w:rsidRPr="009D0255">
        <w:t>Geographic numbers</w:t>
      </w:r>
      <w:bookmarkEnd w:id="383"/>
      <w:bookmarkEnd w:id="384"/>
      <w:bookmarkEnd w:id="385"/>
      <w:bookmarkEnd w:id="386"/>
      <w:bookmarkEnd w:id="387"/>
      <w:bookmarkEnd w:id="388"/>
      <w:bookmarkEnd w:id="389"/>
      <w:bookmarkEnd w:id="390"/>
    </w:p>
    <w:p w14:paraId="1D4E8B16" w14:textId="77777777" w:rsidR="000A1CD9" w:rsidRPr="008C20E6" w:rsidRDefault="000A1CD9" w:rsidP="000A1CD9">
      <w:pPr>
        <w:keepNext/>
        <w:spacing w:line="240" w:lineRule="auto"/>
        <w:rPr>
          <w:rFonts w:cs="Arial"/>
          <w:bCs/>
        </w:rPr>
      </w:pPr>
      <w:r w:rsidRPr="009D0255">
        <w:rPr>
          <w:rFonts w:cs="Arial"/>
          <w:bCs/>
        </w:rPr>
        <w:t xml:space="preserve">In 2015–16, </w:t>
      </w:r>
      <w:r w:rsidRPr="00FA7DD4">
        <w:rPr>
          <w:rFonts w:cs="Arial"/>
          <w:bCs/>
        </w:rPr>
        <w:t>CSPs were allocated 3,083,200 geographic numbers</w:t>
      </w:r>
      <w:r w:rsidRPr="008C20E6">
        <w:rPr>
          <w:rFonts w:cs="Arial"/>
          <w:bCs/>
        </w:rPr>
        <w:t>—a 95 per cent increase on allocations in 2014–15 (Figure 1.</w:t>
      </w:r>
      <w:r>
        <w:rPr>
          <w:rFonts w:cs="Arial"/>
          <w:bCs/>
        </w:rPr>
        <w:t>12</w:t>
      </w:r>
      <w:r w:rsidRPr="008C20E6">
        <w:rPr>
          <w:rFonts w:cs="Arial"/>
          <w:bCs/>
        </w:rPr>
        <w:t xml:space="preserve">). </w:t>
      </w:r>
    </w:p>
    <w:p w14:paraId="693A7BEB" w14:textId="77777777" w:rsidR="000A1CD9" w:rsidRPr="00C87D12" w:rsidRDefault="000A1CD9" w:rsidP="000A1CD9">
      <w:pPr>
        <w:spacing w:line="240" w:lineRule="auto"/>
        <w:rPr>
          <w:rFonts w:cs="Arial"/>
          <w:bCs/>
        </w:rPr>
      </w:pPr>
      <w:r w:rsidRPr="008C20E6">
        <w:rPr>
          <w:rFonts w:cs="Arial"/>
          <w:bCs/>
        </w:rPr>
        <w:t>There were no geographic numbers surrendered during 2015–16 or 2014–15. During 2015–16, 1,825,000 geographic numbers were transferred between CSPs.</w:t>
      </w:r>
      <w:r w:rsidRPr="00C87D12">
        <w:rPr>
          <w:rFonts w:cs="Arial"/>
          <w:bCs/>
        </w:rPr>
        <w:t xml:space="preserve"> </w:t>
      </w:r>
    </w:p>
    <w:p w14:paraId="03B0D7AB" w14:textId="77777777" w:rsidR="000A1CD9" w:rsidRPr="00370CC1" w:rsidRDefault="000A1CD9" w:rsidP="006B490C">
      <w:pPr>
        <w:pStyle w:val="ACMAFigureHeader"/>
        <w:keepNext/>
        <w:keepLines/>
        <w:tabs>
          <w:tab w:val="left" w:pos="1134"/>
        </w:tabs>
        <w:ind w:left="1134" w:hanging="1134"/>
        <w:rPr>
          <w:rFonts w:cs="Arial"/>
        </w:rPr>
      </w:pPr>
      <w:bookmarkStart w:id="391" w:name="_Ref398813220"/>
      <w:r w:rsidRPr="00370CC1">
        <w:lastRenderedPageBreak/>
        <w:t>Figure 1.</w:t>
      </w:r>
      <w:bookmarkEnd w:id="391"/>
      <w:r>
        <w:t>12</w:t>
      </w:r>
      <w:r>
        <w:tab/>
      </w:r>
      <w:r w:rsidR="006B490C">
        <w:tab/>
      </w:r>
      <w:r w:rsidRPr="00370CC1">
        <w:t>Trends in geographic numbers allocated</w:t>
      </w:r>
    </w:p>
    <w:p w14:paraId="324E60D0" w14:textId="77777777" w:rsidR="000A1CD9" w:rsidRPr="00C87D12" w:rsidRDefault="00ED6390" w:rsidP="000A1CD9">
      <w:pPr>
        <w:keepNext/>
        <w:keepLines/>
        <w:spacing w:after="0" w:line="240" w:lineRule="auto"/>
        <w:rPr>
          <w:rFonts w:cs="Arial"/>
          <w:bCs/>
        </w:rPr>
      </w:pPr>
      <w:r>
        <w:rPr>
          <w:rFonts w:cs="Arial"/>
          <w:bCs/>
          <w:noProof/>
        </w:rPr>
        <w:drawing>
          <wp:inline distT="0" distB="0" distL="0" distR="0" wp14:anchorId="582D3350" wp14:editId="1BCF21A6">
            <wp:extent cx="5876925" cy="1951630"/>
            <wp:effectExtent l="0" t="0" r="0" b="0"/>
            <wp:docPr id="122" name="Picture 122" descr="Data for Figure 1.12 is in the .ods file for Chapter 1 on the landing page ‘Communications report 2015-16’, available from the ACMA website." title="Figure 1.12 Trends in geographic numbers al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e 1.12_Figure 1.12.png"/>
                    <pic:cNvPicPr/>
                  </pic:nvPicPr>
                  <pic:blipFill rotWithShape="1">
                    <a:blip r:embed="rId52">
                      <a:extLst>
                        <a:ext uri="{28A0092B-C50C-407E-A947-70E740481C1C}">
                          <a14:useLocalDpi xmlns:a14="http://schemas.microsoft.com/office/drawing/2010/main" val="0"/>
                        </a:ext>
                      </a:extLst>
                    </a:blip>
                    <a:srcRect l="1034" t="2329" b="2453"/>
                    <a:stretch/>
                  </pic:blipFill>
                  <pic:spPr bwMode="auto">
                    <a:xfrm>
                      <a:off x="0" y="0"/>
                      <a:ext cx="5878995" cy="1952317"/>
                    </a:xfrm>
                    <a:prstGeom prst="rect">
                      <a:avLst/>
                    </a:prstGeom>
                    <a:ln>
                      <a:noFill/>
                    </a:ln>
                    <a:extLst>
                      <a:ext uri="{53640926-AAD7-44D8-BBD7-CCE9431645EC}">
                        <a14:shadowObscured xmlns:a14="http://schemas.microsoft.com/office/drawing/2010/main"/>
                      </a:ext>
                    </a:extLst>
                  </pic:spPr>
                </pic:pic>
              </a:graphicData>
            </a:graphic>
          </wp:inline>
        </w:drawing>
      </w:r>
    </w:p>
    <w:p w14:paraId="03E4CD0E" w14:textId="77777777" w:rsidR="000A1CD9" w:rsidRDefault="000A1CD9" w:rsidP="000A1CD9">
      <w:pPr>
        <w:pStyle w:val="ACMANotes"/>
        <w:keepNext/>
        <w:keepLines/>
      </w:pPr>
      <w:r w:rsidRPr="00C87D12">
        <w:t>Source: ACMA.</w:t>
      </w:r>
    </w:p>
    <w:p w14:paraId="7B9B3C1E" w14:textId="77777777" w:rsidR="000A1CD9" w:rsidRPr="00C87D12" w:rsidRDefault="000A1CD9" w:rsidP="000A1CD9">
      <w:pPr>
        <w:pStyle w:val="ACMASpaceaftertable"/>
      </w:pPr>
    </w:p>
    <w:p w14:paraId="0D5E4748" w14:textId="77777777" w:rsidR="000A1CD9" w:rsidRPr="00C2004C" w:rsidRDefault="000A1CD9" w:rsidP="000A1CD9">
      <w:pPr>
        <w:pStyle w:val="Heading3"/>
      </w:pPr>
      <w:bookmarkStart w:id="392" w:name="_Toc399331727"/>
      <w:bookmarkStart w:id="393" w:name="_Toc399336908"/>
      <w:bookmarkStart w:id="394" w:name="_Toc402337507"/>
      <w:bookmarkStart w:id="395" w:name="_Toc462132227"/>
      <w:bookmarkStart w:id="396" w:name="_Toc462899568"/>
      <w:bookmarkStart w:id="397" w:name="_Toc433790313"/>
      <w:bookmarkStart w:id="398" w:name="_Toc463529056"/>
      <w:bookmarkStart w:id="399" w:name="_Toc465842874"/>
      <w:r>
        <w:t>M</w:t>
      </w:r>
      <w:r w:rsidRPr="00C2004C">
        <w:t>obile numbers</w:t>
      </w:r>
      <w:bookmarkEnd w:id="392"/>
      <w:bookmarkEnd w:id="393"/>
      <w:bookmarkEnd w:id="394"/>
      <w:bookmarkEnd w:id="395"/>
      <w:bookmarkEnd w:id="396"/>
      <w:bookmarkEnd w:id="397"/>
      <w:bookmarkEnd w:id="398"/>
      <w:bookmarkEnd w:id="399"/>
      <w:r w:rsidRPr="00C2004C">
        <w:t xml:space="preserve"> </w:t>
      </w:r>
    </w:p>
    <w:p w14:paraId="74E15CB6" w14:textId="77777777" w:rsidR="000A1CD9" w:rsidRPr="00C2004C" w:rsidRDefault="000A1CD9" w:rsidP="000A1CD9">
      <w:r w:rsidRPr="00C2004C">
        <w:t>During 2015–16, CSPs were allocated 1.24 million mobile numbers, 40,000 more than in 2014–15. At</w:t>
      </w:r>
      <w:r w:rsidR="008F3F55">
        <w:t> </w:t>
      </w:r>
      <w:r w:rsidRPr="00C2004C">
        <w:t>30</w:t>
      </w:r>
      <w:r>
        <w:t> </w:t>
      </w:r>
      <w:r w:rsidRPr="00C2004C">
        <w:t xml:space="preserve">June 2016, 70.2 per cent of available mobile numbers had been allocated. </w:t>
      </w:r>
    </w:p>
    <w:p w14:paraId="04AE9DDE" w14:textId="77777777" w:rsidR="000A1CD9" w:rsidRPr="00C2004C" w:rsidRDefault="000A1CD9" w:rsidP="000A1CD9">
      <w:pPr>
        <w:pStyle w:val="Heading3"/>
      </w:pPr>
      <w:bookmarkStart w:id="400" w:name="_Toc399331728"/>
      <w:bookmarkStart w:id="401" w:name="_Toc399336909"/>
      <w:bookmarkStart w:id="402" w:name="_Toc402337508"/>
      <w:bookmarkStart w:id="403" w:name="_Toc462132228"/>
      <w:bookmarkStart w:id="404" w:name="_Toc462899569"/>
      <w:bookmarkStart w:id="405" w:name="_Toc433790314"/>
      <w:bookmarkStart w:id="406" w:name="_Toc463529057"/>
      <w:bookmarkStart w:id="407" w:name="_Toc465842875"/>
      <w:r w:rsidRPr="00C2004C">
        <w:t>Other numbers</w:t>
      </w:r>
      <w:bookmarkEnd w:id="400"/>
      <w:bookmarkEnd w:id="401"/>
      <w:bookmarkEnd w:id="402"/>
      <w:bookmarkEnd w:id="403"/>
      <w:bookmarkEnd w:id="404"/>
      <w:bookmarkEnd w:id="405"/>
      <w:bookmarkEnd w:id="406"/>
      <w:bookmarkEnd w:id="407"/>
    </w:p>
    <w:p w14:paraId="39EB08EB" w14:textId="77777777" w:rsidR="000A1CD9" w:rsidRPr="00FD7E86" w:rsidRDefault="000A1CD9" w:rsidP="000A1CD9">
      <w:r w:rsidRPr="00C2004C">
        <w:t>During 2015–16</w:t>
      </w:r>
      <w:r w:rsidRPr="00C2004C" w:rsidDel="001320E9">
        <w:t xml:space="preserve">, </w:t>
      </w:r>
      <w:r w:rsidRPr="00C2004C">
        <w:t xml:space="preserve">one interconnection and routing code, four mobile network codes, 1,000 data network services and two international signalling point codes were issued to network operators. </w:t>
      </w:r>
    </w:p>
    <w:p w14:paraId="08C1ECDA" w14:textId="77777777" w:rsidR="000A1CD9" w:rsidRPr="00FD7E86" w:rsidRDefault="000A1CD9" w:rsidP="00CC655E">
      <w:pPr>
        <w:pStyle w:val="Heading2"/>
        <w:numPr>
          <w:ilvl w:val="1"/>
          <w:numId w:val="12"/>
        </w:numPr>
        <w:ind w:hanging="792"/>
      </w:pPr>
      <w:bookmarkStart w:id="408" w:name="_Toc399331729"/>
      <w:bookmarkStart w:id="409" w:name="_Toc399336910"/>
      <w:bookmarkStart w:id="410" w:name="_Toc402337509"/>
      <w:bookmarkStart w:id="411" w:name="_Toc462132229"/>
      <w:bookmarkStart w:id="412" w:name="_Toc462899570"/>
      <w:bookmarkStart w:id="413" w:name="_Toc433790315"/>
      <w:bookmarkStart w:id="414" w:name="_Toc463529058"/>
      <w:bookmarkStart w:id="415" w:name="_Toc465842876"/>
      <w:r w:rsidRPr="00FD7E86">
        <w:t>Broadcasting services</w:t>
      </w:r>
      <w:bookmarkEnd w:id="408"/>
      <w:bookmarkEnd w:id="409"/>
      <w:bookmarkEnd w:id="410"/>
      <w:bookmarkEnd w:id="411"/>
      <w:bookmarkEnd w:id="412"/>
      <w:bookmarkEnd w:id="413"/>
      <w:bookmarkEnd w:id="414"/>
      <w:bookmarkEnd w:id="415"/>
    </w:p>
    <w:p w14:paraId="12A813A2" w14:textId="77777777" w:rsidR="000A1CD9" w:rsidRPr="00FD7E86" w:rsidRDefault="000A1CD9" w:rsidP="000A1CD9">
      <w:pPr>
        <w:pStyle w:val="Heading3"/>
      </w:pPr>
      <w:bookmarkStart w:id="416" w:name="_Toc399331730"/>
      <w:bookmarkStart w:id="417" w:name="_Toc399336911"/>
      <w:bookmarkStart w:id="418" w:name="_Toc402337510"/>
      <w:bookmarkStart w:id="419" w:name="_Toc462132230"/>
      <w:bookmarkStart w:id="420" w:name="_Toc462899571"/>
      <w:bookmarkStart w:id="421" w:name="_Toc463529059"/>
      <w:bookmarkStart w:id="422" w:name="_Toc465842877"/>
      <w:r w:rsidRPr="00923B14">
        <w:t>Number of broadcasters by segment (radio/television/commercial)</w:t>
      </w:r>
      <w:bookmarkEnd w:id="416"/>
      <w:bookmarkEnd w:id="417"/>
      <w:bookmarkEnd w:id="418"/>
      <w:bookmarkEnd w:id="419"/>
      <w:bookmarkEnd w:id="420"/>
      <w:bookmarkEnd w:id="421"/>
      <w:bookmarkEnd w:id="422"/>
    </w:p>
    <w:p w14:paraId="5505D650" w14:textId="77777777" w:rsidR="000A1CD9" w:rsidRPr="00FD7E86" w:rsidRDefault="000A1CD9" w:rsidP="000A1CD9">
      <w:pPr>
        <w:keepNext/>
        <w:keepLines/>
        <w:spacing w:after="80" w:line="240" w:lineRule="auto"/>
      </w:pPr>
      <w:r w:rsidRPr="00FD7E86">
        <w:rPr>
          <w:rFonts w:cs="Arial"/>
        </w:rPr>
        <w:t xml:space="preserve">The number of commercial broadcasting licences in operation for television and radio saw minimal changes </w:t>
      </w:r>
      <w:r>
        <w:rPr>
          <w:rFonts w:cs="Arial"/>
        </w:rPr>
        <w:t>from</w:t>
      </w:r>
      <w:r w:rsidRPr="00FD7E86">
        <w:rPr>
          <w:rFonts w:cs="Arial"/>
        </w:rPr>
        <w:t xml:space="preserve"> the 201</w:t>
      </w:r>
      <w:r>
        <w:rPr>
          <w:rFonts w:cs="Arial"/>
        </w:rPr>
        <w:t>4</w:t>
      </w:r>
      <w:r w:rsidRPr="00FD7E86">
        <w:rPr>
          <w:rFonts w:cs="Arial"/>
        </w:rPr>
        <w:t>–1</w:t>
      </w:r>
      <w:r>
        <w:rPr>
          <w:rFonts w:cs="Arial"/>
        </w:rPr>
        <w:t>5</w:t>
      </w:r>
      <w:r w:rsidRPr="00FD7E86">
        <w:rPr>
          <w:rFonts w:cs="Arial"/>
        </w:rPr>
        <w:t xml:space="preserve"> reporting period. At June 201</w:t>
      </w:r>
      <w:r>
        <w:rPr>
          <w:rFonts w:cs="Arial"/>
        </w:rPr>
        <w:t>6</w:t>
      </w:r>
      <w:r w:rsidRPr="00FD7E86">
        <w:rPr>
          <w:rFonts w:cs="Arial"/>
        </w:rPr>
        <w:t>, the number</w:t>
      </w:r>
      <w:r w:rsidR="00096AAD">
        <w:rPr>
          <w:rFonts w:cs="Arial"/>
        </w:rPr>
        <w:t>s</w:t>
      </w:r>
      <w:r w:rsidRPr="00FD7E86">
        <w:rPr>
          <w:rFonts w:cs="Arial"/>
        </w:rPr>
        <w:t xml:space="preserve"> of active licences in Australia were (Figure 1.1</w:t>
      </w:r>
      <w:r>
        <w:rPr>
          <w:rFonts w:cs="Arial"/>
        </w:rPr>
        <w:t>3</w:t>
      </w:r>
      <w:r w:rsidRPr="00FD7E86">
        <w:t>)</w:t>
      </w:r>
      <w:r w:rsidRPr="00FD7E86">
        <w:rPr>
          <w:rFonts w:cs="Arial"/>
        </w:rPr>
        <w:t>:</w:t>
      </w:r>
    </w:p>
    <w:p w14:paraId="5BFB9832" w14:textId="77777777" w:rsidR="000A1CD9" w:rsidRPr="00FD7E86" w:rsidRDefault="000A1CD9" w:rsidP="000A1CD9">
      <w:pPr>
        <w:pStyle w:val="ListBullet"/>
      </w:pPr>
      <w:r w:rsidRPr="00FD7E86">
        <w:t xml:space="preserve">342 commercial broadcasting (radio and television) licences, unchanged from last year </w:t>
      </w:r>
    </w:p>
    <w:p w14:paraId="5E0AADE6" w14:textId="77777777" w:rsidR="000A1CD9" w:rsidRPr="00FD7E86" w:rsidRDefault="000A1CD9" w:rsidP="000A1CD9">
      <w:pPr>
        <w:pStyle w:val="ListBullet"/>
      </w:pPr>
      <w:r w:rsidRPr="00FD7E86">
        <w:t>2,</w:t>
      </w:r>
      <w:r w:rsidR="00E14034">
        <w:t>8</w:t>
      </w:r>
      <w:r w:rsidRPr="00FD7E86">
        <w:t xml:space="preserve">35 subscription television licences, </w:t>
      </w:r>
      <w:r w:rsidR="00E14034">
        <w:t xml:space="preserve">up by 100 in </w:t>
      </w:r>
      <w:r w:rsidR="00521718">
        <w:t>the year to June 2016</w:t>
      </w:r>
    </w:p>
    <w:p w14:paraId="5ABE346F" w14:textId="77777777" w:rsidR="000A1CD9" w:rsidRPr="00FA7DD4" w:rsidRDefault="000A1CD9" w:rsidP="000A1CD9">
      <w:pPr>
        <w:pStyle w:val="ListBulletLast"/>
        <w:rPr>
          <w:b/>
        </w:rPr>
      </w:pPr>
      <w:r w:rsidRPr="00FA7DD4">
        <w:t xml:space="preserve">507 community radio and television licences (including temporary licences), up by one licence. </w:t>
      </w:r>
    </w:p>
    <w:p w14:paraId="4DEE6508" w14:textId="77777777" w:rsidR="000A1CD9" w:rsidRPr="00531CD0" w:rsidRDefault="000A1CD9" w:rsidP="006E7298">
      <w:pPr>
        <w:pStyle w:val="ACMAFigureHeader"/>
        <w:keepNext/>
        <w:ind w:left="1134" w:hanging="1134"/>
      </w:pPr>
      <w:r w:rsidRPr="00531CD0">
        <w:lastRenderedPageBreak/>
        <w:t>Figure 1.</w:t>
      </w:r>
      <w:r w:rsidRPr="00CD2CAD">
        <w:t>1</w:t>
      </w:r>
      <w:r>
        <w:t>3</w:t>
      </w:r>
      <w:r>
        <w:tab/>
      </w:r>
      <w:r w:rsidRPr="00531CD0">
        <w:t>Number of broadcasting licences in operation in Australia</w:t>
      </w:r>
    </w:p>
    <w:p w14:paraId="4DA6D486" w14:textId="77777777" w:rsidR="000A1CD9" w:rsidRPr="00FD7E86" w:rsidRDefault="0011612B" w:rsidP="000A1CD9">
      <w:pPr>
        <w:pStyle w:val="ListBullet"/>
        <w:numPr>
          <w:ilvl w:val="0"/>
          <w:numId w:val="0"/>
        </w:numPr>
        <w:ind w:left="295" w:hanging="295"/>
      </w:pPr>
      <w:r>
        <w:rPr>
          <w:noProof/>
        </w:rPr>
        <w:drawing>
          <wp:inline distT="0" distB="0" distL="0" distR="0" wp14:anchorId="4E7E4627" wp14:editId="5D56239A">
            <wp:extent cx="5187592" cy="5054190"/>
            <wp:effectExtent l="0" t="0" r="0" b="0"/>
            <wp:docPr id="32" name="Picture 32" descr="Data for Figure 1.13 is in the .ods file for Chapter 1 on the landing page ‘Communications report 2015-16’, available from the ACMA website." title="Figure 1.13  Number of broadcasting licences in oper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1.13_Figure 1.13.png"/>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5201070" cy="5067321"/>
                    </a:xfrm>
                    <a:prstGeom prst="rect">
                      <a:avLst/>
                    </a:prstGeom>
                    <a:ln>
                      <a:noFill/>
                    </a:ln>
                    <a:extLst>
                      <a:ext uri="{53640926-AAD7-44D8-BBD7-CCE9431645EC}">
                        <a14:shadowObscured xmlns:a14="http://schemas.microsoft.com/office/drawing/2010/main"/>
                      </a:ext>
                    </a:extLst>
                  </pic:spPr>
                </pic:pic>
              </a:graphicData>
            </a:graphic>
          </wp:inline>
        </w:drawing>
      </w:r>
    </w:p>
    <w:p w14:paraId="1433F2BF" w14:textId="77777777" w:rsidR="000A1CD9" w:rsidRDefault="000A1CD9" w:rsidP="000A1CD9">
      <w:pPr>
        <w:pStyle w:val="ACMANotes"/>
      </w:pPr>
      <w:r w:rsidRPr="00FD7E86">
        <w:t>Source: ACMA.</w:t>
      </w:r>
    </w:p>
    <w:p w14:paraId="27F4499A" w14:textId="77777777" w:rsidR="000A1CD9" w:rsidRDefault="000A1CD9" w:rsidP="000A1CD9">
      <w:pPr>
        <w:pStyle w:val="ACMASpaceaftertable"/>
      </w:pPr>
    </w:p>
    <w:p w14:paraId="61B865F8" w14:textId="77777777" w:rsidR="000A1CD9" w:rsidRPr="0014722A" w:rsidRDefault="000A1CD9" w:rsidP="000A1CD9">
      <w:pPr>
        <w:pStyle w:val="Heading3"/>
      </w:pPr>
      <w:bookmarkStart w:id="423" w:name="_Toc462132231"/>
      <w:bookmarkStart w:id="424" w:name="_Toc462899572"/>
      <w:bookmarkStart w:id="425" w:name="_Toc433790316"/>
      <w:bookmarkStart w:id="426" w:name="_Toc463529060"/>
      <w:bookmarkStart w:id="427" w:name="_Toc465842878"/>
      <w:bookmarkStart w:id="428" w:name="_Toc399331735"/>
      <w:bookmarkStart w:id="429" w:name="_Toc399336916"/>
      <w:bookmarkStart w:id="430" w:name="_Toc402337516"/>
      <w:bookmarkStart w:id="431" w:name="_Toc433790319"/>
      <w:r w:rsidRPr="0014722A">
        <w:t>Commercial broadcasting services</w:t>
      </w:r>
      <w:bookmarkEnd w:id="423"/>
      <w:bookmarkEnd w:id="424"/>
      <w:bookmarkEnd w:id="425"/>
      <w:bookmarkEnd w:id="426"/>
      <w:bookmarkEnd w:id="427"/>
      <w:r w:rsidRPr="0014722A">
        <w:t xml:space="preserve"> </w:t>
      </w:r>
    </w:p>
    <w:p w14:paraId="7A2CD0CE" w14:textId="77777777" w:rsidR="000A1CD9" w:rsidRPr="0014722A" w:rsidRDefault="000A1CD9" w:rsidP="000A1CD9">
      <w:pPr>
        <w:keepNext/>
        <w:rPr>
          <w:rFonts w:cs="Arial"/>
        </w:rPr>
      </w:pPr>
      <w:r w:rsidRPr="0014722A">
        <w:rPr>
          <w:rFonts w:cs="Arial"/>
        </w:rPr>
        <w:t xml:space="preserve">Commercial broadcasting services comprise </w:t>
      </w:r>
      <w:r>
        <w:rPr>
          <w:rFonts w:cs="Arial"/>
        </w:rPr>
        <w:t>FTA</w:t>
      </w:r>
      <w:r w:rsidRPr="0014722A">
        <w:rPr>
          <w:rFonts w:cs="Arial"/>
        </w:rPr>
        <w:t xml:space="preserve"> radio and television services that are made available to the general public. These services are licensed to operate within specified geographic areas and are subject to regulations to limit concentration of their ownership and control.</w:t>
      </w:r>
    </w:p>
    <w:p w14:paraId="24535664" w14:textId="77777777" w:rsidR="000A1CD9" w:rsidRPr="0014722A" w:rsidRDefault="000A1CD9" w:rsidP="000A1CD9">
      <w:pPr>
        <w:pStyle w:val="Bodysubheader0"/>
      </w:pPr>
      <w:bookmarkStart w:id="432" w:name="_Toc463529061"/>
      <w:r w:rsidRPr="0014722A">
        <w:t>Ownership and control of commercial television services</w:t>
      </w:r>
      <w:bookmarkEnd w:id="432"/>
    </w:p>
    <w:p w14:paraId="2C25EF01" w14:textId="77777777" w:rsidR="000A1CD9" w:rsidRPr="0014722A" w:rsidRDefault="000A1CD9" w:rsidP="000A1CD9">
      <w:pPr>
        <w:rPr>
          <w:rFonts w:cs="Arial"/>
        </w:rPr>
      </w:pPr>
      <w:r w:rsidRPr="0014722A">
        <w:rPr>
          <w:rFonts w:cs="Arial"/>
        </w:rPr>
        <w:t xml:space="preserve">During 2015–16, there were a number of </w:t>
      </w:r>
      <w:r>
        <w:rPr>
          <w:rFonts w:cs="Arial"/>
        </w:rPr>
        <w:t xml:space="preserve">ownership and </w:t>
      </w:r>
      <w:r w:rsidRPr="0014722A">
        <w:rPr>
          <w:rFonts w:cs="Arial"/>
        </w:rPr>
        <w:t>control changes in the media. Some involved the transfer of licences to different media networks or groups while others were a result of financial or company restructures.</w:t>
      </w:r>
    </w:p>
    <w:p w14:paraId="464EC770" w14:textId="77777777" w:rsidR="000A1CD9" w:rsidRPr="0014722A" w:rsidRDefault="000A1CD9" w:rsidP="000A1CD9">
      <w:pPr>
        <w:rPr>
          <w:rFonts w:cs="Arial"/>
        </w:rPr>
      </w:pPr>
      <w:r w:rsidRPr="0014722A">
        <w:rPr>
          <w:rFonts w:cs="Arial"/>
        </w:rPr>
        <w:t>The Seven, Nine and Ten networks operate commercial television broadcasting licences predominantly in metropolitan markets. Their programming is also made available in regional markets through affiliation agreements with the regional television licences controlled by Prime Media Group Limited, Southern Cross Media Group Limited, WIN Corporation Pty Ltd and Imparja Television Pty Ltd.</w:t>
      </w:r>
      <w:r w:rsidRPr="0014722A">
        <w:rPr>
          <w:vertAlign w:val="superscript"/>
        </w:rPr>
        <w:endnoteReference w:id="103"/>
      </w:r>
      <w:r w:rsidRPr="0014722A">
        <w:rPr>
          <w:rFonts w:cs="Arial"/>
        </w:rPr>
        <w:t xml:space="preserve"> </w:t>
      </w:r>
    </w:p>
    <w:p w14:paraId="5745F7DE" w14:textId="77777777" w:rsidR="000A1CD9" w:rsidRPr="0014722A" w:rsidRDefault="000A1CD9" w:rsidP="000A1CD9">
      <w:pPr>
        <w:rPr>
          <w:rFonts w:cs="Arial"/>
        </w:rPr>
      </w:pPr>
      <w:r w:rsidRPr="0014722A">
        <w:rPr>
          <w:rFonts w:cs="Arial"/>
        </w:rPr>
        <w:t>Table 1.7 summarises ownership and control of these services in Australia.</w:t>
      </w:r>
    </w:p>
    <w:p w14:paraId="3242D3DE" w14:textId="77777777" w:rsidR="000A1CD9" w:rsidRDefault="000A1CD9" w:rsidP="000A1CD9">
      <w:pPr>
        <w:rPr>
          <w:rFonts w:cs="Arial"/>
        </w:rPr>
      </w:pPr>
      <w:r w:rsidRPr="0014722A">
        <w:rPr>
          <w:rFonts w:cs="Arial"/>
        </w:rPr>
        <w:t>The key c</w:t>
      </w:r>
      <w:r>
        <w:rPr>
          <w:rFonts w:cs="Arial"/>
        </w:rPr>
        <w:t>hange that occurred during 2015–</w:t>
      </w:r>
      <w:r w:rsidRPr="0014722A">
        <w:rPr>
          <w:rFonts w:cs="Arial"/>
        </w:rPr>
        <w:t>16 was on 9 November 2015, when companies in the Apollo Group ceased to be in control of the commercial television licences held by the Nine Network.</w:t>
      </w:r>
    </w:p>
    <w:p w14:paraId="48C6CBC8" w14:textId="77777777" w:rsidR="000A1CD9" w:rsidRPr="0014722A" w:rsidRDefault="000A1CD9" w:rsidP="000A1CD9">
      <w:pPr>
        <w:pStyle w:val="ACMATableHeader"/>
        <w:keepNext/>
        <w:numPr>
          <w:ilvl w:val="0"/>
          <w:numId w:val="0"/>
        </w:numPr>
        <w:ind w:left="964" w:hanging="964"/>
      </w:pPr>
      <w:r>
        <w:lastRenderedPageBreak/>
        <w:t>Table 1.7</w:t>
      </w:r>
      <w:r>
        <w:tab/>
      </w:r>
      <w:r w:rsidRPr="0014722A">
        <w:t xml:space="preserve">Ownership and control of commercial television services in Australia </w:t>
      </w:r>
    </w:p>
    <w:tbl>
      <w:tblPr>
        <w:tblW w:w="946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57" w:type="dxa"/>
          <w:left w:w="57" w:type="dxa"/>
          <w:bottom w:w="57" w:type="dxa"/>
          <w:right w:w="57" w:type="dxa"/>
        </w:tblCellMar>
        <w:tblLook w:val="01E0" w:firstRow="1" w:lastRow="1" w:firstColumn="1" w:lastColumn="1" w:noHBand="0" w:noVBand="0"/>
        <w:tblCaption w:val="Table 1.7 Ownership and control of commercial television services in Australia "/>
      </w:tblPr>
      <w:tblGrid>
        <w:gridCol w:w="1813"/>
        <w:gridCol w:w="1701"/>
        <w:gridCol w:w="992"/>
        <w:gridCol w:w="4962"/>
      </w:tblGrid>
      <w:tr w:rsidR="000A1CD9" w:rsidRPr="009E6D3B" w14:paraId="6FEC89DE" w14:textId="77777777" w:rsidTr="00E43B42">
        <w:trPr>
          <w:trHeight w:val="185"/>
        </w:trPr>
        <w:tc>
          <w:tcPr>
            <w:tcW w:w="1813" w:type="dxa"/>
            <w:shd w:val="clear" w:color="auto" w:fill="007298"/>
          </w:tcPr>
          <w:p w14:paraId="0D849339" w14:textId="77777777" w:rsidR="000A1CD9" w:rsidRPr="00101030" w:rsidRDefault="000A1CD9" w:rsidP="00914F81">
            <w:pPr>
              <w:pStyle w:val="TableHeading"/>
              <w:spacing w:before="0" w:line="240" w:lineRule="auto"/>
            </w:pPr>
            <w:r w:rsidRPr="00101030">
              <w:t>Network</w:t>
            </w:r>
          </w:p>
        </w:tc>
        <w:tc>
          <w:tcPr>
            <w:tcW w:w="1701" w:type="dxa"/>
            <w:shd w:val="clear" w:color="auto" w:fill="007298"/>
          </w:tcPr>
          <w:p w14:paraId="3210A3D6" w14:textId="77777777" w:rsidR="000A1CD9" w:rsidRPr="00101030" w:rsidRDefault="000A1CD9" w:rsidP="00914F81">
            <w:pPr>
              <w:pStyle w:val="TableHeading"/>
              <w:spacing w:before="0" w:line="240" w:lineRule="auto"/>
            </w:pPr>
            <w:r w:rsidRPr="00101030">
              <w:t>Licence type</w:t>
            </w:r>
          </w:p>
        </w:tc>
        <w:tc>
          <w:tcPr>
            <w:tcW w:w="992" w:type="dxa"/>
            <w:shd w:val="clear" w:color="auto" w:fill="007298"/>
          </w:tcPr>
          <w:p w14:paraId="436A1013" w14:textId="77777777" w:rsidR="000A1CD9" w:rsidRPr="00101030" w:rsidRDefault="000A1CD9" w:rsidP="005B333B">
            <w:pPr>
              <w:pStyle w:val="TableHeading"/>
              <w:spacing w:before="0" w:line="240" w:lineRule="auto"/>
              <w:jc w:val="center"/>
            </w:pPr>
            <w:r w:rsidRPr="00101030">
              <w:t>Number</w:t>
            </w:r>
          </w:p>
        </w:tc>
        <w:tc>
          <w:tcPr>
            <w:tcW w:w="4962" w:type="dxa"/>
            <w:shd w:val="clear" w:color="auto" w:fill="007298"/>
          </w:tcPr>
          <w:p w14:paraId="56F77FBE" w14:textId="77777777" w:rsidR="000A1CD9" w:rsidRPr="00101030" w:rsidRDefault="000A1CD9" w:rsidP="00914F81">
            <w:pPr>
              <w:pStyle w:val="TableHeading"/>
              <w:spacing w:before="0" w:line="240" w:lineRule="auto"/>
            </w:pPr>
            <w:r w:rsidRPr="00101030">
              <w:t>Ownership and control—licence areas</w:t>
            </w:r>
          </w:p>
        </w:tc>
      </w:tr>
      <w:tr w:rsidR="000A1CD9" w:rsidRPr="009E6D3B" w14:paraId="60FD76D3" w14:textId="77777777" w:rsidTr="00914F81">
        <w:trPr>
          <w:trHeight w:val="137"/>
        </w:trPr>
        <w:tc>
          <w:tcPr>
            <w:tcW w:w="1813" w:type="dxa"/>
            <w:vMerge w:val="restart"/>
            <w:shd w:val="clear" w:color="auto" w:fill="7FB8CB"/>
          </w:tcPr>
          <w:p w14:paraId="6071EE6D"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Seven Group Holdings Ltd</w:t>
            </w:r>
          </w:p>
        </w:tc>
        <w:tc>
          <w:tcPr>
            <w:tcW w:w="1701" w:type="dxa"/>
            <w:shd w:val="clear" w:color="auto" w:fill="7FB8CB"/>
          </w:tcPr>
          <w:p w14:paraId="0DD4B147"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Metropolitan</w:t>
            </w:r>
          </w:p>
        </w:tc>
        <w:tc>
          <w:tcPr>
            <w:tcW w:w="992" w:type="dxa"/>
            <w:shd w:val="clear" w:color="auto" w:fill="D2E1E9"/>
          </w:tcPr>
          <w:p w14:paraId="33A1B6ED" w14:textId="77777777" w:rsidR="000A1CD9" w:rsidRPr="00101030" w:rsidRDefault="000A1CD9" w:rsidP="005B333B">
            <w:pPr>
              <w:pStyle w:val="ACMATableText"/>
              <w:keepNext/>
              <w:keepLines/>
              <w:spacing w:before="0" w:after="0"/>
              <w:jc w:val="center"/>
              <w:rPr>
                <w:rFonts w:cs="Arial"/>
                <w:sz w:val="18"/>
                <w:szCs w:val="18"/>
              </w:rPr>
            </w:pPr>
            <w:r w:rsidRPr="00101030">
              <w:rPr>
                <w:rFonts w:cs="Arial"/>
                <w:sz w:val="18"/>
                <w:szCs w:val="18"/>
              </w:rPr>
              <w:t>5</w:t>
            </w:r>
          </w:p>
        </w:tc>
        <w:tc>
          <w:tcPr>
            <w:tcW w:w="4962" w:type="dxa"/>
            <w:shd w:val="clear" w:color="auto" w:fill="D2E1E9"/>
          </w:tcPr>
          <w:p w14:paraId="5DF37C89"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Sydney, Melbourne, Brisbane, Adelaide and Perth</w:t>
            </w:r>
          </w:p>
        </w:tc>
      </w:tr>
      <w:tr w:rsidR="000A1CD9" w:rsidRPr="009E6D3B" w14:paraId="29A32412" w14:textId="77777777" w:rsidTr="00914F81">
        <w:trPr>
          <w:trHeight w:val="186"/>
        </w:trPr>
        <w:tc>
          <w:tcPr>
            <w:tcW w:w="1813" w:type="dxa"/>
            <w:vMerge/>
            <w:shd w:val="clear" w:color="auto" w:fill="7FB8CB"/>
          </w:tcPr>
          <w:p w14:paraId="76C45B6F" w14:textId="77777777" w:rsidR="000A1CD9" w:rsidRPr="008E419C" w:rsidRDefault="000A1CD9" w:rsidP="00914F81">
            <w:pPr>
              <w:pStyle w:val="ACMATableText"/>
              <w:keepNext/>
              <w:keepLines/>
              <w:spacing w:before="0" w:after="0"/>
              <w:rPr>
                <w:rFonts w:cs="Arial"/>
                <w:color w:val="FFFFFF" w:themeColor="background1"/>
                <w:sz w:val="18"/>
                <w:szCs w:val="18"/>
              </w:rPr>
            </w:pPr>
          </w:p>
        </w:tc>
        <w:tc>
          <w:tcPr>
            <w:tcW w:w="1701" w:type="dxa"/>
            <w:shd w:val="clear" w:color="auto" w:fill="7FB8CB"/>
          </w:tcPr>
          <w:p w14:paraId="65F4A8E8"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Regional</w:t>
            </w:r>
          </w:p>
        </w:tc>
        <w:tc>
          <w:tcPr>
            <w:tcW w:w="992" w:type="dxa"/>
            <w:shd w:val="clear" w:color="auto" w:fill="D2E1E9"/>
          </w:tcPr>
          <w:p w14:paraId="7600C896" w14:textId="77777777" w:rsidR="000A1CD9" w:rsidRPr="00101030" w:rsidRDefault="000A1CD9" w:rsidP="005B333B">
            <w:pPr>
              <w:pStyle w:val="ACMATableText"/>
              <w:keepNext/>
              <w:keepLines/>
              <w:spacing w:before="0" w:after="0"/>
              <w:jc w:val="center"/>
              <w:rPr>
                <w:rFonts w:cs="Arial"/>
                <w:sz w:val="18"/>
                <w:szCs w:val="18"/>
              </w:rPr>
            </w:pPr>
            <w:r w:rsidRPr="00101030">
              <w:rPr>
                <w:rFonts w:cs="Arial"/>
                <w:sz w:val="18"/>
                <w:szCs w:val="18"/>
              </w:rPr>
              <w:t>1</w:t>
            </w:r>
          </w:p>
        </w:tc>
        <w:tc>
          <w:tcPr>
            <w:tcW w:w="4962" w:type="dxa"/>
            <w:shd w:val="clear" w:color="auto" w:fill="D2E1E9"/>
          </w:tcPr>
          <w:p w14:paraId="171C0972"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Regional Queensland</w:t>
            </w:r>
          </w:p>
        </w:tc>
      </w:tr>
      <w:tr w:rsidR="000A1CD9" w:rsidRPr="009E6D3B" w14:paraId="20FF0748" w14:textId="77777777" w:rsidTr="00914F81">
        <w:trPr>
          <w:trHeight w:val="20"/>
        </w:trPr>
        <w:tc>
          <w:tcPr>
            <w:tcW w:w="1813" w:type="dxa"/>
            <w:vMerge w:val="restart"/>
            <w:shd w:val="clear" w:color="auto" w:fill="7FB8CB"/>
          </w:tcPr>
          <w:p w14:paraId="72AB8F37"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Nine Entertainment Co Holdings Ltd</w:t>
            </w:r>
          </w:p>
        </w:tc>
        <w:tc>
          <w:tcPr>
            <w:tcW w:w="1701" w:type="dxa"/>
            <w:shd w:val="clear" w:color="auto" w:fill="7FB8CB"/>
          </w:tcPr>
          <w:p w14:paraId="3AA23887"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Metropolitan</w:t>
            </w:r>
          </w:p>
        </w:tc>
        <w:tc>
          <w:tcPr>
            <w:tcW w:w="992" w:type="dxa"/>
            <w:shd w:val="clear" w:color="auto" w:fill="D2E1E9"/>
          </w:tcPr>
          <w:p w14:paraId="7C5F5D25" w14:textId="77777777" w:rsidR="000A1CD9" w:rsidRPr="00101030" w:rsidRDefault="000A1CD9" w:rsidP="005B333B">
            <w:pPr>
              <w:pStyle w:val="ACMATableText"/>
              <w:keepNext/>
              <w:keepLines/>
              <w:spacing w:before="0" w:after="0"/>
              <w:jc w:val="center"/>
              <w:rPr>
                <w:rFonts w:cs="Arial"/>
                <w:sz w:val="18"/>
                <w:szCs w:val="18"/>
              </w:rPr>
            </w:pPr>
            <w:r w:rsidRPr="00101030">
              <w:rPr>
                <w:rFonts w:cs="Arial"/>
                <w:sz w:val="18"/>
                <w:szCs w:val="18"/>
              </w:rPr>
              <w:t>5</w:t>
            </w:r>
          </w:p>
        </w:tc>
        <w:tc>
          <w:tcPr>
            <w:tcW w:w="4962" w:type="dxa"/>
            <w:shd w:val="clear" w:color="auto" w:fill="D2E1E9"/>
          </w:tcPr>
          <w:p w14:paraId="718546EE"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Sydney, Melbourne, Brisbane, Adelaide and Perth</w:t>
            </w:r>
          </w:p>
        </w:tc>
      </w:tr>
      <w:tr w:rsidR="000A1CD9" w:rsidRPr="009E6D3B" w14:paraId="73AFAB3E" w14:textId="77777777" w:rsidTr="00914F81">
        <w:trPr>
          <w:trHeight w:val="550"/>
        </w:trPr>
        <w:tc>
          <w:tcPr>
            <w:tcW w:w="1813" w:type="dxa"/>
            <w:vMerge/>
            <w:shd w:val="clear" w:color="auto" w:fill="7FB8CB"/>
          </w:tcPr>
          <w:p w14:paraId="72C72181" w14:textId="77777777" w:rsidR="000A1CD9" w:rsidRPr="008E419C" w:rsidRDefault="000A1CD9" w:rsidP="00914F81">
            <w:pPr>
              <w:pStyle w:val="ACMATableText"/>
              <w:keepNext/>
              <w:keepLines/>
              <w:spacing w:before="0" w:after="0"/>
              <w:rPr>
                <w:rFonts w:cs="Arial"/>
                <w:color w:val="FFFFFF" w:themeColor="background1"/>
                <w:sz w:val="18"/>
                <w:szCs w:val="18"/>
              </w:rPr>
            </w:pPr>
          </w:p>
        </w:tc>
        <w:tc>
          <w:tcPr>
            <w:tcW w:w="1701" w:type="dxa"/>
            <w:shd w:val="clear" w:color="auto" w:fill="7FB8CB"/>
          </w:tcPr>
          <w:p w14:paraId="5C5D5596"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Regional</w:t>
            </w:r>
          </w:p>
        </w:tc>
        <w:tc>
          <w:tcPr>
            <w:tcW w:w="992" w:type="dxa"/>
            <w:shd w:val="clear" w:color="auto" w:fill="D2E1E9"/>
          </w:tcPr>
          <w:p w14:paraId="03A941EC" w14:textId="77777777" w:rsidR="000A1CD9" w:rsidRPr="00101030" w:rsidRDefault="000A1CD9" w:rsidP="005B333B">
            <w:pPr>
              <w:pStyle w:val="ACMATableText"/>
              <w:keepNext/>
              <w:keepLines/>
              <w:spacing w:before="0" w:after="0"/>
              <w:jc w:val="center"/>
              <w:rPr>
                <w:rFonts w:cs="Arial"/>
                <w:sz w:val="18"/>
                <w:szCs w:val="18"/>
              </w:rPr>
            </w:pPr>
            <w:r w:rsidRPr="00101030">
              <w:rPr>
                <w:rFonts w:cs="Arial"/>
                <w:sz w:val="18"/>
                <w:szCs w:val="18"/>
              </w:rPr>
              <w:t>3</w:t>
            </w:r>
          </w:p>
        </w:tc>
        <w:tc>
          <w:tcPr>
            <w:tcW w:w="4962" w:type="dxa"/>
            <w:shd w:val="clear" w:color="auto" w:fill="D2E1E9"/>
          </w:tcPr>
          <w:p w14:paraId="0F52B9D4"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Darwin (one sole operation and one joint venture with Southern Cross Media Group Ltd) and Northern New South Wales</w:t>
            </w:r>
          </w:p>
        </w:tc>
      </w:tr>
      <w:tr w:rsidR="000A1CD9" w:rsidRPr="009E6D3B" w14:paraId="68104375" w14:textId="77777777" w:rsidTr="00914F81">
        <w:trPr>
          <w:trHeight w:val="178"/>
        </w:trPr>
        <w:tc>
          <w:tcPr>
            <w:tcW w:w="1813" w:type="dxa"/>
            <w:shd w:val="clear" w:color="auto" w:fill="7FB8CB"/>
          </w:tcPr>
          <w:p w14:paraId="35495053"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Ten Network Holdings Ltd</w:t>
            </w:r>
          </w:p>
        </w:tc>
        <w:tc>
          <w:tcPr>
            <w:tcW w:w="1701" w:type="dxa"/>
            <w:shd w:val="clear" w:color="auto" w:fill="7FB8CB"/>
          </w:tcPr>
          <w:p w14:paraId="589B6215"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Metropolitan</w:t>
            </w:r>
          </w:p>
        </w:tc>
        <w:tc>
          <w:tcPr>
            <w:tcW w:w="992" w:type="dxa"/>
            <w:shd w:val="clear" w:color="auto" w:fill="D2E1E9"/>
          </w:tcPr>
          <w:p w14:paraId="5C0EA8FA" w14:textId="77777777" w:rsidR="000A1CD9" w:rsidRPr="00101030" w:rsidRDefault="000A1CD9" w:rsidP="005B333B">
            <w:pPr>
              <w:pStyle w:val="ACMATableText"/>
              <w:keepNext/>
              <w:keepLines/>
              <w:spacing w:before="0" w:after="0"/>
              <w:jc w:val="center"/>
              <w:rPr>
                <w:rFonts w:cs="Arial"/>
                <w:sz w:val="18"/>
                <w:szCs w:val="18"/>
              </w:rPr>
            </w:pPr>
            <w:r w:rsidRPr="00101030">
              <w:rPr>
                <w:rFonts w:cs="Arial"/>
                <w:sz w:val="18"/>
                <w:szCs w:val="18"/>
              </w:rPr>
              <w:t>5</w:t>
            </w:r>
          </w:p>
        </w:tc>
        <w:tc>
          <w:tcPr>
            <w:tcW w:w="4962" w:type="dxa"/>
            <w:shd w:val="clear" w:color="auto" w:fill="D2E1E9"/>
          </w:tcPr>
          <w:p w14:paraId="3975677F"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Sydney, Melbourne, Brisbane, Adelaide and Perth</w:t>
            </w:r>
          </w:p>
        </w:tc>
      </w:tr>
      <w:tr w:rsidR="000A1CD9" w:rsidRPr="009E6D3B" w14:paraId="14121D54" w14:textId="77777777" w:rsidTr="00914F81">
        <w:trPr>
          <w:trHeight w:val="1022"/>
        </w:trPr>
        <w:tc>
          <w:tcPr>
            <w:tcW w:w="1813" w:type="dxa"/>
            <w:shd w:val="clear" w:color="auto" w:fill="7FB8CB"/>
          </w:tcPr>
          <w:p w14:paraId="52F8D4EA" w14:textId="77777777" w:rsidR="000A1CD9" w:rsidRPr="008E419C" w:rsidRDefault="000A1CD9" w:rsidP="00F13B5A">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WIN Corporation Pty</w:t>
            </w:r>
            <w:r w:rsidR="00F13B5A" w:rsidRPr="008E419C">
              <w:rPr>
                <w:rFonts w:cs="Arial"/>
                <w:color w:val="FFFFFF" w:themeColor="background1"/>
                <w:sz w:val="18"/>
                <w:szCs w:val="18"/>
              </w:rPr>
              <w:t> </w:t>
            </w:r>
            <w:r w:rsidRPr="008E419C">
              <w:rPr>
                <w:rFonts w:cs="Arial"/>
                <w:color w:val="FFFFFF" w:themeColor="background1"/>
                <w:sz w:val="18"/>
                <w:szCs w:val="18"/>
              </w:rPr>
              <w:t>Ltd</w:t>
            </w:r>
          </w:p>
        </w:tc>
        <w:tc>
          <w:tcPr>
            <w:tcW w:w="1701" w:type="dxa"/>
            <w:shd w:val="clear" w:color="auto" w:fill="7FB8CB"/>
          </w:tcPr>
          <w:p w14:paraId="2F0D070D"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Regional</w:t>
            </w:r>
          </w:p>
        </w:tc>
        <w:tc>
          <w:tcPr>
            <w:tcW w:w="992" w:type="dxa"/>
            <w:shd w:val="clear" w:color="auto" w:fill="D2E1E9"/>
          </w:tcPr>
          <w:p w14:paraId="21D442BC" w14:textId="77777777" w:rsidR="000A1CD9" w:rsidRPr="00101030" w:rsidRDefault="000A1CD9" w:rsidP="005B333B">
            <w:pPr>
              <w:pStyle w:val="ACMATableText"/>
              <w:keepNext/>
              <w:keepLines/>
              <w:spacing w:before="0" w:after="0"/>
              <w:jc w:val="center"/>
              <w:rPr>
                <w:rFonts w:cs="Arial"/>
                <w:sz w:val="18"/>
                <w:szCs w:val="18"/>
              </w:rPr>
            </w:pPr>
            <w:r w:rsidRPr="00101030">
              <w:rPr>
                <w:rFonts w:cs="Arial"/>
                <w:sz w:val="18"/>
                <w:szCs w:val="18"/>
              </w:rPr>
              <w:t>21</w:t>
            </w:r>
          </w:p>
        </w:tc>
        <w:tc>
          <w:tcPr>
            <w:tcW w:w="4962" w:type="dxa"/>
            <w:shd w:val="clear" w:color="auto" w:fill="D2E1E9"/>
          </w:tcPr>
          <w:p w14:paraId="6710E4EF"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Across regional Australia, including joint ventures in:</w:t>
            </w:r>
          </w:p>
          <w:p w14:paraId="0E2B9F56"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 xml:space="preserve">Tasmania with Southern Cross Media Group Ltd </w:t>
            </w:r>
          </w:p>
          <w:p w14:paraId="3A8C590B" w14:textId="77777777" w:rsidR="000A1CD9" w:rsidRPr="00101030" w:rsidRDefault="000A1CD9" w:rsidP="008F3F55">
            <w:pPr>
              <w:pStyle w:val="ACMATableText"/>
              <w:keepNext/>
              <w:keepLines/>
              <w:spacing w:before="0" w:after="60"/>
              <w:rPr>
                <w:rFonts w:cs="Arial"/>
                <w:sz w:val="18"/>
                <w:szCs w:val="18"/>
              </w:rPr>
            </w:pPr>
            <w:r w:rsidRPr="00101030">
              <w:rPr>
                <w:rFonts w:cs="Arial"/>
                <w:sz w:val="18"/>
                <w:szCs w:val="18"/>
              </w:rPr>
              <w:t>Mildura, Geraldton, Kalgoorlie, Western Zone, South West and Great Southern television licence areas with Prime Media Group Ltd</w:t>
            </w:r>
          </w:p>
          <w:p w14:paraId="3540DAAE"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 xml:space="preserve">Also includes three licences in each of Griffith, Riverland and Mount Gambier South-East licence areas </w:t>
            </w:r>
          </w:p>
        </w:tc>
      </w:tr>
      <w:tr w:rsidR="000A1CD9" w:rsidRPr="009E6D3B" w14:paraId="515D1A12" w14:textId="77777777" w:rsidTr="00914F81">
        <w:trPr>
          <w:trHeight w:val="454"/>
        </w:trPr>
        <w:tc>
          <w:tcPr>
            <w:tcW w:w="1813" w:type="dxa"/>
            <w:shd w:val="clear" w:color="auto" w:fill="7FB8CB"/>
          </w:tcPr>
          <w:p w14:paraId="15FBEA5F"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Southern Cross Media Group Ltd</w:t>
            </w:r>
          </w:p>
        </w:tc>
        <w:tc>
          <w:tcPr>
            <w:tcW w:w="1701" w:type="dxa"/>
            <w:shd w:val="clear" w:color="auto" w:fill="7FB8CB"/>
          </w:tcPr>
          <w:p w14:paraId="7C5B0398"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Regional</w:t>
            </w:r>
          </w:p>
        </w:tc>
        <w:tc>
          <w:tcPr>
            <w:tcW w:w="992" w:type="dxa"/>
            <w:shd w:val="clear" w:color="auto" w:fill="D2E1E9"/>
          </w:tcPr>
          <w:p w14:paraId="4AA5CA31" w14:textId="77777777" w:rsidR="000A1CD9" w:rsidRPr="00101030" w:rsidRDefault="000A1CD9" w:rsidP="005B333B">
            <w:pPr>
              <w:pStyle w:val="ACMATableText"/>
              <w:keepNext/>
              <w:keepLines/>
              <w:spacing w:before="0" w:after="0"/>
              <w:jc w:val="center"/>
              <w:rPr>
                <w:rFonts w:cs="Arial"/>
                <w:sz w:val="18"/>
                <w:szCs w:val="18"/>
              </w:rPr>
            </w:pPr>
            <w:r w:rsidRPr="00101030">
              <w:rPr>
                <w:rFonts w:cs="Arial"/>
                <w:sz w:val="18"/>
                <w:szCs w:val="18"/>
              </w:rPr>
              <w:t>19</w:t>
            </w:r>
          </w:p>
        </w:tc>
        <w:tc>
          <w:tcPr>
            <w:tcW w:w="4962" w:type="dxa"/>
            <w:shd w:val="clear" w:color="auto" w:fill="D2E1E9"/>
          </w:tcPr>
          <w:p w14:paraId="554A89E6"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Across regional Australia, including joint ventures in:</w:t>
            </w:r>
          </w:p>
          <w:p w14:paraId="27991D10"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 xml:space="preserve">Darwin with Nine Entertainment Co Holdings Ltd </w:t>
            </w:r>
          </w:p>
          <w:p w14:paraId="37FCC6DB"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Tasmania with WIN Corporation Pty Ltd</w:t>
            </w:r>
          </w:p>
          <w:p w14:paraId="77658371" w14:textId="77777777" w:rsidR="000A1CD9" w:rsidRPr="00101030" w:rsidRDefault="000A1CD9" w:rsidP="008F3F55">
            <w:pPr>
              <w:pStyle w:val="ACMATableText"/>
              <w:keepNext/>
              <w:keepLines/>
              <w:spacing w:before="0" w:after="60"/>
              <w:rPr>
                <w:rFonts w:cs="Arial"/>
                <w:sz w:val="18"/>
                <w:szCs w:val="18"/>
              </w:rPr>
            </w:pPr>
            <w:r w:rsidRPr="00101030">
              <w:rPr>
                <w:rFonts w:cs="Arial"/>
                <w:sz w:val="18"/>
                <w:szCs w:val="18"/>
              </w:rPr>
              <w:t>Mt Isa and Remote Central and Eastern Australia TV2 licence areas with Imparja Television Pty Ltd</w:t>
            </w:r>
          </w:p>
          <w:p w14:paraId="0C70759F"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Also includes three licences in each of the Broken Hill and Spencer Gulf licence areas</w:t>
            </w:r>
          </w:p>
        </w:tc>
      </w:tr>
      <w:tr w:rsidR="000A1CD9" w:rsidRPr="009E6D3B" w14:paraId="5657FF1A" w14:textId="77777777" w:rsidTr="00914F81">
        <w:trPr>
          <w:trHeight w:val="454"/>
        </w:trPr>
        <w:tc>
          <w:tcPr>
            <w:tcW w:w="1813" w:type="dxa"/>
            <w:shd w:val="clear" w:color="auto" w:fill="7FB8CB"/>
          </w:tcPr>
          <w:p w14:paraId="7BBDFF0D"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Prime Media Group Ltd</w:t>
            </w:r>
          </w:p>
        </w:tc>
        <w:tc>
          <w:tcPr>
            <w:tcW w:w="1701" w:type="dxa"/>
            <w:shd w:val="clear" w:color="auto" w:fill="7FB8CB"/>
          </w:tcPr>
          <w:p w14:paraId="42EE7FBF" w14:textId="77777777" w:rsidR="000A1CD9" w:rsidRPr="008E419C" w:rsidRDefault="000A1CD9" w:rsidP="00914F81">
            <w:pPr>
              <w:pStyle w:val="ACMATableText"/>
              <w:keepNext/>
              <w:keepLines/>
              <w:spacing w:before="0" w:after="0"/>
              <w:rPr>
                <w:rFonts w:cs="Arial"/>
                <w:color w:val="FFFFFF" w:themeColor="background1"/>
                <w:sz w:val="18"/>
                <w:szCs w:val="18"/>
              </w:rPr>
            </w:pPr>
            <w:r w:rsidRPr="008E419C">
              <w:rPr>
                <w:rFonts w:cs="Arial"/>
                <w:color w:val="FFFFFF" w:themeColor="background1"/>
                <w:sz w:val="18"/>
                <w:szCs w:val="18"/>
              </w:rPr>
              <w:t>Regional</w:t>
            </w:r>
          </w:p>
        </w:tc>
        <w:tc>
          <w:tcPr>
            <w:tcW w:w="992" w:type="dxa"/>
            <w:shd w:val="clear" w:color="auto" w:fill="D2E1E9"/>
          </w:tcPr>
          <w:p w14:paraId="52A79D20" w14:textId="77777777" w:rsidR="000A1CD9" w:rsidRPr="00101030" w:rsidRDefault="000A1CD9" w:rsidP="005B333B">
            <w:pPr>
              <w:pStyle w:val="ACMATableText"/>
              <w:keepNext/>
              <w:keepLines/>
              <w:spacing w:before="0" w:after="0"/>
              <w:jc w:val="center"/>
              <w:rPr>
                <w:rFonts w:cs="Arial"/>
                <w:sz w:val="18"/>
                <w:szCs w:val="18"/>
              </w:rPr>
            </w:pPr>
            <w:r w:rsidRPr="00101030">
              <w:rPr>
                <w:rFonts w:cs="Arial"/>
                <w:sz w:val="18"/>
                <w:szCs w:val="18"/>
              </w:rPr>
              <w:t>13</w:t>
            </w:r>
          </w:p>
        </w:tc>
        <w:tc>
          <w:tcPr>
            <w:tcW w:w="4962" w:type="dxa"/>
            <w:shd w:val="clear" w:color="auto" w:fill="D2E1E9"/>
          </w:tcPr>
          <w:p w14:paraId="0343AD32" w14:textId="77777777" w:rsidR="000A1CD9" w:rsidRPr="00101030" w:rsidRDefault="000A1CD9" w:rsidP="00914F81">
            <w:pPr>
              <w:pStyle w:val="ACMATableText"/>
              <w:keepNext/>
              <w:keepLines/>
              <w:spacing w:before="0" w:after="0"/>
              <w:rPr>
                <w:rFonts w:cs="Arial"/>
                <w:sz w:val="18"/>
                <w:szCs w:val="18"/>
              </w:rPr>
            </w:pPr>
            <w:r w:rsidRPr="00101030">
              <w:rPr>
                <w:rFonts w:cs="Arial"/>
                <w:sz w:val="18"/>
                <w:szCs w:val="18"/>
              </w:rPr>
              <w:t xml:space="preserve">Across regional Australia including joint ventures in: </w:t>
            </w:r>
            <w:r w:rsidR="008F3F55">
              <w:rPr>
                <w:rFonts w:cs="Arial"/>
                <w:sz w:val="18"/>
                <w:szCs w:val="18"/>
              </w:rPr>
              <w:br/>
            </w:r>
            <w:r w:rsidRPr="00101030">
              <w:rPr>
                <w:rFonts w:cs="Arial"/>
                <w:sz w:val="18"/>
                <w:szCs w:val="18"/>
              </w:rPr>
              <w:t>Mildura, Geraldton, Kalgoorlie, Western Zone, South-West and Great Southern licence areas with WIN Corporation Pty Ltd</w:t>
            </w:r>
          </w:p>
        </w:tc>
      </w:tr>
    </w:tbl>
    <w:p w14:paraId="08E25B2C" w14:textId="77777777" w:rsidR="000A1CD9" w:rsidRPr="0014722A" w:rsidRDefault="000A1CD9" w:rsidP="000A1CD9">
      <w:pPr>
        <w:pStyle w:val="ACMANotes"/>
      </w:pPr>
      <w:r w:rsidRPr="0014722A">
        <w:t xml:space="preserve">Note: Does not include licences for services provided by satellite allocated under section 38C and other licences allocated under subsection 40(1) of the </w:t>
      </w:r>
      <w:r w:rsidRPr="0014722A">
        <w:rPr>
          <w:i w:val="0"/>
        </w:rPr>
        <w:t>Broadcasting Services Act 1992</w:t>
      </w:r>
      <w:r w:rsidRPr="0014722A">
        <w:t>. The number of licences does not add up to the total number of commercial television broadcasting licences (69) due to double</w:t>
      </w:r>
      <w:r>
        <w:t>-</w:t>
      </w:r>
      <w:r w:rsidRPr="0014722A">
        <w:t>counting of joint ventures.</w:t>
      </w:r>
    </w:p>
    <w:p w14:paraId="6ED05F7A" w14:textId="77777777" w:rsidR="000A1CD9" w:rsidRDefault="000A1CD9" w:rsidP="000A1CD9">
      <w:pPr>
        <w:pStyle w:val="ACMANotes"/>
        <w:rPr>
          <w:szCs w:val="16"/>
        </w:rPr>
      </w:pPr>
      <w:r w:rsidRPr="0014722A">
        <w:rPr>
          <w:szCs w:val="16"/>
        </w:rPr>
        <w:t xml:space="preserve">Source: ACMA, </w:t>
      </w:r>
      <w:hyperlink r:id="rId54" w:history="1">
        <w:r w:rsidRPr="00D366B4">
          <w:rPr>
            <w:rStyle w:val="Hyperlink"/>
            <w:szCs w:val="16"/>
          </w:rPr>
          <w:t>Register of Controlled Media Groups and the Media Control Database</w:t>
        </w:r>
      </w:hyperlink>
      <w:r w:rsidRPr="0014722A">
        <w:rPr>
          <w:szCs w:val="16"/>
        </w:rPr>
        <w:t xml:space="preserve">. </w:t>
      </w:r>
    </w:p>
    <w:p w14:paraId="4AEBC9E0" w14:textId="77777777" w:rsidR="000A1CD9" w:rsidRPr="0014722A" w:rsidRDefault="000A1CD9" w:rsidP="00CA1F1A">
      <w:pPr>
        <w:pStyle w:val="ACMASpaceaftertable"/>
      </w:pPr>
    </w:p>
    <w:p w14:paraId="52AC6845" w14:textId="77777777" w:rsidR="000A1CD9" w:rsidRPr="00E92E14" w:rsidRDefault="000A1CD9" w:rsidP="000A1CD9">
      <w:pPr>
        <w:pStyle w:val="Bodysubheader0"/>
      </w:pPr>
      <w:bookmarkStart w:id="433" w:name="_Toc463529062"/>
      <w:r w:rsidRPr="00E92E14">
        <w:t>Ownership and control of commercial radio services</w:t>
      </w:r>
      <w:bookmarkEnd w:id="433"/>
    </w:p>
    <w:p w14:paraId="3B290D5D" w14:textId="77777777" w:rsidR="000A1CD9" w:rsidRPr="00E92E14" w:rsidRDefault="000A1CD9" w:rsidP="000A1CD9">
      <w:pPr>
        <w:spacing w:after="80"/>
        <w:rPr>
          <w:rFonts w:cs="Arial"/>
          <w:szCs w:val="20"/>
        </w:rPr>
      </w:pPr>
      <w:r w:rsidRPr="00E92E14">
        <w:rPr>
          <w:rFonts w:cs="Arial"/>
        </w:rPr>
        <w:t xml:space="preserve">Table 1.8 shows the ownership and control of commercial radio services in </w:t>
      </w:r>
      <w:r w:rsidRPr="00E92E14">
        <w:rPr>
          <w:rFonts w:cs="Arial"/>
          <w:szCs w:val="20"/>
        </w:rPr>
        <w:t>2015–16:</w:t>
      </w:r>
    </w:p>
    <w:p w14:paraId="30F26AA6" w14:textId="77777777" w:rsidR="000A1CD9" w:rsidRPr="00E92E14" w:rsidRDefault="000A1CD9" w:rsidP="000A1CD9">
      <w:pPr>
        <w:pStyle w:val="ListBullet"/>
        <w:spacing w:line="259" w:lineRule="auto"/>
        <w:rPr>
          <w:rFonts w:eastAsia="Calibri"/>
          <w:lang w:eastAsia="en-US"/>
        </w:rPr>
      </w:pPr>
      <w:r w:rsidRPr="00E92E14">
        <w:rPr>
          <w:rFonts w:eastAsia="Calibri"/>
          <w:lang w:eastAsia="en-US"/>
        </w:rPr>
        <w:t>Southern Cross Media Group Limited, Australian Radio Network Pty Ltd, Nova Entertainment Pty Ltd and Macquarie Media Limited own the majority of capital city commercial radio broadcasting licences.</w:t>
      </w:r>
    </w:p>
    <w:p w14:paraId="5EF22F2E" w14:textId="77777777" w:rsidR="000A1CD9" w:rsidRPr="00E92E14" w:rsidRDefault="000A1CD9" w:rsidP="000A1CD9">
      <w:pPr>
        <w:pStyle w:val="ListBullet"/>
        <w:spacing w:line="259" w:lineRule="auto"/>
        <w:rPr>
          <w:rFonts w:eastAsia="Calibri"/>
          <w:lang w:eastAsia="en-US"/>
        </w:rPr>
      </w:pPr>
      <w:r w:rsidRPr="00E92E14">
        <w:rPr>
          <w:rFonts w:eastAsia="Calibri"/>
          <w:lang w:eastAsia="en-US"/>
        </w:rPr>
        <w:t>Southern Cross Media Group Limited, Broadcast Operations Pty Ltd (Super Radio Network) and Grant Broadcasters Pty Ltd remain the three largest networks of regional commercial radio broadcasting licences.</w:t>
      </w:r>
    </w:p>
    <w:p w14:paraId="0C08DF7D" w14:textId="77777777" w:rsidR="000A1CD9" w:rsidRPr="00E92E14" w:rsidRDefault="000A1CD9" w:rsidP="000A1CD9">
      <w:pPr>
        <w:pStyle w:val="ListBullet"/>
        <w:spacing w:line="259" w:lineRule="auto"/>
        <w:rPr>
          <w:rFonts w:eastAsia="Calibri"/>
          <w:lang w:eastAsia="en-US"/>
        </w:rPr>
      </w:pPr>
      <w:r w:rsidRPr="00E92E14">
        <w:rPr>
          <w:rFonts w:eastAsia="Calibri"/>
          <w:lang w:eastAsia="en-US"/>
        </w:rPr>
        <w:t>Nine different networks each control more than six commercial radio broadcasting licences, up from eight different networks in 2014–15.</w:t>
      </w:r>
    </w:p>
    <w:p w14:paraId="4B7287D7" w14:textId="77777777" w:rsidR="000A1CD9" w:rsidRPr="00E92E14" w:rsidRDefault="000A1CD9" w:rsidP="000A1CD9">
      <w:pPr>
        <w:pStyle w:val="ListBulletLast"/>
        <w:spacing w:line="259" w:lineRule="auto"/>
        <w:rPr>
          <w:rFonts w:eastAsia="Calibri"/>
          <w:lang w:eastAsia="en-US"/>
        </w:rPr>
      </w:pPr>
      <w:r w:rsidRPr="00E92E14">
        <w:rPr>
          <w:rFonts w:eastAsia="Calibri"/>
          <w:lang w:eastAsia="en-US"/>
        </w:rPr>
        <w:t xml:space="preserve">These </w:t>
      </w:r>
      <w:r>
        <w:rPr>
          <w:rFonts w:eastAsia="Calibri"/>
          <w:lang w:eastAsia="en-US"/>
        </w:rPr>
        <w:t>ni</w:t>
      </w:r>
      <w:r w:rsidRPr="00E92E14">
        <w:rPr>
          <w:rFonts w:eastAsia="Calibri"/>
          <w:lang w:eastAsia="en-US"/>
        </w:rPr>
        <w:t xml:space="preserve">ne networks together control 225 licences out of a total of 261 commercial radio licences that are subject to the media diversity and control rules under Part 5 of the </w:t>
      </w:r>
      <w:r w:rsidRPr="00E92E14">
        <w:rPr>
          <w:i/>
        </w:rPr>
        <w:t xml:space="preserve">Broadcasting Services Act 1992 </w:t>
      </w:r>
      <w:r w:rsidRPr="00E92E14">
        <w:t>(</w:t>
      </w:r>
      <w:r w:rsidRPr="00E92E14">
        <w:rPr>
          <w:rFonts w:eastAsia="Calibri"/>
          <w:lang w:eastAsia="en-US"/>
        </w:rPr>
        <w:t>BSA). This does not include commercial radio broadcasting licences allocated under subsection</w:t>
      </w:r>
      <w:r>
        <w:rPr>
          <w:rFonts w:eastAsia="Calibri"/>
          <w:lang w:eastAsia="en-US"/>
        </w:rPr>
        <w:t> </w:t>
      </w:r>
      <w:r w:rsidRPr="00E92E14">
        <w:rPr>
          <w:rFonts w:eastAsia="Calibri"/>
          <w:lang w:eastAsia="en-US"/>
        </w:rPr>
        <w:t>40(1) of the BSA. The remaining 36 licences are held by 17 networks/owners, each with five or fewer licences.</w:t>
      </w:r>
    </w:p>
    <w:p w14:paraId="03D21D40" w14:textId="77777777" w:rsidR="000A1CD9" w:rsidRDefault="000A1CD9" w:rsidP="00CA1F1A">
      <w:pPr>
        <w:keepLines/>
        <w:rPr>
          <w:rFonts w:eastAsia="Calibri"/>
          <w:lang w:eastAsia="en-US"/>
        </w:rPr>
      </w:pPr>
      <w:r w:rsidRPr="00E92E14">
        <w:rPr>
          <w:rFonts w:eastAsia="Calibri"/>
        </w:rPr>
        <w:lastRenderedPageBreak/>
        <w:t xml:space="preserve">The key change that occurred in 2015–16 was the acquisition by Resonate Regional Radio Pty Ltd </w:t>
      </w:r>
      <w:r w:rsidRPr="00E92E14">
        <w:rPr>
          <w:rFonts w:eastAsia="Calibri"/>
          <w:lang w:eastAsia="en-US"/>
        </w:rPr>
        <w:t>of Macquarie Regional Radio Pty Ltd from Macquarie Media Limited (MML) (</w:t>
      </w:r>
      <w:r>
        <w:rPr>
          <w:rFonts w:eastAsia="Calibri"/>
          <w:lang w:eastAsia="en-US"/>
        </w:rPr>
        <w:t>formerly</w:t>
      </w:r>
      <w:r w:rsidRPr="00E92E14">
        <w:rPr>
          <w:rFonts w:eastAsia="Calibri"/>
          <w:lang w:eastAsia="en-US"/>
        </w:rPr>
        <w:t xml:space="preserve"> Macquarie Radio Network Limited). As part of the transaction that took place on 30 October 2015, Resonate Regional Radio Pty Ltd acquired six commercial radio licences in regional Queensland</w:t>
      </w:r>
      <w:r>
        <w:rPr>
          <w:rFonts w:eastAsia="Calibri"/>
          <w:lang w:eastAsia="en-US"/>
        </w:rPr>
        <w:t>,</w:t>
      </w:r>
      <w:r w:rsidRPr="00E92E14">
        <w:rPr>
          <w:rFonts w:eastAsia="Calibri"/>
          <w:lang w:eastAsia="en-US"/>
        </w:rPr>
        <w:t xml:space="preserve"> including 4LM in the Mt Isa RA1 licence area. The divestiture of 4LM by MML remedied the unacceptable media diversity situation (UMDS) that had aris</w:t>
      </w:r>
      <w:r w:rsidRPr="00E92E14">
        <w:rPr>
          <w:rFonts w:eastAsia="Calibri"/>
        </w:rPr>
        <w:t>en</w:t>
      </w:r>
      <w:r w:rsidRPr="00E92E14">
        <w:rPr>
          <w:rFonts w:eastAsia="Calibri"/>
          <w:lang w:eastAsia="en-US"/>
        </w:rPr>
        <w:t xml:space="preserve"> in the Mt Isa licence area when MML merged with the radio business of Fairfax Media Limited (Fairfax) on 31 March 2015. The ACMA had granted MML and Fairfax prior approval of the transaction and set a time frame of six months (extended to 31 October 2015) for the UMDS to cease. The ACMA had also accepted an enforceable undertaking from MML and Fairfax to divest 4LM within this time</w:t>
      </w:r>
      <w:r>
        <w:rPr>
          <w:rFonts w:eastAsia="Calibri"/>
          <w:lang w:eastAsia="en-US"/>
        </w:rPr>
        <w:t xml:space="preserve"> </w:t>
      </w:r>
      <w:r w:rsidRPr="00E92E14">
        <w:rPr>
          <w:rFonts w:eastAsia="Calibri"/>
          <w:lang w:eastAsia="en-US"/>
        </w:rPr>
        <w:t>frame. The divestiture of 4LM was within this time</w:t>
      </w:r>
      <w:r>
        <w:rPr>
          <w:rFonts w:eastAsia="Calibri"/>
          <w:lang w:eastAsia="en-US"/>
        </w:rPr>
        <w:t xml:space="preserve"> </w:t>
      </w:r>
      <w:r w:rsidRPr="00E92E14">
        <w:rPr>
          <w:rFonts w:eastAsia="Calibri"/>
          <w:lang w:eastAsia="en-US"/>
        </w:rPr>
        <w:t xml:space="preserve">frame. </w:t>
      </w:r>
    </w:p>
    <w:p w14:paraId="2EB8C112" w14:textId="77777777" w:rsidR="00521718" w:rsidRDefault="005577CC" w:rsidP="0091434E">
      <w:pPr>
        <w:rPr>
          <w:rFonts w:eastAsia="Calibri"/>
          <w:lang w:eastAsia="en-US"/>
        </w:rPr>
      </w:pPr>
      <w:r w:rsidRPr="009F33CB">
        <w:t>M</w:t>
      </w:r>
      <w:r w:rsidR="00521718" w:rsidRPr="009F33CB">
        <w:t xml:space="preserve">edia ownership regulations stipulate that a single operator cannot own more than two commercial </w:t>
      </w:r>
      <w:r w:rsidR="009F33CB">
        <w:t>licenc</w:t>
      </w:r>
      <w:r w:rsidR="0091434E" w:rsidRPr="009F33CB">
        <w:t>es</w:t>
      </w:r>
      <w:r w:rsidR="00521718" w:rsidRPr="009F33CB">
        <w:t xml:space="preserve"> in a single metropolitan market.</w:t>
      </w:r>
      <w:r w:rsidR="001A2B80" w:rsidRPr="009F33CB">
        <w:rPr>
          <w:rStyle w:val="EndnoteReference"/>
        </w:rPr>
        <w:endnoteReference w:id="104"/>
      </w:r>
      <w:r w:rsidR="001A2B80" w:rsidRPr="009F33CB">
        <w:t xml:space="preserve"> A merger between Macquarie Radio Network and Fairfax Radio in March 2015 resulted in the new entity breaching this requirement. Accordingly, the ACMA gave Macquarie a year to divest 2CH, with an extension granted to 30 September 2016. At the time of writing, 2CH had yet to change hands, and the sale process of 2CH has been handed to accountancy firm Deloitte.</w:t>
      </w:r>
      <w:r w:rsidR="001A2B80" w:rsidRPr="009F33CB">
        <w:rPr>
          <w:rStyle w:val="EndnoteReference"/>
        </w:rPr>
        <w:endnoteReference w:id="105"/>
      </w:r>
      <w:r w:rsidR="0091434E">
        <w:t xml:space="preserve">  </w:t>
      </w:r>
    </w:p>
    <w:p w14:paraId="00D39873" w14:textId="77777777" w:rsidR="000A1CD9" w:rsidRPr="00E92E14" w:rsidRDefault="000A1CD9" w:rsidP="000A1CD9">
      <w:pPr>
        <w:pStyle w:val="ListBulletLast"/>
        <w:numPr>
          <w:ilvl w:val="0"/>
          <w:numId w:val="0"/>
        </w:numPr>
        <w:rPr>
          <w:rFonts w:eastAsia="Calibri"/>
          <w:lang w:eastAsia="en-US"/>
        </w:rPr>
      </w:pPr>
      <w:r w:rsidRPr="00E92E14">
        <w:rPr>
          <w:rFonts w:eastAsia="Calibri"/>
          <w:lang w:eastAsia="en-US"/>
        </w:rPr>
        <w:t>A discussion of broadcasters’ compliance with notification of change</w:t>
      </w:r>
      <w:r>
        <w:rPr>
          <w:rFonts w:eastAsia="Calibri"/>
          <w:lang w:eastAsia="en-US"/>
        </w:rPr>
        <w:t>-</w:t>
      </w:r>
      <w:r w:rsidRPr="00E92E14">
        <w:rPr>
          <w:rFonts w:eastAsia="Calibri"/>
          <w:lang w:eastAsia="en-US"/>
        </w:rPr>
        <w:t>in</w:t>
      </w:r>
      <w:r>
        <w:rPr>
          <w:rFonts w:eastAsia="Calibri"/>
          <w:lang w:eastAsia="en-US"/>
        </w:rPr>
        <w:t>-</w:t>
      </w:r>
      <w:r w:rsidRPr="00E92E14">
        <w:rPr>
          <w:rFonts w:eastAsia="Calibri"/>
          <w:lang w:eastAsia="en-US"/>
        </w:rPr>
        <w:t>control requirements is in Chapter 3 of this report.</w:t>
      </w:r>
    </w:p>
    <w:p w14:paraId="508C1D23" w14:textId="77777777" w:rsidR="000A1CD9" w:rsidRDefault="000A1CD9" w:rsidP="000A1CD9">
      <w:pPr>
        <w:pStyle w:val="ACMATableHeader"/>
        <w:numPr>
          <w:ilvl w:val="0"/>
          <w:numId w:val="0"/>
        </w:numPr>
      </w:pPr>
      <w:r>
        <w:t xml:space="preserve">Table 1.8 </w:t>
      </w:r>
      <w:r>
        <w:tab/>
      </w:r>
      <w:r w:rsidRPr="0053710F">
        <w:t>Ownership and control of commercial radio services</w:t>
      </w:r>
    </w:p>
    <w:tbl>
      <w:tblPr>
        <w:tblW w:w="9429" w:type="dxa"/>
        <w:tblBorders>
          <w:top w:val="single" w:sz="24" w:space="0" w:color="FFFFFF"/>
          <w:left w:val="single" w:sz="24" w:space="0" w:color="FFFFFF"/>
          <w:right w:val="single" w:sz="24" w:space="0" w:color="FFFFFF"/>
          <w:insideH w:val="single" w:sz="24" w:space="0" w:color="FFFFFF"/>
          <w:insideV w:val="single" w:sz="24" w:space="0" w:color="FFFFFF"/>
        </w:tblBorders>
        <w:tblLayout w:type="fixed"/>
        <w:tblCellMar>
          <w:top w:w="57" w:type="dxa"/>
          <w:left w:w="57" w:type="dxa"/>
          <w:bottom w:w="57" w:type="dxa"/>
          <w:right w:w="57" w:type="dxa"/>
        </w:tblCellMar>
        <w:tblLook w:val="04A0" w:firstRow="1" w:lastRow="0" w:firstColumn="1" w:lastColumn="0" w:noHBand="0" w:noVBand="1"/>
        <w:tblCaption w:val="Table 1.8 Ownership and control of commercial radio licences"/>
      </w:tblPr>
      <w:tblGrid>
        <w:gridCol w:w="2824"/>
        <w:gridCol w:w="1541"/>
        <w:gridCol w:w="5064"/>
      </w:tblGrid>
      <w:tr w:rsidR="000A1CD9" w:rsidRPr="009E6D3B" w14:paraId="506F385F" w14:textId="77777777" w:rsidTr="00914F81">
        <w:trPr>
          <w:trHeight w:val="454"/>
          <w:tblHeader/>
        </w:trPr>
        <w:tc>
          <w:tcPr>
            <w:tcW w:w="2824" w:type="dxa"/>
            <w:shd w:val="clear" w:color="auto" w:fill="007298"/>
          </w:tcPr>
          <w:p w14:paraId="2A46ABBF" w14:textId="77777777" w:rsidR="000A1CD9" w:rsidRPr="00CA1F1A" w:rsidRDefault="000A1CD9" w:rsidP="00914F81">
            <w:pPr>
              <w:pStyle w:val="TableHeading"/>
              <w:spacing w:before="0" w:line="240" w:lineRule="auto"/>
            </w:pPr>
            <w:r w:rsidRPr="00CA1F1A">
              <w:t>Network group company</w:t>
            </w:r>
          </w:p>
        </w:tc>
        <w:tc>
          <w:tcPr>
            <w:tcW w:w="1541" w:type="dxa"/>
            <w:shd w:val="clear" w:color="auto" w:fill="007298"/>
          </w:tcPr>
          <w:p w14:paraId="74379021" w14:textId="77777777" w:rsidR="000A1CD9" w:rsidRPr="00CA1F1A" w:rsidRDefault="000A1CD9" w:rsidP="005B333B">
            <w:pPr>
              <w:pStyle w:val="TableHeading"/>
              <w:spacing w:before="0" w:line="240" w:lineRule="auto"/>
              <w:jc w:val="center"/>
            </w:pPr>
            <w:r w:rsidRPr="00CA1F1A">
              <w:t>Total licences controlled</w:t>
            </w:r>
          </w:p>
        </w:tc>
        <w:tc>
          <w:tcPr>
            <w:tcW w:w="5064" w:type="dxa"/>
            <w:shd w:val="clear" w:color="auto" w:fill="007298"/>
          </w:tcPr>
          <w:p w14:paraId="12A148B6" w14:textId="77777777" w:rsidR="000A1CD9" w:rsidRPr="00CA1F1A" w:rsidRDefault="000A1CD9" w:rsidP="00914F81">
            <w:pPr>
              <w:pStyle w:val="TableHeading"/>
              <w:spacing w:before="0" w:line="240" w:lineRule="auto"/>
            </w:pPr>
            <w:r w:rsidRPr="00CA1F1A">
              <w:t>Ownership and control—licences and operations</w:t>
            </w:r>
          </w:p>
        </w:tc>
      </w:tr>
      <w:tr w:rsidR="000A1CD9" w:rsidRPr="009E6D3B" w14:paraId="1F92A3F8" w14:textId="77777777" w:rsidTr="00914F81">
        <w:trPr>
          <w:trHeight w:val="454"/>
        </w:trPr>
        <w:tc>
          <w:tcPr>
            <w:tcW w:w="2824" w:type="dxa"/>
            <w:shd w:val="clear" w:color="auto" w:fill="7FB8CB"/>
          </w:tcPr>
          <w:p w14:paraId="55D26E93" w14:textId="77777777" w:rsidR="000A1CD9" w:rsidRPr="008E419C" w:rsidRDefault="000A1CD9" w:rsidP="00914F81">
            <w:pPr>
              <w:pStyle w:val="ACMATableText"/>
              <w:spacing w:before="0" w:after="0"/>
              <w:rPr>
                <w:color w:val="FFFFFF" w:themeColor="background1"/>
                <w:sz w:val="18"/>
                <w:szCs w:val="18"/>
              </w:rPr>
            </w:pPr>
            <w:r w:rsidRPr="008E419C">
              <w:rPr>
                <w:color w:val="FFFFFF" w:themeColor="background1"/>
                <w:sz w:val="18"/>
                <w:szCs w:val="18"/>
              </w:rPr>
              <w:t xml:space="preserve">ACE Radio Broadcasters </w:t>
            </w:r>
            <w:r w:rsidRPr="008E419C">
              <w:rPr>
                <w:color w:val="FFFFFF" w:themeColor="background1"/>
                <w:sz w:val="18"/>
                <w:szCs w:val="18"/>
              </w:rPr>
              <w:br/>
              <w:t>Pty Ltd</w:t>
            </w:r>
          </w:p>
        </w:tc>
        <w:tc>
          <w:tcPr>
            <w:tcW w:w="1541" w:type="dxa"/>
            <w:shd w:val="clear" w:color="auto" w:fill="D2E1E9"/>
          </w:tcPr>
          <w:p w14:paraId="04E8E3FC" w14:textId="77777777" w:rsidR="000A1CD9" w:rsidRPr="009E6D3B" w:rsidRDefault="000A1CD9" w:rsidP="005B333B">
            <w:pPr>
              <w:pStyle w:val="ACMATableText"/>
              <w:spacing w:before="0" w:after="0"/>
              <w:jc w:val="center"/>
              <w:rPr>
                <w:sz w:val="18"/>
                <w:szCs w:val="18"/>
              </w:rPr>
            </w:pPr>
            <w:r w:rsidRPr="00101030">
              <w:rPr>
                <w:sz w:val="18"/>
                <w:szCs w:val="18"/>
              </w:rPr>
              <w:t>13</w:t>
            </w:r>
          </w:p>
        </w:tc>
        <w:tc>
          <w:tcPr>
            <w:tcW w:w="5064" w:type="dxa"/>
            <w:shd w:val="clear" w:color="auto" w:fill="D2E1E9"/>
          </w:tcPr>
          <w:p w14:paraId="757EE135" w14:textId="77777777" w:rsidR="000A1CD9" w:rsidRPr="009E6D3B" w:rsidRDefault="000A1CD9" w:rsidP="00914F81">
            <w:pPr>
              <w:pStyle w:val="ACMATableText"/>
              <w:spacing w:before="0" w:after="0"/>
              <w:rPr>
                <w:sz w:val="18"/>
                <w:szCs w:val="18"/>
              </w:rPr>
            </w:pPr>
            <w:r w:rsidRPr="00101030">
              <w:rPr>
                <w:sz w:val="18"/>
                <w:szCs w:val="18"/>
              </w:rPr>
              <w:t>Licences in regional Victoria and one licence in the regional New South Wales licence area of Albury, which includes parts of regional Victoria</w:t>
            </w:r>
          </w:p>
        </w:tc>
      </w:tr>
      <w:tr w:rsidR="000A1CD9" w:rsidRPr="009E6D3B" w14:paraId="46BB4EF4" w14:textId="77777777" w:rsidTr="00914F81">
        <w:trPr>
          <w:trHeight w:val="454"/>
        </w:trPr>
        <w:tc>
          <w:tcPr>
            <w:tcW w:w="2824" w:type="dxa"/>
            <w:shd w:val="clear" w:color="auto" w:fill="7FB8CB"/>
          </w:tcPr>
          <w:p w14:paraId="57A9225B" w14:textId="77777777" w:rsidR="000A1CD9" w:rsidRPr="008E419C" w:rsidRDefault="000A1CD9" w:rsidP="00914F81">
            <w:pPr>
              <w:pStyle w:val="ACMATableText"/>
              <w:spacing w:before="0" w:after="0"/>
              <w:rPr>
                <w:color w:val="FFFFFF" w:themeColor="background1"/>
                <w:sz w:val="18"/>
                <w:szCs w:val="18"/>
              </w:rPr>
            </w:pPr>
            <w:r w:rsidRPr="008E419C">
              <w:rPr>
                <w:color w:val="FFFFFF" w:themeColor="background1"/>
                <w:sz w:val="18"/>
                <w:szCs w:val="18"/>
              </w:rPr>
              <w:t xml:space="preserve">Australian Radio Network </w:t>
            </w:r>
            <w:r w:rsidRPr="008E419C">
              <w:rPr>
                <w:color w:val="FFFFFF" w:themeColor="background1"/>
                <w:sz w:val="18"/>
                <w:szCs w:val="18"/>
              </w:rPr>
              <w:br/>
              <w:t>Pty Ltd</w:t>
            </w:r>
          </w:p>
        </w:tc>
        <w:tc>
          <w:tcPr>
            <w:tcW w:w="1541" w:type="dxa"/>
            <w:shd w:val="clear" w:color="auto" w:fill="D2E1E9"/>
          </w:tcPr>
          <w:p w14:paraId="0E97DEEB" w14:textId="77777777" w:rsidR="000A1CD9" w:rsidRPr="009E6D3B" w:rsidRDefault="000A1CD9" w:rsidP="005B333B">
            <w:pPr>
              <w:pStyle w:val="ACMATableText"/>
              <w:spacing w:before="0" w:after="0"/>
              <w:jc w:val="center"/>
              <w:rPr>
                <w:sz w:val="18"/>
                <w:szCs w:val="18"/>
              </w:rPr>
            </w:pPr>
            <w:r w:rsidRPr="00101030">
              <w:rPr>
                <w:sz w:val="18"/>
                <w:szCs w:val="18"/>
              </w:rPr>
              <w:t>13</w:t>
            </w:r>
          </w:p>
        </w:tc>
        <w:tc>
          <w:tcPr>
            <w:tcW w:w="5064" w:type="dxa"/>
            <w:shd w:val="clear" w:color="auto" w:fill="D2E1E9"/>
          </w:tcPr>
          <w:p w14:paraId="734F9963" w14:textId="77777777" w:rsidR="000A1CD9" w:rsidRPr="00101030" w:rsidRDefault="000A1CD9" w:rsidP="00914F81">
            <w:pPr>
              <w:pStyle w:val="ACMATableText"/>
              <w:spacing w:before="0" w:after="0"/>
              <w:rPr>
                <w:sz w:val="18"/>
                <w:szCs w:val="18"/>
              </w:rPr>
            </w:pPr>
            <w:r w:rsidRPr="00101030">
              <w:rPr>
                <w:sz w:val="18"/>
                <w:szCs w:val="18"/>
              </w:rPr>
              <w:t>Metropolitan licences in Adelaide (2), Brisbane (1), Melbourne (2), Perth (1), Sydney (1) and Western Suburbs, Sydney (1)</w:t>
            </w:r>
          </w:p>
          <w:p w14:paraId="4FBC57C3" w14:textId="77777777" w:rsidR="000A1CD9" w:rsidRPr="00101030" w:rsidRDefault="000A1CD9" w:rsidP="00E43B42">
            <w:pPr>
              <w:pStyle w:val="ACMATableText"/>
              <w:spacing w:before="0" w:after="60"/>
              <w:rPr>
                <w:sz w:val="18"/>
                <w:szCs w:val="18"/>
              </w:rPr>
            </w:pPr>
            <w:r w:rsidRPr="00101030">
              <w:rPr>
                <w:sz w:val="18"/>
                <w:szCs w:val="18"/>
              </w:rPr>
              <w:t>One regional radio licence in Katoomba, NSW</w:t>
            </w:r>
          </w:p>
          <w:p w14:paraId="077FA3CB" w14:textId="77777777" w:rsidR="000A1CD9" w:rsidRPr="009E6D3B" w:rsidRDefault="000A1CD9" w:rsidP="00914F81">
            <w:pPr>
              <w:pStyle w:val="ACMATableText"/>
              <w:spacing w:before="0" w:after="0"/>
              <w:rPr>
                <w:sz w:val="18"/>
                <w:szCs w:val="18"/>
              </w:rPr>
            </w:pPr>
            <w:r w:rsidRPr="00101030">
              <w:rPr>
                <w:sz w:val="18"/>
                <w:szCs w:val="18"/>
              </w:rPr>
              <w:t>Two joint-venture licences with Nova Entertainment Pty Ltd, one in each of Brisbane and Perth, and two joint-venture licences with Southern Cross Media Group Ltd in Canberra</w:t>
            </w:r>
          </w:p>
        </w:tc>
      </w:tr>
      <w:tr w:rsidR="000A1CD9" w:rsidRPr="009E6D3B" w14:paraId="111B49DA" w14:textId="77777777" w:rsidTr="00914F81">
        <w:trPr>
          <w:trHeight w:val="454"/>
        </w:trPr>
        <w:tc>
          <w:tcPr>
            <w:tcW w:w="2824" w:type="dxa"/>
            <w:tcBorders>
              <w:top w:val="single" w:sz="24" w:space="0" w:color="FFFFFF"/>
              <w:bottom w:val="single" w:sz="24" w:space="0" w:color="FFFFFF"/>
            </w:tcBorders>
            <w:shd w:val="clear" w:color="auto" w:fill="7FB8CB"/>
          </w:tcPr>
          <w:p w14:paraId="1AD0C6ED" w14:textId="77777777" w:rsidR="000A1CD9" w:rsidRPr="008E419C" w:rsidRDefault="000A1CD9" w:rsidP="00914F81">
            <w:pPr>
              <w:pStyle w:val="ACMATableText"/>
              <w:spacing w:before="0" w:after="0"/>
              <w:rPr>
                <w:color w:val="FFFFFF" w:themeColor="background1"/>
                <w:sz w:val="18"/>
                <w:szCs w:val="18"/>
              </w:rPr>
            </w:pPr>
            <w:r w:rsidRPr="008E419C">
              <w:rPr>
                <w:color w:val="FFFFFF" w:themeColor="background1"/>
                <w:sz w:val="18"/>
                <w:szCs w:val="18"/>
              </w:rPr>
              <w:t>Nova Entertainment Pty Ltd</w:t>
            </w:r>
          </w:p>
        </w:tc>
        <w:tc>
          <w:tcPr>
            <w:tcW w:w="1541" w:type="dxa"/>
            <w:shd w:val="clear" w:color="auto" w:fill="D2E1E9"/>
          </w:tcPr>
          <w:p w14:paraId="566C353B" w14:textId="77777777" w:rsidR="000A1CD9" w:rsidRPr="009E6D3B" w:rsidRDefault="000A1CD9" w:rsidP="005B333B">
            <w:pPr>
              <w:pStyle w:val="ACMATableText"/>
              <w:spacing w:before="0" w:after="0"/>
              <w:jc w:val="center"/>
              <w:rPr>
                <w:sz w:val="18"/>
                <w:szCs w:val="18"/>
              </w:rPr>
            </w:pPr>
            <w:r w:rsidRPr="00101030">
              <w:rPr>
                <w:sz w:val="18"/>
                <w:szCs w:val="18"/>
              </w:rPr>
              <w:t>10</w:t>
            </w:r>
          </w:p>
        </w:tc>
        <w:tc>
          <w:tcPr>
            <w:tcW w:w="5064" w:type="dxa"/>
            <w:shd w:val="clear" w:color="auto" w:fill="D2E1E9"/>
          </w:tcPr>
          <w:p w14:paraId="10430F0C" w14:textId="77777777" w:rsidR="000A1CD9" w:rsidRPr="00101030" w:rsidRDefault="000A1CD9" w:rsidP="00E43B42">
            <w:pPr>
              <w:pStyle w:val="ACMATableText"/>
              <w:spacing w:before="0" w:after="60"/>
              <w:rPr>
                <w:sz w:val="18"/>
                <w:szCs w:val="18"/>
              </w:rPr>
            </w:pPr>
            <w:r w:rsidRPr="00101030">
              <w:rPr>
                <w:sz w:val="18"/>
                <w:szCs w:val="18"/>
              </w:rPr>
              <w:t>Metropolitan licences in Adelaide (2), Brisbane (1), Melbourne (2) and Sydney (2) as well as one regional radio licence in Gosford, NSW</w:t>
            </w:r>
          </w:p>
          <w:p w14:paraId="77A50770" w14:textId="77777777" w:rsidR="000A1CD9" w:rsidRPr="009E6D3B" w:rsidRDefault="000A1CD9" w:rsidP="00914F81">
            <w:pPr>
              <w:pStyle w:val="ACMATableText"/>
              <w:spacing w:before="0" w:after="0"/>
              <w:rPr>
                <w:sz w:val="18"/>
                <w:szCs w:val="18"/>
              </w:rPr>
            </w:pPr>
            <w:r w:rsidRPr="00101030">
              <w:rPr>
                <w:sz w:val="18"/>
                <w:szCs w:val="18"/>
              </w:rPr>
              <w:t>Two joint-venture licences with Australian Radio Network Pty Ltd, one in each of Brisbane and Perth</w:t>
            </w:r>
          </w:p>
        </w:tc>
      </w:tr>
      <w:tr w:rsidR="000A1CD9" w:rsidRPr="009E6D3B" w14:paraId="4F55E0FD" w14:textId="77777777" w:rsidTr="00914F81">
        <w:trPr>
          <w:trHeight w:val="454"/>
        </w:trPr>
        <w:tc>
          <w:tcPr>
            <w:tcW w:w="2824" w:type="dxa"/>
            <w:tcBorders>
              <w:top w:val="single" w:sz="24" w:space="0" w:color="FFFFFF"/>
              <w:bottom w:val="single" w:sz="24" w:space="0" w:color="FFFFFF"/>
            </w:tcBorders>
            <w:shd w:val="clear" w:color="auto" w:fill="7FB8CB"/>
          </w:tcPr>
          <w:p w14:paraId="5EECF4E7" w14:textId="77777777" w:rsidR="000A1CD9" w:rsidRPr="008E419C" w:rsidRDefault="000A1CD9" w:rsidP="00914F81">
            <w:pPr>
              <w:pStyle w:val="ACMATableText"/>
              <w:spacing w:before="0" w:after="0"/>
              <w:rPr>
                <w:color w:val="FFFFFF" w:themeColor="background1"/>
                <w:sz w:val="18"/>
                <w:szCs w:val="18"/>
              </w:rPr>
            </w:pPr>
            <w:r w:rsidRPr="008E419C">
              <w:rPr>
                <w:color w:val="FFFFFF" w:themeColor="background1"/>
                <w:sz w:val="18"/>
                <w:szCs w:val="18"/>
              </w:rPr>
              <w:t>Grant Broadcasters Pty Ltd</w:t>
            </w:r>
          </w:p>
        </w:tc>
        <w:tc>
          <w:tcPr>
            <w:tcW w:w="1541" w:type="dxa"/>
            <w:shd w:val="clear" w:color="auto" w:fill="D2E1E9"/>
          </w:tcPr>
          <w:p w14:paraId="437C3169" w14:textId="77777777" w:rsidR="000A1CD9" w:rsidRPr="009E6D3B" w:rsidRDefault="000A1CD9" w:rsidP="005B333B">
            <w:pPr>
              <w:pStyle w:val="ACMATableText"/>
              <w:spacing w:before="0" w:after="0"/>
              <w:jc w:val="center"/>
              <w:rPr>
                <w:sz w:val="18"/>
                <w:szCs w:val="18"/>
              </w:rPr>
            </w:pPr>
            <w:r w:rsidRPr="00101030">
              <w:rPr>
                <w:sz w:val="18"/>
                <w:szCs w:val="18"/>
              </w:rPr>
              <w:t>52</w:t>
            </w:r>
          </w:p>
        </w:tc>
        <w:tc>
          <w:tcPr>
            <w:tcW w:w="5064" w:type="dxa"/>
            <w:shd w:val="clear" w:color="auto" w:fill="D2E1E9"/>
          </w:tcPr>
          <w:p w14:paraId="0E806DC7" w14:textId="77777777" w:rsidR="000A1CD9" w:rsidRPr="00101030" w:rsidRDefault="000A1CD9" w:rsidP="00E43B42">
            <w:pPr>
              <w:pStyle w:val="ACMATableText"/>
              <w:spacing w:before="0" w:after="60"/>
              <w:rPr>
                <w:sz w:val="18"/>
                <w:szCs w:val="18"/>
              </w:rPr>
            </w:pPr>
            <w:r w:rsidRPr="00101030">
              <w:rPr>
                <w:sz w:val="18"/>
                <w:szCs w:val="18"/>
              </w:rPr>
              <w:t xml:space="preserve">A metropolitan licence in Perth </w:t>
            </w:r>
          </w:p>
          <w:p w14:paraId="70001C98" w14:textId="77777777" w:rsidR="000A1CD9" w:rsidRPr="009E6D3B" w:rsidRDefault="000A1CD9" w:rsidP="00914F81">
            <w:pPr>
              <w:pStyle w:val="ACMATableText"/>
              <w:spacing w:before="0" w:after="0"/>
              <w:rPr>
                <w:sz w:val="18"/>
                <w:szCs w:val="18"/>
              </w:rPr>
            </w:pPr>
            <w:r w:rsidRPr="00101030">
              <w:rPr>
                <w:sz w:val="18"/>
                <w:szCs w:val="18"/>
              </w:rPr>
              <w:t>Licences in regional areas in New South Wales, Northern Territory, Queensland, Victoria, South Australia and Tasmania, including five joint-venture licences with Kevin Blyton which are part of the Capital Radio Network</w:t>
            </w:r>
          </w:p>
        </w:tc>
      </w:tr>
      <w:tr w:rsidR="000A1CD9" w:rsidRPr="009E6D3B" w14:paraId="62ADD94C" w14:textId="77777777" w:rsidTr="00914F81">
        <w:trPr>
          <w:trHeight w:val="454"/>
        </w:trPr>
        <w:tc>
          <w:tcPr>
            <w:tcW w:w="2824" w:type="dxa"/>
            <w:tcBorders>
              <w:top w:val="single" w:sz="24" w:space="0" w:color="FFFFFF"/>
              <w:bottom w:val="single" w:sz="24" w:space="0" w:color="FFFFFF"/>
            </w:tcBorders>
            <w:shd w:val="clear" w:color="auto" w:fill="7FB8CB"/>
          </w:tcPr>
          <w:p w14:paraId="2CA527CC" w14:textId="77777777" w:rsidR="000A1CD9" w:rsidRPr="008E419C" w:rsidRDefault="000A1CD9" w:rsidP="00914F81">
            <w:pPr>
              <w:pStyle w:val="ACMATableText"/>
              <w:spacing w:before="0" w:after="0"/>
              <w:rPr>
                <w:color w:val="FFFFFF" w:themeColor="background1"/>
                <w:sz w:val="18"/>
                <w:szCs w:val="18"/>
              </w:rPr>
            </w:pPr>
            <w:r w:rsidRPr="008E419C">
              <w:rPr>
                <w:color w:val="FFFFFF" w:themeColor="background1"/>
                <w:sz w:val="18"/>
                <w:szCs w:val="18"/>
              </w:rPr>
              <w:t xml:space="preserve">Macquarie Media Limited (formerly Macquarie Radio </w:t>
            </w:r>
            <w:r w:rsidRPr="008E419C">
              <w:rPr>
                <w:color w:val="FFFFFF" w:themeColor="background1"/>
                <w:sz w:val="18"/>
                <w:szCs w:val="18"/>
              </w:rPr>
              <w:br/>
              <w:t>Network Ltd)</w:t>
            </w:r>
          </w:p>
        </w:tc>
        <w:tc>
          <w:tcPr>
            <w:tcW w:w="1541" w:type="dxa"/>
            <w:shd w:val="clear" w:color="auto" w:fill="D2E1E9"/>
          </w:tcPr>
          <w:p w14:paraId="56F48770" w14:textId="77777777" w:rsidR="000A1CD9" w:rsidRPr="009E6D3B" w:rsidRDefault="000A1CD9" w:rsidP="005B333B">
            <w:pPr>
              <w:pStyle w:val="ACMATableText"/>
              <w:spacing w:before="0" w:after="0"/>
              <w:jc w:val="center"/>
              <w:rPr>
                <w:sz w:val="18"/>
                <w:szCs w:val="18"/>
              </w:rPr>
            </w:pPr>
            <w:r w:rsidRPr="00101030">
              <w:rPr>
                <w:sz w:val="18"/>
                <w:szCs w:val="18"/>
              </w:rPr>
              <w:t>8</w:t>
            </w:r>
          </w:p>
        </w:tc>
        <w:tc>
          <w:tcPr>
            <w:tcW w:w="5064" w:type="dxa"/>
            <w:shd w:val="clear" w:color="auto" w:fill="D2E1E9"/>
          </w:tcPr>
          <w:p w14:paraId="7DFCB4B7" w14:textId="77777777" w:rsidR="000A1CD9" w:rsidRPr="009E6D3B" w:rsidRDefault="000A1CD9" w:rsidP="00914F81">
            <w:pPr>
              <w:pStyle w:val="ACMATableText"/>
              <w:spacing w:before="0" w:after="0"/>
              <w:rPr>
                <w:sz w:val="18"/>
                <w:szCs w:val="18"/>
              </w:rPr>
            </w:pPr>
            <w:r w:rsidRPr="00101030">
              <w:rPr>
                <w:sz w:val="18"/>
                <w:szCs w:val="18"/>
              </w:rPr>
              <w:t>Metropolitan licences in Brisbane (2), Melbourne (2), Perth (1) and Sydney (3)*</w:t>
            </w:r>
            <w:r w:rsidRPr="00101030" w:rsidDel="009654CF">
              <w:rPr>
                <w:sz w:val="18"/>
                <w:szCs w:val="18"/>
              </w:rPr>
              <w:t xml:space="preserve"> </w:t>
            </w:r>
          </w:p>
        </w:tc>
      </w:tr>
      <w:tr w:rsidR="000A1CD9" w:rsidRPr="009E6D3B" w14:paraId="756B7668" w14:textId="77777777" w:rsidTr="00914F81">
        <w:trPr>
          <w:trHeight w:val="454"/>
        </w:trPr>
        <w:tc>
          <w:tcPr>
            <w:tcW w:w="2824" w:type="dxa"/>
            <w:tcBorders>
              <w:top w:val="single" w:sz="24" w:space="0" w:color="FFFFFF"/>
              <w:bottom w:val="single" w:sz="24" w:space="0" w:color="FFFFFF"/>
            </w:tcBorders>
            <w:shd w:val="clear" w:color="auto" w:fill="7FB8CB"/>
          </w:tcPr>
          <w:p w14:paraId="42762C86" w14:textId="77777777" w:rsidR="000A1CD9" w:rsidRPr="008E419C" w:rsidRDefault="000A1CD9" w:rsidP="00914F81">
            <w:pPr>
              <w:pStyle w:val="ACMATableText"/>
              <w:spacing w:before="0" w:after="0"/>
              <w:rPr>
                <w:color w:val="FFFFFF" w:themeColor="background1"/>
                <w:sz w:val="18"/>
                <w:szCs w:val="18"/>
              </w:rPr>
            </w:pPr>
            <w:r w:rsidRPr="008E419C">
              <w:rPr>
                <w:color w:val="FFFFFF" w:themeColor="background1"/>
                <w:sz w:val="18"/>
                <w:szCs w:val="18"/>
              </w:rPr>
              <w:t>Redwave Media Ltd/</w:t>
            </w:r>
            <w:r w:rsidRPr="008E419C">
              <w:rPr>
                <w:color w:val="FFFFFF" w:themeColor="background1"/>
                <w:sz w:val="18"/>
                <w:szCs w:val="18"/>
              </w:rPr>
              <w:br/>
              <w:t>Seven Group Holdings Ltd</w:t>
            </w:r>
          </w:p>
        </w:tc>
        <w:tc>
          <w:tcPr>
            <w:tcW w:w="1541" w:type="dxa"/>
            <w:shd w:val="clear" w:color="auto" w:fill="D2E1E9"/>
          </w:tcPr>
          <w:p w14:paraId="4A96EA72" w14:textId="77777777" w:rsidR="000A1CD9" w:rsidRPr="009E6D3B" w:rsidRDefault="000A1CD9" w:rsidP="005B333B">
            <w:pPr>
              <w:pStyle w:val="ACMATableText"/>
              <w:spacing w:before="0" w:after="0"/>
              <w:jc w:val="center"/>
              <w:rPr>
                <w:sz w:val="18"/>
                <w:szCs w:val="18"/>
              </w:rPr>
            </w:pPr>
            <w:r w:rsidRPr="00101030">
              <w:rPr>
                <w:sz w:val="18"/>
                <w:szCs w:val="18"/>
              </w:rPr>
              <w:t>9</w:t>
            </w:r>
          </w:p>
        </w:tc>
        <w:tc>
          <w:tcPr>
            <w:tcW w:w="5064" w:type="dxa"/>
            <w:shd w:val="clear" w:color="auto" w:fill="D2E1E9"/>
          </w:tcPr>
          <w:p w14:paraId="1AACE21F" w14:textId="77777777" w:rsidR="000A1CD9" w:rsidRPr="009E6D3B" w:rsidRDefault="000A1CD9" w:rsidP="00914F81">
            <w:pPr>
              <w:pStyle w:val="ACMATableText"/>
              <w:spacing w:before="0" w:after="0"/>
              <w:rPr>
                <w:sz w:val="18"/>
                <w:szCs w:val="18"/>
              </w:rPr>
            </w:pPr>
            <w:r w:rsidRPr="00101030">
              <w:rPr>
                <w:sz w:val="18"/>
                <w:szCs w:val="18"/>
              </w:rPr>
              <w:t>Licences in regional and remote areas in Western Australia</w:t>
            </w:r>
          </w:p>
        </w:tc>
      </w:tr>
      <w:tr w:rsidR="000A1CD9" w:rsidRPr="009E6D3B" w14:paraId="3E556BA4" w14:textId="77777777" w:rsidTr="00914F81">
        <w:trPr>
          <w:trHeight w:val="454"/>
        </w:trPr>
        <w:tc>
          <w:tcPr>
            <w:tcW w:w="2824" w:type="dxa"/>
            <w:tcBorders>
              <w:top w:val="single" w:sz="24" w:space="0" w:color="FFFFFF"/>
              <w:bottom w:val="single" w:sz="24" w:space="0" w:color="FFFFFF"/>
            </w:tcBorders>
            <w:shd w:val="clear" w:color="auto" w:fill="7FB8CB"/>
          </w:tcPr>
          <w:p w14:paraId="36AA67FF" w14:textId="77777777" w:rsidR="000A1CD9" w:rsidRPr="008E419C" w:rsidRDefault="000A1CD9" w:rsidP="00914F81">
            <w:pPr>
              <w:pStyle w:val="ACMATableText"/>
              <w:spacing w:before="0" w:after="0"/>
              <w:rPr>
                <w:color w:val="FFFFFF" w:themeColor="background1"/>
                <w:sz w:val="18"/>
                <w:szCs w:val="18"/>
              </w:rPr>
            </w:pPr>
            <w:r w:rsidRPr="008E419C">
              <w:rPr>
                <w:color w:val="FFFFFF" w:themeColor="background1"/>
                <w:sz w:val="18"/>
                <w:szCs w:val="18"/>
              </w:rPr>
              <w:t>Southern Cross Media Group Ltd</w:t>
            </w:r>
          </w:p>
        </w:tc>
        <w:tc>
          <w:tcPr>
            <w:tcW w:w="1541" w:type="dxa"/>
            <w:shd w:val="clear" w:color="auto" w:fill="D2E1E9"/>
          </w:tcPr>
          <w:p w14:paraId="426470FC" w14:textId="77777777" w:rsidR="000A1CD9" w:rsidRPr="009E6D3B" w:rsidRDefault="000A1CD9" w:rsidP="005B333B">
            <w:pPr>
              <w:pStyle w:val="ACMATableText"/>
              <w:spacing w:before="0" w:after="0"/>
              <w:jc w:val="center"/>
              <w:rPr>
                <w:sz w:val="18"/>
                <w:szCs w:val="18"/>
              </w:rPr>
            </w:pPr>
            <w:r w:rsidRPr="00101030">
              <w:rPr>
                <w:sz w:val="18"/>
                <w:szCs w:val="18"/>
              </w:rPr>
              <w:t>78</w:t>
            </w:r>
          </w:p>
        </w:tc>
        <w:tc>
          <w:tcPr>
            <w:tcW w:w="5064" w:type="dxa"/>
            <w:shd w:val="clear" w:color="auto" w:fill="D2E1E9"/>
          </w:tcPr>
          <w:p w14:paraId="224F5B1A" w14:textId="77777777" w:rsidR="000A1CD9" w:rsidRPr="00101030" w:rsidRDefault="000A1CD9" w:rsidP="00E43B42">
            <w:pPr>
              <w:pStyle w:val="ACMATableText"/>
              <w:spacing w:before="0" w:after="60"/>
              <w:rPr>
                <w:sz w:val="18"/>
                <w:szCs w:val="18"/>
              </w:rPr>
            </w:pPr>
            <w:r w:rsidRPr="00101030">
              <w:rPr>
                <w:sz w:val="18"/>
                <w:szCs w:val="18"/>
              </w:rPr>
              <w:t>Two metropolitan licences in each of Adelaide, Brisbane, Melbourne, Perth and Sydney</w:t>
            </w:r>
          </w:p>
          <w:p w14:paraId="5966A8F8" w14:textId="77777777" w:rsidR="000A1CD9" w:rsidRPr="00101030" w:rsidRDefault="000A1CD9" w:rsidP="00914F81">
            <w:pPr>
              <w:pStyle w:val="ACMATableText"/>
              <w:spacing w:before="0" w:after="0"/>
              <w:rPr>
                <w:sz w:val="18"/>
                <w:szCs w:val="18"/>
              </w:rPr>
            </w:pPr>
            <w:r w:rsidRPr="00101030">
              <w:rPr>
                <w:sz w:val="18"/>
                <w:szCs w:val="18"/>
              </w:rPr>
              <w:t>Licences in regional areas in New South Wales, Queensland, Tasmania, Victoria, South Australia and Western Australia</w:t>
            </w:r>
          </w:p>
          <w:p w14:paraId="526D1898" w14:textId="77777777" w:rsidR="000A1CD9" w:rsidRPr="009E6D3B" w:rsidRDefault="000A1CD9" w:rsidP="00914F81">
            <w:pPr>
              <w:pStyle w:val="ACMATableText"/>
              <w:spacing w:before="0" w:after="0"/>
              <w:rPr>
                <w:sz w:val="18"/>
                <w:szCs w:val="18"/>
              </w:rPr>
            </w:pPr>
            <w:r w:rsidRPr="00101030">
              <w:rPr>
                <w:sz w:val="18"/>
                <w:szCs w:val="18"/>
              </w:rPr>
              <w:lastRenderedPageBreak/>
              <w:t>Two joint-venture licences with Australian Radio Network Pty Ltd in Canberra</w:t>
            </w:r>
          </w:p>
        </w:tc>
      </w:tr>
      <w:tr w:rsidR="000A1CD9" w:rsidRPr="009E6D3B" w14:paraId="580A9053" w14:textId="77777777" w:rsidTr="008F3F55">
        <w:trPr>
          <w:trHeight w:val="338"/>
        </w:trPr>
        <w:tc>
          <w:tcPr>
            <w:tcW w:w="2824" w:type="dxa"/>
            <w:tcBorders>
              <w:top w:val="single" w:sz="24" w:space="0" w:color="FFFFFF"/>
              <w:bottom w:val="single" w:sz="24" w:space="0" w:color="FFFFFF"/>
            </w:tcBorders>
            <w:shd w:val="clear" w:color="auto" w:fill="7FB8CB"/>
          </w:tcPr>
          <w:p w14:paraId="6E0F460C" w14:textId="77777777" w:rsidR="000A1CD9" w:rsidRPr="008E419C" w:rsidRDefault="000A1CD9" w:rsidP="00914F81">
            <w:pPr>
              <w:pStyle w:val="ACMATableText"/>
              <w:spacing w:before="0" w:after="0"/>
              <w:rPr>
                <w:color w:val="FFFFFF" w:themeColor="background1"/>
                <w:sz w:val="18"/>
                <w:szCs w:val="18"/>
              </w:rPr>
            </w:pPr>
            <w:r w:rsidRPr="008E419C">
              <w:rPr>
                <w:color w:val="FFFFFF" w:themeColor="background1"/>
                <w:sz w:val="18"/>
                <w:szCs w:val="18"/>
              </w:rPr>
              <w:lastRenderedPageBreak/>
              <w:t>Broadcast Operations Pty Ltd (Super Radio Network)</w:t>
            </w:r>
          </w:p>
        </w:tc>
        <w:tc>
          <w:tcPr>
            <w:tcW w:w="1541" w:type="dxa"/>
            <w:shd w:val="clear" w:color="auto" w:fill="D2E1E9"/>
          </w:tcPr>
          <w:p w14:paraId="5AFF2189" w14:textId="77777777" w:rsidR="000A1CD9" w:rsidRPr="009E6D3B" w:rsidRDefault="000A1CD9" w:rsidP="005B333B">
            <w:pPr>
              <w:pStyle w:val="ACMATableText"/>
              <w:spacing w:before="0" w:after="0"/>
              <w:jc w:val="center"/>
              <w:rPr>
                <w:sz w:val="18"/>
                <w:szCs w:val="18"/>
              </w:rPr>
            </w:pPr>
            <w:r w:rsidRPr="00101030">
              <w:rPr>
                <w:sz w:val="18"/>
                <w:szCs w:val="18"/>
              </w:rPr>
              <w:t>36</w:t>
            </w:r>
          </w:p>
        </w:tc>
        <w:tc>
          <w:tcPr>
            <w:tcW w:w="5064" w:type="dxa"/>
            <w:shd w:val="clear" w:color="auto" w:fill="D2E1E9"/>
          </w:tcPr>
          <w:p w14:paraId="08B66342" w14:textId="77777777" w:rsidR="000A1CD9" w:rsidRPr="009E6D3B" w:rsidRDefault="000A1CD9" w:rsidP="00914F81">
            <w:pPr>
              <w:pStyle w:val="ACMATableText"/>
              <w:spacing w:before="0" w:after="0"/>
              <w:rPr>
                <w:sz w:val="18"/>
                <w:szCs w:val="18"/>
              </w:rPr>
            </w:pPr>
            <w:r w:rsidRPr="00101030">
              <w:rPr>
                <w:sz w:val="18"/>
                <w:szCs w:val="18"/>
              </w:rPr>
              <w:t>Licences in regional areas of New South Wales and Queensland. One metropolitan licence in Sydney</w:t>
            </w:r>
          </w:p>
        </w:tc>
      </w:tr>
      <w:tr w:rsidR="000A1CD9" w:rsidRPr="009E6D3B" w14:paraId="4E784FA0" w14:textId="77777777" w:rsidTr="00914F81">
        <w:trPr>
          <w:trHeight w:val="454"/>
        </w:trPr>
        <w:tc>
          <w:tcPr>
            <w:tcW w:w="2824" w:type="dxa"/>
            <w:tcBorders>
              <w:top w:val="single" w:sz="24" w:space="0" w:color="FFFFFF"/>
              <w:bottom w:val="single" w:sz="24" w:space="0" w:color="FFFFFF"/>
            </w:tcBorders>
            <w:shd w:val="clear" w:color="auto" w:fill="7FB8CB"/>
          </w:tcPr>
          <w:p w14:paraId="284FA695" w14:textId="77777777" w:rsidR="000A1CD9" w:rsidRPr="008E419C" w:rsidRDefault="000A1CD9" w:rsidP="00914F81">
            <w:pPr>
              <w:pStyle w:val="ACMATableText"/>
              <w:spacing w:before="0" w:after="0"/>
              <w:rPr>
                <w:color w:val="FFFFFF" w:themeColor="background1"/>
                <w:sz w:val="18"/>
                <w:szCs w:val="18"/>
              </w:rPr>
            </w:pPr>
            <w:r w:rsidRPr="008E419C">
              <w:rPr>
                <w:color w:val="FFFFFF" w:themeColor="background1"/>
                <w:sz w:val="18"/>
                <w:szCs w:val="18"/>
              </w:rPr>
              <w:t>Resonate Broadcasters Pty Ltd and Resonate Regional Radio Pty Limited)</w:t>
            </w:r>
          </w:p>
        </w:tc>
        <w:tc>
          <w:tcPr>
            <w:tcW w:w="1541" w:type="dxa"/>
            <w:shd w:val="clear" w:color="auto" w:fill="D2E1E9"/>
          </w:tcPr>
          <w:p w14:paraId="12B66139" w14:textId="77777777" w:rsidR="000A1CD9" w:rsidRPr="009E6D3B" w:rsidRDefault="000A1CD9" w:rsidP="005B333B">
            <w:pPr>
              <w:pStyle w:val="ACMATableText"/>
              <w:spacing w:before="0" w:after="0"/>
              <w:jc w:val="center"/>
              <w:rPr>
                <w:sz w:val="18"/>
                <w:szCs w:val="18"/>
              </w:rPr>
            </w:pPr>
            <w:r w:rsidRPr="00101030">
              <w:rPr>
                <w:sz w:val="18"/>
                <w:szCs w:val="18"/>
              </w:rPr>
              <w:t>10</w:t>
            </w:r>
          </w:p>
        </w:tc>
        <w:tc>
          <w:tcPr>
            <w:tcW w:w="5064" w:type="dxa"/>
            <w:shd w:val="clear" w:color="auto" w:fill="D2E1E9"/>
          </w:tcPr>
          <w:p w14:paraId="79BC78EF" w14:textId="77777777" w:rsidR="000A1CD9" w:rsidRPr="009E6D3B" w:rsidRDefault="000A1CD9" w:rsidP="00914F81">
            <w:pPr>
              <w:pStyle w:val="ACMATableText"/>
              <w:spacing w:before="0" w:after="0"/>
              <w:rPr>
                <w:sz w:val="18"/>
                <w:szCs w:val="18"/>
              </w:rPr>
            </w:pPr>
            <w:r w:rsidRPr="00101030">
              <w:rPr>
                <w:sz w:val="18"/>
                <w:szCs w:val="18"/>
              </w:rPr>
              <w:t>Ten licences in regional areas in Queensland, including six held by Resonate Regional Radio Pty Limited—Charleville (2), Emerald (1), Kingaroy (1), Mt Isa (1)*, and Roma (1)—and four held by Resonate Broadcasters Pty Ltd—Longreach (2) and Charters Towers (2)</w:t>
            </w:r>
          </w:p>
        </w:tc>
      </w:tr>
    </w:tbl>
    <w:p w14:paraId="78938F0E" w14:textId="77777777" w:rsidR="000A1CD9" w:rsidRPr="0053710F" w:rsidRDefault="000A1CD9" w:rsidP="000A1CD9">
      <w:pPr>
        <w:pStyle w:val="ACMANotes"/>
        <w:widowControl w:val="0"/>
      </w:pPr>
      <w:r w:rsidRPr="0053710F">
        <w:t>*The ACMA granted prior approval of temporary breaches of the control rules in Sydney and Mt Isa—see commentary.</w:t>
      </w:r>
    </w:p>
    <w:p w14:paraId="4FE3F56F" w14:textId="77777777" w:rsidR="000A1CD9" w:rsidRPr="0053710F" w:rsidRDefault="000A1CD9" w:rsidP="000A1CD9">
      <w:pPr>
        <w:pStyle w:val="ACMANotes"/>
        <w:widowControl w:val="0"/>
      </w:pPr>
      <w:r w:rsidRPr="0053710F">
        <w:t>Note: Table includes networks with more than six licences.</w:t>
      </w:r>
    </w:p>
    <w:p w14:paraId="774B8C25" w14:textId="77777777" w:rsidR="000A1CD9" w:rsidRPr="00531CD0" w:rsidRDefault="000A1CD9" w:rsidP="000A1CD9">
      <w:pPr>
        <w:pStyle w:val="ACMANotes"/>
        <w:rPr>
          <w:rStyle w:val="Hyperlink"/>
        </w:rPr>
      </w:pPr>
      <w:r>
        <w:rPr>
          <w:szCs w:val="16"/>
        </w:rPr>
        <w:t xml:space="preserve">Source: ACMA, </w:t>
      </w:r>
      <w:hyperlink r:id="rId55" w:history="1">
        <w:r w:rsidRPr="00C72202">
          <w:rPr>
            <w:rStyle w:val="Hyperlink"/>
            <w:szCs w:val="16"/>
          </w:rPr>
          <w:t>Register of controlled media groups and Media control database</w:t>
        </w:r>
      </w:hyperlink>
    </w:p>
    <w:p w14:paraId="284C6C11" w14:textId="77777777" w:rsidR="000A1CD9" w:rsidRPr="0053710F" w:rsidRDefault="000A1CD9" w:rsidP="000A1CD9">
      <w:pPr>
        <w:pStyle w:val="ACMASpaceaftertable"/>
      </w:pPr>
    </w:p>
    <w:p w14:paraId="16DA8F23" w14:textId="77777777" w:rsidR="000A1CD9" w:rsidRPr="00D00B6C" w:rsidRDefault="000A1CD9" w:rsidP="000A1CD9">
      <w:pPr>
        <w:pStyle w:val="Heading3"/>
      </w:pPr>
      <w:bookmarkStart w:id="434" w:name="_Toc462132232"/>
      <w:bookmarkStart w:id="435" w:name="_Toc462899573"/>
      <w:bookmarkStart w:id="436" w:name="_Toc433790317"/>
      <w:bookmarkStart w:id="437" w:name="_Toc463529063"/>
      <w:bookmarkStart w:id="438" w:name="_Toc465842879"/>
      <w:r w:rsidRPr="00D00B6C">
        <w:t>Cross-media ownership</w:t>
      </w:r>
      <w:bookmarkEnd w:id="434"/>
      <w:bookmarkEnd w:id="435"/>
      <w:bookmarkEnd w:id="436"/>
      <w:bookmarkEnd w:id="437"/>
      <w:bookmarkEnd w:id="438"/>
      <w:r w:rsidRPr="00D00B6C">
        <w:t xml:space="preserve"> </w:t>
      </w:r>
    </w:p>
    <w:p w14:paraId="59B1E5B7" w14:textId="77777777" w:rsidR="000A1CD9" w:rsidRPr="00D00B6C" w:rsidRDefault="000A1CD9" w:rsidP="000A1CD9">
      <w:pPr>
        <w:spacing w:after="80"/>
      </w:pPr>
      <w:r w:rsidRPr="00D00B6C">
        <w:t xml:space="preserve">A small number of entities control two types of media assets in the same market: </w:t>
      </w:r>
    </w:p>
    <w:p w14:paraId="18C67992" w14:textId="77777777" w:rsidR="000A1CD9" w:rsidRPr="00D00B6C" w:rsidRDefault="000A1CD9" w:rsidP="000A1CD9">
      <w:pPr>
        <w:pStyle w:val="ListBullet"/>
        <w:rPr>
          <w:rFonts w:eastAsiaTheme="minorHAnsi"/>
        </w:rPr>
      </w:pPr>
      <w:r w:rsidRPr="00D00B6C">
        <w:rPr>
          <w:rFonts w:eastAsiaTheme="minorHAnsi"/>
        </w:rPr>
        <w:t xml:space="preserve">Southern Cross Media Group Ltd controls a combination of radio and television broadcasting licences in 26 radio licence areas. </w:t>
      </w:r>
    </w:p>
    <w:p w14:paraId="11329296" w14:textId="77777777" w:rsidR="000A1CD9" w:rsidRPr="00D00B6C" w:rsidRDefault="000A1CD9" w:rsidP="000A1CD9">
      <w:pPr>
        <w:pStyle w:val="ListBullet"/>
      </w:pPr>
      <w:r w:rsidRPr="00D00B6C">
        <w:rPr>
          <w:rFonts w:eastAsiaTheme="minorHAnsi"/>
        </w:rPr>
        <w:t>Fairfax Media Limited controls two radio licences and a newspaper in Melbourne, and three radio licences and a newspaper in Sydney</w:t>
      </w:r>
      <w:r w:rsidRPr="00D00B6C">
        <w:t>.</w:t>
      </w:r>
      <w:r w:rsidRPr="00D00B6C">
        <w:rPr>
          <w:vertAlign w:val="superscript"/>
        </w:rPr>
        <w:endnoteReference w:id="106"/>
      </w:r>
      <w:r w:rsidRPr="00D00B6C">
        <w:t xml:space="preserve"> </w:t>
      </w:r>
    </w:p>
    <w:p w14:paraId="5C2E2EFA" w14:textId="77777777" w:rsidR="000A1CD9" w:rsidRPr="00D00B6C" w:rsidRDefault="000A1CD9" w:rsidP="000A1CD9">
      <w:pPr>
        <w:pStyle w:val="ListBullet"/>
        <w:rPr>
          <w:rFonts w:eastAsiaTheme="minorHAnsi"/>
        </w:rPr>
      </w:pPr>
      <w:r w:rsidRPr="00D00B6C">
        <w:rPr>
          <w:rFonts w:eastAsiaTheme="minorHAnsi"/>
        </w:rPr>
        <w:t xml:space="preserve">Seven Group Holdings Limited controls a television licence and a newspaper in Perth. </w:t>
      </w:r>
    </w:p>
    <w:p w14:paraId="72CD0648" w14:textId="77777777" w:rsidR="000A1CD9" w:rsidRPr="00D00B6C" w:rsidRDefault="000A1CD9" w:rsidP="000A1CD9">
      <w:pPr>
        <w:pStyle w:val="ListBullet"/>
        <w:rPr>
          <w:rFonts w:eastAsiaTheme="minorHAnsi"/>
        </w:rPr>
      </w:pPr>
      <w:r w:rsidRPr="00D00B6C">
        <w:rPr>
          <w:rFonts w:eastAsiaTheme="minorHAnsi"/>
        </w:rPr>
        <w:t>WIN Corporation Pty Ltd controls a radio and television licence in Wollongong.</w:t>
      </w:r>
    </w:p>
    <w:p w14:paraId="3E76F3B7" w14:textId="77777777" w:rsidR="000A1CD9" w:rsidRPr="00D00B6C" w:rsidRDefault="000A1CD9" w:rsidP="000A1CD9">
      <w:pPr>
        <w:pStyle w:val="ListBulletLast"/>
        <w:rPr>
          <w:rFonts w:eastAsiaTheme="minorHAnsi"/>
        </w:rPr>
      </w:pPr>
      <w:r w:rsidRPr="00D00B6C">
        <w:rPr>
          <w:rFonts w:eastAsiaTheme="minorHAnsi"/>
        </w:rPr>
        <w:t>Lachlan Mu</w:t>
      </w:r>
      <w:r>
        <w:rPr>
          <w:rFonts w:eastAsiaTheme="minorHAnsi"/>
        </w:rPr>
        <w:t xml:space="preserve">rdoch, through his position as </w:t>
      </w:r>
      <w:r w:rsidRPr="00D00B6C">
        <w:rPr>
          <w:rFonts w:eastAsiaTheme="minorHAnsi"/>
        </w:rPr>
        <w:t xml:space="preserve">Co-Chairman of News Corporation and interests in Nova Entertainment Pty Ltd, controls two radio licences and an associated newspaper in each of the Sydney, Brisbane, Adelaide and Melbourne metropolitan licence areas. </w:t>
      </w:r>
    </w:p>
    <w:p w14:paraId="74707B2F" w14:textId="77777777" w:rsidR="000A1CD9" w:rsidRPr="00401165" w:rsidRDefault="000A1CD9" w:rsidP="000A1CD9">
      <w:pPr>
        <w:pStyle w:val="Heading3"/>
      </w:pPr>
      <w:bookmarkStart w:id="439" w:name="_Toc399331734"/>
      <w:bookmarkStart w:id="440" w:name="_Toc399336915"/>
      <w:bookmarkStart w:id="441" w:name="_Toc402337515"/>
      <w:bookmarkStart w:id="442" w:name="_Toc462899574"/>
      <w:bookmarkStart w:id="443" w:name="_Toc433790318"/>
      <w:bookmarkStart w:id="444" w:name="_Toc463529064"/>
      <w:bookmarkStart w:id="445" w:name="_Toc465842880"/>
      <w:r w:rsidRPr="00401165">
        <w:t>Subscription television in Australia</w:t>
      </w:r>
      <w:bookmarkEnd w:id="439"/>
      <w:bookmarkEnd w:id="440"/>
      <w:bookmarkEnd w:id="441"/>
      <w:bookmarkEnd w:id="442"/>
      <w:bookmarkEnd w:id="443"/>
      <w:bookmarkEnd w:id="444"/>
      <w:bookmarkEnd w:id="445"/>
      <w:r w:rsidRPr="00401165">
        <w:t xml:space="preserve"> </w:t>
      </w:r>
    </w:p>
    <w:p w14:paraId="1A32B3C3" w14:textId="77777777" w:rsidR="000A1CD9" w:rsidRPr="007272EE" w:rsidRDefault="000A1CD9" w:rsidP="000A1CD9">
      <w:pPr>
        <w:rPr>
          <w:rFonts w:cs="Arial"/>
          <w:color w:val="FFFFFF"/>
          <w:szCs w:val="20"/>
        </w:rPr>
      </w:pPr>
      <w:r w:rsidRPr="00401165">
        <w:rPr>
          <w:rFonts w:cs="Arial"/>
          <w:szCs w:val="20"/>
        </w:rPr>
        <w:t>In 2015–16, the ACMA allocated 100 new subscription television broadcasting licences to Austar Entertainment Pty Ltd.</w:t>
      </w:r>
      <w:r w:rsidRPr="007272EE">
        <w:rPr>
          <w:rFonts w:cs="Arial"/>
          <w:szCs w:val="20"/>
        </w:rPr>
        <w:t xml:space="preserve"> </w:t>
      </w:r>
    </w:p>
    <w:p w14:paraId="2626F2B8" w14:textId="77777777" w:rsidR="000A1CD9" w:rsidRPr="00401165" w:rsidRDefault="000A1CD9" w:rsidP="000A1CD9">
      <w:pPr>
        <w:pStyle w:val="Heading3"/>
      </w:pPr>
      <w:bookmarkStart w:id="446" w:name="_Toc462132233"/>
      <w:bookmarkStart w:id="447" w:name="_Toc462899575"/>
      <w:bookmarkStart w:id="448" w:name="_Toc463529065"/>
      <w:bookmarkStart w:id="449" w:name="_Toc465842881"/>
      <w:r w:rsidRPr="00401165">
        <w:t>Community radio broadcasting licences</w:t>
      </w:r>
      <w:bookmarkEnd w:id="428"/>
      <w:bookmarkEnd w:id="429"/>
      <w:bookmarkEnd w:id="430"/>
      <w:bookmarkEnd w:id="431"/>
      <w:bookmarkEnd w:id="446"/>
      <w:bookmarkEnd w:id="447"/>
      <w:bookmarkEnd w:id="448"/>
      <w:bookmarkEnd w:id="449"/>
    </w:p>
    <w:p w14:paraId="3F3A3D22" w14:textId="77777777" w:rsidR="000A1CD9" w:rsidRPr="00401165" w:rsidRDefault="000A1CD9" w:rsidP="000A1CD9">
      <w:pPr>
        <w:rPr>
          <w:rFonts w:cs="Arial"/>
          <w:szCs w:val="20"/>
        </w:rPr>
      </w:pPr>
      <w:r w:rsidRPr="00401165">
        <w:rPr>
          <w:rFonts w:cs="Arial"/>
          <w:szCs w:val="20"/>
        </w:rPr>
        <w:t>At 30 June 2016, there were 360 long-term community radio broadcasting licences, representing a range of community interests (Table 1.9). Fifty per cent of community radio broadcasting services represent the general community in the licence areas where they broadcast.</w:t>
      </w:r>
    </w:p>
    <w:p w14:paraId="38481559" w14:textId="77777777" w:rsidR="000A1CD9" w:rsidRPr="00401165" w:rsidRDefault="000A1CD9" w:rsidP="000A1CD9">
      <w:pPr>
        <w:spacing w:after="80"/>
        <w:rPr>
          <w:rFonts w:cs="Arial"/>
          <w:szCs w:val="20"/>
        </w:rPr>
      </w:pPr>
      <w:r w:rsidRPr="00401165">
        <w:rPr>
          <w:rFonts w:cs="Arial"/>
          <w:szCs w:val="20"/>
        </w:rPr>
        <w:t>During 2015–16, the ACMA:</w:t>
      </w:r>
    </w:p>
    <w:p w14:paraId="4067C28F" w14:textId="77777777" w:rsidR="000A1CD9" w:rsidRPr="00401165" w:rsidRDefault="000A1CD9" w:rsidP="000A1CD9">
      <w:pPr>
        <w:pStyle w:val="ListBullet"/>
      </w:pPr>
      <w:r w:rsidRPr="00401165">
        <w:t>renewed 38 community radio broadcasting licences</w:t>
      </w:r>
    </w:p>
    <w:p w14:paraId="679FCFDF" w14:textId="77777777" w:rsidR="000A1CD9" w:rsidRPr="00401165" w:rsidRDefault="000A1CD9" w:rsidP="000A1CD9">
      <w:pPr>
        <w:pStyle w:val="ListBullet"/>
      </w:pPr>
      <w:r w:rsidRPr="00401165">
        <w:t>allocated three community radio broadcasting licences</w:t>
      </w:r>
    </w:p>
    <w:p w14:paraId="78F69BBD" w14:textId="77777777" w:rsidR="000A1CD9" w:rsidRDefault="000A1CD9" w:rsidP="000A1CD9">
      <w:pPr>
        <w:pStyle w:val="ListBulletLast"/>
      </w:pPr>
      <w:r w:rsidRPr="00401165">
        <w:t xml:space="preserve">decided not to allocate one community radio broadcasting licence. </w:t>
      </w:r>
    </w:p>
    <w:p w14:paraId="27C199EC" w14:textId="77777777" w:rsidR="000A1CD9" w:rsidRPr="00401165" w:rsidRDefault="000A1CD9" w:rsidP="00E43B42">
      <w:pPr>
        <w:pStyle w:val="ACMATableHeader"/>
        <w:keepNext/>
        <w:keepLines/>
        <w:numPr>
          <w:ilvl w:val="0"/>
          <w:numId w:val="0"/>
        </w:numPr>
      </w:pPr>
      <w:bookmarkStart w:id="450" w:name="_Ref398813352"/>
      <w:r w:rsidRPr="00401165">
        <w:lastRenderedPageBreak/>
        <w:t>Table 1.9</w:t>
      </w:r>
      <w:bookmarkEnd w:id="450"/>
      <w:r>
        <w:tab/>
      </w:r>
      <w:r w:rsidRPr="00401165">
        <w:t>Community radio broadcasting services by community interest, June 2016</w:t>
      </w:r>
    </w:p>
    <w:tbl>
      <w:tblPr>
        <w:tblW w:w="890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57" w:type="dxa"/>
          <w:left w:w="57" w:type="dxa"/>
          <w:bottom w:w="57" w:type="dxa"/>
          <w:right w:w="57" w:type="dxa"/>
        </w:tblCellMar>
        <w:tblLook w:val="01E0" w:firstRow="1" w:lastRow="1" w:firstColumn="1" w:lastColumn="1" w:noHBand="0" w:noVBand="0"/>
        <w:tblCaption w:val="Table 1.9 Community radio broadcasting services by community interest, June 2016"/>
      </w:tblPr>
      <w:tblGrid>
        <w:gridCol w:w="3514"/>
        <w:gridCol w:w="2693"/>
        <w:gridCol w:w="2694"/>
      </w:tblGrid>
      <w:tr w:rsidR="000A1CD9" w:rsidRPr="009E6D3B" w14:paraId="245C824A" w14:textId="77777777" w:rsidTr="008F3F55">
        <w:trPr>
          <w:trHeight w:val="227"/>
        </w:trPr>
        <w:tc>
          <w:tcPr>
            <w:tcW w:w="3514" w:type="dxa"/>
            <w:tcBorders>
              <w:right w:val="nil"/>
            </w:tcBorders>
            <w:shd w:val="clear" w:color="auto" w:fill="007298"/>
            <w:tcMar>
              <w:top w:w="0" w:type="dxa"/>
              <w:left w:w="113" w:type="dxa"/>
              <w:bottom w:w="0" w:type="dxa"/>
              <w:right w:w="0" w:type="dxa"/>
            </w:tcMar>
          </w:tcPr>
          <w:p w14:paraId="493ABABD" w14:textId="77777777" w:rsidR="000A1CD9" w:rsidRPr="00101030" w:rsidRDefault="000A1CD9" w:rsidP="00914F81">
            <w:pPr>
              <w:pStyle w:val="TableHeading"/>
              <w:keepNext/>
              <w:spacing w:before="0" w:line="240" w:lineRule="auto"/>
            </w:pPr>
            <w:r w:rsidRPr="00101030">
              <w:t>Community interest</w:t>
            </w:r>
          </w:p>
        </w:tc>
        <w:tc>
          <w:tcPr>
            <w:tcW w:w="2693" w:type="dxa"/>
            <w:tcBorders>
              <w:bottom w:val="single" w:sz="24" w:space="0" w:color="FFFFFF"/>
            </w:tcBorders>
            <w:shd w:val="clear" w:color="auto" w:fill="007298"/>
          </w:tcPr>
          <w:p w14:paraId="6D1AD3DA" w14:textId="77777777" w:rsidR="000A1CD9" w:rsidRPr="00101030" w:rsidRDefault="000A1CD9" w:rsidP="005B333B">
            <w:pPr>
              <w:pStyle w:val="TableHeading"/>
              <w:keepNext/>
              <w:spacing w:before="0" w:line="240" w:lineRule="auto"/>
              <w:jc w:val="right"/>
            </w:pPr>
            <w:r w:rsidRPr="00101030">
              <w:t>Number of licences</w:t>
            </w:r>
          </w:p>
        </w:tc>
        <w:tc>
          <w:tcPr>
            <w:tcW w:w="2694" w:type="dxa"/>
            <w:tcBorders>
              <w:bottom w:val="single" w:sz="24" w:space="0" w:color="FFFFFF"/>
            </w:tcBorders>
            <w:shd w:val="clear" w:color="auto" w:fill="007298"/>
            <w:tcMar>
              <w:top w:w="57" w:type="dxa"/>
              <w:left w:w="57" w:type="dxa"/>
              <w:bottom w:w="57" w:type="dxa"/>
              <w:right w:w="57" w:type="dxa"/>
            </w:tcMar>
          </w:tcPr>
          <w:p w14:paraId="393E4151" w14:textId="77777777" w:rsidR="000A1CD9" w:rsidRPr="00101030" w:rsidRDefault="000A1CD9" w:rsidP="005B333B">
            <w:pPr>
              <w:pStyle w:val="TableHeading"/>
              <w:keepNext/>
              <w:spacing w:before="0" w:line="240" w:lineRule="auto"/>
              <w:jc w:val="right"/>
            </w:pPr>
            <w:r w:rsidRPr="00101030">
              <w:t>Total (%)</w:t>
            </w:r>
          </w:p>
        </w:tc>
      </w:tr>
      <w:tr w:rsidR="000A1CD9" w:rsidRPr="009E6D3B" w14:paraId="13726623" w14:textId="77777777" w:rsidTr="008F3F55">
        <w:trPr>
          <w:trHeight w:val="165"/>
        </w:trPr>
        <w:tc>
          <w:tcPr>
            <w:tcW w:w="3514" w:type="dxa"/>
            <w:tcBorders>
              <w:right w:val="single" w:sz="24" w:space="0" w:color="FFFFFF"/>
            </w:tcBorders>
            <w:shd w:val="clear" w:color="auto" w:fill="7FB8CB"/>
            <w:tcMar>
              <w:top w:w="0" w:type="dxa"/>
              <w:left w:w="113" w:type="dxa"/>
              <w:bottom w:w="0" w:type="dxa"/>
              <w:right w:w="0" w:type="dxa"/>
            </w:tcMar>
            <w:vAlign w:val="center"/>
          </w:tcPr>
          <w:p w14:paraId="0BFF1DC3" w14:textId="77777777" w:rsidR="000A1CD9" w:rsidRPr="008E419C" w:rsidRDefault="000A1CD9" w:rsidP="00914F81">
            <w:pPr>
              <w:pStyle w:val="ACMATableText"/>
              <w:keepNext/>
              <w:keepLines/>
              <w:spacing w:before="0" w:after="0"/>
              <w:rPr>
                <w:color w:val="FFFFFF" w:themeColor="background1"/>
                <w:sz w:val="18"/>
                <w:szCs w:val="18"/>
              </w:rPr>
            </w:pPr>
            <w:r w:rsidRPr="008E419C">
              <w:rPr>
                <w:color w:val="FFFFFF" w:themeColor="background1"/>
                <w:sz w:val="18"/>
                <w:szCs w:val="18"/>
              </w:rPr>
              <w:t>Aboriginal and Torres Strait Islander</w:t>
            </w:r>
          </w:p>
        </w:tc>
        <w:tc>
          <w:tcPr>
            <w:tcW w:w="2693" w:type="dxa"/>
            <w:shd w:val="clear" w:color="auto" w:fill="D2E1E9"/>
            <w:vAlign w:val="center"/>
          </w:tcPr>
          <w:p w14:paraId="55258340" w14:textId="77777777" w:rsidR="000A1CD9" w:rsidRPr="00101030" w:rsidRDefault="000A1CD9" w:rsidP="005B333B">
            <w:pPr>
              <w:pStyle w:val="ACMATableText"/>
              <w:keepNext/>
              <w:keepLines/>
              <w:spacing w:before="0" w:after="0"/>
              <w:jc w:val="right"/>
              <w:rPr>
                <w:sz w:val="18"/>
                <w:szCs w:val="18"/>
              </w:rPr>
            </w:pPr>
            <w:r w:rsidRPr="00101030">
              <w:rPr>
                <w:sz w:val="18"/>
                <w:szCs w:val="18"/>
              </w:rPr>
              <w:t>95</w:t>
            </w:r>
          </w:p>
        </w:tc>
        <w:tc>
          <w:tcPr>
            <w:tcW w:w="2694" w:type="dxa"/>
            <w:shd w:val="clear" w:color="auto" w:fill="D2E1E9"/>
            <w:tcMar>
              <w:top w:w="57" w:type="dxa"/>
              <w:left w:w="57" w:type="dxa"/>
              <w:bottom w:w="57" w:type="dxa"/>
              <w:right w:w="57" w:type="dxa"/>
            </w:tcMar>
            <w:vAlign w:val="center"/>
          </w:tcPr>
          <w:p w14:paraId="1B291E0C" w14:textId="77777777" w:rsidR="000A1CD9" w:rsidRPr="00101030" w:rsidRDefault="000A1CD9" w:rsidP="005B333B">
            <w:pPr>
              <w:pStyle w:val="ACMATableText"/>
              <w:keepNext/>
              <w:keepLines/>
              <w:spacing w:before="0" w:after="0"/>
              <w:jc w:val="right"/>
              <w:rPr>
                <w:sz w:val="18"/>
                <w:szCs w:val="18"/>
              </w:rPr>
            </w:pPr>
            <w:r w:rsidRPr="00101030">
              <w:rPr>
                <w:sz w:val="18"/>
                <w:szCs w:val="18"/>
              </w:rPr>
              <w:t>26</w:t>
            </w:r>
          </w:p>
        </w:tc>
      </w:tr>
      <w:tr w:rsidR="000A1CD9" w:rsidRPr="009E6D3B" w14:paraId="57F5E9E2" w14:textId="77777777" w:rsidTr="008F3F55">
        <w:trPr>
          <w:trHeight w:val="23"/>
        </w:trPr>
        <w:tc>
          <w:tcPr>
            <w:tcW w:w="3514" w:type="dxa"/>
            <w:tcBorders>
              <w:right w:val="single" w:sz="24" w:space="0" w:color="FFFFFF"/>
            </w:tcBorders>
            <w:shd w:val="clear" w:color="auto" w:fill="7FB8CB"/>
            <w:tcMar>
              <w:top w:w="0" w:type="dxa"/>
              <w:left w:w="113" w:type="dxa"/>
              <w:bottom w:w="0" w:type="dxa"/>
              <w:right w:w="0" w:type="dxa"/>
            </w:tcMar>
            <w:vAlign w:val="center"/>
          </w:tcPr>
          <w:p w14:paraId="26C513E6" w14:textId="77777777" w:rsidR="000A1CD9" w:rsidRPr="008E419C" w:rsidRDefault="000A1CD9" w:rsidP="00914F81">
            <w:pPr>
              <w:pStyle w:val="ACMATableText"/>
              <w:keepNext/>
              <w:keepLines/>
              <w:spacing w:before="0" w:after="0"/>
              <w:rPr>
                <w:color w:val="FFFFFF" w:themeColor="background1"/>
                <w:sz w:val="18"/>
                <w:szCs w:val="18"/>
              </w:rPr>
            </w:pPr>
            <w:r w:rsidRPr="008E419C">
              <w:rPr>
                <w:color w:val="FFFFFF" w:themeColor="background1"/>
                <w:sz w:val="18"/>
                <w:szCs w:val="18"/>
              </w:rPr>
              <w:t>Educational/special interest</w:t>
            </w:r>
          </w:p>
        </w:tc>
        <w:tc>
          <w:tcPr>
            <w:tcW w:w="2693" w:type="dxa"/>
            <w:shd w:val="clear" w:color="auto" w:fill="D2E1E9"/>
            <w:vAlign w:val="center"/>
          </w:tcPr>
          <w:p w14:paraId="71992775" w14:textId="77777777" w:rsidR="000A1CD9" w:rsidRPr="00101030" w:rsidRDefault="000A1CD9" w:rsidP="005B333B">
            <w:pPr>
              <w:pStyle w:val="ACMATableText"/>
              <w:keepNext/>
              <w:keepLines/>
              <w:spacing w:before="0" w:after="0"/>
              <w:jc w:val="right"/>
              <w:rPr>
                <w:sz w:val="18"/>
                <w:szCs w:val="18"/>
              </w:rPr>
            </w:pPr>
            <w:r w:rsidRPr="00101030">
              <w:rPr>
                <w:sz w:val="18"/>
                <w:szCs w:val="18"/>
              </w:rPr>
              <w:t>20</w:t>
            </w:r>
          </w:p>
        </w:tc>
        <w:tc>
          <w:tcPr>
            <w:tcW w:w="2694" w:type="dxa"/>
            <w:shd w:val="clear" w:color="auto" w:fill="D2E1E9"/>
            <w:tcMar>
              <w:top w:w="57" w:type="dxa"/>
              <w:left w:w="57" w:type="dxa"/>
              <w:bottom w:w="57" w:type="dxa"/>
              <w:right w:w="57" w:type="dxa"/>
            </w:tcMar>
            <w:vAlign w:val="center"/>
          </w:tcPr>
          <w:p w14:paraId="1B8BA998" w14:textId="77777777" w:rsidR="000A1CD9" w:rsidRPr="00101030" w:rsidRDefault="000A1CD9" w:rsidP="005B333B">
            <w:pPr>
              <w:pStyle w:val="ACMATableText"/>
              <w:keepNext/>
              <w:keepLines/>
              <w:spacing w:before="0" w:after="0"/>
              <w:jc w:val="right"/>
              <w:rPr>
                <w:sz w:val="18"/>
                <w:szCs w:val="18"/>
              </w:rPr>
            </w:pPr>
            <w:r w:rsidRPr="00101030">
              <w:rPr>
                <w:sz w:val="18"/>
                <w:szCs w:val="18"/>
              </w:rPr>
              <w:t>6</w:t>
            </w:r>
          </w:p>
        </w:tc>
      </w:tr>
      <w:tr w:rsidR="000A1CD9" w:rsidRPr="009E6D3B" w14:paraId="61C2F733" w14:textId="77777777" w:rsidTr="008F3F55">
        <w:trPr>
          <w:trHeight w:val="46"/>
        </w:trPr>
        <w:tc>
          <w:tcPr>
            <w:tcW w:w="3514" w:type="dxa"/>
            <w:tcBorders>
              <w:right w:val="single" w:sz="24" w:space="0" w:color="FFFFFF"/>
            </w:tcBorders>
            <w:shd w:val="clear" w:color="auto" w:fill="7FB8CB"/>
            <w:tcMar>
              <w:top w:w="0" w:type="dxa"/>
              <w:left w:w="113" w:type="dxa"/>
              <w:bottom w:w="0" w:type="dxa"/>
              <w:right w:w="0" w:type="dxa"/>
            </w:tcMar>
            <w:vAlign w:val="center"/>
          </w:tcPr>
          <w:p w14:paraId="101A6FC0" w14:textId="77777777" w:rsidR="000A1CD9" w:rsidRPr="008E419C" w:rsidRDefault="000A1CD9" w:rsidP="00914F81">
            <w:pPr>
              <w:pStyle w:val="ACMATableText"/>
              <w:keepNext/>
              <w:keepLines/>
              <w:spacing w:before="0" w:after="0"/>
              <w:rPr>
                <w:color w:val="FFFFFF" w:themeColor="background1"/>
                <w:sz w:val="18"/>
                <w:szCs w:val="18"/>
              </w:rPr>
            </w:pPr>
            <w:r w:rsidRPr="008E419C">
              <w:rPr>
                <w:color w:val="FFFFFF" w:themeColor="background1"/>
                <w:sz w:val="18"/>
                <w:szCs w:val="18"/>
              </w:rPr>
              <w:t xml:space="preserve">Ethnic </w:t>
            </w:r>
          </w:p>
        </w:tc>
        <w:tc>
          <w:tcPr>
            <w:tcW w:w="2693" w:type="dxa"/>
            <w:shd w:val="clear" w:color="auto" w:fill="D2E1E9"/>
            <w:vAlign w:val="center"/>
          </w:tcPr>
          <w:p w14:paraId="613DDAC3" w14:textId="77777777" w:rsidR="000A1CD9" w:rsidRPr="00101030" w:rsidRDefault="000A1CD9" w:rsidP="005B333B">
            <w:pPr>
              <w:pStyle w:val="ACMATableText"/>
              <w:keepNext/>
              <w:keepLines/>
              <w:spacing w:before="0" w:after="0"/>
              <w:jc w:val="right"/>
              <w:rPr>
                <w:sz w:val="18"/>
                <w:szCs w:val="18"/>
              </w:rPr>
            </w:pPr>
            <w:r w:rsidRPr="00101030">
              <w:rPr>
                <w:sz w:val="18"/>
                <w:szCs w:val="18"/>
              </w:rPr>
              <w:t>6</w:t>
            </w:r>
          </w:p>
        </w:tc>
        <w:tc>
          <w:tcPr>
            <w:tcW w:w="2694" w:type="dxa"/>
            <w:shd w:val="clear" w:color="auto" w:fill="D2E1E9"/>
            <w:tcMar>
              <w:top w:w="57" w:type="dxa"/>
              <w:left w:w="57" w:type="dxa"/>
              <w:bottom w:w="57" w:type="dxa"/>
              <w:right w:w="57" w:type="dxa"/>
            </w:tcMar>
            <w:vAlign w:val="center"/>
          </w:tcPr>
          <w:p w14:paraId="1CFE45A8" w14:textId="77777777" w:rsidR="000A1CD9" w:rsidRPr="00101030" w:rsidRDefault="000A1CD9" w:rsidP="005B333B">
            <w:pPr>
              <w:pStyle w:val="ACMATableText"/>
              <w:keepNext/>
              <w:keepLines/>
              <w:spacing w:before="0" w:after="0"/>
              <w:jc w:val="right"/>
              <w:rPr>
                <w:sz w:val="18"/>
                <w:szCs w:val="18"/>
              </w:rPr>
            </w:pPr>
            <w:r w:rsidRPr="00101030">
              <w:rPr>
                <w:sz w:val="18"/>
                <w:szCs w:val="18"/>
              </w:rPr>
              <w:t>2</w:t>
            </w:r>
          </w:p>
        </w:tc>
      </w:tr>
      <w:tr w:rsidR="000A1CD9" w:rsidRPr="009E6D3B" w14:paraId="78A6B7DF" w14:textId="77777777" w:rsidTr="008F3F55">
        <w:trPr>
          <w:trHeight w:val="249"/>
        </w:trPr>
        <w:tc>
          <w:tcPr>
            <w:tcW w:w="3514" w:type="dxa"/>
            <w:tcBorders>
              <w:right w:val="single" w:sz="24" w:space="0" w:color="FFFFFF"/>
            </w:tcBorders>
            <w:shd w:val="clear" w:color="auto" w:fill="7FB8CB"/>
            <w:tcMar>
              <w:top w:w="0" w:type="dxa"/>
              <w:left w:w="113" w:type="dxa"/>
              <w:bottom w:w="0" w:type="dxa"/>
              <w:right w:w="0" w:type="dxa"/>
            </w:tcMar>
            <w:vAlign w:val="center"/>
          </w:tcPr>
          <w:p w14:paraId="0F925013" w14:textId="77777777" w:rsidR="000A1CD9" w:rsidRPr="008E419C" w:rsidRDefault="000A1CD9" w:rsidP="00914F81">
            <w:pPr>
              <w:pStyle w:val="ACMATableText"/>
              <w:keepNext/>
              <w:keepLines/>
              <w:spacing w:before="0" w:after="0"/>
              <w:rPr>
                <w:color w:val="FFFFFF" w:themeColor="background1"/>
                <w:sz w:val="18"/>
                <w:szCs w:val="18"/>
              </w:rPr>
            </w:pPr>
            <w:r w:rsidRPr="008E419C">
              <w:rPr>
                <w:color w:val="FFFFFF" w:themeColor="background1"/>
                <w:sz w:val="18"/>
                <w:szCs w:val="18"/>
              </w:rPr>
              <w:t>General geographic area</w:t>
            </w:r>
          </w:p>
        </w:tc>
        <w:tc>
          <w:tcPr>
            <w:tcW w:w="2693" w:type="dxa"/>
            <w:shd w:val="clear" w:color="auto" w:fill="D2E1E9"/>
            <w:vAlign w:val="center"/>
          </w:tcPr>
          <w:p w14:paraId="7B1695A2" w14:textId="77777777" w:rsidR="000A1CD9" w:rsidRPr="00101030" w:rsidRDefault="000A1CD9" w:rsidP="005B333B">
            <w:pPr>
              <w:pStyle w:val="ACMATableText"/>
              <w:keepNext/>
              <w:keepLines/>
              <w:spacing w:before="0" w:after="0"/>
              <w:jc w:val="right"/>
              <w:rPr>
                <w:sz w:val="18"/>
                <w:szCs w:val="18"/>
              </w:rPr>
            </w:pPr>
            <w:r w:rsidRPr="00101030">
              <w:rPr>
                <w:sz w:val="18"/>
                <w:szCs w:val="18"/>
              </w:rPr>
              <w:t>180</w:t>
            </w:r>
          </w:p>
        </w:tc>
        <w:tc>
          <w:tcPr>
            <w:tcW w:w="2694" w:type="dxa"/>
            <w:shd w:val="clear" w:color="auto" w:fill="D2E1E9"/>
            <w:tcMar>
              <w:top w:w="57" w:type="dxa"/>
              <w:left w:w="57" w:type="dxa"/>
              <w:bottom w:w="57" w:type="dxa"/>
              <w:right w:w="57" w:type="dxa"/>
            </w:tcMar>
            <w:vAlign w:val="center"/>
          </w:tcPr>
          <w:p w14:paraId="2C77528D" w14:textId="77777777" w:rsidR="000A1CD9" w:rsidRPr="00101030" w:rsidRDefault="000A1CD9" w:rsidP="005B333B">
            <w:pPr>
              <w:pStyle w:val="ACMATableText"/>
              <w:keepNext/>
              <w:keepLines/>
              <w:spacing w:before="0" w:after="0"/>
              <w:jc w:val="right"/>
              <w:rPr>
                <w:sz w:val="18"/>
                <w:szCs w:val="18"/>
              </w:rPr>
            </w:pPr>
            <w:r w:rsidRPr="00101030">
              <w:rPr>
                <w:sz w:val="18"/>
                <w:szCs w:val="18"/>
              </w:rPr>
              <w:t>50</w:t>
            </w:r>
          </w:p>
        </w:tc>
      </w:tr>
      <w:tr w:rsidR="000A1CD9" w:rsidRPr="009E6D3B" w14:paraId="31BD6399" w14:textId="77777777" w:rsidTr="008F3F55">
        <w:trPr>
          <w:trHeight w:val="98"/>
        </w:trPr>
        <w:tc>
          <w:tcPr>
            <w:tcW w:w="3514" w:type="dxa"/>
            <w:tcBorders>
              <w:right w:val="single" w:sz="24" w:space="0" w:color="FFFFFF"/>
            </w:tcBorders>
            <w:shd w:val="clear" w:color="auto" w:fill="7FB8CB"/>
            <w:tcMar>
              <w:top w:w="0" w:type="dxa"/>
              <w:left w:w="113" w:type="dxa"/>
              <w:bottom w:w="0" w:type="dxa"/>
              <w:right w:w="0" w:type="dxa"/>
            </w:tcMar>
            <w:vAlign w:val="center"/>
          </w:tcPr>
          <w:p w14:paraId="2EE8DF3F" w14:textId="77777777" w:rsidR="000A1CD9" w:rsidRPr="008E419C" w:rsidRDefault="000A1CD9" w:rsidP="00914F81">
            <w:pPr>
              <w:pStyle w:val="ACMATableText"/>
              <w:keepNext/>
              <w:keepLines/>
              <w:spacing w:before="0" w:after="0"/>
              <w:rPr>
                <w:color w:val="FFFFFF" w:themeColor="background1"/>
                <w:sz w:val="18"/>
                <w:szCs w:val="18"/>
              </w:rPr>
            </w:pPr>
            <w:r w:rsidRPr="008E419C">
              <w:rPr>
                <w:color w:val="FFFFFF" w:themeColor="background1"/>
                <w:sz w:val="18"/>
                <w:szCs w:val="18"/>
              </w:rPr>
              <w:t>Music</w:t>
            </w:r>
          </w:p>
        </w:tc>
        <w:tc>
          <w:tcPr>
            <w:tcW w:w="2693" w:type="dxa"/>
            <w:shd w:val="clear" w:color="auto" w:fill="D2E1E9"/>
            <w:vAlign w:val="center"/>
          </w:tcPr>
          <w:p w14:paraId="36C949D5" w14:textId="77777777" w:rsidR="000A1CD9" w:rsidRPr="00101030" w:rsidRDefault="000A1CD9" w:rsidP="005B333B">
            <w:pPr>
              <w:pStyle w:val="ACMATableText"/>
              <w:keepNext/>
              <w:keepLines/>
              <w:spacing w:before="0" w:after="0"/>
              <w:jc w:val="right"/>
              <w:rPr>
                <w:sz w:val="18"/>
                <w:szCs w:val="18"/>
              </w:rPr>
            </w:pPr>
            <w:r w:rsidRPr="00101030">
              <w:rPr>
                <w:sz w:val="18"/>
                <w:szCs w:val="18"/>
              </w:rPr>
              <w:t>8</w:t>
            </w:r>
          </w:p>
        </w:tc>
        <w:tc>
          <w:tcPr>
            <w:tcW w:w="2694" w:type="dxa"/>
            <w:shd w:val="clear" w:color="auto" w:fill="D2E1E9"/>
            <w:tcMar>
              <w:top w:w="57" w:type="dxa"/>
              <w:left w:w="57" w:type="dxa"/>
              <w:bottom w:w="57" w:type="dxa"/>
              <w:right w:w="57" w:type="dxa"/>
            </w:tcMar>
            <w:vAlign w:val="center"/>
          </w:tcPr>
          <w:p w14:paraId="632230F7" w14:textId="77777777" w:rsidR="000A1CD9" w:rsidRPr="00101030" w:rsidRDefault="000A1CD9" w:rsidP="005B333B">
            <w:pPr>
              <w:pStyle w:val="ACMATableText"/>
              <w:keepNext/>
              <w:keepLines/>
              <w:spacing w:before="0" w:after="0"/>
              <w:jc w:val="right"/>
              <w:rPr>
                <w:sz w:val="18"/>
                <w:szCs w:val="18"/>
              </w:rPr>
            </w:pPr>
            <w:r w:rsidRPr="00101030">
              <w:rPr>
                <w:sz w:val="18"/>
                <w:szCs w:val="18"/>
              </w:rPr>
              <w:t>2</w:t>
            </w:r>
          </w:p>
        </w:tc>
      </w:tr>
      <w:tr w:rsidR="000A1CD9" w:rsidRPr="009E6D3B" w14:paraId="2E0DB761" w14:textId="77777777" w:rsidTr="008F3F55">
        <w:trPr>
          <w:trHeight w:val="146"/>
        </w:trPr>
        <w:tc>
          <w:tcPr>
            <w:tcW w:w="3514" w:type="dxa"/>
            <w:tcBorders>
              <w:right w:val="single" w:sz="24" w:space="0" w:color="FFFFFF"/>
            </w:tcBorders>
            <w:shd w:val="clear" w:color="auto" w:fill="7FB8CB"/>
            <w:tcMar>
              <w:top w:w="0" w:type="dxa"/>
              <w:left w:w="113" w:type="dxa"/>
              <w:bottom w:w="0" w:type="dxa"/>
              <w:right w:w="0" w:type="dxa"/>
            </w:tcMar>
            <w:vAlign w:val="center"/>
          </w:tcPr>
          <w:p w14:paraId="49A2C5B0" w14:textId="77777777" w:rsidR="000A1CD9" w:rsidRPr="008E419C" w:rsidRDefault="000A1CD9" w:rsidP="00914F81">
            <w:pPr>
              <w:pStyle w:val="ACMATableText"/>
              <w:keepNext/>
              <w:keepLines/>
              <w:spacing w:before="0" w:after="0"/>
              <w:rPr>
                <w:color w:val="FFFFFF" w:themeColor="background1"/>
                <w:sz w:val="18"/>
                <w:szCs w:val="18"/>
              </w:rPr>
            </w:pPr>
            <w:r w:rsidRPr="008E419C">
              <w:rPr>
                <w:color w:val="FFFFFF" w:themeColor="background1"/>
                <w:sz w:val="18"/>
                <w:szCs w:val="18"/>
              </w:rPr>
              <w:t>Religious</w:t>
            </w:r>
          </w:p>
        </w:tc>
        <w:tc>
          <w:tcPr>
            <w:tcW w:w="2693" w:type="dxa"/>
            <w:shd w:val="clear" w:color="auto" w:fill="D2E1E9"/>
            <w:vAlign w:val="center"/>
          </w:tcPr>
          <w:p w14:paraId="0486DA5E" w14:textId="77777777" w:rsidR="000A1CD9" w:rsidRPr="00101030" w:rsidRDefault="000A1CD9" w:rsidP="005B333B">
            <w:pPr>
              <w:pStyle w:val="ACMATableText"/>
              <w:keepNext/>
              <w:keepLines/>
              <w:spacing w:before="0" w:after="0"/>
              <w:jc w:val="right"/>
              <w:rPr>
                <w:sz w:val="18"/>
                <w:szCs w:val="18"/>
              </w:rPr>
            </w:pPr>
            <w:r w:rsidRPr="00101030">
              <w:rPr>
                <w:sz w:val="18"/>
                <w:szCs w:val="18"/>
              </w:rPr>
              <w:t>35</w:t>
            </w:r>
          </w:p>
        </w:tc>
        <w:tc>
          <w:tcPr>
            <w:tcW w:w="2694" w:type="dxa"/>
            <w:shd w:val="clear" w:color="auto" w:fill="D2E1E9"/>
            <w:tcMar>
              <w:top w:w="57" w:type="dxa"/>
              <w:left w:w="57" w:type="dxa"/>
              <w:bottom w:w="57" w:type="dxa"/>
              <w:right w:w="57" w:type="dxa"/>
            </w:tcMar>
            <w:vAlign w:val="center"/>
          </w:tcPr>
          <w:p w14:paraId="4473EB11" w14:textId="77777777" w:rsidR="000A1CD9" w:rsidRPr="00101030" w:rsidRDefault="000A1CD9" w:rsidP="005B333B">
            <w:pPr>
              <w:pStyle w:val="ACMATableText"/>
              <w:keepNext/>
              <w:keepLines/>
              <w:spacing w:before="0" w:after="0"/>
              <w:jc w:val="right"/>
              <w:rPr>
                <w:sz w:val="18"/>
                <w:szCs w:val="18"/>
              </w:rPr>
            </w:pPr>
            <w:r w:rsidRPr="00101030">
              <w:rPr>
                <w:sz w:val="18"/>
                <w:szCs w:val="18"/>
              </w:rPr>
              <w:t>10</w:t>
            </w:r>
          </w:p>
        </w:tc>
      </w:tr>
      <w:tr w:rsidR="000A1CD9" w:rsidRPr="009E6D3B" w14:paraId="0FFDA5CF" w14:textId="77777777" w:rsidTr="008F3F55">
        <w:trPr>
          <w:trHeight w:val="53"/>
        </w:trPr>
        <w:tc>
          <w:tcPr>
            <w:tcW w:w="3514" w:type="dxa"/>
            <w:tcBorders>
              <w:right w:val="single" w:sz="24" w:space="0" w:color="FFFFFF"/>
            </w:tcBorders>
            <w:shd w:val="clear" w:color="auto" w:fill="7FB8CB"/>
            <w:tcMar>
              <w:top w:w="0" w:type="dxa"/>
              <w:left w:w="113" w:type="dxa"/>
              <w:bottom w:w="0" w:type="dxa"/>
              <w:right w:w="0" w:type="dxa"/>
            </w:tcMar>
            <w:vAlign w:val="center"/>
          </w:tcPr>
          <w:p w14:paraId="5F40D3A9" w14:textId="77777777" w:rsidR="000A1CD9" w:rsidRPr="008E419C" w:rsidRDefault="000A1CD9" w:rsidP="00914F81">
            <w:pPr>
              <w:pStyle w:val="ACMATableText"/>
              <w:keepNext/>
              <w:keepLines/>
              <w:spacing w:before="0" w:after="0"/>
              <w:rPr>
                <w:color w:val="FFFFFF" w:themeColor="background1"/>
                <w:sz w:val="18"/>
                <w:szCs w:val="18"/>
              </w:rPr>
            </w:pPr>
            <w:r w:rsidRPr="008E419C">
              <w:rPr>
                <w:color w:val="FFFFFF" w:themeColor="background1"/>
                <w:sz w:val="18"/>
                <w:szCs w:val="18"/>
              </w:rPr>
              <w:t>Senior citizen</w:t>
            </w:r>
          </w:p>
        </w:tc>
        <w:tc>
          <w:tcPr>
            <w:tcW w:w="2693" w:type="dxa"/>
            <w:shd w:val="clear" w:color="auto" w:fill="D2E1E9"/>
            <w:vAlign w:val="center"/>
          </w:tcPr>
          <w:p w14:paraId="5504E8EA" w14:textId="77777777" w:rsidR="000A1CD9" w:rsidRPr="00101030" w:rsidRDefault="000A1CD9" w:rsidP="005B333B">
            <w:pPr>
              <w:pStyle w:val="ACMATableText"/>
              <w:keepNext/>
              <w:keepLines/>
              <w:spacing w:before="0" w:after="0"/>
              <w:jc w:val="right"/>
              <w:rPr>
                <w:sz w:val="18"/>
                <w:szCs w:val="18"/>
              </w:rPr>
            </w:pPr>
            <w:r w:rsidRPr="00101030">
              <w:rPr>
                <w:sz w:val="18"/>
                <w:szCs w:val="18"/>
              </w:rPr>
              <w:t>8</w:t>
            </w:r>
          </w:p>
        </w:tc>
        <w:tc>
          <w:tcPr>
            <w:tcW w:w="2694" w:type="dxa"/>
            <w:shd w:val="clear" w:color="auto" w:fill="D2E1E9"/>
            <w:tcMar>
              <w:top w:w="57" w:type="dxa"/>
              <w:left w:w="57" w:type="dxa"/>
              <w:bottom w:w="57" w:type="dxa"/>
              <w:right w:w="57" w:type="dxa"/>
            </w:tcMar>
            <w:vAlign w:val="center"/>
          </w:tcPr>
          <w:p w14:paraId="38682FC7" w14:textId="77777777" w:rsidR="000A1CD9" w:rsidRPr="00101030" w:rsidRDefault="000A1CD9" w:rsidP="005B333B">
            <w:pPr>
              <w:pStyle w:val="ACMATableText"/>
              <w:keepNext/>
              <w:keepLines/>
              <w:spacing w:before="0" w:after="0"/>
              <w:jc w:val="right"/>
              <w:rPr>
                <w:sz w:val="18"/>
                <w:szCs w:val="18"/>
              </w:rPr>
            </w:pPr>
            <w:r w:rsidRPr="00101030">
              <w:rPr>
                <w:sz w:val="18"/>
                <w:szCs w:val="18"/>
              </w:rPr>
              <w:t>2</w:t>
            </w:r>
          </w:p>
        </w:tc>
      </w:tr>
      <w:tr w:rsidR="000A1CD9" w:rsidRPr="009E6D3B" w14:paraId="2B47ACBD" w14:textId="77777777" w:rsidTr="008F3F55">
        <w:trPr>
          <w:trHeight w:val="100"/>
        </w:trPr>
        <w:tc>
          <w:tcPr>
            <w:tcW w:w="3514" w:type="dxa"/>
            <w:tcBorders>
              <w:right w:val="single" w:sz="24" w:space="0" w:color="FFFFFF"/>
            </w:tcBorders>
            <w:shd w:val="clear" w:color="auto" w:fill="7FB8CB"/>
            <w:tcMar>
              <w:top w:w="0" w:type="dxa"/>
              <w:left w:w="113" w:type="dxa"/>
              <w:bottom w:w="0" w:type="dxa"/>
              <w:right w:w="0" w:type="dxa"/>
            </w:tcMar>
            <w:vAlign w:val="center"/>
          </w:tcPr>
          <w:p w14:paraId="10CEB8BD" w14:textId="77777777" w:rsidR="000A1CD9" w:rsidRPr="008E419C" w:rsidRDefault="000A1CD9" w:rsidP="00914F81">
            <w:pPr>
              <w:pStyle w:val="ACMATableText"/>
              <w:keepNext/>
              <w:keepLines/>
              <w:spacing w:before="0" w:after="0"/>
              <w:rPr>
                <w:color w:val="FFFFFF" w:themeColor="background1"/>
                <w:sz w:val="18"/>
                <w:szCs w:val="18"/>
              </w:rPr>
            </w:pPr>
            <w:r w:rsidRPr="008E419C">
              <w:rPr>
                <w:color w:val="FFFFFF" w:themeColor="background1"/>
                <w:sz w:val="18"/>
                <w:szCs w:val="18"/>
              </w:rPr>
              <w:t>Youth</w:t>
            </w:r>
          </w:p>
        </w:tc>
        <w:tc>
          <w:tcPr>
            <w:tcW w:w="2693" w:type="dxa"/>
            <w:shd w:val="clear" w:color="auto" w:fill="D2E1E9"/>
            <w:vAlign w:val="center"/>
          </w:tcPr>
          <w:p w14:paraId="6591E986" w14:textId="77777777" w:rsidR="000A1CD9" w:rsidRPr="00101030" w:rsidRDefault="000A1CD9" w:rsidP="005B333B">
            <w:pPr>
              <w:pStyle w:val="ACMATableText"/>
              <w:keepNext/>
              <w:keepLines/>
              <w:spacing w:before="0" w:after="0"/>
              <w:jc w:val="right"/>
              <w:rPr>
                <w:sz w:val="18"/>
                <w:szCs w:val="18"/>
              </w:rPr>
            </w:pPr>
            <w:r w:rsidRPr="00101030">
              <w:rPr>
                <w:sz w:val="18"/>
                <w:szCs w:val="18"/>
              </w:rPr>
              <w:t>8</w:t>
            </w:r>
          </w:p>
        </w:tc>
        <w:tc>
          <w:tcPr>
            <w:tcW w:w="2694" w:type="dxa"/>
            <w:shd w:val="clear" w:color="auto" w:fill="D2E1E9"/>
            <w:tcMar>
              <w:top w:w="57" w:type="dxa"/>
              <w:left w:w="57" w:type="dxa"/>
              <w:bottom w:w="57" w:type="dxa"/>
              <w:right w:w="57" w:type="dxa"/>
            </w:tcMar>
            <w:vAlign w:val="center"/>
          </w:tcPr>
          <w:p w14:paraId="29B8A2BB" w14:textId="77777777" w:rsidR="000A1CD9" w:rsidRPr="00101030" w:rsidRDefault="000A1CD9" w:rsidP="005B333B">
            <w:pPr>
              <w:pStyle w:val="ACMATableText"/>
              <w:keepNext/>
              <w:keepLines/>
              <w:spacing w:before="0" w:after="0"/>
              <w:jc w:val="right"/>
              <w:rPr>
                <w:sz w:val="18"/>
                <w:szCs w:val="18"/>
              </w:rPr>
            </w:pPr>
            <w:r w:rsidRPr="00101030">
              <w:rPr>
                <w:sz w:val="18"/>
                <w:szCs w:val="18"/>
              </w:rPr>
              <w:t>2</w:t>
            </w:r>
          </w:p>
        </w:tc>
      </w:tr>
      <w:tr w:rsidR="000A1CD9" w:rsidRPr="009E6D3B" w14:paraId="7C122102" w14:textId="77777777" w:rsidTr="008F3F55">
        <w:trPr>
          <w:trHeight w:val="23"/>
        </w:trPr>
        <w:tc>
          <w:tcPr>
            <w:tcW w:w="3514" w:type="dxa"/>
            <w:tcBorders>
              <w:right w:val="single" w:sz="24" w:space="0" w:color="FFFFFF"/>
            </w:tcBorders>
            <w:shd w:val="clear" w:color="auto" w:fill="7FB8CB"/>
            <w:tcMar>
              <w:top w:w="0" w:type="dxa"/>
              <w:left w:w="113" w:type="dxa"/>
              <w:bottom w:w="0" w:type="dxa"/>
              <w:right w:w="0" w:type="dxa"/>
            </w:tcMar>
            <w:vAlign w:val="center"/>
          </w:tcPr>
          <w:p w14:paraId="77BA891A" w14:textId="77777777" w:rsidR="000A1CD9" w:rsidRPr="008E419C" w:rsidRDefault="000A1CD9" w:rsidP="00914F81">
            <w:pPr>
              <w:pStyle w:val="ACMATableText"/>
              <w:keepNext/>
              <w:keepLines/>
              <w:spacing w:before="0" w:after="0"/>
              <w:rPr>
                <w:b/>
                <w:color w:val="FFFFFF" w:themeColor="background1"/>
                <w:sz w:val="18"/>
                <w:szCs w:val="18"/>
              </w:rPr>
            </w:pPr>
            <w:r w:rsidRPr="008E419C">
              <w:rPr>
                <w:b/>
                <w:color w:val="FFFFFF" w:themeColor="background1"/>
                <w:sz w:val="18"/>
                <w:szCs w:val="18"/>
              </w:rPr>
              <w:t xml:space="preserve">Total </w:t>
            </w:r>
          </w:p>
        </w:tc>
        <w:tc>
          <w:tcPr>
            <w:tcW w:w="2693" w:type="dxa"/>
            <w:shd w:val="clear" w:color="auto" w:fill="7FB8CB"/>
            <w:vAlign w:val="center"/>
          </w:tcPr>
          <w:p w14:paraId="4A2A9E5C" w14:textId="77777777" w:rsidR="000A1CD9" w:rsidRPr="008E419C" w:rsidRDefault="000A1CD9" w:rsidP="005B333B">
            <w:pPr>
              <w:pStyle w:val="ACMATableText"/>
              <w:keepNext/>
              <w:keepLines/>
              <w:spacing w:before="0" w:after="0"/>
              <w:jc w:val="right"/>
              <w:rPr>
                <w:b/>
                <w:color w:val="FFFFFF" w:themeColor="background1"/>
                <w:sz w:val="18"/>
                <w:szCs w:val="18"/>
              </w:rPr>
            </w:pPr>
            <w:r w:rsidRPr="008E419C">
              <w:rPr>
                <w:b/>
                <w:color w:val="FFFFFF" w:themeColor="background1"/>
                <w:sz w:val="18"/>
                <w:szCs w:val="18"/>
              </w:rPr>
              <w:t xml:space="preserve">360 </w:t>
            </w:r>
          </w:p>
        </w:tc>
        <w:tc>
          <w:tcPr>
            <w:tcW w:w="2694" w:type="dxa"/>
            <w:shd w:val="clear" w:color="auto" w:fill="7FB8CB"/>
            <w:tcMar>
              <w:top w:w="57" w:type="dxa"/>
              <w:left w:w="57" w:type="dxa"/>
              <w:bottom w:w="57" w:type="dxa"/>
              <w:right w:w="57" w:type="dxa"/>
            </w:tcMar>
            <w:vAlign w:val="center"/>
          </w:tcPr>
          <w:p w14:paraId="600A0942" w14:textId="77777777" w:rsidR="000A1CD9" w:rsidRPr="008E419C" w:rsidRDefault="000A1CD9" w:rsidP="005B333B">
            <w:pPr>
              <w:pStyle w:val="ACMATableText"/>
              <w:keepNext/>
              <w:keepLines/>
              <w:spacing w:before="0" w:after="0"/>
              <w:jc w:val="right"/>
              <w:rPr>
                <w:b/>
                <w:color w:val="FFFFFF" w:themeColor="background1"/>
                <w:sz w:val="18"/>
                <w:szCs w:val="18"/>
              </w:rPr>
            </w:pPr>
            <w:r w:rsidRPr="008E419C">
              <w:rPr>
                <w:b/>
                <w:color w:val="FFFFFF" w:themeColor="background1"/>
                <w:sz w:val="18"/>
                <w:szCs w:val="18"/>
              </w:rPr>
              <w:t>100</w:t>
            </w:r>
          </w:p>
        </w:tc>
      </w:tr>
    </w:tbl>
    <w:p w14:paraId="5E89497A" w14:textId="77777777" w:rsidR="000A1CD9" w:rsidRDefault="000A1CD9" w:rsidP="000A1CD9">
      <w:pPr>
        <w:pStyle w:val="ACMANotes"/>
      </w:pPr>
      <w:r w:rsidRPr="00401165">
        <w:t>Source: ACMA.</w:t>
      </w:r>
    </w:p>
    <w:p w14:paraId="53D4C1FC" w14:textId="77777777" w:rsidR="000A1CD9" w:rsidRPr="00401165" w:rsidRDefault="000A1CD9" w:rsidP="000A1CD9">
      <w:pPr>
        <w:pStyle w:val="ACMASpaceaftertable"/>
      </w:pPr>
    </w:p>
    <w:p w14:paraId="2422B345" w14:textId="77777777" w:rsidR="000A1CD9" w:rsidRPr="00496595" w:rsidRDefault="000A1CD9" w:rsidP="000A1CD9">
      <w:pPr>
        <w:pStyle w:val="Heading3"/>
      </w:pPr>
      <w:bookmarkStart w:id="451" w:name="_Toc399331736"/>
      <w:bookmarkStart w:id="452" w:name="_Toc399336917"/>
      <w:bookmarkStart w:id="453" w:name="_Toc402337517"/>
      <w:bookmarkStart w:id="454" w:name="_Toc462132234"/>
      <w:bookmarkStart w:id="455" w:name="_Toc462899576"/>
      <w:bookmarkStart w:id="456" w:name="_Toc433790320"/>
      <w:bookmarkStart w:id="457" w:name="_Toc463529066"/>
      <w:bookmarkStart w:id="458" w:name="_Toc465842882"/>
      <w:r w:rsidRPr="00496595">
        <w:t>Temporary community radio broadcasting licences</w:t>
      </w:r>
      <w:bookmarkEnd w:id="451"/>
      <w:bookmarkEnd w:id="452"/>
      <w:bookmarkEnd w:id="453"/>
      <w:bookmarkEnd w:id="454"/>
      <w:bookmarkEnd w:id="455"/>
      <w:bookmarkEnd w:id="456"/>
      <w:bookmarkEnd w:id="457"/>
      <w:bookmarkEnd w:id="458"/>
    </w:p>
    <w:p w14:paraId="624425EC" w14:textId="77777777" w:rsidR="000A1CD9" w:rsidRPr="00496595" w:rsidRDefault="000A1CD9" w:rsidP="000A1CD9">
      <w:pPr>
        <w:rPr>
          <w:rFonts w:cs="Arial"/>
          <w:szCs w:val="20"/>
        </w:rPr>
      </w:pPr>
      <w:r w:rsidRPr="00496595">
        <w:rPr>
          <w:rFonts w:cs="Arial"/>
          <w:szCs w:val="20"/>
        </w:rPr>
        <w:t>The temporary community radio broadcasting licence scheme allows the ACMA to allocate non-renewable community radio licences to eligible aspirant broadcasters. There were 94 temporary licences at 30 June 2016</w:t>
      </w:r>
      <w:r>
        <w:rPr>
          <w:rFonts w:cs="Arial"/>
          <w:szCs w:val="20"/>
        </w:rPr>
        <w:t>, unchanged from the previous reporting period</w:t>
      </w:r>
      <w:r w:rsidRPr="00496595">
        <w:rPr>
          <w:rFonts w:cs="Arial"/>
          <w:szCs w:val="20"/>
        </w:rPr>
        <w:t>.</w:t>
      </w:r>
    </w:p>
    <w:p w14:paraId="6B6FAFFD" w14:textId="77777777" w:rsidR="000A1CD9" w:rsidRPr="00496595" w:rsidRDefault="000A1CD9" w:rsidP="000A1CD9">
      <w:pPr>
        <w:pStyle w:val="Heading3"/>
      </w:pPr>
      <w:bookmarkStart w:id="459" w:name="_Toc399331737"/>
      <w:bookmarkStart w:id="460" w:name="_Toc399336918"/>
      <w:bookmarkStart w:id="461" w:name="_Toc402337518"/>
      <w:bookmarkStart w:id="462" w:name="_Toc462132235"/>
      <w:bookmarkStart w:id="463" w:name="_Toc462899577"/>
      <w:bookmarkStart w:id="464" w:name="_Toc433790321"/>
      <w:bookmarkStart w:id="465" w:name="_Toc463529067"/>
      <w:bookmarkStart w:id="466" w:name="_Toc465842883"/>
      <w:r w:rsidRPr="00496595">
        <w:t>Community television services</w:t>
      </w:r>
      <w:bookmarkEnd w:id="459"/>
      <w:bookmarkEnd w:id="460"/>
      <w:bookmarkEnd w:id="461"/>
      <w:bookmarkEnd w:id="462"/>
      <w:bookmarkEnd w:id="463"/>
      <w:bookmarkEnd w:id="464"/>
      <w:bookmarkEnd w:id="465"/>
      <w:bookmarkEnd w:id="466"/>
    </w:p>
    <w:p w14:paraId="36BF7446" w14:textId="77777777" w:rsidR="000A1CD9" w:rsidRPr="00496595" w:rsidRDefault="000A1CD9" w:rsidP="000A1CD9">
      <w:pPr>
        <w:rPr>
          <w:rFonts w:cs="Arial"/>
          <w:szCs w:val="20"/>
        </w:rPr>
      </w:pPr>
      <w:r w:rsidRPr="00496595">
        <w:rPr>
          <w:rFonts w:cs="Arial"/>
          <w:szCs w:val="20"/>
        </w:rPr>
        <w:t xml:space="preserve">There were 53 long-term community television broadcasting licensees at 30 June 2016, of which two were in the metropolitan areas of Brisbane and Melbourne. The remaining 51 were remote Indigenous broadcasting services. </w:t>
      </w:r>
    </w:p>
    <w:p w14:paraId="69DC628A" w14:textId="77777777" w:rsidR="000A1CD9" w:rsidRPr="00496595" w:rsidRDefault="000A1CD9" w:rsidP="000A1CD9">
      <w:pPr>
        <w:pStyle w:val="Heading3"/>
      </w:pPr>
      <w:bookmarkStart w:id="467" w:name="_Toc462132236"/>
      <w:bookmarkStart w:id="468" w:name="_Toc462899578"/>
      <w:bookmarkStart w:id="469" w:name="_Toc463529068"/>
      <w:bookmarkStart w:id="470" w:name="_Toc465842884"/>
      <w:r w:rsidRPr="00496595">
        <w:t>Community television transition</w:t>
      </w:r>
      <w:bookmarkEnd w:id="467"/>
      <w:bookmarkEnd w:id="468"/>
      <w:bookmarkEnd w:id="469"/>
      <w:bookmarkEnd w:id="470"/>
    </w:p>
    <w:p w14:paraId="46BD426A" w14:textId="77777777" w:rsidR="000A1CD9" w:rsidRPr="00496595" w:rsidRDefault="000A1CD9" w:rsidP="000A1CD9">
      <w:pPr>
        <w:rPr>
          <w:rFonts w:cs="Arial"/>
          <w:szCs w:val="20"/>
        </w:rPr>
      </w:pPr>
      <w:r w:rsidRPr="00496595">
        <w:rPr>
          <w:rFonts w:cs="Arial"/>
          <w:szCs w:val="20"/>
        </w:rPr>
        <w:t xml:space="preserve">Community television services currently have temporary access to spectrum to broadcast to four mainland state capitals (Melbourne and Brisbane, as well as trials in Adelaide and Perth). Community </w:t>
      </w:r>
      <w:r>
        <w:rPr>
          <w:rFonts w:cs="Arial"/>
          <w:szCs w:val="20"/>
        </w:rPr>
        <w:t>television</w:t>
      </w:r>
      <w:r w:rsidRPr="00496595">
        <w:rPr>
          <w:rFonts w:cs="Arial"/>
          <w:szCs w:val="20"/>
        </w:rPr>
        <w:t xml:space="preserve"> licences are only authorised to broadcast until 31 December 2016. The government has announced that it believes the best long-term outcome for community television is a transition to an online-only platform and has made funding available to assist community television broadcasting licensees with the initial set-up and service costs associated with the sector’s preferred online platform. Following this, the government intends that these broadcasting services will migrate to the internet.</w:t>
      </w:r>
    </w:p>
    <w:p w14:paraId="65A9C721" w14:textId="77777777" w:rsidR="000A1CD9" w:rsidRPr="00496595" w:rsidRDefault="000A1CD9" w:rsidP="000A1CD9">
      <w:pPr>
        <w:pStyle w:val="Heading3"/>
      </w:pPr>
      <w:bookmarkStart w:id="471" w:name="_Toc399331738"/>
      <w:bookmarkStart w:id="472" w:name="_Toc399336919"/>
      <w:bookmarkStart w:id="473" w:name="_Toc402337519"/>
      <w:bookmarkStart w:id="474" w:name="_Toc462132237"/>
      <w:bookmarkStart w:id="475" w:name="_Toc462899579"/>
      <w:bookmarkStart w:id="476" w:name="_Toc433790322"/>
      <w:bookmarkStart w:id="477" w:name="_Toc463529069"/>
      <w:bookmarkStart w:id="478" w:name="_Toc465842885"/>
      <w:r w:rsidRPr="00496595">
        <w:t>Community television trials</w:t>
      </w:r>
      <w:bookmarkEnd w:id="471"/>
      <w:bookmarkEnd w:id="472"/>
      <w:bookmarkEnd w:id="473"/>
      <w:bookmarkEnd w:id="474"/>
      <w:bookmarkEnd w:id="475"/>
      <w:bookmarkEnd w:id="476"/>
      <w:bookmarkEnd w:id="477"/>
      <w:bookmarkEnd w:id="478"/>
    </w:p>
    <w:p w14:paraId="3D492909" w14:textId="77777777" w:rsidR="000A1CD9" w:rsidRDefault="000A1CD9" w:rsidP="000A1CD9">
      <w:pPr>
        <w:rPr>
          <w:rFonts w:cs="Arial"/>
          <w:szCs w:val="20"/>
        </w:rPr>
      </w:pPr>
      <w:r>
        <w:rPr>
          <w:rFonts w:cs="Arial"/>
          <w:szCs w:val="20"/>
        </w:rPr>
        <w:t>During 2015–</w:t>
      </w:r>
      <w:r w:rsidRPr="00496595">
        <w:rPr>
          <w:rFonts w:cs="Arial"/>
          <w:szCs w:val="20"/>
        </w:rPr>
        <w:t>16, the ACMA decided to extend community television trials in Adel</w:t>
      </w:r>
      <w:r>
        <w:rPr>
          <w:rFonts w:cs="Arial"/>
          <w:szCs w:val="20"/>
        </w:rPr>
        <w:t>aide and Perth for a further 12-</w:t>
      </w:r>
      <w:r w:rsidRPr="00496595">
        <w:rPr>
          <w:rFonts w:cs="Arial"/>
          <w:szCs w:val="20"/>
        </w:rPr>
        <w:t>month period from 1 January 2016 to 31 December 2016.</w:t>
      </w:r>
      <w:r w:rsidRPr="00FD7E86">
        <w:rPr>
          <w:rFonts w:cs="Arial"/>
          <w:szCs w:val="20"/>
        </w:rPr>
        <w:t xml:space="preserve"> </w:t>
      </w:r>
    </w:p>
    <w:p w14:paraId="3AB81543" w14:textId="77777777" w:rsidR="000A1CD9" w:rsidRDefault="000A1CD9" w:rsidP="000A1CD9">
      <w:pPr>
        <w:pStyle w:val="Heading3"/>
      </w:pPr>
      <w:bookmarkStart w:id="479" w:name="_Toc462132238"/>
      <w:bookmarkStart w:id="480" w:name="_Toc462899580"/>
      <w:bookmarkStart w:id="481" w:name="_Toc433790323"/>
      <w:bookmarkStart w:id="482" w:name="_Toc463529070"/>
      <w:bookmarkStart w:id="483" w:name="_Toc465842886"/>
      <w:r w:rsidRPr="000065E3">
        <w:t>Advertising expenditure in main media</w:t>
      </w:r>
      <w:bookmarkEnd w:id="479"/>
      <w:bookmarkEnd w:id="480"/>
      <w:bookmarkEnd w:id="481"/>
      <w:bookmarkEnd w:id="482"/>
      <w:bookmarkEnd w:id="483"/>
    </w:p>
    <w:p w14:paraId="431480C2" w14:textId="77777777" w:rsidR="000A1CD9" w:rsidRDefault="000A1CD9" w:rsidP="000A1CD9">
      <w:pPr>
        <w:rPr>
          <w:rFonts w:cs="Arial"/>
        </w:rPr>
      </w:pPr>
      <w:r w:rsidRPr="00A72212">
        <w:t>Commercial Economic Advisory Service of Australia (CEASA) data for the year ended 31 December 201</w:t>
      </w:r>
      <w:r>
        <w:t>5</w:t>
      </w:r>
      <w:r w:rsidRPr="00A72212">
        <w:t xml:space="preserve"> shows that </w:t>
      </w:r>
      <w:r>
        <w:t xml:space="preserve">combined </w:t>
      </w:r>
      <w:r w:rsidRPr="00A72212">
        <w:t>advertising expenditure across the main media categories—print, television, radi</w:t>
      </w:r>
      <w:r>
        <w:t>o, online, outdoor and cinema—in</w:t>
      </w:r>
      <w:r w:rsidRPr="00A72212">
        <w:t xml:space="preserve">creased by </w:t>
      </w:r>
      <w:r>
        <w:rPr>
          <w:rFonts w:cs="Arial"/>
        </w:rPr>
        <w:t>11.7</w:t>
      </w:r>
      <w:r w:rsidRPr="00A72212">
        <w:rPr>
          <w:rFonts w:cs="Arial"/>
        </w:rPr>
        <w:t xml:space="preserve"> per cent in 201</w:t>
      </w:r>
      <w:r>
        <w:rPr>
          <w:rFonts w:cs="Arial"/>
        </w:rPr>
        <w:t>5</w:t>
      </w:r>
      <w:r w:rsidRPr="00A72212">
        <w:rPr>
          <w:rFonts w:cs="Arial"/>
        </w:rPr>
        <w:t xml:space="preserve"> to $1</w:t>
      </w:r>
      <w:r>
        <w:rPr>
          <w:rFonts w:cs="Arial"/>
        </w:rPr>
        <w:t>4.5</w:t>
      </w:r>
      <w:r w:rsidRPr="00A72212">
        <w:rPr>
          <w:rFonts w:cs="Arial"/>
        </w:rPr>
        <w:t xml:space="preserve"> billion.</w:t>
      </w:r>
      <w:r>
        <w:rPr>
          <w:rStyle w:val="EndnoteReference"/>
          <w:rFonts w:cs="Arial"/>
        </w:rPr>
        <w:endnoteReference w:id="107"/>
      </w:r>
      <w:r>
        <w:rPr>
          <w:rFonts w:cs="Arial"/>
        </w:rPr>
        <w:t xml:space="preserve"> </w:t>
      </w:r>
    </w:p>
    <w:p w14:paraId="049C6F04" w14:textId="77777777" w:rsidR="000A1CD9" w:rsidRDefault="000A1CD9" w:rsidP="000A1CD9">
      <w:r w:rsidRPr="00A72212">
        <w:rPr>
          <w:rFonts w:cs="Arial"/>
        </w:rPr>
        <w:t>Online and television media attracted the major share of advertising expenditure during this period, as shown in Figure 1</w:t>
      </w:r>
      <w:r>
        <w:rPr>
          <w:rFonts w:cs="Arial"/>
        </w:rPr>
        <w:t>.14</w:t>
      </w:r>
      <w:r w:rsidRPr="00A72212">
        <w:rPr>
          <w:rFonts w:cs="Arial"/>
        </w:rPr>
        <w:t>. In 201</w:t>
      </w:r>
      <w:r>
        <w:rPr>
          <w:rFonts w:cs="Arial"/>
        </w:rPr>
        <w:t>5</w:t>
      </w:r>
      <w:r w:rsidRPr="00A72212">
        <w:rPr>
          <w:rFonts w:cs="Arial"/>
        </w:rPr>
        <w:t xml:space="preserve">, these media platforms </w:t>
      </w:r>
      <w:r>
        <w:rPr>
          <w:rFonts w:cs="Arial"/>
        </w:rPr>
        <w:t xml:space="preserve">combined to </w:t>
      </w:r>
      <w:r w:rsidRPr="00A72212">
        <w:rPr>
          <w:rFonts w:cs="Arial"/>
        </w:rPr>
        <w:t xml:space="preserve">account for </w:t>
      </w:r>
      <w:r>
        <w:rPr>
          <w:rFonts w:cs="Arial"/>
        </w:rPr>
        <w:t>more than two-</w:t>
      </w:r>
      <w:r w:rsidRPr="00A72212">
        <w:rPr>
          <w:rFonts w:cs="Arial"/>
        </w:rPr>
        <w:t>third</w:t>
      </w:r>
      <w:r>
        <w:rPr>
          <w:rFonts w:cs="Arial"/>
        </w:rPr>
        <w:t>s</w:t>
      </w:r>
      <w:r w:rsidRPr="00A72212">
        <w:rPr>
          <w:rFonts w:cs="Arial"/>
        </w:rPr>
        <w:t xml:space="preserve"> of total advertising expenditure (</w:t>
      </w:r>
      <w:r>
        <w:rPr>
          <w:rFonts w:cs="Arial"/>
        </w:rPr>
        <w:t>41.6</w:t>
      </w:r>
      <w:r w:rsidRPr="00A72212">
        <w:rPr>
          <w:rFonts w:cs="Arial"/>
        </w:rPr>
        <w:t xml:space="preserve"> and </w:t>
      </w:r>
      <w:r>
        <w:rPr>
          <w:rFonts w:cs="Arial"/>
        </w:rPr>
        <w:t>27</w:t>
      </w:r>
      <w:r w:rsidRPr="00A72212">
        <w:rPr>
          <w:rFonts w:cs="Arial"/>
        </w:rPr>
        <w:t xml:space="preserve"> per cent respectively). </w:t>
      </w:r>
      <w:r w:rsidRPr="00A72212">
        <w:t>The print media’s share of total advertising expenditure decreased to 1</w:t>
      </w:r>
      <w:r>
        <w:t>6.1</w:t>
      </w:r>
      <w:r w:rsidRPr="00A72212">
        <w:t xml:space="preserve"> per cent in 201</w:t>
      </w:r>
      <w:r>
        <w:t>5</w:t>
      </w:r>
      <w:r w:rsidRPr="00A72212">
        <w:t xml:space="preserve">, compared to </w:t>
      </w:r>
      <w:r>
        <w:t>19.1</w:t>
      </w:r>
      <w:r w:rsidRPr="00A72212">
        <w:t xml:space="preserve"> per cent in 201</w:t>
      </w:r>
      <w:r>
        <w:t>4</w:t>
      </w:r>
      <w:r w:rsidRPr="00A72212">
        <w:t xml:space="preserve">. </w:t>
      </w:r>
    </w:p>
    <w:p w14:paraId="005BAC72" w14:textId="77777777" w:rsidR="000A1CD9" w:rsidRPr="00A72212" w:rsidRDefault="000A1CD9" w:rsidP="000A1CD9">
      <w:pPr>
        <w:rPr>
          <w:rFonts w:cs="Arial"/>
        </w:rPr>
      </w:pPr>
      <w:r>
        <w:lastRenderedPageBreak/>
        <w:t xml:space="preserve">Online advertising expenditure continued to increase in 2015, </w:t>
      </w:r>
      <w:r w:rsidRPr="004829A2">
        <w:t>gr</w:t>
      </w:r>
      <w:r>
        <w:t>owing</w:t>
      </w:r>
      <w:r w:rsidRPr="004829A2">
        <w:t xml:space="preserve"> by 25 per cent</w:t>
      </w:r>
      <w:r>
        <w:t xml:space="preserve"> to reach $6 billion. There were also increases reported in</w:t>
      </w:r>
      <w:r w:rsidRPr="004829A2">
        <w:t xml:space="preserve"> outdoor </w:t>
      </w:r>
      <w:r>
        <w:t xml:space="preserve">advertising (increasing by </w:t>
      </w:r>
      <w:r w:rsidRPr="004829A2">
        <w:t>62.8 per cent</w:t>
      </w:r>
      <w:r>
        <w:t>)</w:t>
      </w:r>
      <w:r w:rsidRPr="004829A2">
        <w:t xml:space="preserve"> and cinema </w:t>
      </w:r>
      <w:r>
        <w:t xml:space="preserve">advertising (up </w:t>
      </w:r>
      <w:r w:rsidRPr="004829A2">
        <w:t>20.7 per cent).</w:t>
      </w:r>
    </w:p>
    <w:p w14:paraId="57F34989" w14:textId="77777777" w:rsidR="000A1CD9" w:rsidRPr="003202FB" w:rsidRDefault="000A1CD9" w:rsidP="00EA149D">
      <w:pPr>
        <w:pStyle w:val="ACMAFigureHeader"/>
        <w:keepNext/>
        <w:keepLines/>
      </w:pPr>
      <w:r w:rsidRPr="00056EC0">
        <w:t>Figure 1.1</w:t>
      </w:r>
      <w:r>
        <w:t>4</w:t>
      </w:r>
      <w:r>
        <w:tab/>
      </w:r>
      <w:r w:rsidRPr="00056EC0">
        <w:t>Advertising expenditure by main media category ($ millions)</w:t>
      </w:r>
    </w:p>
    <w:p w14:paraId="2B58E87C" w14:textId="77777777" w:rsidR="000A1CD9" w:rsidRPr="00C84865" w:rsidRDefault="003B6AD3" w:rsidP="00202E07">
      <w:pPr>
        <w:spacing w:after="0"/>
      </w:pPr>
      <w:r>
        <w:rPr>
          <w:noProof/>
        </w:rPr>
        <w:drawing>
          <wp:inline distT="0" distB="0" distL="0" distR="0" wp14:anchorId="4CA0B831" wp14:editId="04A312AF">
            <wp:extent cx="5906124" cy="5572760"/>
            <wp:effectExtent l="0" t="0" r="0" b="8890"/>
            <wp:docPr id="52" name="Picture 52" descr="Data for Figure 1.14 is in the .ods file for Chapter 1 on the landing page ‘Communications report 2015-16’, available from the ACMA website." title="Figure 1.14  Advertising expenditure by main media category ($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1.14_Figure 1.14.png"/>
                    <pic:cNvPicPr/>
                  </pic:nvPicPr>
                  <pic:blipFill rotWithShape="1">
                    <a:blip r:embed="rId56">
                      <a:extLst>
                        <a:ext uri="{28A0092B-C50C-407E-A947-70E740481C1C}">
                          <a14:useLocalDpi xmlns:a14="http://schemas.microsoft.com/office/drawing/2010/main" val="0"/>
                        </a:ext>
                      </a:extLst>
                    </a:blip>
                    <a:srcRect l="575" t="608"/>
                    <a:stretch/>
                  </pic:blipFill>
                  <pic:spPr bwMode="auto">
                    <a:xfrm>
                      <a:off x="0" y="0"/>
                      <a:ext cx="5906304" cy="5572930"/>
                    </a:xfrm>
                    <a:prstGeom prst="rect">
                      <a:avLst/>
                    </a:prstGeom>
                    <a:ln>
                      <a:noFill/>
                    </a:ln>
                    <a:extLst>
                      <a:ext uri="{53640926-AAD7-44D8-BBD7-CCE9431645EC}">
                        <a14:shadowObscured xmlns:a14="http://schemas.microsoft.com/office/drawing/2010/main"/>
                      </a:ext>
                    </a:extLst>
                  </pic:spPr>
                </pic:pic>
              </a:graphicData>
            </a:graphic>
          </wp:inline>
        </w:drawing>
      </w:r>
    </w:p>
    <w:p w14:paraId="0CDBAB80" w14:textId="77777777" w:rsidR="000A1CD9" w:rsidRDefault="000A1CD9" w:rsidP="000A1CD9">
      <w:pPr>
        <w:pStyle w:val="ACMANotes"/>
      </w:pPr>
      <w:r>
        <w:t>Note: Online advertising expenditure figure revised from previously reported.</w:t>
      </w:r>
    </w:p>
    <w:p w14:paraId="624F07CB" w14:textId="77777777" w:rsidR="000A1CD9" w:rsidRPr="00FD7E86" w:rsidRDefault="000A1CD9" w:rsidP="000A1CD9">
      <w:pPr>
        <w:pStyle w:val="ACMANotes"/>
      </w:pPr>
      <w:r w:rsidRPr="00FD7E86">
        <w:t>Source: CEASA.</w:t>
      </w:r>
    </w:p>
    <w:p w14:paraId="0CEADCBA" w14:textId="77777777" w:rsidR="000A1CD9" w:rsidRPr="00531CD0" w:rsidRDefault="000A1CD9" w:rsidP="000A1CD9">
      <w:pPr>
        <w:pStyle w:val="ACMASpaceaftertable"/>
      </w:pPr>
    </w:p>
    <w:p w14:paraId="29228737" w14:textId="77777777" w:rsidR="000A1CD9" w:rsidRPr="004F2945" w:rsidRDefault="000A1CD9" w:rsidP="00CA1F1A">
      <w:pPr>
        <w:keepNext/>
        <w:keepLines/>
      </w:pPr>
      <w:r w:rsidRPr="004F2945">
        <w:lastRenderedPageBreak/>
        <w:t xml:space="preserve">Figure </w:t>
      </w:r>
      <w:r>
        <w:t>1.15</w:t>
      </w:r>
      <w:r w:rsidRPr="004F2945">
        <w:t xml:space="preserve"> </w:t>
      </w:r>
      <w:r>
        <w:t>shows</w:t>
      </w:r>
      <w:r w:rsidRPr="004F2945">
        <w:t xml:space="preserve"> </w:t>
      </w:r>
      <w:r>
        <w:t xml:space="preserve">the </w:t>
      </w:r>
      <w:r w:rsidRPr="004F2945">
        <w:t>television and radio sectors</w:t>
      </w:r>
      <w:r>
        <w:t>’</w:t>
      </w:r>
      <w:r w:rsidRPr="004F2945">
        <w:t xml:space="preserve"> share of the advertising expenditure market over the last five years</w:t>
      </w:r>
      <w:r>
        <w:t>.</w:t>
      </w:r>
      <w:r w:rsidRPr="004F2945">
        <w:t xml:space="preserve"> The television sector’s share declined from 30.4 per cent in 2014 to 27 per cent in 2015. Radio saw its share of total advertising expenditure decrease slightly from 8.1 per cent in 2014 to 7.7 per cent in 2015.</w:t>
      </w:r>
    </w:p>
    <w:p w14:paraId="2CAA12F0" w14:textId="77777777" w:rsidR="000A1CD9" w:rsidRPr="00FF451F" w:rsidRDefault="000A1CD9" w:rsidP="00EA149D">
      <w:pPr>
        <w:pStyle w:val="ACMAFigureHeader"/>
        <w:keepNext/>
        <w:keepLines/>
      </w:pPr>
      <w:r w:rsidRPr="007366B2">
        <w:t>Figure 1.1</w:t>
      </w:r>
      <w:r>
        <w:t>5</w:t>
      </w:r>
      <w:r>
        <w:tab/>
      </w:r>
      <w:r w:rsidRPr="007366B2">
        <w:t>Television and radio advertising expenditure ($ million</w:t>
      </w:r>
      <w:r w:rsidRPr="001E2D14">
        <w:t>)</w:t>
      </w:r>
    </w:p>
    <w:p w14:paraId="13A53F62" w14:textId="77777777" w:rsidR="000A1CD9" w:rsidRDefault="00216070" w:rsidP="000A1CD9">
      <w:pPr>
        <w:pStyle w:val="ACMANotes"/>
      </w:pPr>
      <w:r>
        <w:rPr>
          <w:noProof/>
        </w:rPr>
        <w:drawing>
          <wp:inline distT="0" distB="0" distL="0" distR="0" wp14:anchorId="09D27560" wp14:editId="22331C7C">
            <wp:extent cx="5919470" cy="2422477"/>
            <wp:effectExtent l="0" t="0" r="5080" b="0"/>
            <wp:docPr id="67" name="Picture 67" descr="Data for Figure 1.15 is in the .ods file for Chapter 1 on the landing page ‘Communications report 2015-16’, available from the ACMA website." title="Figure 1.15 Television and radio advertising expenditure ($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e 1.15_Figure 1.15.png"/>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5919953" cy="2422675"/>
                    </a:xfrm>
                    <a:prstGeom prst="rect">
                      <a:avLst/>
                    </a:prstGeom>
                    <a:ln>
                      <a:noFill/>
                    </a:ln>
                    <a:extLst>
                      <a:ext uri="{53640926-AAD7-44D8-BBD7-CCE9431645EC}">
                        <a14:shadowObscured xmlns:a14="http://schemas.microsoft.com/office/drawing/2010/main"/>
                      </a:ext>
                    </a:extLst>
                  </pic:spPr>
                </pic:pic>
              </a:graphicData>
            </a:graphic>
          </wp:inline>
        </w:drawing>
      </w:r>
      <w:r w:rsidR="000A1CD9" w:rsidRPr="00FD7E86">
        <w:t xml:space="preserve">Source: CEASA. </w:t>
      </w:r>
    </w:p>
    <w:p w14:paraId="457D3CF0" w14:textId="77777777" w:rsidR="000A1CD9" w:rsidRPr="00FD7E86" w:rsidRDefault="000A1CD9" w:rsidP="000A1CD9">
      <w:pPr>
        <w:pStyle w:val="ACMASpaceaftertable"/>
      </w:pPr>
    </w:p>
    <w:p w14:paraId="70978EB6" w14:textId="77777777" w:rsidR="000A1CD9" w:rsidRDefault="000A1CD9" w:rsidP="000A1CD9">
      <w:pPr>
        <w:spacing w:line="240" w:lineRule="auto"/>
        <w:rPr>
          <w:rFonts w:cs="Arial"/>
        </w:rPr>
      </w:pPr>
      <w:r w:rsidRPr="002B6F38">
        <w:rPr>
          <w:rFonts w:cs="Arial"/>
        </w:rPr>
        <w:t xml:space="preserve">Expenditure on online advertising grew by </w:t>
      </w:r>
      <w:r>
        <w:rPr>
          <w:rFonts w:cs="Arial"/>
        </w:rPr>
        <w:t>25.3</w:t>
      </w:r>
      <w:r w:rsidRPr="002B6F38">
        <w:rPr>
          <w:rFonts w:cs="Arial"/>
        </w:rPr>
        <w:t xml:space="preserve"> per cent to total </w:t>
      </w:r>
      <w:r>
        <w:rPr>
          <w:rFonts w:cs="Arial"/>
        </w:rPr>
        <w:t xml:space="preserve">just over </w:t>
      </w:r>
      <w:r w:rsidRPr="002B6F38">
        <w:rPr>
          <w:rFonts w:cs="Arial"/>
        </w:rPr>
        <w:t xml:space="preserve">$6 billion </w:t>
      </w:r>
      <w:r>
        <w:rPr>
          <w:rFonts w:cs="Arial"/>
        </w:rPr>
        <w:t>during</w:t>
      </w:r>
      <w:r w:rsidRPr="002B6F38">
        <w:rPr>
          <w:rFonts w:cs="Arial"/>
        </w:rPr>
        <w:t xml:space="preserve"> the 2015 calendar year. This represented a 41.6 per cent share of total media advertising expenditure</w:t>
      </w:r>
      <w:r>
        <w:rPr>
          <w:rFonts w:cs="Arial"/>
        </w:rPr>
        <w:t>,</w:t>
      </w:r>
      <w:r w:rsidRPr="002B6F38">
        <w:rPr>
          <w:rFonts w:cs="Arial"/>
        </w:rPr>
        <w:t xml:space="preserve"> compared to 37.1 per cent in 2014 (Figure </w:t>
      </w:r>
      <w:r>
        <w:rPr>
          <w:rFonts w:cs="Arial"/>
        </w:rPr>
        <w:t>1.16</w:t>
      </w:r>
      <w:r w:rsidRPr="002B6F38">
        <w:rPr>
          <w:rFonts w:cs="Arial"/>
        </w:rPr>
        <w:t>). The 2015 calendar year was characterised by significant growth in all online advertising categories</w:t>
      </w:r>
      <w:r>
        <w:rPr>
          <w:rFonts w:cs="Arial"/>
        </w:rPr>
        <w:t>,</w:t>
      </w:r>
      <w:r w:rsidRPr="002B6F38">
        <w:rPr>
          <w:rFonts w:cs="Arial"/>
        </w:rPr>
        <w:t xml:space="preserve"> with the online general category exhibiting the greatest proportional increase. Revenue in the classifieds</w:t>
      </w:r>
      <w:r>
        <w:rPr>
          <w:rFonts w:cs="Arial"/>
        </w:rPr>
        <w:t xml:space="preserve"> </w:t>
      </w:r>
      <w:r w:rsidRPr="002B6F38">
        <w:rPr>
          <w:rFonts w:cs="Arial"/>
        </w:rPr>
        <w:t xml:space="preserve">online </w:t>
      </w:r>
      <w:r>
        <w:rPr>
          <w:rFonts w:cs="Arial"/>
        </w:rPr>
        <w:t>category</w:t>
      </w:r>
      <w:r w:rsidRPr="002B6F38">
        <w:rPr>
          <w:rFonts w:cs="Arial"/>
        </w:rPr>
        <w:t xml:space="preserve"> increased by </w:t>
      </w:r>
      <w:r>
        <w:rPr>
          <w:rFonts w:cs="Arial"/>
        </w:rPr>
        <w:t>22</w:t>
      </w:r>
      <w:r w:rsidRPr="002B6F38">
        <w:rPr>
          <w:rFonts w:cs="Arial"/>
        </w:rPr>
        <w:t xml:space="preserve"> per cent</w:t>
      </w:r>
      <w:r>
        <w:rPr>
          <w:rFonts w:cs="Arial"/>
        </w:rPr>
        <w:t>,</w:t>
      </w:r>
      <w:r w:rsidRPr="002B6F38">
        <w:rPr>
          <w:rFonts w:cs="Arial"/>
        </w:rPr>
        <w:t xml:space="preserve"> and </w:t>
      </w:r>
      <w:r>
        <w:rPr>
          <w:rFonts w:cs="Arial"/>
        </w:rPr>
        <w:t xml:space="preserve">in the </w:t>
      </w:r>
      <w:r w:rsidRPr="002B6F38">
        <w:rPr>
          <w:rFonts w:cs="Arial"/>
        </w:rPr>
        <w:t xml:space="preserve">search and directories </w:t>
      </w:r>
      <w:r>
        <w:rPr>
          <w:rFonts w:cs="Arial"/>
        </w:rPr>
        <w:t xml:space="preserve">online </w:t>
      </w:r>
      <w:r w:rsidRPr="002B6F38">
        <w:rPr>
          <w:rFonts w:cs="Arial"/>
        </w:rPr>
        <w:t>categor</w:t>
      </w:r>
      <w:r>
        <w:rPr>
          <w:rFonts w:cs="Arial"/>
        </w:rPr>
        <w:t>y by</w:t>
      </w:r>
      <w:r w:rsidRPr="002B6F38">
        <w:rPr>
          <w:rFonts w:cs="Arial"/>
        </w:rPr>
        <w:t xml:space="preserve"> </w:t>
      </w:r>
      <w:r>
        <w:rPr>
          <w:rFonts w:cs="Arial"/>
        </w:rPr>
        <w:t>14</w:t>
      </w:r>
      <w:r w:rsidRPr="002B6F38">
        <w:rPr>
          <w:rFonts w:cs="Arial"/>
        </w:rPr>
        <w:t xml:space="preserve"> per cent, with the online general category reporting a year-on-year revenue increase of </w:t>
      </w:r>
      <w:r>
        <w:rPr>
          <w:rFonts w:cs="Arial"/>
        </w:rPr>
        <w:t>46</w:t>
      </w:r>
      <w:r w:rsidRPr="002B6F38">
        <w:rPr>
          <w:rFonts w:cs="Arial"/>
        </w:rPr>
        <w:t xml:space="preserve"> per cent.</w:t>
      </w:r>
    </w:p>
    <w:p w14:paraId="014ADFEC" w14:textId="77777777" w:rsidR="000A1CD9" w:rsidRPr="00FF451F" w:rsidRDefault="000A1CD9" w:rsidP="00EA149D">
      <w:pPr>
        <w:pStyle w:val="ACMAFigureHeader"/>
        <w:keepNext/>
        <w:keepLines/>
      </w:pPr>
      <w:r w:rsidRPr="001E2D14">
        <w:lastRenderedPageBreak/>
        <w:t>Figure 1.1</w:t>
      </w:r>
      <w:r>
        <w:t>6</w:t>
      </w:r>
      <w:r>
        <w:tab/>
      </w:r>
      <w:r w:rsidRPr="001E2D14">
        <w:t>Online advertising expenditure ($ million)</w:t>
      </w:r>
    </w:p>
    <w:p w14:paraId="307D0154" w14:textId="77777777" w:rsidR="000A1CD9" w:rsidRPr="00FD7E86" w:rsidRDefault="00216070" w:rsidP="000A1CD9">
      <w:pPr>
        <w:keepNext/>
        <w:keepLines/>
        <w:spacing w:after="0"/>
        <w:rPr>
          <w:rFonts w:cs="Arial"/>
          <w:b/>
          <w:bCs/>
          <w:szCs w:val="26"/>
        </w:rPr>
      </w:pPr>
      <w:r w:rsidRPr="00604073">
        <w:rPr>
          <w:rFonts w:cs="Arial"/>
          <w:b/>
          <w:bCs/>
          <w:noProof/>
          <w:szCs w:val="26"/>
        </w:rPr>
        <w:drawing>
          <wp:inline distT="0" distB="0" distL="0" distR="0" wp14:anchorId="5C219A5D" wp14:editId="102BCFDC">
            <wp:extent cx="5940425" cy="4751070"/>
            <wp:effectExtent l="0" t="0" r="3175" b="0"/>
            <wp:docPr id="101" name="Picture 101" descr="Data for Figure 1.16 is in the .ods file for Chapter 1 on the landing page ‘Communications report 2015-16’, available from the ACMA website." title="Figure 1.16 Online advertising expenditure ($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igure 1.16_Figure 1.16.png"/>
                    <pic:cNvPicPr/>
                  </pic:nvPicPr>
                  <pic:blipFill rotWithShape="1">
                    <a:blip r:embed="rId58">
                      <a:extLst>
                        <a:ext uri="{28A0092B-C50C-407E-A947-70E740481C1C}">
                          <a14:useLocalDpi xmlns:a14="http://schemas.microsoft.com/office/drawing/2010/main" val="0"/>
                        </a:ext>
                      </a:extLst>
                    </a:blip>
                    <a:srcRect/>
                    <a:stretch/>
                  </pic:blipFill>
                  <pic:spPr bwMode="auto">
                    <a:xfrm>
                      <a:off x="0" y="0"/>
                      <a:ext cx="5940425" cy="4751070"/>
                    </a:xfrm>
                    <a:prstGeom prst="rect">
                      <a:avLst/>
                    </a:prstGeom>
                    <a:ln>
                      <a:noFill/>
                    </a:ln>
                    <a:extLst>
                      <a:ext uri="{53640926-AAD7-44D8-BBD7-CCE9431645EC}">
                        <a14:shadowObscured xmlns:a14="http://schemas.microsoft.com/office/drawing/2010/main"/>
                      </a:ext>
                    </a:extLst>
                  </pic:spPr>
                </pic:pic>
              </a:graphicData>
            </a:graphic>
          </wp:inline>
        </w:drawing>
      </w:r>
    </w:p>
    <w:p w14:paraId="46A8CDE1" w14:textId="77777777" w:rsidR="000A1CD9" w:rsidRDefault="000A1CD9" w:rsidP="000A1CD9">
      <w:pPr>
        <w:pStyle w:val="ACMANotes"/>
      </w:pPr>
      <w:r>
        <w:t>Note: 2014 figures revised from those previously reported.</w:t>
      </w:r>
    </w:p>
    <w:p w14:paraId="54EF1853" w14:textId="77777777" w:rsidR="000A1CD9" w:rsidRPr="00FD7E86" w:rsidRDefault="000A1CD9" w:rsidP="000A1CD9">
      <w:pPr>
        <w:pStyle w:val="ACMANotes"/>
        <w:keepNext/>
        <w:keepLines/>
      </w:pPr>
      <w:r w:rsidRPr="00FD7E86">
        <w:t>Note: Numbers may not add up to total due to rounding.</w:t>
      </w:r>
    </w:p>
    <w:p w14:paraId="738519BE" w14:textId="77777777" w:rsidR="000A1CD9" w:rsidRPr="00FD7E86" w:rsidRDefault="000A1CD9" w:rsidP="000A1CD9">
      <w:pPr>
        <w:pStyle w:val="ACMANotes"/>
        <w:keepNext/>
        <w:keepLines/>
        <w:rPr>
          <w:szCs w:val="16"/>
        </w:rPr>
      </w:pPr>
      <w:r w:rsidRPr="00FD7E86">
        <w:rPr>
          <w:szCs w:val="16"/>
        </w:rPr>
        <w:t>Source: CEASA.</w:t>
      </w:r>
    </w:p>
    <w:p w14:paraId="543975F3" w14:textId="77777777" w:rsidR="000A1CD9" w:rsidRPr="00FD7E86" w:rsidRDefault="000A1CD9" w:rsidP="000A1CD9">
      <w:pPr>
        <w:pStyle w:val="ACMASpaceaftertable"/>
      </w:pPr>
    </w:p>
    <w:p w14:paraId="3B6EC2B8" w14:textId="77777777" w:rsidR="008836B1" w:rsidRPr="00FD7E86" w:rsidRDefault="008836B1" w:rsidP="00531CD0">
      <w:pPr>
        <w:pStyle w:val="ACMASpaceaftertable"/>
      </w:pPr>
    </w:p>
    <w:p w14:paraId="2330E5B6" w14:textId="77777777" w:rsidR="005107CA" w:rsidRPr="00531CD0" w:rsidRDefault="005107CA" w:rsidP="00531CD0">
      <w:pPr>
        <w:pStyle w:val="Heading1"/>
        <w:pageBreakBefore w:val="0"/>
        <w:rPr>
          <w:i/>
          <w:sz w:val="16"/>
        </w:rPr>
        <w:sectPr w:rsidR="005107CA" w:rsidRPr="00531CD0" w:rsidSect="00604073">
          <w:headerReference w:type="even" r:id="rId59"/>
          <w:headerReference w:type="default" r:id="rId60"/>
          <w:footerReference w:type="even" r:id="rId61"/>
          <w:footerReference w:type="default" r:id="rId62"/>
          <w:endnotePr>
            <w:numFmt w:val="decimal"/>
            <w:numRestart w:val="eachSect"/>
          </w:endnotePr>
          <w:pgSz w:w="11907" w:h="16839" w:code="9"/>
          <w:pgMar w:top="1945" w:right="1134" w:bottom="1134" w:left="1134" w:header="709" w:footer="119" w:gutter="284"/>
          <w:pgNumType w:start="1"/>
          <w:cols w:space="708"/>
          <w:docGrid w:linePitch="360"/>
        </w:sectPr>
      </w:pPr>
    </w:p>
    <w:p w14:paraId="25E93AEE" w14:textId="77777777" w:rsidR="00172A9C" w:rsidRPr="000D76E0" w:rsidRDefault="00172A9C" w:rsidP="00EA149D">
      <w:pPr>
        <w:pStyle w:val="Heading1"/>
        <w:numPr>
          <w:ilvl w:val="0"/>
          <w:numId w:val="12"/>
        </w:numPr>
        <w:ind w:left="851" w:hanging="851"/>
      </w:pPr>
      <w:bookmarkStart w:id="484" w:name="_Toc462899581"/>
      <w:bookmarkStart w:id="485" w:name="_Toc463529071"/>
      <w:bookmarkStart w:id="486" w:name="_Toc465842887"/>
      <w:bookmarkStart w:id="487" w:name="_Toc348105641"/>
      <w:bookmarkEnd w:id="8"/>
      <w:bookmarkEnd w:id="9"/>
      <w:r>
        <w:lastRenderedPageBreak/>
        <w:t xml:space="preserve">Engagement </w:t>
      </w:r>
      <w:r w:rsidRPr="00D35EE1">
        <w:t>with</w:t>
      </w:r>
      <w:r>
        <w:t xml:space="preserve"> communications and media</w:t>
      </w:r>
      <w:bookmarkEnd w:id="484"/>
      <w:bookmarkEnd w:id="485"/>
      <w:bookmarkEnd w:id="486"/>
    </w:p>
    <w:p w14:paraId="7F867EB2" w14:textId="77777777" w:rsidR="000A1CD9" w:rsidRPr="00D609AB" w:rsidRDefault="000A1CD9" w:rsidP="00985976">
      <w:pPr>
        <w:pStyle w:val="Heading2"/>
        <w:numPr>
          <w:ilvl w:val="1"/>
          <w:numId w:val="12"/>
        </w:numPr>
        <w:ind w:hanging="792"/>
      </w:pPr>
      <w:bookmarkStart w:id="488" w:name="_Toc465842888"/>
      <w:bookmarkStart w:id="489" w:name="_Toc463529095"/>
      <w:r w:rsidRPr="00E25748">
        <w:t>O</w:t>
      </w:r>
      <w:r w:rsidRPr="00B27969">
        <w:t>verview</w:t>
      </w:r>
      <w:bookmarkEnd w:id="488"/>
    </w:p>
    <w:p w14:paraId="65B76261" w14:textId="77777777" w:rsidR="000A1CD9" w:rsidRPr="00D609AB" w:rsidRDefault="000A1CD9" w:rsidP="000A1CD9">
      <w:r w:rsidRPr="00D609AB">
        <w:t>This chapter reports on CSPs’ efficiency, adequacy and quality of services by examining Australians’ participation in communications and media services. It focuses on Australians’ online activities, their take-up and use of devices that connect to the internet and other communications services, as well as the behaviours that Australian internet users adopt in an online environment. This chapter</w:t>
      </w:r>
      <w:r w:rsidRPr="00D609AB" w:rsidDel="009009F9">
        <w:t xml:space="preserve"> </w:t>
      </w:r>
      <w:r w:rsidRPr="00D609AB">
        <w:t>considers consumer benefits and engagement including</w:t>
      </w:r>
      <w:r w:rsidRPr="00D609AB" w:rsidDel="009009F9">
        <w:t xml:space="preserve"> </w:t>
      </w:r>
      <w:r w:rsidRPr="00D609AB">
        <w:t xml:space="preserve">satisfaction with communications services to address the regulatory requirements of section 105 of the Telecommunications Act. </w:t>
      </w:r>
    </w:p>
    <w:p w14:paraId="47461CD9" w14:textId="77777777" w:rsidR="000A1CD9" w:rsidRPr="00D609AB" w:rsidRDefault="000A1CD9" w:rsidP="000A1CD9">
      <w:r w:rsidRPr="00D609AB">
        <w:t xml:space="preserve">Digital services are an established part of Australians’ lives, with consumer take-up of online communications and content driving strong growth in data traffic. An overwhelming majority of Australians are internet users, with 91 per cent going online at least once in the six months to </w:t>
      </w:r>
      <w:r w:rsidR="00381CC2">
        <w:t>June</w:t>
      </w:r>
      <w:r w:rsidR="00381CC2" w:rsidRPr="00D609AB">
        <w:t xml:space="preserve"> </w:t>
      </w:r>
      <w:r w:rsidRPr="00D609AB">
        <w:t>2016. Communications apps are one of a suite of communications options, and the favoured choice for video calls. Australians are enthusiastic adopters of online entertainment. More than two-thirds of online Australian adults accessed online video content and more than half listened to audio content online.</w:t>
      </w:r>
    </w:p>
    <w:p w14:paraId="67CD831A" w14:textId="77777777" w:rsidR="000A1CD9" w:rsidRPr="00D609AB" w:rsidRDefault="000A1CD9" w:rsidP="000A1CD9">
      <w:r w:rsidRPr="00D609AB">
        <w:t>ACMA research continues to show that Australians aged 18 and over experience high satisfaction with communications services, including fixed telephone, mobile and internet. However, of these services, Australian consumers are the least satisfied with internet services.</w:t>
      </w:r>
    </w:p>
    <w:p w14:paraId="522B6738" w14:textId="77777777" w:rsidR="000A1CD9" w:rsidRPr="00D609AB" w:rsidRDefault="000A1CD9" w:rsidP="000A1CD9">
      <w:pPr>
        <w:spacing w:after="80"/>
      </w:pPr>
      <w:r w:rsidRPr="00D609AB">
        <w:t>In summary:</w:t>
      </w:r>
    </w:p>
    <w:p w14:paraId="6623A2F6" w14:textId="77777777" w:rsidR="000A1CD9" w:rsidRPr="00282DEE" w:rsidRDefault="000A1CD9" w:rsidP="00EA149D">
      <w:pPr>
        <w:pStyle w:val="ListBullet"/>
      </w:pPr>
      <w:r w:rsidRPr="00282DEE">
        <w:t xml:space="preserve">Ninety-one per cent of adult Australians accessed the internet in the six months to </w:t>
      </w:r>
      <w:r w:rsidR="00381CC2">
        <w:t>June</w:t>
      </w:r>
      <w:r w:rsidR="00381CC2" w:rsidRPr="00282DEE">
        <w:t xml:space="preserve"> </w:t>
      </w:r>
      <w:r w:rsidRPr="00282DEE">
        <w:t>2016—meaning an estimated 1.58 million (nine per cent) had not been online during that period.</w:t>
      </w:r>
    </w:p>
    <w:p w14:paraId="002FAC7C" w14:textId="77777777" w:rsidR="000A1CD9" w:rsidRPr="00282DEE" w:rsidRDefault="000A1CD9" w:rsidP="00EA149D">
      <w:pPr>
        <w:pStyle w:val="ListBullet"/>
      </w:pPr>
      <w:r w:rsidRPr="00282DEE">
        <w:t xml:space="preserve">Ten per cent of adult Australians (1.74 million) did not have the internet in their home in the six months to </w:t>
      </w:r>
      <w:r w:rsidR="00381CC2">
        <w:t>June</w:t>
      </w:r>
      <w:r w:rsidR="00381CC2" w:rsidRPr="00282DEE">
        <w:t xml:space="preserve"> </w:t>
      </w:r>
      <w:r w:rsidRPr="00282DEE">
        <w:t>2016.</w:t>
      </w:r>
    </w:p>
    <w:p w14:paraId="3FF8C0DA" w14:textId="77777777" w:rsidR="000A1CD9" w:rsidRPr="00282DEE" w:rsidRDefault="000A1CD9" w:rsidP="00EA149D">
      <w:pPr>
        <w:pStyle w:val="ListBullet"/>
      </w:pPr>
      <w:r w:rsidRPr="00282DEE">
        <w:t>The laptop became the most often used device to access the internet—with 34 per cent of online Australia</w:t>
      </w:r>
      <w:r w:rsidRPr="00282DEE">
        <w:rPr>
          <w:color w:val="000000"/>
        </w:rPr>
        <w:t xml:space="preserve">ns using their laptop computer most often to access the internet—followed by the desktop computer, </w:t>
      </w:r>
      <w:r w:rsidRPr="00282DEE">
        <w:t>used most often by 30 per cent of online Australians.</w:t>
      </w:r>
    </w:p>
    <w:p w14:paraId="450B40B1" w14:textId="77777777" w:rsidR="000A1CD9" w:rsidRPr="00282DEE" w:rsidRDefault="000A1CD9" w:rsidP="00EA149D">
      <w:pPr>
        <w:pStyle w:val="ListBullet"/>
      </w:pPr>
      <w:r w:rsidRPr="00282DEE">
        <w:t xml:space="preserve">The use of fixed-line telephony continued to decline, with 67 per cent of adults making a fixed-line call in the six months to </w:t>
      </w:r>
      <w:r w:rsidR="00381CC2">
        <w:t>June</w:t>
      </w:r>
      <w:r w:rsidR="00381CC2" w:rsidRPr="00282DEE">
        <w:t xml:space="preserve"> </w:t>
      </w:r>
      <w:r w:rsidRPr="00282DEE">
        <w:t>2016, down 11 percentage points from 78 per cent four years ago at May 2012.</w:t>
      </w:r>
    </w:p>
    <w:p w14:paraId="5BBD91D4" w14:textId="77777777" w:rsidR="000A1CD9" w:rsidRPr="00282DEE" w:rsidRDefault="000A1CD9" w:rsidP="00EA149D">
      <w:pPr>
        <w:pStyle w:val="ListBullet"/>
      </w:pPr>
      <w:r w:rsidRPr="00282DEE">
        <w:t>Online Australians continue to access audio and video content via downloading and streaming, with downloading becoming much more prevalent:</w:t>
      </w:r>
    </w:p>
    <w:p w14:paraId="12904F74" w14:textId="77777777" w:rsidR="000A1CD9" w:rsidRPr="00282DEE" w:rsidRDefault="000A1CD9" w:rsidP="00EA149D">
      <w:pPr>
        <w:pStyle w:val="ListBullet2"/>
      </w:pPr>
      <w:r w:rsidRPr="00282DEE">
        <w:t>more than two-thirds of online Australians accessed online video content (72 per cent) and more than half listened to audio content online (57 per cent)</w:t>
      </w:r>
    </w:p>
    <w:p w14:paraId="4544DC06" w14:textId="77777777" w:rsidR="000A1CD9" w:rsidRPr="00282DEE" w:rsidRDefault="000A1CD9" w:rsidP="00EA149D">
      <w:pPr>
        <w:pStyle w:val="ListBullet2"/>
      </w:pPr>
      <w:r w:rsidRPr="00282DEE">
        <w:t>73 per cent of online Australians used streaming to access online audio or video content, compared to only 51 per cent of online Australians who used downloading to access online audio or video content.</w:t>
      </w:r>
    </w:p>
    <w:p w14:paraId="7DB9A592" w14:textId="77777777" w:rsidR="000A1CD9" w:rsidRPr="00282DEE" w:rsidRDefault="000A1CD9" w:rsidP="00EA149D">
      <w:pPr>
        <w:pStyle w:val="ListBullet"/>
      </w:pPr>
      <w:r w:rsidRPr="00282DEE">
        <w:t>Australian businesses earned more from using the internet, generating an estimated $285.5 billion in revenue from the online sales of goods and services during 2014–15 (the latest figures available)—an increase of almost $20 billion since 2013–14.</w:t>
      </w:r>
    </w:p>
    <w:p w14:paraId="5611D89C" w14:textId="77777777" w:rsidR="000A1CD9" w:rsidRPr="00282DEE" w:rsidRDefault="000A1CD9" w:rsidP="00EA149D">
      <w:pPr>
        <w:pStyle w:val="ListBullet"/>
      </w:pPr>
      <w:r w:rsidRPr="00282DEE">
        <w:t>Almost eight million adults made a purchase or sold something online in the four weeks to June 2016.</w:t>
      </w:r>
    </w:p>
    <w:p w14:paraId="05AFBB35" w14:textId="77777777" w:rsidR="000A1CD9" w:rsidRPr="00282DEE" w:rsidRDefault="000A1CD9" w:rsidP="00EA149D">
      <w:pPr>
        <w:pStyle w:val="ListBullet"/>
      </w:pPr>
      <w:r w:rsidRPr="00282DEE">
        <w:t>The majority of Australians were generally satisfied with their communications services—92 per cent were satisfied or very satisfied with their fixed-line telephone and mobile phone services.</w:t>
      </w:r>
    </w:p>
    <w:p w14:paraId="41AD8E43" w14:textId="77777777" w:rsidR="000A1CD9" w:rsidRPr="00282DEE" w:rsidRDefault="000A1CD9" w:rsidP="00EA149D">
      <w:pPr>
        <w:pStyle w:val="ListBulletLast"/>
      </w:pPr>
      <w:r w:rsidRPr="00282DEE">
        <w:t>The highest levels of internet dissatisfaction were with data speeds and service costs (both 26 per cent), consistent with internet activity becoming a more important feature of communications activities.</w:t>
      </w:r>
    </w:p>
    <w:p w14:paraId="3A37680C" w14:textId="77777777" w:rsidR="000A1CD9" w:rsidRPr="00D609AB" w:rsidRDefault="000A1CD9" w:rsidP="00985976">
      <w:pPr>
        <w:pStyle w:val="Heading2"/>
        <w:numPr>
          <w:ilvl w:val="1"/>
          <w:numId w:val="12"/>
        </w:numPr>
        <w:ind w:hanging="792"/>
      </w:pPr>
      <w:bookmarkStart w:id="490" w:name="_Toc462899583"/>
      <w:bookmarkStart w:id="491" w:name="_Toc463529073"/>
      <w:bookmarkStart w:id="492" w:name="_Toc465842889"/>
      <w:r w:rsidRPr="00D609AB">
        <w:lastRenderedPageBreak/>
        <w:t>Internet access</w:t>
      </w:r>
      <w:bookmarkEnd w:id="490"/>
      <w:bookmarkEnd w:id="491"/>
      <w:bookmarkEnd w:id="492"/>
    </w:p>
    <w:p w14:paraId="7A9F67AD" w14:textId="77777777" w:rsidR="000A1CD9" w:rsidRPr="00D609AB" w:rsidRDefault="000A1CD9" w:rsidP="00604073">
      <w:pPr>
        <w:pStyle w:val="Heading3"/>
      </w:pPr>
      <w:bookmarkStart w:id="493" w:name="_Toc462899584"/>
      <w:bookmarkStart w:id="494" w:name="_Toc433790327"/>
      <w:bookmarkStart w:id="495" w:name="_Toc463529074"/>
      <w:bookmarkStart w:id="496" w:name="_Toc465842890"/>
      <w:r w:rsidRPr="00D609AB">
        <w:t>Connectivity—take-up of the internet</w:t>
      </w:r>
      <w:bookmarkEnd w:id="493"/>
      <w:bookmarkEnd w:id="494"/>
      <w:bookmarkEnd w:id="495"/>
      <w:bookmarkEnd w:id="496"/>
    </w:p>
    <w:p w14:paraId="50595773" w14:textId="77777777" w:rsidR="000A1CD9" w:rsidRPr="00D609AB" w:rsidRDefault="000A1CD9" w:rsidP="000A1CD9">
      <w:r w:rsidRPr="00D609AB">
        <w:t xml:space="preserve">Internet access is available to Australians via a range of networks, devices and locations. In the six months to </w:t>
      </w:r>
      <w:r w:rsidR="00381CC2">
        <w:t>June</w:t>
      </w:r>
      <w:r w:rsidR="00381CC2" w:rsidRPr="00D609AB">
        <w:t xml:space="preserve"> </w:t>
      </w:r>
      <w:r w:rsidRPr="00D609AB">
        <w:t>2016, 91 per cent of adult Australians accessed the internet. The rate of internet use is above 90 per cent among all adults aged 18 to 65, but drops to 62 per cent for those aged 65 and over.</w:t>
      </w:r>
      <w:r w:rsidRPr="00D609AB">
        <w:rPr>
          <w:vertAlign w:val="superscript"/>
        </w:rPr>
        <w:endnoteReference w:id="108"/>
      </w:r>
    </w:p>
    <w:p w14:paraId="0E7CBD82" w14:textId="77777777" w:rsidR="000A1CD9" w:rsidRPr="00D609AB" w:rsidRDefault="000A1CD9" w:rsidP="000A1CD9">
      <w:pPr>
        <w:spacing w:after="80"/>
      </w:pPr>
      <w:r w:rsidRPr="00D609AB">
        <w:t xml:space="preserve">Evidence indicates that the levels of home internet access are stabilising (Figure 2.1). In 2015–16: </w:t>
      </w:r>
    </w:p>
    <w:p w14:paraId="627ED8D3" w14:textId="77777777" w:rsidR="000A1CD9" w:rsidRPr="00933451" w:rsidRDefault="000A1CD9" w:rsidP="00EA149D">
      <w:pPr>
        <w:pStyle w:val="ListBullet"/>
      </w:pPr>
      <w:r w:rsidRPr="00933451">
        <w:t>approximately 15.8 million Australians (85 per cent) had an internet connection in the home, similar to last year’s figure</w:t>
      </w:r>
    </w:p>
    <w:p w14:paraId="37510420" w14:textId="77777777" w:rsidR="000A1CD9" w:rsidRPr="00933451" w:rsidRDefault="000A1CD9" w:rsidP="00EA149D">
      <w:pPr>
        <w:pStyle w:val="ListBullet"/>
      </w:pPr>
      <w:r w:rsidRPr="00933451">
        <w:t>85 per cent of Australians also had a home broadband connection—this figure has remained relatively stable since last year, and reflects that almost all home internet connections are now broadband</w:t>
      </w:r>
    </w:p>
    <w:p w14:paraId="3A180190" w14:textId="77777777" w:rsidR="000A1CD9" w:rsidRPr="00933451" w:rsidRDefault="000A1CD9" w:rsidP="00EA149D">
      <w:pPr>
        <w:pStyle w:val="ListBulletLast"/>
      </w:pPr>
      <w:r w:rsidRPr="00933451">
        <w:t xml:space="preserve">70 per cent of Australians accessed the internet via a mobile phone. </w:t>
      </w:r>
    </w:p>
    <w:p w14:paraId="4600C528" w14:textId="77777777" w:rsidR="000A1CD9" w:rsidRDefault="000A1CD9" w:rsidP="00ED6390">
      <w:pPr>
        <w:pStyle w:val="ACMAFigureHeader"/>
        <w:keepNext/>
        <w:keepLines/>
      </w:pPr>
      <w:r w:rsidRPr="00D609AB">
        <w:t>Figure 2.1</w:t>
      </w:r>
      <w:r w:rsidRPr="00D609AB">
        <w:tab/>
        <w:t xml:space="preserve">How consumers access the internet (percentage) </w:t>
      </w:r>
    </w:p>
    <w:p w14:paraId="26987330" w14:textId="77777777" w:rsidR="003B6AD3" w:rsidRDefault="003B6AD3" w:rsidP="00ED6390">
      <w:pPr>
        <w:pStyle w:val="ACMAFigureHeader"/>
        <w:keepNext/>
        <w:keepLines/>
      </w:pPr>
      <w:r>
        <w:rPr>
          <w:noProof/>
        </w:rPr>
        <w:drawing>
          <wp:inline distT="0" distB="0" distL="0" distR="0" wp14:anchorId="7BD1D7E0" wp14:editId="3C53ABFA">
            <wp:extent cx="5940000" cy="3877200"/>
            <wp:effectExtent l="0" t="0" r="3810" b="9525"/>
            <wp:docPr id="56" name="Picture 56" descr="Data for Figure 2.1 is in the .ods file for Chapter 2 on the landing page ‘Communications report 2015-16’, available from the ACMA website." title="Figure 2.1 How consumers access the internet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2.1_Figure 2.1.png"/>
                    <pic:cNvPicPr/>
                  </pic:nvPicPr>
                  <pic:blipFill>
                    <a:blip r:embed="rId63">
                      <a:extLst>
                        <a:ext uri="{28A0092B-C50C-407E-A947-70E740481C1C}">
                          <a14:useLocalDpi xmlns:a14="http://schemas.microsoft.com/office/drawing/2010/main" val="0"/>
                        </a:ext>
                      </a:extLst>
                    </a:blip>
                    <a:stretch>
                      <a:fillRect/>
                    </a:stretch>
                  </pic:blipFill>
                  <pic:spPr>
                    <a:xfrm>
                      <a:off x="0" y="0"/>
                      <a:ext cx="5940000" cy="3877200"/>
                    </a:xfrm>
                    <a:prstGeom prst="rect">
                      <a:avLst/>
                    </a:prstGeom>
                  </pic:spPr>
                </pic:pic>
              </a:graphicData>
            </a:graphic>
          </wp:inline>
        </w:drawing>
      </w:r>
    </w:p>
    <w:p w14:paraId="10339B25" w14:textId="77777777" w:rsidR="000A1CD9" w:rsidRPr="00D609AB" w:rsidRDefault="000A1CD9" w:rsidP="00ED6390">
      <w:pPr>
        <w:pStyle w:val="ACMANotes"/>
        <w:keepNext/>
        <w:keepLines/>
      </w:pPr>
      <w:r w:rsidRPr="00D609AB">
        <w:t>*Includes ADSL, cable, fibre, satellite, fixed wireless, mobile wireless internet services—using dongles, datacards or USB modems. It excludes mobile handset internet.</w:t>
      </w:r>
    </w:p>
    <w:p w14:paraId="26D38D05" w14:textId="77777777" w:rsidR="000A1CD9" w:rsidRPr="00D609AB" w:rsidRDefault="000A1CD9" w:rsidP="00ED6390">
      <w:pPr>
        <w:pStyle w:val="ACMANotes"/>
        <w:keepNext/>
        <w:keepLines/>
      </w:pPr>
      <w:r w:rsidRPr="00D609AB">
        <w:rPr>
          <w:vertAlign w:val="superscript"/>
        </w:rPr>
        <w:t>†</w:t>
      </w:r>
      <w:r w:rsidRPr="00D609AB">
        <w:t xml:space="preserve">Relates to use of the internet via a mobile phone handset in the six months to </w:t>
      </w:r>
      <w:r w:rsidR="00032935">
        <w:t>June</w:t>
      </w:r>
      <w:r w:rsidRPr="00D609AB">
        <w:t>.</w:t>
      </w:r>
    </w:p>
    <w:p w14:paraId="1CD5C399" w14:textId="77777777" w:rsidR="000A1CD9" w:rsidRPr="00D609AB" w:rsidRDefault="000A1CD9" w:rsidP="00ED6390">
      <w:pPr>
        <w:pStyle w:val="ACMANotes"/>
        <w:keepNext/>
        <w:keepLines/>
      </w:pPr>
      <w:r w:rsidRPr="00D609AB">
        <w:t>Base: Australians aged 18 and over.</w:t>
      </w:r>
    </w:p>
    <w:p w14:paraId="4FBD82B2" w14:textId="77777777" w:rsidR="000A1CD9" w:rsidRDefault="000A1CD9" w:rsidP="00ED6390">
      <w:pPr>
        <w:pStyle w:val="ACMANotes"/>
        <w:keepNext/>
        <w:keepLines/>
      </w:pPr>
      <w:r w:rsidRPr="00995CCF">
        <w:t xml:space="preserve">Note: </w:t>
      </w:r>
      <w:r w:rsidR="00995CCF" w:rsidRPr="00995CCF">
        <w:t>Changes to Roy Morgan weighting methodology may have resulted in some differences to the 2014–15 data measures reported in the previous Communications report</w:t>
      </w:r>
      <w:r w:rsidRPr="00995CCF">
        <w:t>.</w:t>
      </w:r>
    </w:p>
    <w:p w14:paraId="344BD6C2" w14:textId="77777777" w:rsidR="000A1CD9" w:rsidRPr="00D609AB" w:rsidRDefault="000A1CD9" w:rsidP="00ED6390">
      <w:pPr>
        <w:pStyle w:val="ACMANotes"/>
        <w:keepNext/>
        <w:keepLines/>
      </w:pPr>
      <w:r w:rsidRPr="00D609AB">
        <w:t>June 2015 data for home broadband connection has been revised from previously published data due to a change in weighting. June 2014, 2015 and 2016 broadband definitions include ADSL, cable, NBN, USB modem, portable Wi-Fi modem, SIM card for tablet, internet key. June 2014, 2015 and 2016 internet definitions include ADSL, cable, NBN, USB modem, portable Wi-Fi modem, SIM card for tablet, internet key and dial-up.</w:t>
      </w:r>
    </w:p>
    <w:p w14:paraId="5C7AA020" w14:textId="77777777" w:rsidR="000A1CD9" w:rsidRPr="00D609AB" w:rsidRDefault="000A1CD9" w:rsidP="00ED6390">
      <w:pPr>
        <w:pStyle w:val="ACMANotes"/>
        <w:keepNext/>
        <w:keepLines/>
      </w:pPr>
      <w:r w:rsidRPr="00D609AB">
        <w:t>Source: Roy Morgan Single Source (Home internet connection and Home broadband connection), in the 12 months to June of each year and ACMA-commissioned survey (used the internet via a mobile phone).</w:t>
      </w:r>
    </w:p>
    <w:p w14:paraId="675DC8AF" w14:textId="77777777" w:rsidR="000A1CD9" w:rsidRPr="00D609AB" w:rsidRDefault="000A1CD9" w:rsidP="000B4057">
      <w:pPr>
        <w:pStyle w:val="ACMASpaceaftertable"/>
      </w:pPr>
    </w:p>
    <w:p w14:paraId="13E8D258" w14:textId="77777777" w:rsidR="000A1CD9" w:rsidRPr="00D609AB" w:rsidRDefault="000A1CD9" w:rsidP="000B4057">
      <w:pPr>
        <w:pStyle w:val="Heading3"/>
      </w:pPr>
      <w:bookmarkStart w:id="497" w:name="_Toc462899585"/>
      <w:bookmarkStart w:id="498" w:name="_Toc433790328"/>
      <w:bookmarkStart w:id="499" w:name="_Toc463529075"/>
      <w:bookmarkStart w:id="500" w:name="_Toc465842891"/>
      <w:r w:rsidRPr="00D609AB">
        <w:lastRenderedPageBreak/>
        <w:t>Offline Australians</w:t>
      </w:r>
      <w:bookmarkEnd w:id="497"/>
      <w:bookmarkEnd w:id="498"/>
      <w:bookmarkEnd w:id="499"/>
      <w:bookmarkEnd w:id="500"/>
      <w:r w:rsidRPr="00D609AB">
        <w:t xml:space="preserve"> </w:t>
      </w:r>
    </w:p>
    <w:p w14:paraId="65DA3B9B" w14:textId="77777777" w:rsidR="00664977" w:rsidRDefault="000A1CD9" w:rsidP="000A1CD9">
      <w:r w:rsidRPr="00D609AB">
        <w:t xml:space="preserve">In the six months to </w:t>
      </w:r>
      <w:r w:rsidR="00381CC2">
        <w:t>June</w:t>
      </w:r>
      <w:r w:rsidR="00381CC2" w:rsidRPr="00D609AB">
        <w:t xml:space="preserve"> </w:t>
      </w:r>
      <w:r w:rsidRPr="00D609AB">
        <w:t xml:space="preserve">2016, 91 per cent of adult Australians accessed the internet. This means an estimated 1.58 million (nine per cent) had </w:t>
      </w:r>
      <w:r w:rsidRPr="00D609AB">
        <w:rPr>
          <w:i/>
        </w:rPr>
        <w:t>not</w:t>
      </w:r>
      <w:r w:rsidRPr="00D609AB">
        <w:t xml:space="preserve"> been online during that period—this has remained stable since </w:t>
      </w:r>
      <w:r w:rsidR="00381CC2">
        <w:t>June</w:t>
      </w:r>
      <w:r w:rsidR="00381CC2" w:rsidRPr="00D609AB">
        <w:t xml:space="preserve"> </w:t>
      </w:r>
      <w:r w:rsidRPr="00D609AB">
        <w:t>2015.</w:t>
      </w:r>
      <w:r w:rsidRPr="00D609AB">
        <w:rPr>
          <w:vertAlign w:val="superscript"/>
        </w:rPr>
        <w:endnoteReference w:id="109"/>
      </w:r>
      <w:r w:rsidRPr="00D609AB">
        <w:t xml:space="preserve"> </w:t>
      </w:r>
    </w:p>
    <w:p w14:paraId="002D87A6" w14:textId="77777777" w:rsidR="000A1CD9" w:rsidRPr="00D609AB" w:rsidRDefault="00664977" w:rsidP="000A1CD9">
      <w:r>
        <w:t>In t</w:t>
      </w:r>
      <w:r w:rsidR="000A1CD9" w:rsidRPr="00D609AB">
        <w:t xml:space="preserve">erms of household access to the internet, 10 per cent of adult Australians (1.74 million) did not have the internet in their home in the six months to </w:t>
      </w:r>
      <w:r w:rsidR="00381CC2">
        <w:t>June</w:t>
      </w:r>
      <w:r w:rsidR="00381CC2" w:rsidRPr="00D609AB">
        <w:t xml:space="preserve"> </w:t>
      </w:r>
      <w:r w:rsidR="000A1CD9" w:rsidRPr="00D609AB">
        <w:t>2016.</w:t>
      </w:r>
      <w:r w:rsidR="000A1CD9" w:rsidRPr="00D609AB">
        <w:rPr>
          <w:vertAlign w:val="superscript"/>
        </w:rPr>
        <w:endnoteReference w:id="110"/>
      </w:r>
      <w:r w:rsidR="000A1CD9" w:rsidRPr="00D609AB">
        <w:t xml:space="preserve"> Of these, 71 per cent were aged 65 and over. The main reason for not having household internet access among all adult Australians was not having a need for it or not being interested in it (47 per cent). Other reasons included the internet being too complicated or not knowing how to use it (14 per cent), not having a computer at home (13 per cent) and the cost involved in having household internet access (12 per cent).</w:t>
      </w:r>
    </w:p>
    <w:p w14:paraId="6DB992B7" w14:textId="77777777" w:rsidR="000A1CD9" w:rsidRPr="00D609AB" w:rsidRDefault="000A1CD9" w:rsidP="000B4057">
      <w:pPr>
        <w:pStyle w:val="Heading3"/>
      </w:pPr>
      <w:bookmarkStart w:id="501" w:name="_Toc462899586"/>
      <w:bookmarkStart w:id="502" w:name="_Toc463529076"/>
      <w:bookmarkStart w:id="503" w:name="_Toc465842892"/>
      <w:r w:rsidRPr="00D609AB">
        <w:t xml:space="preserve">Variety of internet </w:t>
      </w:r>
      <w:r w:rsidRPr="000B4057">
        <w:t>access</w:t>
      </w:r>
      <w:r w:rsidRPr="00D609AB">
        <w:t xml:space="preserve"> devices</w:t>
      </w:r>
      <w:bookmarkEnd w:id="501"/>
      <w:bookmarkEnd w:id="502"/>
      <w:bookmarkEnd w:id="503"/>
    </w:p>
    <w:p w14:paraId="033E6528" w14:textId="77777777" w:rsidR="000A1CD9" w:rsidRPr="00D609AB" w:rsidRDefault="000A1CD9" w:rsidP="000A1CD9">
      <w:pPr>
        <w:keepNext/>
        <w:rPr>
          <w:rFonts w:cs="Arial"/>
        </w:rPr>
      </w:pPr>
      <w:r w:rsidRPr="00D609AB">
        <w:t xml:space="preserve">Australians are </w:t>
      </w:r>
      <w:r w:rsidRPr="00D609AB">
        <w:rPr>
          <w:rFonts w:cs="Arial"/>
        </w:rPr>
        <w:t xml:space="preserve">using a number of communications devices to go online. In the six months to </w:t>
      </w:r>
      <w:r w:rsidR="00381CC2">
        <w:rPr>
          <w:rFonts w:cs="Arial"/>
        </w:rPr>
        <w:t>June</w:t>
      </w:r>
      <w:r w:rsidR="00381CC2" w:rsidRPr="00D609AB">
        <w:rPr>
          <w:rFonts w:cs="Arial"/>
        </w:rPr>
        <w:t xml:space="preserve"> </w:t>
      </w:r>
      <w:r w:rsidRPr="00D609AB">
        <w:rPr>
          <w:rFonts w:cs="Arial"/>
        </w:rPr>
        <w:t xml:space="preserve">2016, the majority of Australian internet users (26 per cent) accessed the internet via three devices (Figure 2.2). </w:t>
      </w:r>
    </w:p>
    <w:p w14:paraId="0BBB55F9" w14:textId="77777777" w:rsidR="000A1CD9" w:rsidRDefault="000A1CD9" w:rsidP="000B4057">
      <w:pPr>
        <w:pStyle w:val="ACMAFigureHeader"/>
        <w:ind w:left="1136" w:hanging="1136"/>
      </w:pPr>
      <w:r w:rsidRPr="00D609AB">
        <w:t>Figure 2.2</w:t>
      </w:r>
      <w:r w:rsidRPr="00D609AB">
        <w:tab/>
        <w:t xml:space="preserve">Number of devices used to access the internet, in the six months to </w:t>
      </w:r>
      <w:r w:rsidR="0063394C">
        <w:t>June</w:t>
      </w:r>
      <w:r w:rsidR="0063394C" w:rsidRPr="00D609AB">
        <w:t xml:space="preserve"> </w:t>
      </w:r>
      <w:r w:rsidRPr="00D609AB">
        <w:t>2016 (percentage)</w:t>
      </w:r>
    </w:p>
    <w:p w14:paraId="2CDDEBE8" w14:textId="77777777" w:rsidR="003B6AD3" w:rsidRPr="00D609AB" w:rsidRDefault="003B6AD3" w:rsidP="000B4057">
      <w:pPr>
        <w:pStyle w:val="ACMAFigureHeader"/>
        <w:ind w:left="1136" w:hanging="1136"/>
      </w:pPr>
      <w:r>
        <w:rPr>
          <w:noProof/>
        </w:rPr>
        <w:drawing>
          <wp:inline distT="0" distB="0" distL="0" distR="0" wp14:anchorId="70F97C8B" wp14:editId="57971EF2">
            <wp:extent cx="6162635" cy="2047164"/>
            <wp:effectExtent l="0" t="0" r="0" b="0"/>
            <wp:docPr id="57" name="Picture 57" descr="Data for Figure 2.2 is in the .ods file for Chapter 2 on the landing page ‘Communications report 2015-16’, available from the ACMA website." title="Figure 2.2  Number of devices used to access the internet,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 2.2_Figure 2.2.png"/>
                    <pic:cNvPicPr/>
                  </pic:nvPicPr>
                  <pic:blipFill rotWithShape="1">
                    <a:blip r:embed="rId64">
                      <a:extLst>
                        <a:ext uri="{28A0092B-C50C-407E-A947-70E740481C1C}">
                          <a14:useLocalDpi xmlns:a14="http://schemas.microsoft.com/office/drawing/2010/main" val="0"/>
                        </a:ext>
                      </a:extLst>
                    </a:blip>
                    <a:srcRect/>
                    <a:stretch/>
                  </pic:blipFill>
                  <pic:spPr bwMode="auto">
                    <a:xfrm>
                      <a:off x="0" y="0"/>
                      <a:ext cx="6166189" cy="2048345"/>
                    </a:xfrm>
                    <a:prstGeom prst="rect">
                      <a:avLst/>
                    </a:prstGeom>
                    <a:ln>
                      <a:noFill/>
                    </a:ln>
                    <a:extLst>
                      <a:ext uri="{53640926-AAD7-44D8-BBD7-CCE9431645EC}">
                        <a14:shadowObscured xmlns:a14="http://schemas.microsoft.com/office/drawing/2010/main"/>
                      </a:ext>
                    </a:extLst>
                  </pic:spPr>
                </pic:pic>
              </a:graphicData>
            </a:graphic>
          </wp:inline>
        </w:drawing>
      </w:r>
    </w:p>
    <w:p w14:paraId="58AFE176" w14:textId="77777777" w:rsidR="000A1CD9" w:rsidRPr="00D609AB" w:rsidRDefault="000A1CD9" w:rsidP="000B4057">
      <w:pPr>
        <w:pStyle w:val="ACMANotes"/>
      </w:pPr>
      <w:r w:rsidRPr="00D609AB">
        <w:t>Base: Australians aged 18 and over who accessed the internet.</w:t>
      </w:r>
    </w:p>
    <w:p w14:paraId="6E6953AE" w14:textId="77777777" w:rsidR="000A1CD9" w:rsidRPr="00D609AB" w:rsidRDefault="000A1CD9" w:rsidP="000B4057">
      <w:pPr>
        <w:pStyle w:val="ACMANotes"/>
      </w:pPr>
      <w:r w:rsidRPr="00D609AB">
        <w:t xml:space="preserve">Note: The change in methodology in the 2016 ACMA-commissioned survey means that changes such as the drop in use of five or more devices to access the internet are likely explained by the methodology rather than any significant change. </w:t>
      </w:r>
    </w:p>
    <w:p w14:paraId="59BC1A45" w14:textId="77777777" w:rsidR="000A1CD9" w:rsidRPr="00D609AB" w:rsidRDefault="000A1CD9" w:rsidP="000B4057">
      <w:pPr>
        <w:pStyle w:val="ACMANotes"/>
      </w:pPr>
      <w:r w:rsidRPr="00D609AB">
        <w:t xml:space="preserve">Source: ACMA-commissioned survey, May 2015 and </w:t>
      </w:r>
      <w:r w:rsidR="0063394C">
        <w:t xml:space="preserve">June </w:t>
      </w:r>
      <w:r w:rsidRPr="00D609AB">
        <w:t xml:space="preserve">2016. </w:t>
      </w:r>
    </w:p>
    <w:p w14:paraId="20489DD0" w14:textId="77777777" w:rsidR="000A1CD9" w:rsidRPr="00D609AB" w:rsidRDefault="000A1CD9" w:rsidP="000B4057">
      <w:pPr>
        <w:pStyle w:val="ACMASpaceaftertable"/>
      </w:pPr>
    </w:p>
    <w:p w14:paraId="1CDAF8C0" w14:textId="77777777" w:rsidR="000A1CD9" w:rsidRPr="00D609AB" w:rsidRDefault="000A1CD9" w:rsidP="00604073">
      <w:pPr>
        <w:pStyle w:val="Heading3"/>
      </w:pPr>
      <w:bookmarkStart w:id="504" w:name="_Toc462899587"/>
      <w:bookmarkStart w:id="505" w:name="_Toc433790331"/>
      <w:bookmarkStart w:id="506" w:name="_Toc463529077"/>
      <w:bookmarkStart w:id="507" w:name="_Toc465842893"/>
      <w:r w:rsidRPr="00D609AB">
        <w:t>Diversification of consumer internet access devices</w:t>
      </w:r>
      <w:bookmarkEnd w:id="504"/>
      <w:bookmarkEnd w:id="505"/>
      <w:bookmarkEnd w:id="506"/>
      <w:bookmarkEnd w:id="507"/>
    </w:p>
    <w:p w14:paraId="17859C78" w14:textId="77777777" w:rsidR="000A1CD9" w:rsidRPr="00D609AB" w:rsidRDefault="000A1CD9" w:rsidP="000A1CD9">
      <w:r w:rsidRPr="00D609AB">
        <w:t xml:space="preserve">As illustrated in Figure 2.3, online Australians have a number of devices to choose from to access the internet. As at </w:t>
      </w:r>
      <w:r w:rsidR="00381CC2">
        <w:t>June</w:t>
      </w:r>
      <w:r w:rsidRPr="00D609AB">
        <w:t xml:space="preserve"> 2016, mobile phones continued to be the most popular device used to go online for Australians (77 per cent of adults), followed by laptop computers (75 per cent), desktop computers (6</w:t>
      </w:r>
      <w:r>
        <w:t>1</w:t>
      </w:r>
      <w:r w:rsidRPr="00D609AB">
        <w:t> per cent) and tablet computers (5</w:t>
      </w:r>
      <w:r>
        <w:t>4</w:t>
      </w:r>
      <w:r w:rsidRPr="00D609AB">
        <w:t xml:space="preserve"> per cent). </w:t>
      </w:r>
    </w:p>
    <w:p w14:paraId="7BD05C57" w14:textId="77777777" w:rsidR="000A1CD9" w:rsidRDefault="000A1CD9" w:rsidP="000B4057">
      <w:pPr>
        <w:pStyle w:val="ACMAFigureHeader"/>
        <w:keepNext/>
      </w:pPr>
      <w:r w:rsidRPr="00D609AB">
        <w:lastRenderedPageBreak/>
        <w:t>Figure 2.3</w:t>
      </w:r>
      <w:r w:rsidRPr="00D609AB">
        <w:tab/>
        <w:t xml:space="preserve">Devices used to access the internet in the six months to </w:t>
      </w:r>
      <w:r w:rsidR="00B03E32">
        <w:t>June</w:t>
      </w:r>
      <w:r w:rsidRPr="00D609AB">
        <w:t xml:space="preserve"> 2016 (percentage)</w:t>
      </w:r>
    </w:p>
    <w:p w14:paraId="03737104" w14:textId="77777777" w:rsidR="008C5428" w:rsidRPr="00D609AB" w:rsidRDefault="00F0762C" w:rsidP="00202E07">
      <w:pPr>
        <w:keepNext/>
        <w:spacing w:after="0"/>
        <w:rPr>
          <w:b/>
          <w:bCs/>
          <w:color w:val="323232"/>
          <w:szCs w:val="20"/>
        </w:rPr>
      </w:pPr>
      <w:r>
        <w:rPr>
          <w:b/>
          <w:bCs/>
          <w:noProof/>
          <w:color w:val="323232"/>
          <w:szCs w:val="20"/>
        </w:rPr>
        <w:drawing>
          <wp:inline distT="0" distB="0" distL="0" distR="0" wp14:anchorId="648322E8" wp14:editId="7F49D2B6">
            <wp:extent cx="5940425" cy="8390426"/>
            <wp:effectExtent l="0" t="0" r="3175" b="0"/>
            <wp:docPr id="28" name="Picture 28" descr="Data for Figure 2.3 is in the .ods file for Chapter 2 on the landing page ‘Communications report 2015-16’, available from the ACMA website." title="Figure 2.3 Devices used to access the internet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3 - updated.png"/>
                    <pic:cNvPicPr/>
                  </pic:nvPicPr>
                  <pic:blipFill rotWithShape="1">
                    <a:blip r:embed="rId65">
                      <a:extLst>
                        <a:ext uri="{28A0092B-C50C-407E-A947-70E740481C1C}">
                          <a14:useLocalDpi xmlns:a14="http://schemas.microsoft.com/office/drawing/2010/main" val="0"/>
                        </a:ext>
                      </a:extLst>
                    </a:blip>
                    <a:srcRect t="405"/>
                    <a:stretch/>
                  </pic:blipFill>
                  <pic:spPr bwMode="auto">
                    <a:xfrm>
                      <a:off x="0" y="0"/>
                      <a:ext cx="5940425" cy="8390426"/>
                    </a:xfrm>
                    <a:prstGeom prst="rect">
                      <a:avLst/>
                    </a:prstGeom>
                    <a:ln>
                      <a:noFill/>
                    </a:ln>
                    <a:extLst>
                      <a:ext uri="{53640926-AAD7-44D8-BBD7-CCE9431645EC}">
                        <a14:shadowObscured xmlns:a14="http://schemas.microsoft.com/office/drawing/2010/main"/>
                      </a:ext>
                    </a:extLst>
                  </pic:spPr>
                </pic:pic>
              </a:graphicData>
            </a:graphic>
          </wp:inline>
        </w:drawing>
      </w:r>
    </w:p>
    <w:p w14:paraId="7EC36038" w14:textId="77777777" w:rsidR="000A1CD9" w:rsidRPr="00D609AB" w:rsidRDefault="000A1CD9" w:rsidP="000B4057">
      <w:pPr>
        <w:pStyle w:val="ACMANotes"/>
      </w:pPr>
      <w:r w:rsidRPr="00D609AB">
        <w:lastRenderedPageBreak/>
        <w:t>Base: Australians aged 18 and over who accessed the internet.</w:t>
      </w:r>
    </w:p>
    <w:p w14:paraId="284F4645" w14:textId="77777777" w:rsidR="000A1CD9" w:rsidRPr="00D609AB" w:rsidRDefault="000A1CD9" w:rsidP="000B4057">
      <w:pPr>
        <w:pStyle w:val="ACMANotes"/>
      </w:pPr>
      <w:r w:rsidRPr="00D609AB">
        <w:t>Note:</w:t>
      </w:r>
      <w:r w:rsidRPr="00D609AB" w:rsidDel="00B83A00">
        <w:t xml:space="preserve"> </w:t>
      </w:r>
      <w:r w:rsidRPr="00D609AB">
        <w:t xml:space="preserve">The change in methodology in the 2016 ACMA-commissioned survey means that changes such as the slight drop in use of mobile phones and tablets to go online are likely explained by the preference that online panellists have to use a PC or laptop with a larger screen. </w:t>
      </w:r>
    </w:p>
    <w:p w14:paraId="04479DB6" w14:textId="77777777" w:rsidR="000A1CD9" w:rsidRDefault="000A1CD9" w:rsidP="000B4057">
      <w:pPr>
        <w:pStyle w:val="ACMANotes"/>
      </w:pPr>
      <w:r w:rsidRPr="00D609AB">
        <w:t xml:space="preserve">Source: ACMA-commissioned surveys, May 2013, 2014, 2015 and </w:t>
      </w:r>
      <w:r w:rsidR="00B03E32">
        <w:t xml:space="preserve">June </w:t>
      </w:r>
      <w:r w:rsidRPr="00D609AB">
        <w:t xml:space="preserve">2016. </w:t>
      </w:r>
    </w:p>
    <w:p w14:paraId="4A79FE06" w14:textId="77777777" w:rsidR="000B4057" w:rsidRPr="00D609AB" w:rsidRDefault="000B4057" w:rsidP="000B4057">
      <w:pPr>
        <w:pStyle w:val="ACMASpaceaftertable"/>
      </w:pPr>
    </w:p>
    <w:p w14:paraId="4512FAC8" w14:textId="77777777" w:rsidR="000A1CD9" w:rsidRPr="00D609AB" w:rsidRDefault="000A1CD9" w:rsidP="000A1CD9">
      <w:r w:rsidRPr="00D609AB">
        <w:t xml:space="preserve">Although the mobile phone was the most popular device used to access the internet, the laptop was the most often used device to access the internet. In the six months to </w:t>
      </w:r>
      <w:r w:rsidR="00B03E32">
        <w:t>June</w:t>
      </w:r>
      <w:r w:rsidRPr="00D609AB">
        <w:t xml:space="preserve"> 2016, 34 per cent of online adult Australians said a laptop was the device they used most often for accessing the internet, while 30 per cent used their desktop most often and 22 per cent used their mobile phone most often.</w:t>
      </w:r>
      <w:r w:rsidRPr="00D609AB">
        <w:rPr>
          <w:vertAlign w:val="superscript"/>
        </w:rPr>
        <w:endnoteReference w:id="111"/>
      </w:r>
      <w:r w:rsidRPr="00D609AB">
        <w:t xml:space="preserve"> </w:t>
      </w:r>
    </w:p>
    <w:p w14:paraId="042B92E4" w14:textId="77777777" w:rsidR="000A1CD9" w:rsidRPr="00D609AB" w:rsidRDefault="000A1CD9" w:rsidP="000A1CD9">
      <w:r w:rsidRPr="00D609AB">
        <w:t xml:space="preserve">The choice of device most often used is influenced by age (see Figure 2.4)—while the laptop computer was the most often used device for those aged 18 to 65 (34 per cent), the desktop computer was the most often used device to access the internet for those aged 65 and over (51 per cent). </w:t>
      </w:r>
    </w:p>
    <w:p w14:paraId="16AEEC34" w14:textId="77777777" w:rsidR="000A1CD9" w:rsidRPr="00D609AB" w:rsidRDefault="000A1CD9" w:rsidP="000B4057">
      <w:pPr>
        <w:pStyle w:val="ACMAFigureHeader"/>
        <w:ind w:left="1136" w:hanging="1136"/>
      </w:pPr>
      <w:r w:rsidRPr="00D609AB">
        <w:t>Figure 2.4</w:t>
      </w:r>
      <w:r w:rsidRPr="00D609AB">
        <w:tab/>
        <w:t xml:space="preserve">Devices used most often to access the internet, by age, in the six months to </w:t>
      </w:r>
      <w:r w:rsidR="00B03E32">
        <w:t>June</w:t>
      </w:r>
      <w:r w:rsidRPr="00D609AB">
        <w:t xml:space="preserve"> 2016 (percentage)</w:t>
      </w:r>
    </w:p>
    <w:p w14:paraId="4FA84348" w14:textId="77777777" w:rsidR="000A1CD9" w:rsidRPr="00D609AB" w:rsidRDefault="003B6AD3" w:rsidP="00202E07">
      <w:pPr>
        <w:spacing w:after="0"/>
        <w:rPr>
          <w:b/>
          <w:bCs/>
          <w:color w:val="323232"/>
          <w:szCs w:val="20"/>
        </w:rPr>
      </w:pPr>
      <w:r>
        <w:rPr>
          <w:b/>
          <w:bCs/>
          <w:noProof/>
          <w:color w:val="323232"/>
          <w:szCs w:val="20"/>
        </w:rPr>
        <w:drawing>
          <wp:inline distT="0" distB="0" distL="0" distR="0" wp14:anchorId="2A22FDEC" wp14:editId="26055C0A">
            <wp:extent cx="6011468" cy="2226481"/>
            <wp:effectExtent l="0" t="0" r="0" b="2540"/>
            <wp:docPr id="65" name="Picture 65" descr="Data for Figure 2.4 is in the .ods file for Chapter 2 on the landing page ‘Communications report 2015-16’, available from the ACMA website." title="Figure 2.4 Devices used most often to access the internet, by age,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ure 2.4_Figure 2.4.png"/>
                    <pic:cNvPicPr/>
                  </pic:nvPicPr>
                  <pic:blipFill rotWithShape="1">
                    <a:blip r:embed="rId66">
                      <a:extLst>
                        <a:ext uri="{28A0092B-C50C-407E-A947-70E740481C1C}">
                          <a14:useLocalDpi xmlns:a14="http://schemas.microsoft.com/office/drawing/2010/main" val="0"/>
                        </a:ext>
                      </a:extLst>
                    </a:blip>
                    <a:srcRect t="1509"/>
                    <a:stretch/>
                  </pic:blipFill>
                  <pic:spPr bwMode="auto">
                    <a:xfrm>
                      <a:off x="0" y="0"/>
                      <a:ext cx="6012000" cy="2226678"/>
                    </a:xfrm>
                    <a:prstGeom prst="rect">
                      <a:avLst/>
                    </a:prstGeom>
                    <a:ln>
                      <a:noFill/>
                    </a:ln>
                    <a:extLst>
                      <a:ext uri="{53640926-AAD7-44D8-BBD7-CCE9431645EC}">
                        <a14:shadowObscured xmlns:a14="http://schemas.microsoft.com/office/drawing/2010/main"/>
                      </a:ext>
                    </a:extLst>
                  </pic:spPr>
                </pic:pic>
              </a:graphicData>
            </a:graphic>
          </wp:inline>
        </w:drawing>
      </w:r>
    </w:p>
    <w:p w14:paraId="052A0A6F" w14:textId="77777777" w:rsidR="000A1CD9" w:rsidRPr="00D609AB" w:rsidRDefault="000A1CD9" w:rsidP="000B4057">
      <w:pPr>
        <w:pStyle w:val="ACMANotes"/>
      </w:pPr>
      <w:r w:rsidRPr="00D609AB">
        <w:t>Base: Australians aged 18 and over who accessed the internet.</w:t>
      </w:r>
    </w:p>
    <w:p w14:paraId="38DEFFAB" w14:textId="77777777" w:rsidR="000A1CD9" w:rsidRPr="00D609AB" w:rsidRDefault="000A1CD9" w:rsidP="000B4057">
      <w:pPr>
        <w:pStyle w:val="ACMANotes"/>
      </w:pPr>
      <w:r w:rsidRPr="00D609AB">
        <w:t xml:space="preserve">Source: ACMA-commissioned survey, </w:t>
      </w:r>
      <w:r w:rsidR="00B03E32">
        <w:t>June</w:t>
      </w:r>
      <w:r w:rsidRPr="00D609AB">
        <w:t xml:space="preserve"> 2016. </w:t>
      </w:r>
    </w:p>
    <w:p w14:paraId="5E031790" w14:textId="77777777" w:rsidR="000A1CD9" w:rsidRPr="00D609AB" w:rsidRDefault="000A1CD9" w:rsidP="00E10229">
      <w:pPr>
        <w:pStyle w:val="ACMASpaceaftertable"/>
      </w:pPr>
    </w:p>
    <w:p w14:paraId="37ABE45A" w14:textId="77777777" w:rsidR="000A1CD9" w:rsidRPr="00D609AB" w:rsidRDefault="000A1CD9" w:rsidP="00604073">
      <w:pPr>
        <w:pStyle w:val="Heading3"/>
      </w:pPr>
      <w:bookmarkStart w:id="508" w:name="_Toc462899588"/>
      <w:bookmarkStart w:id="509" w:name="_Toc433790336"/>
      <w:bookmarkStart w:id="510" w:name="_Toc463529078"/>
      <w:bookmarkStart w:id="511" w:name="_Toc465842894"/>
      <w:r w:rsidRPr="00D609AB">
        <w:t>Mobile-only users</w:t>
      </w:r>
      <w:bookmarkEnd w:id="508"/>
      <w:bookmarkEnd w:id="509"/>
      <w:bookmarkEnd w:id="510"/>
      <w:bookmarkEnd w:id="511"/>
    </w:p>
    <w:p w14:paraId="58641FE5" w14:textId="77777777" w:rsidR="000A1CD9" w:rsidRPr="00D609AB" w:rsidRDefault="000A1CD9" w:rsidP="000A1CD9">
      <w:r w:rsidRPr="00D609AB">
        <w:t xml:space="preserve">The mobile phone is increasingly at the centre of online interaction and communications. Its growing popularity is reflected in the increased proportion of Australian adults—31 per cent, or approximately 5.78 million—who have only a mobile phone and no fixed-line telephone at home (mobile-only). This is an increase of two percentage points on the previous year. </w:t>
      </w:r>
    </w:p>
    <w:p w14:paraId="14286DCF" w14:textId="77777777" w:rsidR="000A1CD9" w:rsidRPr="00D609AB" w:rsidRDefault="000A1CD9" w:rsidP="000A1CD9">
      <w:r w:rsidRPr="00D609AB">
        <w:t>At June 2016, mobile-only use was most prevalent among adults aged 25 to 34, with 59 per cent of this age group using only a mobile phone and having no fixed-line telephone at home. Those aged 18 to 24 showed the next largest prevalence, with 45 per cent of this group being mobile-only users (Figure 2.5).</w:t>
      </w:r>
    </w:p>
    <w:p w14:paraId="6E095AF7" w14:textId="77777777" w:rsidR="000A1CD9" w:rsidRPr="00D609AB" w:rsidRDefault="000A1CD9" w:rsidP="000A1CD9">
      <w:r w:rsidRPr="00D609AB">
        <w:t xml:space="preserve">Older Australians continued to use fixed-line telephones, particularly those aged 65 and over—just 12 per cent were mobile-only. </w:t>
      </w:r>
    </w:p>
    <w:p w14:paraId="77F39B7B" w14:textId="77777777" w:rsidR="000A1CD9" w:rsidRPr="00D609AB" w:rsidRDefault="000A1CD9" w:rsidP="00E10229">
      <w:pPr>
        <w:pStyle w:val="ACMAFigureHeader"/>
        <w:keepNext/>
      </w:pPr>
      <w:r w:rsidRPr="00D609AB">
        <w:lastRenderedPageBreak/>
        <w:t>Figure 2.5</w:t>
      </w:r>
      <w:r w:rsidRPr="00D609AB">
        <w:tab/>
        <w:t>Mobile-only users, by age, June 2016 (percentage)</w:t>
      </w:r>
    </w:p>
    <w:p w14:paraId="57A0B14C" w14:textId="77777777" w:rsidR="000A1CD9" w:rsidRPr="00D609AB" w:rsidRDefault="008C5428" w:rsidP="00202E07">
      <w:pPr>
        <w:keepNext/>
        <w:spacing w:after="0"/>
        <w:rPr>
          <w:b/>
          <w:bCs/>
          <w:color w:val="323232"/>
          <w:szCs w:val="20"/>
        </w:rPr>
      </w:pPr>
      <w:r w:rsidRPr="00604073">
        <w:rPr>
          <w:b/>
          <w:bCs/>
          <w:noProof/>
          <w:color w:val="323232"/>
          <w:szCs w:val="20"/>
        </w:rPr>
        <w:drawing>
          <wp:inline distT="0" distB="0" distL="0" distR="0" wp14:anchorId="4CE8090E" wp14:editId="5087BD50">
            <wp:extent cx="4093845" cy="2106989"/>
            <wp:effectExtent l="0" t="0" r="0" b="0"/>
            <wp:docPr id="109" name="Picture 109" descr="Data for Figure 2.5 is in the .ods file for Chapter 2 on the landing page ‘Communications report 2015-16’, available from the ACMA website." title="Figure 2.5 Mobile-phone only users, by age, June 2016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igure 2.5_Figure 2.5.png"/>
                    <pic:cNvPicPr/>
                  </pic:nvPicPr>
                  <pic:blipFill rotWithShape="1">
                    <a:blip r:embed="rId67">
                      <a:extLst>
                        <a:ext uri="{28A0092B-C50C-407E-A947-70E740481C1C}">
                          <a14:useLocalDpi xmlns:a14="http://schemas.microsoft.com/office/drawing/2010/main" val="0"/>
                        </a:ext>
                      </a:extLst>
                    </a:blip>
                    <a:srcRect t="-795"/>
                    <a:stretch/>
                  </pic:blipFill>
                  <pic:spPr bwMode="auto">
                    <a:xfrm>
                      <a:off x="0" y="0"/>
                      <a:ext cx="4094547" cy="2107350"/>
                    </a:xfrm>
                    <a:prstGeom prst="rect">
                      <a:avLst/>
                    </a:prstGeom>
                    <a:ln>
                      <a:noFill/>
                    </a:ln>
                    <a:extLst>
                      <a:ext uri="{53640926-AAD7-44D8-BBD7-CCE9431645EC}">
                        <a14:shadowObscured xmlns:a14="http://schemas.microsoft.com/office/drawing/2010/main"/>
                      </a:ext>
                    </a:extLst>
                  </pic:spPr>
                </pic:pic>
              </a:graphicData>
            </a:graphic>
          </wp:inline>
        </w:drawing>
      </w:r>
    </w:p>
    <w:p w14:paraId="4ABE94F0" w14:textId="77777777" w:rsidR="000A1CD9" w:rsidRPr="00D609AB" w:rsidRDefault="000A1CD9" w:rsidP="00E10229">
      <w:pPr>
        <w:pStyle w:val="ACMANotes"/>
      </w:pPr>
      <w:r w:rsidRPr="00D609AB">
        <w:t xml:space="preserve">Base: Australians aged 18 and over. </w:t>
      </w:r>
    </w:p>
    <w:p w14:paraId="0C649D59" w14:textId="77777777" w:rsidR="000A1CD9" w:rsidRPr="00D609AB" w:rsidRDefault="000A1CD9" w:rsidP="00E10229">
      <w:pPr>
        <w:pStyle w:val="ACMANotes"/>
      </w:pPr>
      <w:r w:rsidRPr="00D609AB">
        <w:t xml:space="preserve">Note: Relates to users of a mobile phone but no fixed-line telephone at home for the 12 months to June 2016. </w:t>
      </w:r>
    </w:p>
    <w:p w14:paraId="0AF510DD" w14:textId="77777777" w:rsidR="000A1CD9" w:rsidRPr="00D609AB" w:rsidRDefault="000A1CD9" w:rsidP="00E10229">
      <w:pPr>
        <w:pStyle w:val="ACMANotes"/>
      </w:pPr>
      <w:r w:rsidRPr="00D609AB">
        <w:t xml:space="preserve">Source: Roy Morgan Single Source, June 2016. </w:t>
      </w:r>
    </w:p>
    <w:p w14:paraId="7694A43B" w14:textId="77777777" w:rsidR="000A1CD9" w:rsidRPr="00D609AB" w:rsidRDefault="000A1CD9" w:rsidP="00E10229">
      <w:pPr>
        <w:pStyle w:val="ACMASpaceaftertable"/>
      </w:pPr>
    </w:p>
    <w:p w14:paraId="3F6D633F" w14:textId="77777777" w:rsidR="000A1CD9" w:rsidRPr="00D609AB" w:rsidRDefault="000A1CD9" w:rsidP="000A1CD9">
      <w:bookmarkStart w:id="512" w:name="_Toc433790329"/>
      <w:r w:rsidRPr="00D609AB">
        <w:t>In terms of location, mobile-only use was slightly more prevalent in capital cities than regional areas—32 per cent of Australians living in capital cities were mobile</w:t>
      </w:r>
      <w:r>
        <w:t>-only</w:t>
      </w:r>
      <w:r w:rsidRPr="00D609AB">
        <w:t>, compared to 30 per cent of those living in regional areas. In terms of living arrangements, those who lived in a shared household were most likely to be exclusively mobile (63 per cent), followed by boarders (42 per cent) and those who lived alone (39</w:t>
      </w:r>
      <w:r w:rsidR="0037342E">
        <w:t> </w:t>
      </w:r>
      <w:r w:rsidRPr="00D609AB">
        <w:t xml:space="preserve">per cent) (Figure 2.6). </w:t>
      </w:r>
    </w:p>
    <w:p w14:paraId="62852C72" w14:textId="77777777" w:rsidR="000A1CD9" w:rsidRPr="00D609AB" w:rsidRDefault="000A1CD9" w:rsidP="00E10229">
      <w:pPr>
        <w:pStyle w:val="ACMAFigureHeader"/>
      </w:pPr>
      <w:r w:rsidRPr="00D609AB">
        <w:t>Figure 2.6</w:t>
      </w:r>
      <w:r w:rsidRPr="00D609AB">
        <w:tab/>
        <w:t>Mobile-only users, by living arrangement, June 2016 (percentage)</w:t>
      </w:r>
    </w:p>
    <w:p w14:paraId="2A06F2F9" w14:textId="77777777" w:rsidR="000A1CD9" w:rsidRPr="00D609AB" w:rsidRDefault="008C5428" w:rsidP="00202E07">
      <w:pPr>
        <w:keepNext/>
        <w:spacing w:after="0"/>
        <w:rPr>
          <w:b/>
          <w:bCs/>
          <w:color w:val="323232"/>
          <w:szCs w:val="20"/>
        </w:rPr>
      </w:pPr>
      <w:r w:rsidRPr="00604073">
        <w:rPr>
          <w:b/>
          <w:bCs/>
          <w:noProof/>
          <w:color w:val="323232"/>
          <w:szCs w:val="20"/>
        </w:rPr>
        <w:drawing>
          <wp:inline distT="0" distB="0" distL="0" distR="0" wp14:anchorId="0E757B40" wp14:editId="4C05EDE3">
            <wp:extent cx="5940425" cy="3345228"/>
            <wp:effectExtent l="0" t="0" r="0" b="7620"/>
            <wp:docPr id="110" name="Picture 110" descr="Data for Figure 2.6 is in the .ods file for Chapter 2 on the landing page ‘Communications report 2015-16’, available from the ACMA website." title="Figure 2.6 Mobile only users, by living arrangement,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gure 2.6_Figure 2.6.png"/>
                    <pic:cNvPicPr/>
                  </pic:nvPicPr>
                  <pic:blipFill rotWithShape="1">
                    <a:blip r:embed="rId68">
                      <a:extLst>
                        <a:ext uri="{28A0092B-C50C-407E-A947-70E740481C1C}">
                          <a14:useLocalDpi xmlns:a14="http://schemas.microsoft.com/office/drawing/2010/main" val="0"/>
                        </a:ext>
                      </a:extLst>
                    </a:blip>
                    <a:srcRect b="-1"/>
                    <a:stretch/>
                  </pic:blipFill>
                  <pic:spPr bwMode="auto">
                    <a:xfrm>
                      <a:off x="0" y="0"/>
                      <a:ext cx="5940425" cy="3345228"/>
                    </a:xfrm>
                    <a:prstGeom prst="rect">
                      <a:avLst/>
                    </a:prstGeom>
                    <a:ln>
                      <a:noFill/>
                    </a:ln>
                    <a:extLst>
                      <a:ext uri="{53640926-AAD7-44D8-BBD7-CCE9431645EC}">
                        <a14:shadowObscured xmlns:a14="http://schemas.microsoft.com/office/drawing/2010/main"/>
                      </a:ext>
                    </a:extLst>
                  </pic:spPr>
                </pic:pic>
              </a:graphicData>
            </a:graphic>
          </wp:inline>
        </w:drawing>
      </w:r>
    </w:p>
    <w:p w14:paraId="67A400F6" w14:textId="77777777" w:rsidR="000A1CD9" w:rsidRPr="00D609AB" w:rsidRDefault="000A1CD9" w:rsidP="00E10229">
      <w:pPr>
        <w:pStyle w:val="ACMANotes"/>
      </w:pPr>
      <w:r w:rsidRPr="00D609AB">
        <w:t xml:space="preserve">Base: Australians aged 18 and over. </w:t>
      </w:r>
    </w:p>
    <w:p w14:paraId="19C5DAA6" w14:textId="77777777" w:rsidR="000A1CD9" w:rsidRPr="00D609AB" w:rsidRDefault="000A1CD9" w:rsidP="00E10229">
      <w:pPr>
        <w:pStyle w:val="ACMANotes"/>
      </w:pPr>
      <w:r w:rsidRPr="00D609AB">
        <w:t xml:space="preserve">Note: Relates to users of a mobile phone but no fixed-line telephone at home for the 12 months to June 2016. </w:t>
      </w:r>
    </w:p>
    <w:p w14:paraId="5661E0C1" w14:textId="77777777" w:rsidR="000A1CD9" w:rsidRDefault="000A1CD9" w:rsidP="00E10229">
      <w:pPr>
        <w:pStyle w:val="ACMANotes"/>
      </w:pPr>
      <w:r w:rsidRPr="00D609AB">
        <w:t xml:space="preserve">Source: Roy Morgan Single Source, June 2016. </w:t>
      </w:r>
    </w:p>
    <w:p w14:paraId="03F82CC6" w14:textId="77777777" w:rsidR="00E10229" w:rsidRPr="00D609AB" w:rsidRDefault="00E10229" w:rsidP="00E10229">
      <w:pPr>
        <w:pStyle w:val="ACMASpaceaftertable"/>
      </w:pPr>
    </w:p>
    <w:p w14:paraId="62DA678B" w14:textId="77777777" w:rsidR="000A1CD9" w:rsidRPr="00D609AB" w:rsidRDefault="000A1CD9" w:rsidP="00985976">
      <w:pPr>
        <w:pStyle w:val="Heading2"/>
        <w:numPr>
          <w:ilvl w:val="1"/>
          <w:numId w:val="12"/>
        </w:numPr>
        <w:ind w:hanging="792"/>
      </w:pPr>
      <w:bookmarkStart w:id="513" w:name="_Toc462899589"/>
      <w:bookmarkStart w:id="514" w:name="_Toc463529079"/>
      <w:bookmarkStart w:id="515" w:name="_Toc465842895"/>
      <w:bookmarkEnd w:id="512"/>
      <w:r w:rsidRPr="00D609AB">
        <w:lastRenderedPageBreak/>
        <w:t>Data trends</w:t>
      </w:r>
      <w:bookmarkEnd w:id="513"/>
      <w:bookmarkEnd w:id="514"/>
      <w:bookmarkEnd w:id="515"/>
    </w:p>
    <w:p w14:paraId="6FC32180" w14:textId="77777777" w:rsidR="000A1CD9" w:rsidRPr="00D609AB" w:rsidRDefault="000A1CD9" w:rsidP="00E10229">
      <w:pPr>
        <w:pStyle w:val="Heading3"/>
      </w:pPr>
      <w:bookmarkStart w:id="516" w:name="_Toc462899590"/>
      <w:bookmarkStart w:id="517" w:name="_Toc433790334"/>
      <w:bookmarkStart w:id="518" w:name="_Toc463529080"/>
      <w:bookmarkStart w:id="519" w:name="_Toc465842896"/>
      <w:bookmarkStart w:id="520" w:name="_Toc433790330"/>
      <w:r w:rsidRPr="00D609AB">
        <w:t xml:space="preserve">Frequency of </w:t>
      </w:r>
      <w:r w:rsidRPr="00E10229">
        <w:t>internet</w:t>
      </w:r>
      <w:r w:rsidRPr="00D609AB">
        <w:t xml:space="preserve"> use</w:t>
      </w:r>
      <w:bookmarkEnd w:id="516"/>
      <w:bookmarkEnd w:id="517"/>
      <w:bookmarkEnd w:id="518"/>
      <w:bookmarkEnd w:id="519"/>
    </w:p>
    <w:p w14:paraId="2BE91BD2" w14:textId="77777777" w:rsidR="000A1CD9" w:rsidRPr="00D609AB" w:rsidRDefault="000A1CD9" w:rsidP="000A1CD9">
      <w:r w:rsidRPr="00D609AB">
        <w:t xml:space="preserve">The majority of adult Australians are frequent internet users and access the internet several times a day. At June 2016, 12.5 million (68 per cent) went online three or more times a day, an increase of two percentage points from June 2015. Frequency of use was directly proportional to age—90 per cent of Australians aged 18 to 24 used the internet three or more times a day, while only 35 per cent of </w:t>
      </w:r>
      <w:r w:rsidRPr="00CF3555">
        <w:t xml:space="preserve">Australians aged 65 </w:t>
      </w:r>
      <w:r w:rsidR="00CF3555" w:rsidRPr="00CF3555">
        <w:t>and</w:t>
      </w:r>
      <w:r w:rsidR="00CF3555">
        <w:t xml:space="preserve"> over </w:t>
      </w:r>
      <w:r w:rsidRPr="00D609AB">
        <w:t>went online three or more times a day.</w:t>
      </w:r>
    </w:p>
    <w:p w14:paraId="28DD058E" w14:textId="77777777" w:rsidR="000A1CD9" w:rsidRPr="00D609AB" w:rsidRDefault="000A1CD9" w:rsidP="000A1CD9">
      <w:r w:rsidRPr="00D609AB">
        <w:t xml:space="preserve">Figure 2.7 illustrates the devices used to go online three or more times a day. Among all adult Australians, mobile phones (46 per cent) and computers (44 per cent) were commonly used to access the internet three or more times a day, while a comparatively smaller proportion of people used tablets this frequently (19 per cent). </w:t>
      </w:r>
    </w:p>
    <w:p w14:paraId="422AF041" w14:textId="77777777" w:rsidR="000A1CD9" w:rsidRPr="00D609AB" w:rsidRDefault="000A1CD9" w:rsidP="00E10229">
      <w:pPr>
        <w:pStyle w:val="ACMAFigureHeader"/>
      </w:pPr>
      <w:r w:rsidRPr="00D609AB">
        <w:t>Figure 2.7</w:t>
      </w:r>
      <w:r w:rsidRPr="00D609AB">
        <w:tab/>
        <w:t>Australians accessing the internet three or more times a day, June 2016 (percentage)</w:t>
      </w:r>
    </w:p>
    <w:p w14:paraId="044FB506" w14:textId="77777777" w:rsidR="000A1CD9" w:rsidRPr="00D609AB" w:rsidRDefault="002F4C67" w:rsidP="00202E07">
      <w:pPr>
        <w:keepNext/>
        <w:spacing w:after="0"/>
        <w:rPr>
          <w:b/>
          <w:bCs/>
          <w:color w:val="323232"/>
          <w:szCs w:val="20"/>
        </w:rPr>
      </w:pPr>
      <w:r w:rsidRPr="00000E9F">
        <w:rPr>
          <w:b/>
          <w:bCs/>
          <w:noProof/>
          <w:color w:val="323232"/>
          <w:szCs w:val="20"/>
        </w:rPr>
        <w:drawing>
          <wp:inline distT="0" distB="0" distL="0" distR="0" wp14:anchorId="1A83FAAE" wp14:editId="54349730">
            <wp:extent cx="5940425" cy="2374265"/>
            <wp:effectExtent l="0" t="0" r="3175" b="6985"/>
            <wp:docPr id="8" name="Picture 8" descr="Data for Figure 2.7 is in the .ods file for Chapter 2 on the landing page ‘Communications report 2015-16’, available from the ACMA website." title="Figure 2.7  Australians accessing the internet three or more times a day,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7_Figure 2.7.png"/>
                    <pic:cNvPicPr/>
                  </pic:nvPicPr>
                  <pic:blipFill>
                    <a:blip r:embed="rId69">
                      <a:extLst>
                        <a:ext uri="{28A0092B-C50C-407E-A947-70E740481C1C}">
                          <a14:useLocalDpi xmlns:a14="http://schemas.microsoft.com/office/drawing/2010/main" val="0"/>
                        </a:ext>
                      </a:extLst>
                    </a:blip>
                    <a:stretch>
                      <a:fillRect/>
                    </a:stretch>
                  </pic:blipFill>
                  <pic:spPr>
                    <a:xfrm>
                      <a:off x="0" y="0"/>
                      <a:ext cx="5940425" cy="2374265"/>
                    </a:xfrm>
                    <a:prstGeom prst="rect">
                      <a:avLst/>
                    </a:prstGeom>
                  </pic:spPr>
                </pic:pic>
              </a:graphicData>
            </a:graphic>
          </wp:inline>
        </w:drawing>
      </w:r>
    </w:p>
    <w:p w14:paraId="00E05EA1" w14:textId="77777777" w:rsidR="000A1CD9" w:rsidRPr="00D609AB" w:rsidRDefault="000A1CD9" w:rsidP="00E10229">
      <w:pPr>
        <w:pStyle w:val="ACMANotes"/>
      </w:pPr>
      <w:r w:rsidRPr="00D609AB">
        <w:t xml:space="preserve">*‘Other device’ may </w:t>
      </w:r>
      <w:r w:rsidRPr="00AE1497">
        <w:t>i</w:t>
      </w:r>
      <w:r w:rsidRPr="00D609AB">
        <w:t xml:space="preserve">nclude Smart TV or Xbox. </w:t>
      </w:r>
    </w:p>
    <w:p w14:paraId="3A9B09D9" w14:textId="77777777" w:rsidR="000A1CD9" w:rsidRPr="00D609AB" w:rsidRDefault="000A1CD9" w:rsidP="00E10229">
      <w:pPr>
        <w:pStyle w:val="ACMANotes"/>
      </w:pPr>
      <w:r w:rsidRPr="00D609AB">
        <w:t>Base: Australians aged 18 and over.</w:t>
      </w:r>
    </w:p>
    <w:p w14:paraId="68D5AEFC" w14:textId="77777777" w:rsidR="000A1CD9" w:rsidRPr="00D609AB" w:rsidRDefault="000A1CD9" w:rsidP="00E10229">
      <w:pPr>
        <w:pStyle w:val="ACMANotes"/>
        <w:rPr>
          <w:szCs w:val="16"/>
        </w:rPr>
      </w:pPr>
      <w:r w:rsidRPr="00D609AB">
        <w:rPr>
          <w:szCs w:val="16"/>
        </w:rPr>
        <w:t xml:space="preserve">Source: Roy Morgan Single Source, June 2016. </w:t>
      </w:r>
    </w:p>
    <w:bookmarkEnd w:id="520"/>
    <w:p w14:paraId="68A6E717" w14:textId="77777777" w:rsidR="000A1CD9" w:rsidRPr="00D609AB" w:rsidRDefault="000A1CD9" w:rsidP="00E10229">
      <w:pPr>
        <w:pStyle w:val="ACMASpaceaftertable"/>
      </w:pPr>
    </w:p>
    <w:p w14:paraId="65FC4C9F" w14:textId="77777777" w:rsidR="000A1CD9" w:rsidRPr="00D609AB" w:rsidRDefault="000A1CD9" w:rsidP="00604073">
      <w:pPr>
        <w:pStyle w:val="Heading3"/>
      </w:pPr>
      <w:bookmarkStart w:id="521" w:name="_Toc465842897"/>
      <w:bookmarkStart w:id="522" w:name="_Toc433790332"/>
      <w:bookmarkStart w:id="523" w:name="_Toc463529081"/>
      <w:bookmarkStart w:id="524" w:name="_Toc462899591"/>
      <w:r w:rsidRPr="00D609AB">
        <w:t>Volume of data downloaded</w:t>
      </w:r>
      <w:bookmarkEnd w:id="521"/>
      <w:r w:rsidRPr="00D609AB">
        <w:t xml:space="preserve"> </w:t>
      </w:r>
      <w:bookmarkEnd w:id="522"/>
      <w:bookmarkEnd w:id="523"/>
      <w:bookmarkEnd w:id="524"/>
    </w:p>
    <w:p w14:paraId="1B1465DA" w14:textId="77777777" w:rsidR="000A1CD9" w:rsidRPr="00D609AB" w:rsidRDefault="000A1CD9" w:rsidP="000A1CD9">
      <w:pPr>
        <w:rPr>
          <w:bCs/>
        </w:rPr>
      </w:pPr>
      <w:r w:rsidRPr="00D609AB">
        <w:rPr>
          <w:bCs/>
        </w:rPr>
        <w:t xml:space="preserve">While the growth in take-up of internet services has steadied in recent years, the amount of data Australians consume via these services continues to </w:t>
      </w:r>
      <w:r w:rsidRPr="00D609AB">
        <w:t>increase significantly, particularly over mobile handsets.</w:t>
      </w:r>
      <w:r w:rsidRPr="00D609AB">
        <w:rPr>
          <w:bCs/>
        </w:rPr>
        <w:t xml:space="preserve"> </w:t>
      </w:r>
    </w:p>
    <w:p w14:paraId="789419DC" w14:textId="77777777" w:rsidR="000A1CD9" w:rsidRPr="00D609AB" w:rsidRDefault="000A1CD9" w:rsidP="000A1CD9">
      <w:r w:rsidRPr="00D609AB">
        <w:t xml:space="preserve">The total volume of data downloaded in Australia during the June quarter of 2016 was 52 per cent higher than the volume downloaded during the June quarter of 2015 (Figure 2.8). </w:t>
      </w:r>
    </w:p>
    <w:p w14:paraId="64B0F991" w14:textId="77777777" w:rsidR="000A1CD9" w:rsidRPr="00D609AB" w:rsidRDefault="000A1CD9" w:rsidP="000A1CD9">
      <w:pPr>
        <w:spacing w:after="80"/>
      </w:pPr>
      <w:r w:rsidRPr="00D609AB">
        <w:t>There is sizeable growth in data downloaded by fixed-line broadband users</w:t>
      </w:r>
      <w:r w:rsidR="00AF669F">
        <w:t>—</w:t>
      </w:r>
      <w:r w:rsidR="00AF669F" w:rsidRPr="00D609AB">
        <w:t xml:space="preserve">contributing to </w:t>
      </w:r>
      <w:r w:rsidR="005610A6" w:rsidRPr="00D609AB">
        <w:t>9</w:t>
      </w:r>
      <w:r w:rsidR="005610A6">
        <w:t>2</w:t>
      </w:r>
      <w:r w:rsidR="005610A6" w:rsidRPr="00D609AB">
        <w:t xml:space="preserve"> </w:t>
      </w:r>
      <w:r w:rsidR="00AF669F" w:rsidRPr="00D609AB">
        <w:t xml:space="preserve">per cent of total growth during the June quarter </w:t>
      </w:r>
      <w:r w:rsidR="0048545D">
        <w:t>of</w:t>
      </w:r>
      <w:r w:rsidR="00AF669F" w:rsidRPr="00D609AB">
        <w:t xml:space="preserve"> </w:t>
      </w:r>
      <w:r w:rsidR="005610A6" w:rsidRPr="00D609AB">
        <w:t>201</w:t>
      </w:r>
      <w:r w:rsidR="005610A6">
        <w:t>6</w:t>
      </w:r>
      <w:r w:rsidR="00AF669F">
        <w:t>—</w:t>
      </w:r>
      <w:r w:rsidRPr="00D609AB">
        <w:t xml:space="preserve">with fixed connections generally offering fast download speeds and large data plans. During the June quarter </w:t>
      </w:r>
      <w:r w:rsidR="0048545D">
        <w:t>of</w:t>
      </w:r>
      <w:r w:rsidRPr="00D609AB">
        <w:t xml:space="preserve"> </w:t>
      </w:r>
      <w:r w:rsidR="005610A6" w:rsidRPr="00D609AB">
        <w:t>201</w:t>
      </w:r>
      <w:r w:rsidR="005610A6">
        <w:t>6</w:t>
      </w:r>
      <w:r w:rsidRPr="00D609AB">
        <w:t>, the volume of data downloaded over:</w:t>
      </w:r>
    </w:p>
    <w:p w14:paraId="74631833" w14:textId="77777777" w:rsidR="000A1CD9" w:rsidRPr="00933451" w:rsidRDefault="000A1CD9" w:rsidP="00EA149D">
      <w:pPr>
        <w:pStyle w:val="ListBullet"/>
      </w:pPr>
      <w:r w:rsidRPr="00933451">
        <w:t>fixed-line broadband increased by 52 per cent</w:t>
      </w:r>
    </w:p>
    <w:p w14:paraId="18A44548" w14:textId="77777777" w:rsidR="000A1CD9" w:rsidRPr="00933451" w:rsidRDefault="000A1CD9" w:rsidP="00EA149D">
      <w:pPr>
        <w:pStyle w:val="ListBullet"/>
      </w:pPr>
      <w:r w:rsidRPr="00933451">
        <w:t>wireless broadband increased by 24 per cent</w:t>
      </w:r>
    </w:p>
    <w:p w14:paraId="71028C3B" w14:textId="77777777" w:rsidR="000A1CD9" w:rsidRPr="00933451" w:rsidRDefault="000A1CD9" w:rsidP="00EA149D">
      <w:pPr>
        <w:pStyle w:val="ListBullet"/>
      </w:pPr>
      <w:r w:rsidRPr="00933451">
        <w:t>mobile handsets increased by 69 per cent</w:t>
      </w:r>
    </w:p>
    <w:p w14:paraId="09CAB2AA" w14:textId="77777777" w:rsidR="000A1CD9" w:rsidRDefault="000A1CD9" w:rsidP="00EA149D">
      <w:pPr>
        <w:pStyle w:val="ListBulletLast"/>
      </w:pPr>
      <w:r w:rsidRPr="00933451">
        <w:t>dial-up decreased by 43 per cent.</w:t>
      </w:r>
    </w:p>
    <w:p w14:paraId="4034E7B8" w14:textId="77777777" w:rsidR="000A1CD9" w:rsidRPr="00D609AB" w:rsidRDefault="00E10229" w:rsidP="00E10229">
      <w:pPr>
        <w:pStyle w:val="ACMAFigureHeader"/>
        <w:keepNext/>
        <w:ind w:left="1136" w:hanging="1136"/>
      </w:pPr>
      <w:r>
        <w:lastRenderedPageBreak/>
        <w:t>Figure 2.8</w:t>
      </w:r>
      <w:r>
        <w:tab/>
      </w:r>
      <w:r w:rsidR="000A1CD9" w:rsidRPr="00D609AB">
        <w:t>Volume of data downloaded by Australian internet users in the quarter to June (terabytes)</w:t>
      </w:r>
    </w:p>
    <w:p w14:paraId="48AA4E04" w14:textId="77777777" w:rsidR="000A1CD9" w:rsidRPr="00D609AB" w:rsidRDefault="008C5428" w:rsidP="000A1CD9">
      <w:pPr>
        <w:spacing w:after="0"/>
      </w:pPr>
      <w:r>
        <w:rPr>
          <w:noProof/>
        </w:rPr>
        <w:drawing>
          <wp:inline distT="0" distB="0" distL="0" distR="0" wp14:anchorId="0098EC33" wp14:editId="05AA1940">
            <wp:extent cx="6148800" cy="3812400"/>
            <wp:effectExtent l="0" t="0" r="4445" b="0"/>
            <wp:docPr id="112" name="Picture 112" descr="Data for Figure 2.8 is in the .ods file for Chapter 2 on the landing page ‘Communications report 2015-16’, available from the ACMA website." title="Figure 2.8  Volume of data downloaded by Australian internet users in the quarter to June (tera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igure 2.8_Figure 2.8.png"/>
                    <pic:cNvPicPr/>
                  </pic:nvPicPr>
                  <pic:blipFill>
                    <a:blip r:embed="rId70">
                      <a:extLst>
                        <a:ext uri="{28A0092B-C50C-407E-A947-70E740481C1C}">
                          <a14:useLocalDpi xmlns:a14="http://schemas.microsoft.com/office/drawing/2010/main" val="0"/>
                        </a:ext>
                      </a:extLst>
                    </a:blip>
                    <a:stretch>
                      <a:fillRect/>
                    </a:stretch>
                  </pic:blipFill>
                  <pic:spPr>
                    <a:xfrm>
                      <a:off x="0" y="0"/>
                      <a:ext cx="6148800" cy="3812400"/>
                    </a:xfrm>
                    <a:prstGeom prst="rect">
                      <a:avLst/>
                    </a:prstGeom>
                  </pic:spPr>
                </pic:pic>
              </a:graphicData>
            </a:graphic>
          </wp:inline>
        </w:drawing>
      </w:r>
    </w:p>
    <w:p w14:paraId="487FD6EE" w14:textId="77777777" w:rsidR="000A1CD9" w:rsidRPr="00D609AB" w:rsidRDefault="000A1CD9" w:rsidP="00E10229">
      <w:pPr>
        <w:pStyle w:val="ACMANotes"/>
      </w:pPr>
      <w:r w:rsidRPr="00D609AB">
        <w:t xml:space="preserve">*Excludes downloads via mobile phone handsets. Includes mobile wireless services using dongle, USB modems and datacards, satellite and fixed wireless. </w:t>
      </w:r>
    </w:p>
    <w:p w14:paraId="6B653C61" w14:textId="77777777" w:rsidR="000A1CD9" w:rsidRPr="00D609AB" w:rsidRDefault="000A1CD9" w:rsidP="00E10229">
      <w:pPr>
        <w:pStyle w:val="ACMANotes"/>
      </w:pPr>
      <w:r w:rsidRPr="00D609AB">
        <w:t>Note: Total volume of data downloaded is based on ABS published numbers and components may not add up due to rounding. The ABS reports that ‘… download data presented should only be considered an indicative measure of internet activity during the reference period.’</w:t>
      </w:r>
    </w:p>
    <w:p w14:paraId="25CA3FDD" w14:textId="77777777" w:rsidR="000A1CD9" w:rsidRPr="00D609AB" w:rsidRDefault="000A1CD9" w:rsidP="00E10229">
      <w:pPr>
        <w:pStyle w:val="ACMANotes"/>
        <w:rPr>
          <w:szCs w:val="16"/>
        </w:rPr>
      </w:pPr>
      <w:r w:rsidRPr="00D609AB">
        <w:rPr>
          <w:szCs w:val="16"/>
        </w:rPr>
        <w:t xml:space="preserve">Source: ABS, </w:t>
      </w:r>
      <w:hyperlink r:id="rId71" w:history="1">
        <w:r w:rsidRPr="003667CB">
          <w:rPr>
            <w:i w:val="0"/>
            <w:color w:val="0000FF"/>
            <w:szCs w:val="16"/>
            <w:u w:val="single"/>
          </w:rPr>
          <w:t>8153.0—Internet Activity, Australia</w:t>
        </w:r>
      </w:hyperlink>
      <w:r w:rsidRPr="00D609AB">
        <w:rPr>
          <w:szCs w:val="16"/>
        </w:rPr>
        <w:t>, June 2016.</w:t>
      </w:r>
    </w:p>
    <w:p w14:paraId="5B00C70B" w14:textId="77777777" w:rsidR="000A1CD9" w:rsidRPr="00D609AB" w:rsidRDefault="000A1CD9" w:rsidP="00E10229">
      <w:pPr>
        <w:pStyle w:val="ACMASpaceaftertable"/>
      </w:pPr>
    </w:p>
    <w:p w14:paraId="47E0CEF5" w14:textId="77777777" w:rsidR="000A1CD9" w:rsidRPr="00D609AB" w:rsidRDefault="000A1CD9" w:rsidP="000A1CD9">
      <w:pPr>
        <w:spacing w:after="80"/>
      </w:pPr>
      <w:r w:rsidRPr="00D609AB">
        <w:rPr>
          <w:bCs/>
        </w:rPr>
        <w:t>D</w:t>
      </w:r>
      <w:r w:rsidRPr="00D609AB">
        <w:t>uring the June quarter of 2016, the average amount of data downloaded by a subscriber over:</w:t>
      </w:r>
    </w:p>
    <w:p w14:paraId="16705E4E" w14:textId="77777777" w:rsidR="000A1CD9" w:rsidRPr="00933451" w:rsidRDefault="000A1CD9" w:rsidP="00EA149D">
      <w:pPr>
        <w:pStyle w:val="ListBullet"/>
      </w:pPr>
      <w:r w:rsidRPr="00933451">
        <w:t>fixed-line broadband increased by 41 per cent to 291.9 gigabytes</w:t>
      </w:r>
    </w:p>
    <w:p w14:paraId="6FDE8CE2" w14:textId="77777777" w:rsidR="000A1CD9" w:rsidRPr="00933451" w:rsidRDefault="000A1CD9" w:rsidP="00EA149D">
      <w:pPr>
        <w:pStyle w:val="ListBullet"/>
      </w:pPr>
      <w:r w:rsidRPr="00933451">
        <w:t>wireless broadband increased by 22 per cent to 7.8 gigabytes</w:t>
      </w:r>
    </w:p>
    <w:p w14:paraId="47CF9CEF" w14:textId="77777777" w:rsidR="000A1CD9" w:rsidRPr="00933451" w:rsidRDefault="000A1CD9" w:rsidP="00EA149D">
      <w:pPr>
        <w:pStyle w:val="ListBulletLast"/>
      </w:pPr>
      <w:r w:rsidRPr="00933451">
        <w:t xml:space="preserve">mobile handset internet increased by 62 per cent to 5.5 gigabytes. </w:t>
      </w:r>
    </w:p>
    <w:p w14:paraId="02C446C8" w14:textId="77777777" w:rsidR="000A1CD9" w:rsidRPr="00D609AB" w:rsidRDefault="000A1CD9" w:rsidP="00604073">
      <w:pPr>
        <w:pStyle w:val="Heading3"/>
      </w:pPr>
      <w:bookmarkStart w:id="525" w:name="_Toc462899592"/>
      <w:bookmarkStart w:id="526" w:name="_Toc433790333"/>
      <w:bookmarkStart w:id="527" w:name="_Toc463529082"/>
      <w:bookmarkStart w:id="528" w:name="_Toc465842898"/>
      <w:r w:rsidRPr="00D609AB">
        <w:t>Data allowance—mobile and tablet</w:t>
      </w:r>
      <w:bookmarkEnd w:id="525"/>
      <w:bookmarkEnd w:id="526"/>
      <w:bookmarkEnd w:id="527"/>
      <w:bookmarkEnd w:id="528"/>
      <w:r w:rsidRPr="00D609AB">
        <w:t xml:space="preserve"> </w:t>
      </w:r>
    </w:p>
    <w:p w14:paraId="3EDC24D9" w14:textId="77777777" w:rsidR="000A1CD9" w:rsidRPr="00D609AB" w:rsidRDefault="000A1CD9" w:rsidP="000A1CD9">
      <w:pPr>
        <w:ind w:right="16"/>
      </w:pPr>
      <w:r w:rsidRPr="00D609AB">
        <w:t>Mobile phones remain entrenched in the lives of most Australians—93 per cent of adults use these portable devices to either send text messages or make calls. More than half (56 per cent) of adult Australians own or use a tablet.</w:t>
      </w:r>
      <w:r w:rsidRPr="00D609AB">
        <w:rPr>
          <w:vertAlign w:val="superscript"/>
        </w:rPr>
        <w:endnoteReference w:id="112"/>
      </w:r>
      <w:r w:rsidRPr="00D609AB">
        <w:t xml:space="preserve"> </w:t>
      </w:r>
    </w:p>
    <w:p w14:paraId="1E7E6989" w14:textId="77777777" w:rsidR="000A1CD9" w:rsidRPr="00D609AB" w:rsidRDefault="000A1CD9" w:rsidP="000A1CD9">
      <w:pPr>
        <w:ind w:right="16"/>
      </w:pPr>
      <w:r w:rsidRPr="00D609AB">
        <w:t xml:space="preserve">In terms of monthly data allowance, </w:t>
      </w:r>
      <w:r>
        <w:t>the largest group of</w:t>
      </w:r>
      <w:r w:rsidRPr="00D609AB">
        <w:t xml:space="preserve"> mobile phone users with a data plan (48 per cent) had an allowance of fewer than two gigabytes (Figure 2.9). Sixteen per cent of mobile phone users had an allowance of more than six gigabytes or an unlimited allowance—an increase of seven percentage points from May 2015.</w:t>
      </w:r>
    </w:p>
    <w:p w14:paraId="72A368EF" w14:textId="77777777" w:rsidR="000A1CD9" w:rsidRPr="00D609AB" w:rsidRDefault="000A1CD9" w:rsidP="000A1CD9">
      <w:pPr>
        <w:keepNext/>
        <w:keepLines/>
        <w:ind w:right="17"/>
      </w:pPr>
      <w:r w:rsidRPr="00D609AB">
        <w:lastRenderedPageBreak/>
        <w:t xml:space="preserve">A different pattern was observed among tablet users with a data plan. In comparison to mobile phone users, a larger proportion had a higher data allowances on their tablets—almost half of tablet users (46 per cent) had an allowance of more than six gigabytes or an unlimited allowance. Even so, more than half of tablet users (61 per cent) </w:t>
      </w:r>
      <w:r w:rsidR="002F54A2">
        <w:t>went</w:t>
      </w:r>
      <w:r w:rsidR="002F54A2" w:rsidRPr="00D609AB">
        <w:t xml:space="preserve"> </w:t>
      </w:r>
      <w:r w:rsidRPr="00D609AB">
        <w:t>over their monthly data allowance limit, at least occasionally.</w:t>
      </w:r>
      <w:r w:rsidRPr="00D609AB">
        <w:rPr>
          <w:vertAlign w:val="superscript"/>
        </w:rPr>
        <w:endnoteReference w:id="113"/>
      </w:r>
    </w:p>
    <w:p w14:paraId="01FD9390" w14:textId="77777777" w:rsidR="000A1CD9" w:rsidRPr="00D609AB" w:rsidRDefault="000A1CD9" w:rsidP="00E10229">
      <w:pPr>
        <w:pStyle w:val="ACMAFigureHeader"/>
        <w:keepNext/>
      </w:pPr>
      <w:r w:rsidRPr="00D609AB">
        <w:t>Figure 2.9</w:t>
      </w:r>
      <w:r w:rsidRPr="00D609AB">
        <w:tab/>
        <w:t xml:space="preserve">Monthly data allowance on a mobile phone and tablet, </w:t>
      </w:r>
      <w:r w:rsidR="00B03E32">
        <w:t>June</w:t>
      </w:r>
      <w:r w:rsidRPr="00D609AB">
        <w:t xml:space="preserve"> 2016 (percentage)</w:t>
      </w:r>
    </w:p>
    <w:p w14:paraId="78129CCD" w14:textId="77777777" w:rsidR="000A1CD9" w:rsidRPr="00D609AB" w:rsidRDefault="008C5428" w:rsidP="00202E07">
      <w:pPr>
        <w:spacing w:after="0"/>
        <w:rPr>
          <w:b/>
          <w:bCs/>
          <w:color w:val="323232"/>
          <w:szCs w:val="20"/>
        </w:rPr>
      </w:pPr>
      <w:r w:rsidRPr="00604073">
        <w:rPr>
          <w:b/>
          <w:bCs/>
          <w:noProof/>
          <w:color w:val="323232"/>
          <w:szCs w:val="20"/>
        </w:rPr>
        <w:drawing>
          <wp:inline distT="0" distB="0" distL="0" distR="0" wp14:anchorId="699772FB" wp14:editId="7222FE80">
            <wp:extent cx="5871600" cy="3139200"/>
            <wp:effectExtent l="0" t="0" r="0" b="4445"/>
            <wp:docPr id="113" name="Picture 113" descr="Data for Figure 2.9 is in the .ods file for Chapter 2 on the landing page ‘Communications report 2015-16’, available from the ACMA website." title="Figure 2.9  Monthly data allowance on a mobile phone and tablet,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ure 2.9_Figure 2.9.png"/>
                    <pic:cNvPicPr/>
                  </pic:nvPicPr>
                  <pic:blipFill rotWithShape="1">
                    <a:blip r:embed="rId72">
                      <a:extLst>
                        <a:ext uri="{28A0092B-C50C-407E-A947-70E740481C1C}">
                          <a14:useLocalDpi xmlns:a14="http://schemas.microsoft.com/office/drawing/2010/main" val="0"/>
                        </a:ext>
                      </a:extLst>
                    </a:blip>
                    <a:srcRect/>
                    <a:stretch/>
                  </pic:blipFill>
                  <pic:spPr bwMode="auto">
                    <a:xfrm>
                      <a:off x="0" y="0"/>
                      <a:ext cx="5871600" cy="3139200"/>
                    </a:xfrm>
                    <a:prstGeom prst="rect">
                      <a:avLst/>
                    </a:prstGeom>
                    <a:ln>
                      <a:noFill/>
                    </a:ln>
                    <a:extLst>
                      <a:ext uri="{53640926-AAD7-44D8-BBD7-CCE9431645EC}">
                        <a14:shadowObscured xmlns:a14="http://schemas.microsoft.com/office/drawing/2010/main"/>
                      </a:ext>
                    </a:extLst>
                  </pic:spPr>
                </pic:pic>
              </a:graphicData>
            </a:graphic>
          </wp:inline>
        </w:drawing>
      </w:r>
    </w:p>
    <w:p w14:paraId="7D166C18" w14:textId="77777777" w:rsidR="000A1CD9" w:rsidRPr="00D609AB" w:rsidRDefault="000A1CD9" w:rsidP="00E10229">
      <w:pPr>
        <w:pStyle w:val="ACMANotes"/>
      </w:pPr>
      <w:r w:rsidRPr="00D609AB">
        <w:t xml:space="preserve">Base: Australians aged 18 and over with a monthly data allowance on their mobile phone (n=1,321), </w:t>
      </w:r>
      <w:r w:rsidR="00CF3555">
        <w:t xml:space="preserve">or </w:t>
      </w:r>
      <w:r w:rsidR="00CF3555" w:rsidRPr="00CF3555">
        <w:t>tablet</w:t>
      </w:r>
      <w:r w:rsidRPr="00D609AB">
        <w:t xml:space="preserve"> broadband plan (n=179).</w:t>
      </w:r>
    </w:p>
    <w:p w14:paraId="603DBCCB" w14:textId="77777777" w:rsidR="000A1CD9" w:rsidRPr="00D609AB" w:rsidRDefault="000A1CD9" w:rsidP="00E10229">
      <w:pPr>
        <w:pStyle w:val="ACMANotes"/>
      </w:pPr>
      <w:r w:rsidRPr="00D609AB">
        <w:t xml:space="preserve">Note: ‘Don’t knows’ are excluded from both categories. </w:t>
      </w:r>
    </w:p>
    <w:p w14:paraId="3B809D20" w14:textId="77777777" w:rsidR="000A1CD9" w:rsidRPr="00D609AB" w:rsidRDefault="000A1CD9" w:rsidP="00E10229">
      <w:pPr>
        <w:pStyle w:val="ACMANotes"/>
      </w:pPr>
      <w:r w:rsidRPr="00D609AB">
        <w:t xml:space="preserve">Source: ACMA-commissioned survey, </w:t>
      </w:r>
      <w:r w:rsidR="00B03E32">
        <w:t>June</w:t>
      </w:r>
      <w:r w:rsidRPr="00D609AB">
        <w:t xml:space="preserve"> 2016.</w:t>
      </w:r>
    </w:p>
    <w:p w14:paraId="5018A53F" w14:textId="77777777" w:rsidR="000A1CD9" w:rsidRPr="00D609AB" w:rsidRDefault="000A1CD9" w:rsidP="00E10229">
      <w:pPr>
        <w:pStyle w:val="ACMASpaceaftertable"/>
      </w:pPr>
    </w:p>
    <w:p w14:paraId="5C884CCF" w14:textId="77777777" w:rsidR="000A1CD9" w:rsidRPr="00D609AB" w:rsidRDefault="000A1CD9" w:rsidP="00985976">
      <w:pPr>
        <w:pStyle w:val="Heading2"/>
        <w:numPr>
          <w:ilvl w:val="1"/>
          <w:numId w:val="12"/>
        </w:numPr>
        <w:ind w:hanging="792"/>
      </w:pPr>
      <w:bookmarkStart w:id="529" w:name="_Toc462899593"/>
      <w:bookmarkStart w:id="530" w:name="_Toc433790337"/>
      <w:bookmarkStart w:id="531" w:name="_Toc463529083"/>
      <w:bookmarkStart w:id="532" w:name="_Toc465842899"/>
      <w:bookmarkStart w:id="533" w:name="_Toc433790335"/>
      <w:r w:rsidRPr="00D609AB">
        <w:t>Use of communications services</w:t>
      </w:r>
      <w:bookmarkEnd w:id="529"/>
      <w:bookmarkEnd w:id="530"/>
      <w:bookmarkEnd w:id="531"/>
      <w:bookmarkEnd w:id="532"/>
    </w:p>
    <w:p w14:paraId="73F782C1" w14:textId="77777777" w:rsidR="000A1CD9" w:rsidRPr="00D609AB" w:rsidRDefault="000A1CD9" w:rsidP="00604073">
      <w:pPr>
        <w:pStyle w:val="Heading3"/>
      </w:pPr>
      <w:bookmarkStart w:id="534" w:name="_Toc462899594"/>
      <w:bookmarkStart w:id="535" w:name="_Toc463529084"/>
      <w:bookmarkStart w:id="536" w:name="_Toc465842900"/>
      <w:r w:rsidRPr="00D609AB">
        <w:t>Australians’ diverse use of communications services</w:t>
      </w:r>
      <w:bookmarkEnd w:id="533"/>
      <w:bookmarkEnd w:id="534"/>
      <w:bookmarkEnd w:id="535"/>
      <w:bookmarkEnd w:id="536"/>
    </w:p>
    <w:p w14:paraId="796012FB" w14:textId="77777777" w:rsidR="000A1CD9" w:rsidRPr="00D609AB" w:rsidRDefault="000A1CD9" w:rsidP="000A1CD9">
      <w:r w:rsidRPr="00D609AB">
        <w:t xml:space="preserve">Australians use a diverse range of communications services to fulfil their needs, with most combining multiple communications technologies and services. </w:t>
      </w:r>
    </w:p>
    <w:p w14:paraId="75C52489" w14:textId="77777777" w:rsidR="000A1CD9" w:rsidRPr="00D609AB" w:rsidRDefault="000A1CD9" w:rsidP="000A1CD9">
      <w:r w:rsidRPr="00D609AB">
        <w:t xml:space="preserve">Mobile phone calls continued to be at the forefront of consumer communications activity. At </w:t>
      </w:r>
      <w:r w:rsidR="00B03E32">
        <w:t>June</w:t>
      </w:r>
      <w:r w:rsidRPr="00D609AB">
        <w:t xml:space="preserve"> 2016, 92 per cent of adult Australians had used a mobile phone to make a phone call in the last six months, while 83 per cent had sent an SMS from their mobile handset. Eighty-two per cent of adult Australians had used email.</w:t>
      </w:r>
    </w:p>
    <w:p w14:paraId="271797A1" w14:textId="77777777" w:rsidR="000A1CD9" w:rsidRPr="00D609AB" w:rsidRDefault="000A1CD9" w:rsidP="000A1CD9">
      <w:r w:rsidRPr="00D609AB">
        <w:t xml:space="preserve">Use of communications services was directly proportional to age—the most used type of communications service for those under 65 years of age was mobile phone calls, with 95 per cent of adults aged 18 to 65 using their mobile phone to make calls in the six months to </w:t>
      </w:r>
      <w:r w:rsidR="00B03E32">
        <w:t>June</w:t>
      </w:r>
      <w:r w:rsidRPr="00D609AB">
        <w:t xml:space="preserve"> 2016. The most used communications service for those over 65 was the fixed-line telephone, with 92 per cent of adults aged 65 and over using their fixed-line telephone at home in the same period.</w:t>
      </w:r>
    </w:p>
    <w:p w14:paraId="4F20B8B4" w14:textId="77777777" w:rsidR="000A1CD9" w:rsidRPr="00D609AB" w:rsidRDefault="000A1CD9" w:rsidP="00E10229">
      <w:pPr>
        <w:pStyle w:val="ACMAFigureHeader"/>
        <w:keepNext/>
      </w:pPr>
      <w:r w:rsidRPr="00D609AB">
        <w:lastRenderedPageBreak/>
        <w:t>Figure 2.10</w:t>
      </w:r>
      <w:r w:rsidRPr="00D609AB">
        <w:tab/>
        <w:t xml:space="preserve">Communications services used in the six months to </w:t>
      </w:r>
      <w:r w:rsidR="00B03E32">
        <w:t>June</w:t>
      </w:r>
      <w:r w:rsidRPr="00D609AB">
        <w:t xml:space="preserve"> 2016 (percentage)</w:t>
      </w:r>
    </w:p>
    <w:p w14:paraId="355ABA97" w14:textId="77777777" w:rsidR="000A1CD9" w:rsidRPr="00D609AB" w:rsidRDefault="001D3392" w:rsidP="00202E07">
      <w:pPr>
        <w:keepNext/>
        <w:spacing w:after="0"/>
        <w:rPr>
          <w:b/>
          <w:bCs/>
          <w:color w:val="323232"/>
          <w:szCs w:val="20"/>
        </w:rPr>
      </w:pPr>
      <w:r>
        <w:rPr>
          <w:b/>
          <w:bCs/>
          <w:noProof/>
          <w:color w:val="323232"/>
          <w:szCs w:val="20"/>
        </w:rPr>
        <w:drawing>
          <wp:inline distT="0" distB="0" distL="0" distR="0" wp14:anchorId="438A63FE" wp14:editId="0A5B5D1E">
            <wp:extent cx="5629702" cy="7116445"/>
            <wp:effectExtent l="0" t="0" r="9525" b="8255"/>
            <wp:docPr id="79" name="Picture 79" descr="Data for Figure 2.10 is in the .ods file for Chapter 2 on the landing page ‘Communications report 2015-16’, available from the ACMA website." title="Figure 2.10  Communications services used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ure 2.10 - updated.png"/>
                    <pic:cNvPicPr/>
                  </pic:nvPicPr>
                  <pic:blipFill rotWithShape="1">
                    <a:blip r:embed="rId73">
                      <a:extLst>
                        <a:ext uri="{28A0092B-C50C-407E-A947-70E740481C1C}">
                          <a14:useLocalDpi xmlns:a14="http://schemas.microsoft.com/office/drawing/2010/main" val="0"/>
                        </a:ext>
                      </a:extLst>
                    </a:blip>
                    <a:srcRect l="460" t="847" r="4759" b="963"/>
                    <a:stretch/>
                  </pic:blipFill>
                  <pic:spPr bwMode="auto">
                    <a:xfrm>
                      <a:off x="0" y="0"/>
                      <a:ext cx="5630378" cy="7117300"/>
                    </a:xfrm>
                    <a:prstGeom prst="rect">
                      <a:avLst/>
                    </a:prstGeom>
                    <a:ln>
                      <a:noFill/>
                    </a:ln>
                    <a:extLst>
                      <a:ext uri="{53640926-AAD7-44D8-BBD7-CCE9431645EC}">
                        <a14:shadowObscured xmlns:a14="http://schemas.microsoft.com/office/drawing/2010/main"/>
                      </a:ext>
                    </a:extLst>
                  </pic:spPr>
                </pic:pic>
              </a:graphicData>
            </a:graphic>
          </wp:inline>
        </w:drawing>
      </w:r>
    </w:p>
    <w:p w14:paraId="74B50D97" w14:textId="77777777" w:rsidR="000A1CD9" w:rsidRPr="00D609AB" w:rsidRDefault="000A1CD9" w:rsidP="00E10229">
      <w:pPr>
        <w:pStyle w:val="ACMANotes"/>
      </w:pPr>
      <w:r w:rsidRPr="00D609AB">
        <w:t xml:space="preserve">*Data not available prior to May 2012. </w:t>
      </w:r>
    </w:p>
    <w:p w14:paraId="60D758C8" w14:textId="77777777" w:rsidR="000A1CD9" w:rsidRPr="00D609AB" w:rsidRDefault="000A1CD9" w:rsidP="00E10229">
      <w:pPr>
        <w:pStyle w:val="ACMANotes"/>
      </w:pPr>
      <w:r w:rsidRPr="00D609AB">
        <w:t>Base: Australians aged 18 and over.</w:t>
      </w:r>
    </w:p>
    <w:p w14:paraId="4075E578" w14:textId="77777777" w:rsidR="000A1CD9" w:rsidRPr="00D609AB" w:rsidRDefault="000A1CD9" w:rsidP="00E10229">
      <w:pPr>
        <w:pStyle w:val="ACMANotes"/>
      </w:pPr>
      <w:r w:rsidRPr="00D609AB">
        <w:t xml:space="preserve">Source: ACMA-commissioned surveys, May 2012, 2013, 2014, 2015 and </w:t>
      </w:r>
      <w:r w:rsidR="00B03E32">
        <w:t xml:space="preserve">June </w:t>
      </w:r>
      <w:r w:rsidRPr="00D609AB">
        <w:t>2016.</w:t>
      </w:r>
    </w:p>
    <w:p w14:paraId="05F10D41" w14:textId="77777777" w:rsidR="000A1CD9" w:rsidRPr="00D609AB" w:rsidRDefault="000A1CD9" w:rsidP="00E10229">
      <w:pPr>
        <w:pStyle w:val="ACMASpaceaftertable"/>
      </w:pPr>
    </w:p>
    <w:p w14:paraId="0B96363B" w14:textId="77777777" w:rsidR="000A1CD9" w:rsidRPr="00D609AB" w:rsidRDefault="000A1CD9" w:rsidP="00E10229">
      <w:pPr>
        <w:keepNext/>
      </w:pPr>
      <w:r w:rsidRPr="00D609AB">
        <w:lastRenderedPageBreak/>
        <w:t xml:space="preserve">In the six months to </w:t>
      </w:r>
      <w:r w:rsidR="00B03E32">
        <w:t>June</w:t>
      </w:r>
      <w:r w:rsidRPr="00D609AB">
        <w:t xml:space="preserve"> 2016, over half of </w:t>
      </w:r>
      <w:r>
        <w:t>adult Australians</w:t>
      </w:r>
      <w:r w:rsidRPr="00D609AB">
        <w:t xml:space="preserve"> (58 per cent) used five or more separate communications services, followed by 21 per cent who used four communications services (Figure 2.11).</w:t>
      </w:r>
    </w:p>
    <w:p w14:paraId="1CAB3114" w14:textId="77777777" w:rsidR="000A1CD9" w:rsidRPr="00D609AB" w:rsidRDefault="000A1CD9" w:rsidP="00E10229">
      <w:pPr>
        <w:pStyle w:val="ACMAFigureHeader"/>
        <w:ind w:left="1136" w:hanging="1136"/>
      </w:pPr>
      <w:r w:rsidRPr="00D609AB">
        <w:t>Figure 2.11</w:t>
      </w:r>
      <w:r w:rsidRPr="00D609AB">
        <w:tab/>
        <w:t xml:space="preserve">Number of communications services used in the six months to </w:t>
      </w:r>
      <w:r w:rsidR="00B03E32">
        <w:t>June</w:t>
      </w:r>
      <w:r w:rsidRPr="00D609AB">
        <w:t xml:space="preserve"> 2016 (percentage)</w:t>
      </w:r>
    </w:p>
    <w:p w14:paraId="6E869638" w14:textId="77777777" w:rsidR="000A1CD9" w:rsidRPr="00D609AB" w:rsidRDefault="00C2242A" w:rsidP="00202E07">
      <w:pPr>
        <w:keepNext/>
        <w:spacing w:after="0"/>
        <w:ind w:left="1021" w:hanging="1021"/>
        <w:rPr>
          <w:rFonts w:cs="Arial"/>
          <w:b/>
          <w:bCs/>
          <w:color w:val="323232"/>
        </w:rPr>
      </w:pPr>
      <w:r>
        <w:rPr>
          <w:rFonts w:cs="Arial"/>
          <w:b/>
          <w:bCs/>
          <w:noProof/>
          <w:color w:val="323232"/>
        </w:rPr>
        <w:drawing>
          <wp:inline distT="0" distB="0" distL="0" distR="0" wp14:anchorId="1CA8D496" wp14:editId="15392AD9">
            <wp:extent cx="5813947" cy="1910080"/>
            <wp:effectExtent l="0" t="0" r="0" b="0"/>
            <wp:docPr id="40" name="Picture 40" descr="Data for Figure 2.11 is in the .ods file for Chapter 2 on the landing page ‘Communications report 2015-16’, available from the ACMA website." title="Figure 2.11 Number of communications services used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2.11 - updated.png"/>
                    <pic:cNvPicPr/>
                  </pic:nvPicPr>
                  <pic:blipFill rotWithShape="1">
                    <a:blip r:embed="rId74">
                      <a:extLst>
                        <a:ext uri="{28A0092B-C50C-407E-A947-70E740481C1C}">
                          <a14:useLocalDpi xmlns:a14="http://schemas.microsoft.com/office/drawing/2010/main" val="0"/>
                        </a:ext>
                      </a:extLst>
                    </a:blip>
                    <a:srcRect l="805" t="3684" r="1265" b="2523"/>
                    <a:stretch/>
                  </pic:blipFill>
                  <pic:spPr bwMode="auto">
                    <a:xfrm>
                      <a:off x="0" y="0"/>
                      <a:ext cx="5817523" cy="1911255"/>
                    </a:xfrm>
                    <a:prstGeom prst="rect">
                      <a:avLst/>
                    </a:prstGeom>
                    <a:ln>
                      <a:noFill/>
                    </a:ln>
                    <a:extLst>
                      <a:ext uri="{53640926-AAD7-44D8-BBD7-CCE9431645EC}">
                        <a14:shadowObscured xmlns:a14="http://schemas.microsoft.com/office/drawing/2010/main"/>
                      </a:ext>
                    </a:extLst>
                  </pic:spPr>
                </pic:pic>
              </a:graphicData>
            </a:graphic>
          </wp:inline>
        </w:drawing>
      </w:r>
    </w:p>
    <w:p w14:paraId="3C3DC6E6" w14:textId="77777777" w:rsidR="000A1CD9" w:rsidRPr="00D609AB" w:rsidRDefault="000A1CD9" w:rsidP="00CE73BB">
      <w:pPr>
        <w:pStyle w:val="ACMANotes"/>
      </w:pPr>
      <w:r w:rsidRPr="00D609AB">
        <w:t>Base: Australians aged 18 and over.</w:t>
      </w:r>
    </w:p>
    <w:p w14:paraId="29043667" w14:textId="77777777" w:rsidR="000A1CD9" w:rsidRPr="00D609AB" w:rsidRDefault="000A1CD9" w:rsidP="00CE73BB">
      <w:pPr>
        <w:pStyle w:val="ACMANotes"/>
      </w:pPr>
      <w:r w:rsidRPr="00D609AB">
        <w:t xml:space="preserve">Source: ACMA-commissioned surveys, May 2015 and </w:t>
      </w:r>
      <w:r w:rsidR="00B03E32">
        <w:t xml:space="preserve">June </w:t>
      </w:r>
      <w:r w:rsidRPr="00D609AB">
        <w:t xml:space="preserve">2016. </w:t>
      </w:r>
    </w:p>
    <w:p w14:paraId="21A7E6E2" w14:textId="77777777" w:rsidR="000A1CD9" w:rsidRPr="00D609AB" w:rsidRDefault="000A1CD9" w:rsidP="00CE73BB">
      <w:pPr>
        <w:pStyle w:val="ACMASpaceaftertable"/>
      </w:pPr>
    </w:p>
    <w:p w14:paraId="4151414C" w14:textId="77777777" w:rsidR="000A1CD9" w:rsidRPr="00D609AB" w:rsidRDefault="000A1CD9" w:rsidP="00604073">
      <w:pPr>
        <w:pStyle w:val="Heading3"/>
      </w:pPr>
      <w:bookmarkStart w:id="537" w:name="_Toc462899595"/>
      <w:bookmarkStart w:id="538" w:name="_Toc433790338"/>
      <w:bookmarkStart w:id="539" w:name="_Toc463529085"/>
      <w:bookmarkStart w:id="540" w:name="_Toc465842901"/>
      <w:r w:rsidRPr="00D609AB">
        <w:t>Social networking activities</w:t>
      </w:r>
      <w:bookmarkEnd w:id="537"/>
      <w:bookmarkEnd w:id="538"/>
      <w:bookmarkEnd w:id="539"/>
      <w:bookmarkEnd w:id="540"/>
      <w:r w:rsidRPr="00D609AB">
        <w:t xml:space="preserve"> </w:t>
      </w:r>
    </w:p>
    <w:p w14:paraId="6542C83D" w14:textId="77777777" w:rsidR="000A1CD9" w:rsidRPr="00D609AB" w:rsidRDefault="000A1CD9" w:rsidP="000A1CD9">
      <w:r w:rsidRPr="00D609AB">
        <w:t xml:space="preserve">The majority of online Australians aged 18 and over (79 per cent) use social networking sites like Facebook (see Figure 2.12). In the six months to </w:t>
      </w:r>
      <w:r w:rsidR="00B03E32">
        <w:t>June</w:t>
      </w:r>
      <w:r w:rsidRPr="00D609AB">
        <w:t xml:space="preserve"> 2016, 93 per cent of internet users aged 18 to 24 used social networking sites compared to </w:t>
      </w:r>
      <w:r>
        <w:t xml:space="preserve">only </w:t>
      </w:r>
      <w:r w:rsidRPr="00D609AB">
        <w:t>62 per cent of internet users aged 65 and over. Females (83 per cent) were more likely than males (75 per cent) to use social networking sites.</w:t>
      </w:r>
      <w:r w:rsidRPr="00D609AB">
        <w:rPr>
          <w:vertAlign w:val="superscript"/>
        </w:rPr>
        <w:endnoteReference w:id="114"/>
      </w:r>
      <w:r w:rsidRPr="00D609AB">
        <w:t xml:space="preserve"> </w:t>
      </w:r>
    </w:p>
    <w:p w14:paraId="4E08BEE0" w14:textId="77777777" w:rsidR="000A1CD9" w:rsidRPr="00D609AB" w:rsidRDefault="000A1CD9" w:rsidP="004200C4">
      <w:pPr>
        <w:pStyle w:val="ACMAFigureHeader"/>
      </w:pPr>
      <w:bookmarkStart w:id="541" w:name="_Toc433790339"/>
      <w:r w:rsidRPr="00D609AB">
        <w:t>Figure 2.12</w:t>
      </w:r>
      <w:r w:rsidRPr="00D609AB">
        <w:tab/>
        <w:t xml:space="preserve">Social networking site use, by age, in the six months to </w:t>
      </w:r>
      <w:r w:rsidR="00B03E32">
        <w:t>June</w:t>
      </w:r>
      <w:r w:rsidRPr="00D609AB">
        <w:t xml:space="preserve"> 2016 (percentage)</w:t>
      </w:r>
    </w:p>
    <w:p w14:paraId="408F74BC" w14:textId="77777777" w:rsidR="000A1CD9" w:rsidRPr="00D609AB" w:rsidRDefault="006A0F81" w:rsidP="00202E07">
      <w:pPr>
        <w:keepNext/>
        <w:spacing w:after="0"/>
        <w:ind w:left="1021" w:hanging="1021"/>
        <w:rPr>
          <w:rFonts w:cs="Arial"/>
          <w:b/>
          <w:bCs/>
          <w:color w:val="323232"/>
        </w:rPr>
      </w:pPr>
      <w:r>
        <w:rPr>
          <w:rFonts w:cs="Arial"/>
          <w:b/>
          <w:bCs/>
          <w:noProof/>
          <w:color w:val="323232"/>
        </w:rPr>
        <w:drawing>
          <wp:inline distT="0" distB="0" distL="0" distR="0" wp14:anchorId="03B6665E" wp14:editId="0781E783">
            <wp:extent cx="5701323" cy="1859915"/>
            <wp:effectExtent l="0" t="0" r="0" b="6985"/>
            <wp:docPr id="33" name="Picture 33" descr="Data for Figure 2.12 is in the .ods file for Chapter 2 on the landing page ‘Communications report 2015-16’, available from the ACMA website." title="Figure 2.12 Social networking site use, by age,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2.12_Figure 2.12.png"/>
                    <pic:cNvPicPr/>
                  </pic:nvPicPr>
                  <pic:blipFill rotWithShape="1">
                    <a:blip r:embed="rId75">
                      <a:extLst>
                        <a:ext uri="{28A0092B-C50C-407E-A947-70E740481C1C}">
                          <a14:useLocalDpi xmlns:a14="http://schemas.microsoft.com/office/drawing/2010/main" val="0"/>
                        </a:ext>
                      </a:extLst>
                    </a:blip>
                    <a:srcRect/>
                    <a:stretch/>
                  </pic:blipFill>
                  <pic:spPr bwMode="auto">
                    <a:xfrm>
                      <a:off x="0" y="0"/>
                      <a:ext cx="5705581" cy="1861304"/>
                    </a:xfrm>
                    <a:prstGeom prst="rect">
                      <a:avLst/>
                    </a:prstGeom>
                    <a:ln>
                      <a:noFill/>
                    </a:ln>
                    <a:extLst>
                      <a:ext uri="{53640926-AAD7-44D8-BBD7-CCE9431645EC}">
                        <a14:shadowObscured xmlns:a14="http://schemas.microsoft.com/office/drawing/2010/main"/>
                      </a:ext>
                    </a:extLst>
                  </pic:spPr>
                </pic:pic>
              </a:graphicData>
            </a:graphic>
          </wp:inline>
        </w:drawing>
      </w:r>
    </w:p>
    <w:p w14:paraId="5A7E3693" w14:textId="77777777" w:rsidR="000A1CD9" w:rsidRPr="00D609AB" w:rsidRDefault="000A1CD9" w:rsidP="004200C4">
      <w:pPr>
        <w:pStyle w:val="ACMANotes"/>
      </w:pPr>
      <w:r w:rsidRPr="00D609AB">
        <w:t>Base: Australians aged 18 and over who accessed the internet.</w:t>
      </w:r>
    </w:p>
    <w:p w14:paraId="37007CEB" w14:textId="77777777" w:rsidR="000A1CD9" w:rsidRPr="00D609AB" w:rsidRDefault="000A1CD9" w:rsidP="004200C4">
      <w:pPr>
        <w:pStyle w:val="ACMANotes"/>
      </w:pPr>
      <w:r w:rsidRPr="00D609AB">
        <w:t xml:space="preserve">Source: ACMA-commissioned survey, </w:t>
      </w:r>
      <w:r w:rsidR="00B03E32">
        <w:t>June</w:t>
      </w:r>
      <w:r w:rsidRPr="00D609AB">
        <w:t xml:space="preserve"> 2016. </w:t>
      </w:r>
    </w:p>
    <w:p w14:paraId="28C52335" w14:textId="77777777" w:rsidR="000A1CD9" w:rsidRPr="00D609AB" w:rsidRDefault="000A1CD9" w:rsidP="004200C4">
      <w:pPr>
        <w:pStyle w:val="ACMASpaceaftertable"/>
      </w:pPr>
    </w:p>
    <w:p w14:paraId="2DE467F2" w14:textId="77777777" w:rsidR="000A1CD9" w:rsidRPr="00D609AB" w:rsidRDefault="000A1CD9" w:rsidP="00604073">
      <w:pPr>
        <w:pStyle w:val="Heading3"/>
      </w:pPr>
      <w:bookmarkStart w:id="542" w:name="_Toc462899596"/>
      <w:bookmarkStart w:id="543" w:name="_Toc463529086"/>
      <w:bookmarkStart w:id="544" w:name="_Toc465842902"/>
      <w:r w:rsidRPr="00D609AB">
        <w:t>Communications apps</w:t>
      </w:r>
      <w:bookmarkEnd w:id="541"/>
      <w:bookmarkEnd w:id="542"/>
      <w:bookmarkEnd w:id="543"/>
      <w:bookmarkEnd w:id="544"/>
    </w:p>
    <w:p w14:paraId="2E747187" w14:textId="77777777" w:rsidR="000A1CD9" w:rsidRPr="00D609AB" w:rsidRDefault="000A1CD9" w:rsidP="000A1CD9">
      <w:r w:rsidRPr="00D609AB">
        <w:t xml:space="preserve">In the six months to </w:t>
      </w:r>
      <w:r w:rsidR="00B03E32">
        <w:t>June</w:t>
      </w:r>
      <w:r w:rsidRPr="00D609AB">
        <w:t xml:space="preserve"> 2016, 49 per cent (8.12 million) of online Australians had used an app to communicate with others online. When using apps to communicate with others, Australians preferred to send messages (44 per cent) than make voice or video calls. Just over a quarter of online Australians made voice calls via an app (27 per cent), while slightly less than a quarter made video calls via an app (23 per cent). Seventeen per cent of Australians engaged in all three activities.</w:t>
      </w:r>
      <w:r w:rsidRPr="00D609AB">
        <w:rPr>
          <w:vertAlign w:val="superscript"/>
        </w:rPr>
        <w:endnoteReference w:id="115"/>
      </w:r>
      <w:r w:rsidRPr="00D609AB">
        <w:t xml:space="preserve"> Those aged 18 to 44 were the most active users of communications apps (Figure 2.13). </w:t>
      </w:r>
    </w:p>
    <w:p w14:paraId="44340DE0" w14:textId="77777777" w:rsidR="000A1CD9" w:rsidRDefault="000A1CD9" w:rsidP="004200C4">
      <w:pPr>
        <w:pStyle w:val="ACMAFigureHeader"/>
        <w:keepNext/>
        <w:ind w:left="1136" w:hanging="1136"/>
      </w:pPr>
      <w:r w:rsidRPr="00D609AB">
        <w:lastRenderedPageBreak/>
        <w:t>Figure 2.13</w:t>
      </w:r>
      <w:r w:rsidRPr="00D609AB">
        <w:tab/>
        <w:t xml:space="preserve">Use of communications apps, by activity and age, in the six months to </w:t>
      </w:r>
      <w:r w:rsidR="00B03E32">
        <w:t>June</w:t>
      </w:r>
      <w:r w:rsidRPr="00D609AB">
        <w:t xml:space="preserve"> 2016 (percentage)</w:t>
      </w:r>
    </w:p>
    <w:p w14:paraId="1C052F4E" w14:textId="77777777" w:rsidR="001D3392" w:rsidRDefault="001D3392" w:rsidP="00C90E26">
      <w:pPr>
        <w:pStyle w:val="ACMAFigureHeader"/>
        <w:keepNext/>
        <w:spacing w:after="0"/>
        <w:ind w:left="1136" w:hanging="1136"/>
      </w:pPr>
      <w:r>
        <w:rPr>
          <w:noProof/>
        </w:rPr>
        <w:drawing>
          <wp:inline distT="0" distB="0" distL="0" distR="0" wp14:anchorId="1D9B4B62" wp14:editId="0DC7826E">
            <wp:extent cx="5897651" cy="2286000"/>
            <wp:effectExtent l="0" t="0" r="0" b="0"/>
            <wp:docPr id="84" name="Picture 84" descr="Data for Figure 2.13 is in the .ods file for Chapter 2 on the landing page ‘Communications report 2015-16’, available from the ACMA website." title="Figure 2.13 Use of communications a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gure 2.13_Figure 2.13.png"/>
                    <pic:cNvPicPr/>
                  </pic:nvPicPr>
                  <pic:blipFill rotWithShape="1">
                    <a:blip r:embed="rId76">
                      <a:extLst>
                        <a:ext uri="{28A0092B-C50C-407E-A947-70E740481C1C}">
                          <a14:useLocalDpi xmlns:a14="http://schemas.microsoft.com/office/drawing/2010/main" val="0"/>
                        </a:ext>
                      </a:extLst>
                    </a:blip>
                    <a:srcRect l="689" t="587" b="1092"/>
                    <a:stretch/>
                  </pic:blipFill>
                  <pic:spPr bwMode="auto">
                    <a:xfrm>
                      <a:off x="0" y="0"/>
                      <a:ext cx="5899052" cy="2286543"/>
                    </a:xfrm>
                    <a:prstGeom prst="rect">
                      <a:avLst/>
                    </a:prstGeom>
                    <a:ln>
                      <a:noFill/>
                    </a:ln>
                    <a:extLst>
                      <a:ext uri="{53640926-AAD7-44D8-BBD7-CCE9431645EC}">
                        <a14:shadowObscured xmlns:a14="http://schemas.microsoft.com/office/drawing/2010/main"/>
                      </a:ext>
                    </a:extLst>
                  </pic:spPr>
                </pic:pic>
              </a:graphicData>
            </a:graphic>
          </wp:inline>
        </w:drawing>
      </w:r>
    </w:p>
    <w:p w14:paraId="0DF49084" w14:textId="77777777" w:rsidR="000A1CD9" w:rsidRPr="00D609AB" w:rsidRDefault="000A1CD9" w:rsidP="00D338D6">
      <w:pPr>
        <w:pStyle w:val="ACMANotes"/>
      </w:pPr>
      <w:r w:rsidRPr="00D609AB">
        <w:t>Base: Australians aged 18 and over who accessed the internet.</w:t>
      </w:r>
    </w:p>
    <w:p w14:paraId="7A58CEDF" w14:textId="77777777" w:rsidR="000A1CD9" w:rsidRPr="00D609AB" w:rsidRDefault="000A1CD9" w:rsidP="004200C4">
      <w:pPr>
        <w:pStyle w:val="ACMANotes"/>
      </w:pPr>
      <w:r w:rsidRPr="00D609AB">
        <w:t xml:space="preserve">Source: ACMA-commissioned survey, </w:t>
      </w:r>
      <w:r w:rsidR="00B03E32">
        <w:t>June</w:t>
      </w:r>
      <w:r w:rsidRPr="00D609AB">
        <w:t xml:space="preserve"> 2016.</w:t>
      </w:r>
    </w:p>
    <w:p w14:paraId="3C0546AF" w14:textId="77777777" w:rsidR="000A1CD9" w:rsidRPr="00D609AB" w:rsidRDefault="000A1CD9" w:rsidP="004200C4">
      <w:pPr>
        <w:pStyle w:val="ACMASpaceaftertable"/>
      </w:pPr>
    </w:p>
    <w:p w14:paraId="31758336" w14:textId="77777777" w:rsidR="000A1CD9" w:rsidRPr="00604073" w:rsidRDefault="000A1CD9" w:rsidP="004200C4">
      <w:pPr>
        <w:pStyle w:val="Bodysubheader0"/>
      </w:pPr>
      <w:r w:rsidRPr="00604073">
        <w:t>Use of communications apps compared to other types of services</w:t>
      </w:r>
    </w:p>
    <w:p w14:paraId="04378E14" w14:textId="77777777" w:rsidR="000A1CD9" w:rsidRPr="00D609AB" w:rsidRDefault="000A1CD9" w:rsidP="000A1CD9">
      <w:r w:rsidRPr="00D609AB">
        <w:t xml:space="preserve">When communicating with others via video call, 79 per cent of adult Australians used apps rather than other types of services such as mobile phones or fixed-line telephones. Slightly more than a quarter of Australians preferred to use apps when sending text messages (27 per cent), while only 11 per cent did so when making voice calls (Figure 2.14). </w:t>
      </w:r>
    </w:p>
    <w:p w14:paraId="62525879" w14:textId="77777777" w:rsidR="000A1CD9" w:rsidRPr="00D609AB" w:rsidRDefault="000A1CD9" w:rsidP="004200C4">
      <w:pPr>
        <w:pStyle w:val="ACMAFigureHeader"/>
        <w:ind w:left="1136" w:hanging="1136"/>
      </w:pPr>
      <w:r w:rsidRPr="00D609AB">
        <w:t>Figure 2.14</w:t>
      </w:r>
      <w:r w:rsidRPr="00D609AB">
        <w:tab/>
        <w:t xml:space="preserve">Communications activity, by type of service, in the six months to </w:t>
      </w:r>
      <w:r w:rsidR="00B03E32">
        <w:t>June</w:t>
      </w:r>
      <w:r w:rsidRPr="00D609AB">
        <w:t xml:space="preserve"> 2016 (percentage)</w:t>
      </w:r>
    </w:p>
    <w:p w14:paraId="0C19178A" w14:textId="1BD947EF" w:rsidR="000A1CD9" w:rsidRPr="00D609AB" w:rsidRDefault="000D60E4" w:rsidP="00202E07">
      <w:pPr>
        <w:keepNext/>
        <w:spacing w:after="0"/>
        <w:rPr>
          <w:b/>
          <w:bCs/>
          <w:color w:val="323232"/>
          <w:szCs w:val="20"/>
        </w:rPr>
      </w:pPr>
      <w:r>
        <w:rPr>
          <w:b/>
          <w:bCs/>
          <w:noProof/>
          <w:color w:val="323232"/>
          <w:szCs w:val="20"/>
        </w:rPr>
        <w:drawing>
          <wp:inline distT="0" distB="0" distL="0" distR="0" wp14:anchorId="79A96327" wp14:editId="724DCC5F">
            <wp:extent cx="5695167" cy="1715770"/>
            <wp:effectExtent l="0" t="0" r="1270" b="0"/>
            <wp:docPr id="35" name="Picture 35" descr="Data for Figure 2.14 is in the .ods file for Chapter 2 on the landing page ‘Communications report 2015-16’, available from the ACMA website." title="Figure 2.14 Communications activity, by type of service,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2.14_Figure 2.14.png"/>
                    <pic:cNvPicPr/>
                  </pic:nvPicPr>
                  <pic:blipFill rotWithShape="1">
                    <a:blip r:embed="rId77">
                      <a:extLst>
                        <a:ext uri="{28A0092B-C50C-407E-A947-70E740481C1C}">
                          <a14:useLocalDpi xmlns:a14="http://schemas.microsoft.com/office/drawing/2010/main" val="0"/>
                        </a:ext>
                      </a:extLst>
                    </a:blip>
                    <a:srcRect l="2390" t="4983" r="1708" b="1911"/>
                    <a:stretch/>
                  </pic:blipFill>
                  <pic:spPr bwMode="auto">
                    <a:xfrm>
                      <a:off x="0" y="0"/>
                      <a:ext cx="5697026" cy="1716330"/>
                    </a:xfrm>
                    <a:prstGeom prst="rect">
                      <a:avLst/>
                    </a:prstGeom>
                    <a:ln>
                      <a:noFill/>
                    </a:ln>
                    <a:extLst>
                      <a:ext uri="{53640926-AAD7-44D8-BBD7-CCE9431645EC}">
                        <a14:shadowObscured xmlns:a14="http://schemas.microsoft.com/office/drawing/2010/main"/>
                      </a:ext>
                    </a:extLst>
                  </pic:spPr>
                </pic:pic>
              </a:graphicData>
            </a:graphic>
          </wp:inline>
        </w:drawing>
      </w:r>
    </w:p>
    <w:p w14:paraId="39A8CD18" w14:textId="77777777" w:rsidR="000A1CD9" w:rsidRPr="00D609AB" w:rsidRDefault="000A1CD9" w:rsidP="004200C4">
      <w:pPr>
        <w:pStyle w:val="ACMANotes"/>
      </w:pPr>
      <w:r w:rsidRPr="00D609AB">
        <w:t>*Data not available</w:t>
      </w:r>
    </w:p>
    <w:p w14:paraId="1BD0E1E5" w14:textId="77777777" w:rsidR="000A1CD9" w:rsidRPr="00D609AB" w:rsidRDefault="000A1CD9" w:rsidP="004200C4">
      <w:pPr>
        <w:pStyle w:val="ACMANotes"/>
      </w:pPr>
      <w:r w:rsidRPr="00D609AB">
        <w:t>Base: Australians aged 18 and over who undertook the following activity: send messages (n=1,685), voice calls (n=2,056), video</w:t>
      </w:r>
      <w:r w:rsidR="00717EF6">
        <w:t> </w:t>
      </w:r>
      <w:r w:rsidRPr="00D609AB">
        <w:t>calls (n=505).</w:t>
      </w:r>
    </w:p>
    <w:p w14:paraId="3776CF4E" w14:textId="77777777" w:rsidR="000A1CD9" w:rsidRPr="00D609AB" w:rsidRDefault="000A1CD9" w:rsidP="004200C4">
      <w:pPr>
        <w:pStyle w:val="ACMANotes"/>
      </w:pPr>
      <w:r w:rsidRPr="00D609AB">
        <w:t>Note: Numbers may not add up due to rounding.</w:t>
      </w:r>
    </w:p>
    <w:p w14:paraId="63FBB741" w14:textId="77777777" w:rsidR="000A1CD9" w:rsidRPr="00D609AB" w:rsidRDefault="000A1CD9" w:rsidP="004200C4">
      <w:pPr>
        <w:pStyle w:val="ACMANotes"/>
      </w:pPr>
      <w:r w:rsidRPr="00D609AB">
        <w:t xml:space="preserve">Source: ACMA-commissioned survey, </w:t>
      </w:r>
      <w:r w:rsidR="00B03E32">
        <w:t>June</w:t>
      </w:r>
      <w:r w:rsidRPr="00D609AB">
        <w:t xml:space="preserve"> 2016.</w:t>
      </w:r>
    </w:p>
    <w:p w14:paraId="4AB2233C" w14:textId="77777777" w:rsidR="000A1CD9" w:rsidRPr="00D609AB" w:rsidRDefault="000A1CD9" w:rsidP="004200C4">
      <w:pPr>
        <w:pStyle w:val="ACMASpaceaftertable"/>
      </w:pPr>
    </w:p>
    <w:p w14:paraId="2EFEA0D8" w14:textId="77777777" w:rsidR="000A1CD9" w:rsidRPr="00D609AB" w:rsidRDefault="000A1CD9" w:rsidP="000A1CD9">
      <w:r w:rsidRPr="00D609AB">
        <w:t>The preference for using apps to send messages and make voice calls was related to age. Half of Australians aged 18</w:t>
      </w:r>
      <w:r w:rsidRPr="00D609AB">
        <w:rPr>
          <w:rFonts w:cs="Arial"/>
        </w:rPr>
        <w:t xml:space="preserve"> to </w:t>
      </w:r>
      <w:r w:rsidRPr="00D609AB">
        <w:t>24 preferred using apps for sending messages (50 per cent), followed by 40 per cent of those aged 25</w:t>
      </w:r>
      <w:r w:rsidRPr="00D609AB">
        <w:rPr>
          <w:rFonts w:cs="Arial"/>
        </w:rPr>
        <w:t xml:space="preserve"> to </w:t>
      </w:r>
      <w:r w:rsidRPr="00D609AB">
        <w:t>34 and 34 per cent of those aged 35</w:t>
      </w:r>
      <w:r w:rsidRPr="00D609AB">
        <w:rPr>
          <w:rFonts w:cs="Arial"/>
        </w:rPr>
        <w:t xml:space="preserve"> to </w:t>
      </w:r>
      <w:r w:rsidRPr="00D609AB">
        <w:t>44. In terms of voice calls, 22 per cent of Australians aged 25</w:t>
      </w:r>
      <w:r w:rsidRPr="00D609AB">
        <w:rPr>
          <w:rFonts w:cs="Arial"/>
        </w:rPr>
        <w:t xml:space="preserve"> to </w:t>
      </w:r>
      <w:r w:rsidRPr="00D609AB">
        <w:t>24 preferred using apps for voice calls, followed by 18 per cent of those aged 18</w:t>
      </w:r>
      <w:r w:rsidR="00717EF6">
        <w:rPr>
          <w:rFonts w:cs="Arial"/>
        </w:rPr>
        <w:t> </w:t>
      </w:r>
      <w:r w:rsidRPr="00D609AB">
        <w:rPr>
          <w:rFonts w:cs="Arial"/>
        </w:rPr>
        <w:t xml:space="preserve">to </w:t>
      </w:r>
      <w:r w:rsidRPr="00D609AB">
        <w:t>24 and 15 per cent of those aged 35</w:t>
      </w:r>
      <w:r w:rsidRPr="00D609AB">
        <w:rPr>
          <w:rFonts w:cs="Arial"/>
        </w:rPr>
        <w:t xml:space="preserve"> to </w:t>
      </w:r>
      <w:r w:rsidRPr="00D609AB">
        <w:t>44. This number declined to only nine per cent of those aged 45</w:t>
      </w:r>
      <w:r w:rsidRPr="00D609AB">
        <w:rPr>
          <w:rFonts w:cs="Arial"/>
        </w:rPr>
        <w:t xml:space="preserve"> to </w:t>
      </w:r>
      <w:r w:rsidRPr="00D609AB">
        <w:t>54.</w:t>
      </w:r>
    </w:p>
    <w:p w14:paraId="796D5575" w14:textId="77777777" w:rsidR="000A1CD9" w:rsidRPr="00D609AB" w:rsidRDefault="000A1CD9" w:rsidP="000A1CD9">
      <w:r w:rsidRPr="00D609AB">
        <w:lastRenderedPageBreak/>
        <w:t>However, preferring apps for video calls was high among all groups—83 per cent of Australians aged 18</w:t>
      </w:r>
      <w:r w:rsidR="00717EF6">
        <w:rPr>
          <w:rFonts w:cs="Arial"/>
        </w:rPr>
        <w:t> </w:t>
      </w:r>
      <w:r w:rsidRPr="00D609AB">
        <w:rPr>
          <w:rFonts w:cs="Arial"/>
        </w:rPr>
        <w:t xml:space="preserve">to </w:t>
      </w:r>
      <w:r w:rsidRPr="00D609AB">
        <w:t>24 preferred using apps for video calls, followed by 81 per cent of those aged 25</w:t>
      </w:r>
      <w:r w:rsidRPr="00D609AB">
        <w:rPr>
          <w:rFonts w:cs="Arial"/>
        </w:rPr>
        <w:t xml:space="preserve"> to </w:t>
      </w:r>
      <w:r w:rsidRPr="00D609AB">
        <w:t>34 and 80 per cent of those aged 45</w:t>
      </w:r>
      <w:r w:rsidRPr="00D609AB">
        <w:rPr>
          <w:rFonts w:cs="Arial"/>
        </w:rPr>
        <w:t xml:space="preserve"> to </w:t>
      </w:r>
      <w:r w:rsidRPr="00D609AB">
        <w:t>54.</w:t>
      </w:r>
      <w:r w:rsidRPr="00D609AB">
        <w:rPr>
          <w:vertAlign w:val="superscript"/>
        </w:rPr>
        <w:endnoteReference w:id="116"/>
      </w:r>
    </w:p>
    <w:p w14:paraId="72746548" w14:textId="77777777" w:rsidR="000A1CD9" w:rsidRPr="00604073" w:rsidRDefault="00715603" w:rsidP="00D433EE">
      <w:pPr>
        <w:pStyle w:val="Bodysubheader0"/>
      </w:pPr>
      <w:r>
        <w:t>C</w:t>
      </w:r>
      <w:r w:rsidR="000A1CD9" w:rsidRPr="00604073">
        <w:t>ommunications ap</w:t>
      </w:r>
      <w:r>
        <w:t>ps in use</w:t>
      </w:r>
      <w:r w:rsidR="000A1CD9" w:rsidRPr="00604073">
        <w:t xml:space="preserve"> </w:t>
      </w:r>
    </w:p>
    <w:p w14:paraId="765E7E0E" w14:textId="77777777" w:rsidR="000A1CD9" w:rsidRPr="00D609AB" w:rsidRDefault="000A1CD9" w:rsidP="000A1CD9">
      <w:r w:rsidRPr="00D609AB">
        <w:t xml:space="preserve">Facebook Messenger remains the most preferred communications app—41 per cent of online Australians use it to either send messages or make voice or video calls (Figure 2.15). Skype is the next most preferred at </w:t>
      </w:r>
      <w:r>
        <w:t>25</w:t>
      </w:r>
      <w:r w:rsidRPr="00D609AB">
        <w:t xml:space="preserve"> per cent, followed by WhatsApp (20 per cent) and FaceTime (14 per cent). </w:t>
      </w:r>
    </w:p>
    <w:p w14:paraId="2216C584" w14:textId="77777777" w:rsidR="000A1CD9" w:rsidRPr="00D609AB" w:rsidRDefault="000A1CD9" w:rsidP="000A1CD9">
      <w:r w:rsidRPr="00D609AB">
        <w:t>The choice of app was influenced by age. Facebook Messenger was the most preferred communications app for those aged 18 to 64. Skype and Facebook Messenger were the equal most preferred communications app for those aged 65 and over.</w:t>
      </w:r>
      <w:r w:rsidRPr="00D609AB">
        <w:rPr>
          <w:vertAlign w:val="superscript"/>
        </w:rPr>
        <w:endnoteReference w:id="117"/>
      </w:r>
      <w:r w:rsidRPr="00D609AB">
        <w:t xml:space="preserve"> </w:t>
      </w:r>
    </w:p>
    <w:p w14:paraId="5EA4181E" w14:textId="77777777" w:rsidR="000A1CD9" w:rsidRPr="00D609AB" w:rsidRDefault="000A1CD9" w:rsidP="00D433EE">
      <w:pPr>
        <w:pStyle w:val="ACMAFigureHeader"/>
      </w:pPr>
      <w:r w:rsidRPr="00D609AB">
        <w:t>Figure 2.15</w:t>
      </w:r>
      <w:r w:rsidRPr="00D609AB">
        <w:tab/>
        <w:t xml:space="preserve">Top 10 communications apps used in the six months to </w:t>
      </w:r>
      <w:r w:rsidR="00B03E32">
        <w:t>June</w:t>
      </w:r>
      <w:r w:rsidRPr="00D609AB">
        <w:t xml:space="preserve"> 2016 (percentage)</w:t>
      </w:r>
    </w:p>
    <w:p w14:paraId="583E1575" w14:textId="77777777" w:rsidR="000A1CD9" w:rsidRPr="00D609AB" w:rsidRDefault="001D3392" w:rsidP="00202E07">
      <w:pPr>
        <w:spacing w:after="0"/>
        <w:rPr>
          <w:b/>
          <w:bCs/>
          <w:color w:val="323232"/>
          <w:szCs w:val="20"/>
        </w:rPr>
      </w:pPr>
      <w:r>
        <w:rPr>
          <w:b/>
          <w:bCs/>
          <w:noProof/>
          <w:color w:val="323232"/>
          <w:szCs w:val="20"/>
        </w:rPr>
        <w:drawing>
          <wp:inline distT="0" distB="0" distL="0" distR="0" wp14:anchorId="4E597C4B" wp14:editId="78E5D61A">
            <wp:extent cx="5802286" cy="3155950"/>
            <wp:effectExtent l="0" t="0" r="0" b="0"/>
            <wp:docPr id="85" name="Picture 85" descr="Data for Figure 2.15 is in the .ods file for Chapter 2 on the landing page ‘Communications report 2015-16’, available from the ACMA website." title="Figure 2.15  Top 10 Communications apps used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 2.15_Figure 2.15.png"/>
                    <pic:cNvPicPr/>
                  </pic:nvPicPr>
                  <pic:blipFill rotWithShape="1">
                    <a:blip r:embed="rId78">
                      <a:extLst>
                        <a:ext uri="{28A0092B-C50C-407E-A947-70E740481C1C}">
                          <a14:useLocalDpi xmlns:a14="http://schemas.microsoft.com/office/drawing/2010/main" val="0"/>
                        </a:ext>
                      </a:extLst>
                    </a:blip>
                    <a:srcRect/>
                    <a:stretch/>
                  </pic:blipFill>
                  <pic:spPr bwMode="auto">
                    <a:xfrm>
                      <a:off x="0" y="0"/>
                      <a:ext cx="5803494" cy="3156607"/>
                    </a:xfrm>
                    <a:prstGeom prst="rect">
                      <a:avLst/>
                    </a:prstGeom>
                    <a:ln>
                      <a:noFill/>
                    </a:ln>
                    <a:extLst>
                      <a:ext uri="{53640926-AAD7-44D8-BBD7-CCE9431645EC}">
                        <a14:shadowObscured xmlns:a14="http://schemas.microsoft.com/office/drawing/2010/main"/>
                      </a:ext>
                    </a:extLst>
                  </pic:spPr>
                </pic:pic>
              </a:graphicData>
            </a:graphic>
          </wp:inline>
        </w:drawing>
      </w:r>
    </w:p>
    <w:p w14:paraId="60CA0C2F" w14:textId="77777777" w:rsidR="000A1CD9" w:rsidRPr="00D609AB" w:rsidRDefault="000A1CD9" w:rsidP="00D433EE">
      <w:pPr>
        <w:pStyle w:val="ACMANotes"/>
      </w:pPr>
      <w:r w:rsidRPr="00D609AB">
        <w:t>Base: Australians aged 18 and over who accessed the internet.</w:t>
      </w:r>
    </w:p>
    <w:p w14:paraId="42424961" w14:textId="77777777" w:rsidR="000A1CD9" w:rsidRPr="00D609AB" w:rsidRDefault="000A1CD9" w:rsidP="00D433EE">
      <w:pPr>
        <w:pStyle w:val="ACMANotes"/>
      </w:pPr>
      <w:r w:rsidRPr="00D609AB">
        <w:t xml:space="preserve">Source: ACMA-commissioned survey, </w:t>
      </w:r>
      <w:r w:rsidR="00B03E32">
        <w:t>June</w:t>
      </w:r>
      <w:r w:rsidRPr="00D609AB">
        <w:t xml:space="preserve"> 2016.</w:t>
      </w:r>
    </w:p>
    <w:p w14:paraId="0405F412" w14:textId="77777777" w:rsidR="000A1CD9" w:rsidRPr="00D609AB" w:rsidRDefault="000A1CD9" w:rsidP="00D433EE">
      <w:pPr>
        <w:pStyle w:val="ACMASpaceaftertable"/>
      </w:pPr>
    </w:p>
    <w:p w14:paraId="7371043E" w14:textId="77777777" w:rsidR="000A1CD9" w:rsidRPr="00D609AB" w:rsidRDefault="000A1CD9" w:rsidP="000A1CD9">
      <w:r w:rsidRPr="00D609AB">
        <w:t>Australians are using different apps for different types of communications activities (Figure 2.16). Facebook Messenger was the most popular app to send messages, preferred by 39 per cent of online Australians. Skype was the most used app for voice calls at 19 per cent, followed closely by Facebook Messenger at 18 per cent. Skype also led for video-calling, preferred by 15 per cent of online Australians.</w:t>
      </w:r>
    </w:p>
    <w:p w14:paraId="51BCB715" w14:textId="77777777" w:rsidR="000A1CD9" w:rsidRPr="00D609AB" w:rsidRDefault="000A1CD9" w:rsidP="00D433EE">
      <w:pPr>
        <w:pStyle w:val="ACMAFigureHeader"/>
        <w:keepNext/>
      </w:pPr>
      <w:r w:rsidRPr="00D609AB">
        <w:lastRenderedPageBreak/>
        <w:t>Figure 2.16</w:t>
      </w:r>
      <w:r w:rsidRPr="00D609AB">
        <w:tab/>
        <w:t xml:space="preserve">Top 10 communications apps, by activity, in the six months to </w:t>
      </w:r>
      <w:r w:rsidR="00B03E32">
        <w:t>June</w:t>
      </w:r>
      <w:r w:rsidRPr="00D609AB">
        <w:t xml:space="preserve"> 2016 (percentage)</w:t>
      </w:r>
    </w:p>
    <w:p w14:paraId="4FC88482" w14:textId="77777777" w:rsidR="000A1CD9" w:rsidRPr="00D609AB" w:rsidRDefault="000A1CD9" w:rsidP="00202E07">
      <w:pPr>
        <w:keepNext/>
        <w:spacing w:after="0"/>
        <w:rPr>
          <w:b/>
          <w:bCs/>
          <w:color w:val="323232"/>
          <w:szCs w:val="20"/>
        </w:rPr>
      </w:pPr>
      <w:r w:rsidRPr="00927858">
        <w:rPr>
          <w:noProof/>
          <w:highlight w:val="cyan"/>
        </w:rPr>
        <w:drawing>
          <wp:inline distT="0" distB="0" distL="0" distR="0" wp14:anchorId="221C713B" wp14:editId="3830AD31">
            <wp:extent cx="5731510" cy="3086198"/>
            <wp:effectExtent l="0" t="0" r="2540" b="0"/>
            <wp:docPr id="59" name="Picture 59" descr="Data for Figure 2.16 is in the .ods file for Chapter 2 on the landing page ‘Communications report 2015-16’, available from the ACMA website." title="Figure 2.16 Top 10 communications apps, by activity,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boration\DavWWWRoot\organisation\cscd\RFB\CAS\CommsReport1516\RAS drafting\Comms report 2015-16 - Graphics\Chapter 2 Graphics\Chapter 2_Figure 2.16.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3086198"/>
                    </a:xfrm>
                    <a:prstGeom prst="rect">
                      <a:avLst/>
                    </a:prstGeom>
                    <a:noFill/>
                    <a:ln>
                      <a:noFill/>
                    </a:ln>
                  </pic:spPr>
                </pic:pic>
              </a:graphicData>
            </a:graphic>
          </wp:inline>
        </w:drawing>
      </w:r>
    </w:p>
    <w:p w14:paraId="5A904DEF" w14:textId="77777777" w:rsidR="000A1CD9" w:rsidRPr="00D609AB" w:rsidRDefault="000A1CD9" w:rsidP="00D433EE">
      <w:pPr>
        <w:pStyle w:val="ACMANotes"/>
      </w:pPr>
      <w:r w:rsidRPr="00D609AB">
        <w:t>Base: Australians aged 18 and over who accessed the internet.</w:t>
      </w:r>
    </w:p>
    <w:p w14:paraId="6D0ABA70" w14:textId="77777777" w:rsidR="000A1CD9" w:rsidRPr="00D609AB" w:rsidRDefault="000A1CD9" w:rsidP="00D433EE">
      <w:pPr>
        <w:pStyle w:val="ACMANotes"/>
      </w:pPr>
      <w:r w:rsidRPr="00D609AB">
        <w:t xml:space="preserve">Source: ACMA-commissioned survey, </w:t>
      </w:r>
      <w:r w:rsidR="00B03E32">
        <w:t>June</w:t>
      </w:r>
      <w:r w:rsidRPr="00D609AB">
        <w:t xml:space="preserve"> 2016.</w:t>
      </w:r>
    </w:p>
    <w:p w14:paraId="4F9F5B1D" w14:textId="77777777" w:rsidR="000A1CD9" w:rsidRPr="00D609AB" w:rsidRDefault="000A1CD9" w:rsidP="00D433EE">
      <w:pPr>
        <w:pStyle w:val="ACMASpaceaftertable"/>
      </w:pPr>
    </w:p>
    <w:p w14:paraId="2F774E43" w14:textId="77777777" w:rsidR="000A1CD9" w:rsidRPr="00D609AB" w:rsidRDefault="000A1CD9" w:rsidP="00985976">
      <w:pPr>
        <w:pStyle w:val="Heading2"/>
        <w:numPr>
          <w:ilvl w:val="1"/>
          <w:numId w:val="12"/>
        </w:numPr>
        <w:ind w:hanging="792"/>
      </w:pPr>
      <w:bookmarkStart w:id="545" w:name="_Toc462899597"/>
      <w:bookmarkStart w:id="546" w:name="_Toc463529087"/>
      <w:bookmarkStart w:id="547" w:name="_Toc465842903"/>
      <w:bookmarkStart w:id="548" w:name="_Toc433790340"/>
      <w:r w:rsidRPr="00D609AB">
        <w:t>Internet activities</w:t>
      </w:r>
      <w:bookmarkEnd w:id="545"/>
      <w:bookmarkEnd w:id="546"/>
      <w:bookmarkEnd w:id="547"/>
    </w:p>
    <w:p w14:paraId="0F023B4E" w14:textId="77777777" w:rsidR="000A1CD9" w:rsidRPr="00D609AB" w:rsidRDefault="000A1CD9" w:rsidP="00604073">
      <w:pPr>
        <w:pStyle w:val="Heading3"/>
      </w:pPr>
      <w:bookmarkStart w:id="549" w:name="_Toc462899598"/>
      <w:bookmarkStart w:id="550" w:name="_Toc463529088"/>
      <w:bookmarkStart w:id="551" w:name="_Toc465842904"/>
      <w:r w:rsidRPr="00D609AB">
        <w:t>Performing activities online</w:t>
      </w:r>
      <w:bookmarkEnd w:id="548"/>
      <w:bookmarkEnd w:id="549"/>
      <w:bookmarkEnd w:id="550"/>
      <w:bookmarkEnd w:id="551"/>
    </w:p>
    <w:p w14:paraId="63A9E671" w14:textId="77777777" w:rsidR="000A1CD9" w:rsidRPr="00D609AB" w:rsidRDefault="000A1CD9" w:rsidP="000A1CD9">
      <w:r w:rsidRPr="00D609AB">
        <w:t xml:space="preserve">Further confirmation of Australians’ strong engagement online is reflected in the high levels of participation across a diverse range of online activities. Figure 2.17 shows the three most popular online activities for Australian adult internet users at </w:t>
      </w:r>
      <w:r w:rsidR="00B03E32">
        <w:t>June</w:t>
      </w:r>
      <w:r w:rsidRPr="00D609AB">
        <w:t xml:space="preserve"> 2016 were sending and receiving email (97 per cent), general internet browsing (96 per cent) and using the internet to research or gather information (95 per cent). These traditional online activities indicate generally high levels of engagement across all age groups. At </w:t>
      </w:r>
      <w:r w:rsidR="00B03E32">
        <w:t>June</w:t>
      </w:r>
      <w:r w:rsidRPr="00D609AB">
        <w:t xml:space="preserve"> 2016, more than nine in 10 (95 per cent) internet users aged 65 and over communicated using email—this represented 2.05 million people. </w:t>
      </w:r>
    </w:p>
    <w:p w14:paraId="07FA655B" w14:textId="77777777" w:rsidR="000A1CD9" w:rsidRPr="00D609AB" w:rsidRDefault="000A1CD9" w:rsidP="00D433EE">
      <w:r w:rsidRPr="00D609AB">
        <w:t>Additionally, more than 80 per cent of online Australian adults used the internet to do banking or pay bills (88 per cent).</w:t>
      </w:r>
    </w:p>
    <w:p w14:paraId="2C0F018B" w14:textId="77777777" w:rsidR="000A1CD9" w:rsidRPr="00D609AB" w:rsidRDefault="000A1CD9" w:rsidP="00D433EE">
      <w:pPr>
        <w:pStyle w:val="ACMAFigureHeader"/>
        <w:keepNext/>
      </w:pPr>
      <w:r w:rsidRPr="00D609AB">
        <w:lastRenderedPageBreak/>
        <w:t>Figure 2.17</w:t>
      </w:r>
      <w:r w:rsidRPr="00D609AB">
        <w:tab/>
        <w:t xml:space="preserve">Performing activities online, six months to </w:t>
      </w:r>
      <w:r w:rsidR="00B03E32">
        <w:t>June</w:t>
      </w:r>
      <w:r w:rsidRPr="00D609AB">
        <w:t xml:space="preserve"> 2016 (percentage)</w:t>
      </w:r>
    </w:p>
    <w:p w14:paraId="56BAEEC9" w14:textId="77777777" w:rsidR="000A1CD9" w:rsidRPr="00D609AB" w:rsidRDefault="00096197" w:rsidP="00202E07">
      <w:pPr>
        <w:keepNext/>
        <w:spacing w:after="0"/>
        <w:rPr>
          <w:b/>
          <w:bCs/>
          <w:color w:val="323232"/>
          <w:szCs w:val="20"/>
        </w:rPr>
      </w:pPr>
      <w:r>
        <w:rPr>
          <w:b/>
          <w:bCs/>
          <w:noProof/>
          <w:color w:val="323232"/>
          <w:szCs w:val="20"/>
        </w:rPr>
        <w:drawing>
          <wp:inline distT="0" distB="0" distL="0" distR="0" wp14:anchorId="3E70F297" wp14:editId="0E1750C4">
            <wp:extent cx="5733102" cy="4008626"/>
            <wp:effectExtent l="0" t="0" r="1270" b="0"/>
            <wp:docPr id="51" name="Picture 51" descr="Data for Figure 2.17 is in the .ods file for Chapter 2 on the landing page ‘Communications report 2015-16’, available from the ACMA website." title="Figure 2.17  Performing activities online, six months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 2.17_Figure 2.17.png"/>
                    <pic:cNvPicPr/>
                  </pic:nvPicPr>
                  <pic:blipFill rotWithShape="1">
                    <a:blip r:embed="rId80">
                      <a:extLst>
                        <a:ext uri="{28A0092B-C50C-407E-A947-70E740481C1C}">
                          <a14:useLocalDpi xmlns:a14="http://schemas.microsoft.com/office/drawing/2010/main" val="0"/>
                        </a:ext>
                      </a:extLst>
                    </a:blip>
                    <a:srcRect/>
                    <a:stretch/>
                  </pic:blipFill>
                  <pic:spPr bwMode="auto">
                    <a:xfrm>
                      <a:off x="0" y="0"/>
                      <a:ext cx="5734709" cy="4009750"/>
                    </a:xfrm>
                    <a:prstGeom prst="rect">
                      <a:avLst/>
                    </a:prstGeom>
                    <a:ln>
                      <a:noFill/>
                    </a:ln>
                    <a:extLst>
                      <a:ext uri="{53640926-AAD7-44D8-BBD7-CCE9431645EC}">
                        <a14:shadowObscured xmlns:a14="http://schemas.microsoft.com/office/drawing/2010/main"/>
                      </a:ext>
                    </a:extLst>
                  </pic:spPr>
                </pic:pic>
              </a:graphicData>
            </a:graphic>
          </wp:inline>
        </w:drawing>
      </w:r>
    </w:p>
    <w:p w14:paraId="5C678530" w14:textId="77777777" w:rsidR="000A1CD9" w:rsidRPr="00D609AB" w:rsidRDefault="000A1CD9" w:rsidP="00D433EE">
      <w:pPr>
        <w:pStyle w:val="ACMANotes"/>
      </w:pPr>
      <w:r w:rsidRPr="00D609AB">
        <w:t>Base: Australians aged 18 and over who accessed the internet.</w:t>
      </w:r>
    </w:p>
    <w:p w14:paraId="0A6D590F" w14:textId="77777777" w:rsidR="000A1CD9" w:rsidRPr="00D609AB" w:rsidRDefault="000A1CD9" w:rsidP="00D433EE">
      <w:pPr>
        <w:pStyle w:val="ACMANotes"/>
      </w:pPr>
      <w:r w:rsidRPr="00D609AB">
        <w:t xml:space="preserve">Source: ACMA-commissioned survey, </w:t>
      </w:r>
      <w:r w:rsidR="00032935">
        <w:t xml:space="preserve">June </w:t>
      </w:r>
      <w:r w:rsidRPr="00D609AB">
        <w:t>2016.</w:t>
      </w:r>
    </w:p>
    <w:p w14:paraId="1FFE4707" w14:textId="77777777" w:rsidR="000A1CD9" w:rsidRPr="00D609AB" w:rsidRDefault="000A1CD9" w:rsidP="00D433EE">
      <w:pPr>
        <w:pStyle w:val="ACMASpaceaftertable"/>
      </w:pPr>
    </w:p>
    <w:p w14:paraId="78F7A251" w14:textId="77777777" w:rsidR="000A1CD9" w:rsidRPr="00D609AB" w:rsidRDefault="000A1CD9" w:rsidP="00604073">
      <w:pPr>
        <w:pStyle w:val="Heading3"/>
      </w:pPr>
      <w:bookmarkStart w:id="552" w:name="_Toc465842905"/>
      <w:r w:rsidRPr="00D609AB">
        <w:t>Accessing online video and audio content</w:t>
      </w:r>
      <w:bookmarkEnd w:id="552"/>
    </w:p>
    <w:p w14:paraId="4F1B0844" w14:textId="77777777" w:rsidR="000A1CD9" w:rsidRPr="00D609AB" w:rsidRDefault="000A1CD9" w:rsidP="000A1CD9">
      <w:r w:rsidRPr="00D609AB">
        <w:t xml:space="preserve">While traditional </w:t>
      </w:r>
      <w:r w:rsidR="00AC1FDC">
        <w:t xml:space="preserve">free-to-air </w:t>
      </w:r>
      <w:r w:rsidR="00F30AE3">
        <w:t>(</w:t>
      </w:r>
      <w:r w:rsidRPr="00D609AB">
        <w:t>FTA</w:t>
      </w:r>
      <w:r w:rsidR="00F30AE3">
        <w:t>)</w:t>
      </w:r>
      <w:r w:rsidRPr="00D609AB">
        <w:t xml:space="preserve"> television continues to dominate content viewing, the way Australians access video and audio content is changing, with many now accessing similar content online. </w:t>
      </w:r>
    </w:p>
    <w:p w14:paraId="5B1908DF" w14:textId="77777777" w:rsidR="000A1CD9" w:rsidRPr="00D609AB" w:rsidRDefault="000A1CD9" w:rsidP="000A1CD9">
      <w:r w:rsidRPr="00D609AB">
        <w:t xml:space="preserve">As shown in Figure 2.18, more than two-thirds of online Australian adults accessed online video content (72 per cent) and more than half listened to audio content online (57 per cent). These activities were directly proportional to age. The vast majority of young people aged 18 to 24 accessed video content online (94 per cent), but this dropped to 42 per cent for those aged 65 and over. A similar pattern of diminishing participation with age was also observed in accessing audio content online. </w:t>
      </w:r>
    </w:p>
    <w:p w14:paraId="6A7629A0" w14:textId="77777777" w:rsidR="000A1CD9" w:rsidRPr="00D609AB" w:rsidRDefault="000A1CD9" w:rsidP="00D433EE">
      <w:pPr>
        <w:pStyle w:val="ACMAFigureHeader"/>
        <w:keepNext/>
        <w:ind w:left="1136" w:hanging="1136"/>
      </w:pPr>
      <w:r w:rsidRPr="00D609AB">
        <w:lastRenderedPageBreak/>
        <w:t>Figure 2.18</w:t>
      </w:r>
      <w:r w:rsidRPr="00D609AB">
        <w:tab/>
        <w:t xml:space="preserve">Accessing online video and audio content, by age, in the six months to </w:t>
      </w:r>
      <w:r w:rsidR="00B03E32">
        <w:t>June</w:t>
      </w:r>
      <w:r w:rsidRPr="00D609AB">
        <w:t xml:space="preserve"> 2016 (percentage)</w:t>
      </w:r>
    </w:p>
    <w:p w14:paraId="5227DE6D" w14:textId="77777777" w:rsidR="000A1CD9" w:rsidRPr="00D609AB" w:rsidRDefault="000A1CD9" w:rsidP="00202E07">
      <w:pPr>
        <w:keepNext/>
        <w:spacing w:after="0"/>
        <w:rPr>
          <w:b/>
          <w:bCs/>
          <w:color w:val="323232"/>
          <w:szCs w:val="20"/>
        </w:rPr>
      </w:pPr>
      <w:r w:rsidRPr="00D609AB">
        <w:rPr>
          <w:b/>
          <w:bCs/>
          <w:noProof/>
          <w:color w:val="323232"/>
          <w:szCs w:val="20"/>
        </w:rPr>
        <w:drawing>
          <wp:inline distT="0" distB="0" distL="0" distR="0" wp14:anchorId="2F8234BD" wp14:editId="312DFFB7">
            <wp:extent cx="5939790" cy="3133090"/>
            <wp:effectExtent l="0" t="0" r="3810" b="0"/>
            <wp:docPr id="63" name="Picture 63" descr="Data for Figure 2.18 is in the .ods file for Chapter 2 on the landing page ‘Communications report 2015-16’, available from the ACMA website." title="Figure 2.18  Accessing online video and audiocontent, by age.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laboration\DavWWWRoot\organisation\cscd\RFB\CAS\CommsReport1516\RAS drafting\Chapter 2 - Engagement with Communications and Media\Chapter 2 - with broken lines Jen_Figure 2.18.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3133090"/>
                    </a:xfrm>
                    <a:prstGeom prst="rect">
                      <a:avLst/>
                    </a:prstGeom>
                    <a:noFill/>
                    <a:ln>
                      <a:noFill/>
                    </a:ln>
                  </pic:spPr>
                </pic:pic>
              </a:graphicData>
            </a:graphic>
          </wp:inline>
        </w:drawing>
      </w:r>
    </w:p>
    <w:p w14:paraId="5E8CECBD" w14:textId="77777777" w:rsidR="000A1CD9" w:rsidRPr="00D609AB" w:rsidRDefault="000A1CD9" w:rsidP="00D433EE">
      <w:pPr>
        <w:pStyle w:val="ACMANotes"/>
      </w:pPr>
      <w:r w:rsidRPr="00D609AB">
        <w:t>Base: Australians aged 18 and over who accessed the internet.</w:t>
      </w:r>
    </w:p>
    <w:p w14:paraId="5F62F323" w14:textId="77777777" w:rsidR="000A1CD9" w:rsidRPr="00D609AB" w:rsidRDefault="000A1CD9" w:rsidP="00D433EE">
      <w:pPr>
        <w:pStyle w:val="ACMANotes"/>
      </w:pPr>
      <w:r w:rsidRPr="00D609AB">
        <w:t>Note: ‘Accessing video content’ refers to downloading or streaming video. ‘Accessing audio content’ refers to downloading or streaming audio.</w:t>
      </w:r>
    </w:p>
    <w:p w14:paraId="721675CE" w14:textId="77777777" w:rsidR="000A1CD9" w:rsidRPr="00D609AB" w:rsidRDefault="000A1CD9" w:rsidP="00D433EE">
      <w:pPr>
        <w:pStyle w:val="ACMANotes"/>
      </w:pPr>
      <w:r w:rsidRPr="00D609AB">
        <w:t xml:space="preserve">Source: ACMA-commissioned survey, </w:t>
      </w:r>
      <w:r w:rsidR="00B03E32">
        <w:t>June</w:t>
      </w:r>
      <w:r w:rsidRPr="00D609AB">
        <w:t xml:space="preserve"> 2016.</w:t>
      </w:r>
    </w:p>
    <w:p w14:paraId="62B255D9" w14:textId="77777777" w:rsidR="000A1CD9" w:rsidRPr="00D609AB" w:rsidRDefault="000A1CD9" w:rsidP="00D433EE">
      <w:pPr>
        <w:pStyle w:val="ACMASpaceaftertable"/>
      </w:pPr>
    </w:p>
    <w:p w14:paraId="6E9442F7" w14:textId="77777777" w:rsidR="000A1CD9" w:rsidRPr="00604073" w:rsidRDefault="000A1CD9" w:rsidP="00D433EE">
      <w:pPr>
        <w:pStyle w:val="Heading3"/>
        <w:rPr>
          <w:b w:val="0"/>
        </w:rPr>
      </w:pPr>
      <w:bookmarkStart w:id="553" w:name="_Toc465842906"/>
      <w:r w:rsidRPr="00604073">
        <w:t xml:space="preserve">Downloading versus streaming </w:t>
      </w:r>
      <w:r w:rsidRPr="00D433EE">
        <w:t>audio</w:t>
      </w:r>
      <w:r w:rsidRPr="00604073">
        <w:t xml:space="preserve"> and video content</w:t>
      </w:r>
      <w:bookmarkEnd w:id="553"/>
    </w:p>
    <w:p w14:paraId="48D9F577" w14:textId="77777777" w:rsidR="000A1CD9" w:rsidRPr="00D609AB" w:rsidRDefault="000A1CD9" w:rsidP="000A1CD9">
      <w:pPr>
        <w:rPr>
          <w:rFonts w:cs="Arial"/>
        </w:rPr>
      </w:pPr>
      <w:r w:rsidRPr="00D609AB">
        <w:rPr>
          <w:rFonts w:cs="Arial"/>
        </w:rPr>
        <w:t xml:space="preserve">The two methods that Australians use to access audio and video content online—downloading and streaming—are also changing. Streaming audio or video content is becoming much more prevalent than downloading audio or video content (see Figure 2.19). </w:t>
      </w:r>
    </w:p>
    <w:p w14:paraId="6CAABA42" w14:textId="77777777" w:rsidR="000A1CD9" w:rsidRPr="00D609AB" w:rsidRDefault="000A1CD9" w:rsidP="000A1CD9">
      <w:pPr>
        <w:rPr>
          <w:rFonts w:cs="Arial"/>
        </w:rPr>
      </w:pPr>
      <w:r w:rsidRPr="00D609AB">
        <w:rPr>
          <w:rFonts w:cs="Arial"/>
        </w:rPr>
        <w:t xml:space="preserve">In the six months to </w:t>
      </w:r>
      <w:r w:rsidR="00B03E32">
        <w:rPr>
          <w:rFonts w:cs="Arial"/>
        </w:rPr>
        <w:t>June</w:t>
      </w:r>
      <w:r w:rsidRPr="00D609AB">
        <w:rPr>
          <w:rFonts w:cs="Arial"/>
        </w:rPr>
        <w:t xml:space="preserve"> 2016, 73 per cent of online Australians used streaming to access online audio or video content, while only 51 per cent used downloading to access online audio or video content. </w:t>
      </w:r>
    </w:p>
    <w:p w14:paraId="6CB8629F" w14:textId="77777777" w:rsidR="000A1CD9" w:rsidRPr="00D609AB" w:rsidRDefault="000A1CD9" w:rsidP="00E53001">
      <w:pPr>
        <w:pStyle w:val="ACMAFigureHeader"/>
        <w:keepNext/>
        <w:ind w:left="1134" w:hanging="1134"/>
      </w:pPr>
      <w:r w:rsidRPr="00D609AB">
        <w:lastRenderedPageBreak/>
        <w:t>Figure 2.19</w:t>
      </w:r>
      <w:r w:rsidRPr="00D609AB">
        <w:tab/>
        <w:t xml:space="preserve">Downloading and streaming audio and video content in the six months to </w:t>
      </w:r>
      <w:r w:rsidR="00B03E32">
        <w:t>June</w:t>
      </w:r>
      <w:r w:rsidRPr="00D609AB">
        <w:t xml:space="preserve"> 2016 (percentage)</w:t>
      </w:r>
    </w:p>
    <w:p w14:paraId="4A9BB815" w14:textId="77777777" w:rsidR="00E53001" w:rsidRDefault="00A54918" w:rsidP="00E53001">
      <w:pPr>
        <w:pStyle w:val="ACMANotes"/>
        <w:spacing w:after="80"/>
      </w:pPr>
      <w:r>
        <w:rPr>
          <w:b/>
          <w:bCs/>
          <w:noProof/>
          <w:color w:val="323232"/>
          <w:szCs w:val="20"/>
        </w:rPr>
        <w:drawing>
          <wp:inline distT="0" distB="0" distL="0" distR="0" wp14:anchorId="4CB7ED24" wp14:editId="471159DD">
            <wp:extent cx="5940425" cy="2768600"/>
            <wp:effectExtent l="0" t="0" r="3175" b="0"/>
            <wp:docPr id="25" name="Picture 25" descr="Data for Figure 2.19 is in the .ods file for Chapter 2 on the landing page ‘Communications report 2015-16’, available from the ACMA website." title="Figure 2.19 Downloading and streaming audio and video content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19 - updated.png"/>
                    <pic:cNvPicPr/>
                  </pic:nvPicPr>
                  <pic:blipFill>
                    <a:blip r:embed="rId82">
                      <a:extLst>
                        <a:ext uri="{28A0092B-C50C-407E-A947-70E740481C1C}">
                          <a14:useLocalDpi xmlns:a14="http://schemas.microsoft.com/office/drawing/2010/main" val="0"/>
                        </a:ext>
                      </a:extLst>
                    </a:blip>
                    <a:stretch>
                      <a:fillRect/>
                    </a:stretch>
                  </pic:blipFill>
                  <pic:spPr>
                    <a:xfrm>
                      <a:off x="0" y="0"/>
                      <a:ext cx="5940425" cy="2768600"/>
                    </a:xfrm>
                    <a:prstGeom prst="rect">
                      <a:avLst/>
                    </a:prstGeom>
                  </pic:spPr>
                </pic:pic>
              </a:graphicData>
            </a:graphic>
          </wp:inline>
        </w:drawing>
      </w:r>
    </w:p>
    <w:p w14:paraId="78AC5649" w14:textId="52F1CBA1" w:rsidR="000A1CD9" w:rsidRPr="00D609AB" w:rsidRDefault="000A1CD9" w:rsidP="00E53001">
      <w:pPr>
        <w:pStyle w:val="ACMANotes"/>
        <w:spacing w:after="80"/>
      </w:pPr>
      <w:r w:rsidRPr="00D609AB">
        <w:t>Base: Australians aged 18 and over who accessed the internet.</w:t>
      </w:r>
    </w:p>
    <w:p w14:paraId="06771759" w14:textId="77777777" w:rsidR="000A1CD9" w:rsidRPr="00D609AB" w:rsidRDefault="000A1CD9" w:rsidP="00E53001">
      <w:pPr>
        <w:pStyle w:val="ACMANotes"/>
      </w:pPr>
      <w:r w:rsidRPr="00D609AB">
        <w:t xml:space="preserve">Source: ACMA-commissioned surveys, May 2012, 2013, 2014, 2015 and </w:t>
      </w:r>
      <w:r w:rsidR="00B03E32">
        <w:t xml:space="preserve">June </w:t>
      </w:r>
      <w:r w:rsidRPr="00D609AB">
        <w:t xml:space="preserve">2016. </w:t>
      </w:r>
    </w:p>
    <w:p w14:paraId="21C7694E" w14:textId="77777777" w:rsidR="000A1CD9" w:rsidRPr="00D609AB" w:rsidRDefault="000A1CD9" w:rsidP="00D433EE">
      <w:pPr>
        <w:pStyle w:val="ACMASpaceaftertable"/>
      </w:pPr>
    </w:p>
    <w:p w14:paraId="7A1FA31C" w14:textId="77777777" w:rsidR="000A1CD9" w:rsidRPr="00D609AB" w:rsidRDefault="000A1CD9" w:rsidP="000A1CD9">
      <w:r w:rsidRPr="00D609AB">
        <w:t xml:space="preserve">To further break down this preference for streaming over downloading, online Australians were more likely to prefer streaming over downloading when it came to video content rather than audio content (see Figure 2.20). </w:t>
      </w:r>
    </w:p>
    <w:p w14:paraId="2AC157D8" w14:textId="77777777" w:rsidR="000A1CD9" w:rsidRPr="00D609AB" w:rsidRDefault="000A1CD9" w:rsidP="000A1CD9">
      <w:r w:rsidRPr="00D609AB">
        <w:t xml:space="preserve">In the six months to </w:t>
      </w:r>
      <w:r w:rsidR="00B03E32">
        <w:t>June</w:t>
      </w:r>
      <w:r w:rsidRPr="00D609AB">
        <w:t xml:space="preserve"> 2016, 70 per cent of online Australians streamed video content compared to just 32 per cent who downloaded video content, while 43 per cent of online Australians both streamed and downloaded audio content. Streaming video content was most prevalent among those aged 18</w:t>
      </w:r>
      <w:r w:rsidRPr="00D609AB">
        <w:rPr>
          <w:rFonts w:cs="Arial"/>
        </w:rPr>
        <w:t xml:space="preserve"> to </w:t>
      </w:r>
      <w:r w:rsidRPr="00D609AB">
        <w:t xml:space="preserve">24, with 91 per cent of this group having streamed content in the six months to </w:t>
      </w:r>
      <w:r w:rsidR="00B03E32">
        <w:t>June</w:t>
      </w:r>
      <w:r w:rsidRPr="00D609AB">
        <w:t xml:space="preserve"> 2016. </w:t>
      </w:r>
    </w:p>
    <w:p w14:paraId="5653B7E2" w14:textId="77777777" w:rsidR="000A1CD9" w:rsidRPr="00D609AB" w:rsidRDefault="000A1CD9" w:rsidP="00D433EE">
      <w:pPr>
        <w:pStyle w:val="ACMAFigureHeader"/>
      </w:pPr>
      <w:r w:rsidRPr="00D609AB">
        <w:t>Figure 2.20</w:t>
      </w:r>
      <w:r w:rsidRPr="00D609AB">
        <w:tab/>
        <w:t xml:space="preserve">Downloading versus streaming content in the six months to </w:t>
      </w:r>
      <w:r w:rsidR="00B03E32">
        <w:t>June</w:t>
      </w:r>
      <w:r w:rsidRPr="00D609AB">
        <w:t xml:space="preserve"> 2016 (percentage)</w:t>
      </w:r>
    </w:p>
    <w:p w14:paraId="64C23EB4" w14:textId="77777777" w:rsidR="000A1CD9" w:rsidRPr="00D609AB" w:rsidRDefault="001D3392" w:rsidP="00202E07">
      <w:pPr>
        <w:spacing w:after="0"/>
        <w:rPr>
          <w:b/>
          <w:bCs/>
          <w:color w:val="323232"/>
          <w:szCs w:val="20"/>
        </w:rPr>
      </w:pPr>
      <w:r>
        <w:rPr>
          <w:b/>
          <w:bCs/>
          <w:noProof/>
          <w:color w:val="323232"/>
          <w:szCs w:val="20"/>
        </w:rPr>
        <w:drawing>
          <wp:inline distT="0" distB="0" distL="0" distR="0" wp14:anchorId="7FB160AD" wp14:editId="3D3F54B0">
            <wp:extent cx="5885815" cy="1617260"/>
            <wp:effectExtent l="0" t="0" r="0" b="2540"/>
            <wp:docPr id="86" name="Picture 86" descr="Data for Figure 2.20 is in the .ods file for Chapter 2 on the landing page ‘Communications report 2015-16’, available from the ACMA website." title="Figure 2.20  Downloading versus streaming content in the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gure 2.20_Figure 2.20.png"/>
                    <pic:cNvPicPr/>
                  </pic:nvPicPr>
                  <pic:blipFill rotWithShape="1">
                    <a:blip r:embed="rId83">
                      <a:extLst>
                        <a:ext uri="{28A0092B-C50C-407E-A947-70E740481C1C}">
                          <a14:useLocalDpi xmlns:a14="http://schemas.microsoft.com/office/drawing/2010/main" val="0"/>
                        </a:ext>
                      </a:extLst>
                    </a:blip>
                    <a:srcRect/>
                    <a:stretch/>
                  </pic:blipFill>
                  <pic:spPr bwMode="auto">
                    <a:xfrm>
                      <a:off x="0" y="0"/>
                      <a:ext cx="5885834" cy="1617265"/>
                    </a:xfrm>
                    <a:prstGeom prst="rect">
                      <a:avLst/>
                    </a:prstGeom>
                    <a:ln>
                      <a:noFill/>
                    </a:ln>
                    <a:extLst>
                      <a:ext uri="{53640926-AAD7-44D8-BBD7-CCE9431645EC}">
                        <a14:shadowObscured xmlns:a14="http://schemas.microsoft.com/office/drawing/2010/main"/>
                      </a:ext>
                    </a:extLst>
                  </pic:spPr>
                </pic:pic>
              </a:graphicData>
            </a:graphic>
          </wp:inline>
        </w:drawing>
      </w:r>
    </w:p>
    <w:p w14:paraId="0AEC64EC" w14:textId="77777777" w:rsidR="000A1CD9" w:rsidRPr="00D609AB" w:rsidRDefault="000A1CD9" w:rsidP="00D433EE">
      <w:pPr>
        <w:pStyle w:val="ACMANotes"/>
      </w:pPr>
      <w:r w:rsidRPr="00D609AB">
        <w:t>Base: Australians aged 18 and over who accessed the internet.</w:t>
      </w:r>
    </w:p>
    <w:p w14:paraId="29E869EF" w14:textId="77777777" w:rsidR="000A1CD9" w:rsidRPr="00D609AB" w:rsidRDefault="000A1CD9" w:rsidP="00D433EE">
      <w:pPr>
        <w:pStyle w:val="ACMANotes"/>
      </w:pPr>
      <w:r w:rsidRPr="00D609AB">
        <w:t xml:space="preserve">Source: ACMA-commissioned survey, </w:t>
      </w:r>
      <w:r w:rsidR="00B03E32">
        <w:t>June</w:t>
      </w:r>
      <w:r w:rsidRPr="00D609AB">
        <w:t xml:space="preserve"> 2016.</w:t>
      </w:r>
    </w:p>
    <w:p w14:paraId="5434B224" w14:textId="77777777" w:rsidR="000A1CD9" w:rsidRPr="00D609AB" w:rsidRDefault="000A1CD9" w:rsidP="00D433EE">
      <w:pPr>
        <w:pStyle w:val="ACMASpaceaftertable"/>
      </w:pPr>
    </w:p>
    <w:p w14:paraId="04A2F163" w14:textId="77777777" w:rsidR="000A1CD9" w:rsidRPr="00D609AB" w:rsidRDefault="000A1CD9" w:rsidP="000A1CD9">
      <w:r w:rsidRPr="00D609AB">
        <w:t>See Chapter 3 for more detail on online access to audio and video content.</w:t>
      </w:r>
      <w:r w:rsidRPr="00D609AB" w:rsidDel="00283ACA">
        <w:t xml:space="preserve"> </w:t>
      </w:r>
    </w:p>
    <w:p w14:paraId="7A13226D" w14:textId="77777777" w:rsidR="000A1CD9" w:rsidRPr="00D609AB" w:rsidRDefault="000A1CD9" w:rsidP="0047447E">
      <w:pPr>
        <w:pStyle w:val="Heading3"/>
        <w:keepLines/>
      </w:pPr>
      <w:bookmarkStart w:id="554" w:name="_Toc465842907"/>
      <w:r w:rsidRPr="00D609AB">
        <w:lastRenderedPageBreak/>
        <w:t>Growth in e-</w:t>
      </w:r>
      <w:r w:rsidRPr="00D433EE">
        <w:t>commerce</w:t>
      </w:r>
      <w:r w:rsidRPr="00D609AB">
        <w:t xml:space="preserve"> activity</w:t>
      </w:r>
      <w:bookmarkEnd w:id="554"/>
    </w:p>
    <w:p w14:paraId="4B1CAA08" w14:textId="77777777" w:rsidR="000A1CD9" w:rsidRPr="00D609AB" w:rsidRDefault="000A1CD9" w:rsidP="0047447E">
      <w:pPr>
        <w:keepNext/>
        <w:keepLines/>
        <w:rPr>
          <w:rFonts w:cs="Arial"/>
        </w:rPr>
      </w:pPr>
      <w:r w:rsidRPr="00D609AB">
        <w:rPr>
          <w:rFonts w:cs="Arial"/>
        </w:rPr>
        <w:t>Data from the ABS shows that Australian businesses generated an estimated $285.5 billion in revenue from online sales of goods and services during 2014–15 (</w:t>
      </w:r>
      <w:r w:rsidRPr="00D609AB">
        <w:t xml:space="preserve">the latest figures available). This was an </w:t>
      </w:r>
      <w:r w:rsidRPr="00D609AB">
        <w:rPr>
          <w:rFonts w:cs="Arial"/>
        </w:rPr>
        <w:t>almost $20 billion increase on revenue received in 2013–14.</w:t>
      </w:r>
      <w:r w:rsidRPr="00D609AB">
        <w:rPr>
          <w:vertAlign w:val="superscript"/>
        </w:rPr>
        <w:endnoteReference w:id="118"/>
      </w:r>
    </w:p>
    <w:p w14:paraId="25B3C741" w14:textId="77777777" w:rsidR="000A1CD9" w:rsidRPr="00D609AB" w:rsidRDefault="000A1CD9" w:rsidP="0047447E">
      <w:pPr>
        <w:keepNext/>
        <w:keepLines/>
        <w:rPr>
          <w:rFonts w:cs="Arial"/>
        </w:rPr>
      </w:pPr>
      <w:r w:rsidRPr="00D609AB">
        <w:rPr>
          <w:rFonts w:cs="Arial"/>
        </w:rPr>
        <w:t xml:space="preserve">Growth in e-commerce activity was also reflected in the increase in the number of Australians who undertook online transaction activities. In the six months to </w:t>
      </w:r>
      <w:r w:rsidR="00B03E32">
        <w:rPr>
          <w:rFonts w:cs="Arial"/>
        </w:rPr>
        <w:t>June</w:t>
      </w:r>
      <w:r w:rsidRPr="00D609AB">
        <w:rPr>
          <w:rFonts w:cs="Arial"/>
        </w:rPr>
        <w:t xml:space="preserve"> 2016, the majority of adult Australians (94 per cent or an estimated 15.64 million people) went online to conduct banking, pay bills, or buy and/or sell goods and services.</w:t>
      </w:r>
      <w:r w:rsidRPr="00D609AB">
        <w:rPr>
          <w:rFonts w:cs="Arial"/>
          <w:vertAlign w:val="superscript"/>
        </w:rPr>
        <w:endnoteReference w:id="119"/>
      </w:r>
      <w:r w:rsidRPr="00D609AB">
        <w:rPr>
          <w:rFonts w:cs="Arial"/>
        </w:rPr>
        <w:t xml:space="preserve"> </w:t>
      </w:r>
    </w:p>
    <w:p w14:paraId="7CEFD3FD" w14:textId="77777777" w:rsidR="000A1CD9" w:rsidRPr="00604073" w:rsidRDefault="000A1CD9" w:rsidP="00D433EE">
      <w:pPr>
        <w:pStyle w:val="Heading3"/>
        <w:rPr>
          <w:b w:val="0"/>
          <w:lang w:val="en-US"/>
        </w:rPr>
      </w:pPr>
      <w:bookmarkStart w:id="555" w:name="_Toc465842908"/>
      <w:r w:rsidRPr="00604073">
        <w:rPr>
          <w:lang w:val="en-US"/>
        </w:rPr>
        <w:t xml:space="preserve">Online buying, selling and </w:t>
      </w:r>
      <w:r w:rsidRPr="00D433EE">
        <w:t>shopping</w:t>
      </w:r>
      <w:bookmarkEnd w:id="555"/>
      <w:r w:rsidRPr="00604073">
        <w:rPr>
          <w:lang w:val="en-US"/>
        </w:rPr>
        <w:t xml:space="preserve"> </w:t>
      </w:r>
    </w:p>
    <w:p w14:paraId="17A486C6" w14:textId="77777777" w:rsidR="000A1CD9" w:rsidRPr="00D609AB" w:rsidRDefault="000A1CD9" w:rsidP="000A1CD9">
      <w:r w:rsidRPr="00D609AB">
        <w:t>Many Australians are active participants in the online economy. In the four weeks to June 2016, 7.9 million adult Australians (43 per cent) purchased or sold something online—up two percentage points from June 2015. The most preferred device for these online activities was a laptop or desktop (34 per cent), followed by a mobile phone (17 per cent) and a tablet (eight per cent).</w:t>
      </w:r>
      <w:r w:rsidRPr="00D609AB">
        <w:rPr>
          <w:vertAlign w:val="superscript"/>
        </w:rPr>
        <w:endnoteReference w:id="120"/>
      </w:r>
      <w:r w:rsidRPr="00D609AB">
        <w:t xml:space="preserve"> </w:t>
      </w:r>
    </w:p>
    <w:p w14:paraId="1DD32922" w14:textId="77777777" w:rsidR="000A1CD9" w:rsidRPr="00D609AB" w:rsidRDefault="000A1CD9" w:rsidP="000A1CD9">
      <w:r w:rsidRPr="00D609AB">
        <w:t xml:space="preserve">Those living in capital cities were more likely to buy online (45 per cent) than people in country areas (39 per cent). </w:t>
      </w:r>
    </w:p>
    <w:p w14:paraId="48DDB09A" w14:textId="77777777" w:rsidR="000A1CD9" w:rsidRPr="00D609AB" w:rsidRDefault="000A1CD9" w:rsidP="000A1CD9">
      <w:r w:rsidRPr="00D609AB">
        <w:t xml:space="preserve">As illustrated in Figure 2.21, those aged between 25 and 54 were most likely to be online shoppers, while the largest increase in online shopping was seen in those aged 25 to 34. </w:t>
      </w:r>
    </w:p>
    <w:p w14:paraId="7BCCE712" w14:textId="77777777" w:rsidR="000A1CD9" w:rsidRPr="00D609AB" w:rsidRDefault="000A1CD9" w:rsidP="00D433EE">
      <w:pPr>
        <w:pStyle w:val="ACMAFigureHeader"/>
      </w:pPr>
      <w:r w:rsidRPr="00D609AB">
        <w:t>Figure 2.21</w:t>
      </w:r>
      <w:r w:rsidRPr="00D609AB">
        <w:tab/>
        <w:t>Online buying, selling and shopping, by age (percentage)</w:t>
      </w:r>
    </w:p>
    <w:p w14:paraId="7EC9A9A7" w14:textId="77777777" w:rsidR="000A1CD9" w:rsidRPr="00D609AB" w:rsidRDefault="002E0E90" w:rsidP="0047447E">
      <w:pPr>
        <w:spacing w:after="0"/>
        <w:ind w:left="1021" w:hanging="1021"/>
        <w:rPr>
          <w:b/>
          <w:bCs/>
          <w:color w:val="323232"/>
          <w:szCs w:val="20"/>
        </w:rPr>
      </w:pPr>
      <w:r>
        <w:rPr>
          <w:b/>
          <w:bCs/>
          <w:noProof/>
          <w:color w:val="323232"/>
          <w:szCs w:val="20"/>
        </w:rPr>
        <w:drawing>
          <wp:inline distT="0" distB="0" distL="0" distR="0" wp14:anchorId="16A4B08A" wp14:editId="47156205">
            <wp:extent cx="4242486" cy="4078976"/>
            <wp:effectExtent l="0" t="0" r="5715" b="0"/>
            <wp:docPr id="11" name="Picture 11" descr="Data for Figure 2.21 is in the .ods file for Chapter 2 on the landing page ‘Communications report 2015-16’, available from the ACMA website." title="Figure 2.21  Online buying, selling and shopping, by age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21_Figure 2.21.png"/>
                    <pic:cNvPicPr/>
                  </pic:nvPicPr>
                  <pic:blipFill rotWithShape="1">
                    <a:blip r:embed="rId84">
                      <a:extLst>
                        <a:ext uri="{28A0092B-C50C-407E-A947-70E740481C1C}">
                          <a14:useLocalDpi xmlns:a14="http://schemas.microsoft.com/office/drawing/2010/main" val="0"/>
                        </a:ext>
                      </a:extLst>
                    </a:blip>
                    <a:srcRect l="1942" t="1858" r="1797" b="1481"/>
                    <a:stretch/>
                  </pic:blipFill>
                  <pic:spPr bwMode="auto">
                    <a:xfrm>
                      <a:off x="0" y="0"/>
                      <a:ext cx="4274313" cy="4109577"/>
                    </a:xfrm>
                    <a:prstGeom prst="rect">
                      <a:avLst/>
                    </a:prstGeom>
                    <a:ln>
                      <a:noFill/>
                    </a:ln>
                    <a:extLst>
                      <a:ext uri="{53640926-AAD7-44D8-BBD7-CCE9431645EC}">
                        <a14:shadowObscured xmlns:a14="http://schemas.microsoft.com/office/drawing/2010/main"/>
                      </a:ext>
                    </a:extLst>
                  </pic:spPr>
                </pic:pic>
              </a:graphicData>
            </a:graphic>
          </wp:inline>
        </w:drawing>
      </w:r>
    </w:p>
    <w:p w14:paraId="197E5F49" w14:textId="77777777" w:rsidR="000A1CD9" w:rsidRPr="00D609AB" w:rsidRDefault="000A1CD9" w:rsidP="00D433EE">
      <w:pPr>
        <w:pStyle w:val="ACMANotes"/>
      </w:pPr>
      <w:r w:rsidRPr="00D609AB">
        <w:t>Base: Australians aged 18 and over.</w:t>
      </w:r>
    </w:p>
    <w:p w14:paraId="201A317D" w14:textId="77777777" w:rsidR="000A1CD9" w:rsidRPr="004C10D0" w:rsidRDefault="000A1CD9" w:rsidP="00D433EE">
      <w:pPr>
        <w:pStyle w:val="ACMANotes"/>
      </w:pPr>
      <w:r w:rsidRPr="004C10D0">
        <w:t xml:space="preserve">Notes: Relates to transactional buying, selling and shopping activities undertaken online </w:t>
      </w:r>
      <w:r w:rsidR="00A5063E" w:rsidRPr="00A5063E">
        <w:t>in the last four weeks, for the</w:t>
      </w:r>
      <w:r w:rsidR="00A5063E">
        <w:t xml:space="preserve"> 12 months to June of each year</w:t>
      </w:r>
      <w:r w:rsidRPr="004C10D0">
        <w:t>.</w:t>
      </w:r>
    </w:p>
    <w:p w14:paraId="27E94434" w14:textId="77777777" w:rsidR="000A1CD9" w:rsidRPr="004C10D0" w:rsidRDefault="000A1CD9" w:rsidP="00D433EE">
      <w:pPr>
        <w:pStyle w:val="ACMANotes"/>
      </w:pPr>
      <w:r w:rsidRPr="004C10D0">
        <w:t xml:space="preserve">Changes to Roy Morgan weighting methodology may cause some differences to 2014-15 data measures reported in the previous Communications </w:t>
      </w:r>
      <w:r>
        <w:t>r</w:t>
      </w:r>
      <w:r w:rsidRPr="004C10D0">
        <w:t>eport</w:t>
      </w:r>
      <w:r>
        <w:t>.</w:t>
      </w:r>
    </w:p>
    <w:p w14:paraId="3AEA56C8" w14:textId="77777777" w:rsidR="000A1CD9" w:rsidRPr="00D609AB" w:rsidRDefault="000A1CD9" w:rsidP="00D433EE">
      <w:pPr>
        <w:pStyle w:val="ACMANotes"/>
      </w:pPr>
      <w:r w:rsidRPr="00D609AB">
        <w:t>Source: Roy Morgan Single Source, June 2014, 2015 and 2016.</w:t>
      </w:r>
    </w:p>
    <w:p w14:paraId="4B1012F8" w14:textId="77777777" w:rsidR="000A1CD9" w:rsidRPr="00D433EE" w:rsidRDefault="000A1CD9" w:rsidP="00D433EE">
      <w:pPr>
        <w:pStyle w:val="Heading3"/>
      </w:pPr>
      <w:bookmarkStart w:id="556" w:name="_Toc465842909"/>
      <w:r w:rsidRPr="00604073">
        <w:rPr>
          <w:lang w:val="en-US"/>
        </w:rPr>
        <w:lastRenderedPageBreak/>
        <w:t>Australian businesses online</w:t>
      </w:r>
      <w:bookmarkEnd w:id="556"/>
    </w:p>
    <w:p w14:paraId="42B4858A" w14:textId="77777777" w:rsidR="000A1CD9" w:rsidRPr="00D609AB" w:rsidRDefault="000A1CD9" w:rsidP="000A1CD9">
      <w:pPr>
        <w:rPr>
          <w:rFonts w:cs="Arial"/>
        </w:rPr>
      </w:pPr>
      <w:r w:rsidRPr="00D609AB">
        <w:rPr>
          <w:rFonts w:cs="Arial"/>
        </w:rPr>
        <w:t>The latest available data from the ABS shows that Australian businesses grew their online presence during 2014–15. While the majority of Australian businesses had internet access (95 per cent)—stable compared to 2013–14—the number of businesses with a web presence increased two percentage points to reach 49 per cent. This is reflected in the increase in the number of domain names registered in Australia (see Chapter 1)</w:t>
      </w:r>
      <w:r w:rsidR="00EA1350">
        <w:t>. I</w:t>
      </w:r>
      <w:r w:rsidRPr="00D609AB">
        <w:t>n the 12 months to June 2016, the number of registered ‘.au’ domain names increased by two per cent to 3.04 million.</w:t>
      </w:r>
      <w:r w:rsidRPr="00D609AB">
        <w:rPr>
          <w:vertAlign w:val="superscript"/>
        </w:rPr>
        <w:endnoteReference w:id="121"/>
      </w:r>
    </w:p>
    <w:p w14:paraId="2273E9FC" w14:textId="77777777" w:rsidR="000A1CD9" w:rsidRPr="00D609AB" w:rsidRDefault="000A1CD9" w:rsidP="000A1CD9">
      <w:pPr>
        <w:rPr>
          <w:rFonts w:cs="Arial"/>
        </w:rPr>
      </w:pPr>
      <w:r w:rsidRPr="00D609AB">
        <w:rPr>
          <w:rFonts w:cs="Arial"/>
        </w:rPr>
        <w:t xml:space="preserve">The number of Australian businesses on social media also increased during </w:t>
      </w:r>
      <w:r w:rsidRPr="00DA0F37">
        <w:rPr>
          <w:rFonts w:cs="Arial"/>
        </w:rPr>
        <w:t>2014–15</w:t>
      </w:r>
      <w:r w:rsidR="00CF3555" w:rsidRPr="00CF3555">
        <w:rPr>
          <w:rFonts w:cs="Arial"/>
        </w:rPr>
        <w:t xml:space="preserve">, with </w:t>
      </w:r>
      <w:r w:rsidRPr="00DA0F37">
        <w:rPr>
          <w:rFonts w:cs="Arial"/>
        </w:rPr>
        <w:t>34</w:t>
      </w:r>
      <w:r w:rsidRPr="00CF3555">
        <w:rPr>
          <w:rFonts w:cs="Arial"/>
        </w:rPr>
        <w:t xml:space="preserve"> per cent</w:t>
      </w:r>
      <w:r w:rsidRPr="00D609AB">
        <w:rPr>
          <w:rFonts w:cs="Arial"/>
        </w:rPr>
        <w:t xml:space="preserve"> of businesses reported having a social media presence, a three per cent increase on 2013–14.</w:t>
      </w:r>
      <w:r w:rsidRPr="00D609AB">
        <w:rPr>
          <w:vertAlign w:val="superscript"/>
        </w:rPr>
        <w:endnoteReference w:id="122"/>
      </w:r>
    </w:p>
    <w:p w14:paraId="53E41CC5" w14:textId="77777777" w:rsidR="000A1CD9" w:rsidRPr="00D609AB" w:rsidRDefault="000A1CD9" w:rsidP="00985976">
      <w:pPr>
        <w:pStyle w:val="Heading2"/>
        <w:numPr>
          <w:ilvl w:val="1"/>
          <w:numId w:val="12"/>
        </w:numPr>
        <w:ind w:hanging="792"/>
      </w:pPr>
      <w:bookmarkStart w:id="557" w:name="_Toc462899599"/>
      <w:bookmarkStart w:id="558" w:name="_Toc433790341"/>
      <w:bookmarkStart w:id="559" w:name="_Toc463529089"/>
      <w:bookmarkStart w:id="560" w:name="_Toc465842910"/>
      <w:r w:rsidRPr="005D29B0">
        <w:t>Consumer satisfaction with communications services</w:t>
      </w:r>
      <w:bookmarkEnd w:id="557"/>
      <w:bookmarkEnd w:id="558"/>
      <w:bookmarkEnd w:id="559"/>
      <w:bookmarkEnd w:id="560"/>
    </w:p>
    <w:p w14:paraId="7130A28E" w14:textId="77777777" w:rsidR="000A1CD9" w:rsidRPr="00D609AB" w:rsidRDefault="000A1CD9" w:rsidP="000A1CD9">
      <w:r w:rsidRPr="00D609AB">
        <w:t xml:space="preserve">Figure 2.22 shows that the majority of Australians are generally satisfied with their communications services. The highest levels of satisfaction—satisfied or very satisfied—were seen for fixed-line telephone and mobile phone services (both at 92 per cent). </w:t>
      </w:r>
    </w:p>
    <w:p w14:paraId="71D91E7D" w14:textId="77777777" w:rsidR="000A1CD9" w:rsidRPr="00D609AB" w:rsidRDefault="000A1CD9" w:rsidP="000A1CD9">
      <w:r w:rsidRPr="00D609AB">
        <w:t xml:space="preserve">Internet services had the highest levels of dissatisfaction with 12 per cent either dissatisfied or very dissatisfied. </w:t>
      </w:r>
    </w:p>
    <w:p w14:paraId="317399D2" w14:textId="77777777" w:rsidR="000A1CD9" w:rsidRPr="00D609AB" w:rsidRDefault="000A1CD9" w:rsidP="00417292">
      <w:pPr>
        <w:keepNext/>
        <w:spacing w:after="160"/>
        <w:ind w:left="1134" w:hanging="1134"/>
        <w:rPr>
          <w:b/>
          <w:bCs/>
          <w:color w:val="323232"/>
          <w:szCs w:val="20"/>
        </w:rPr>
      </w:pPr>
      <w:r w:rsidRPr="00D609AB">
        <w:rPr>
          <w:b/>
          <w:bCs/>
          <w:color w:val="323232"/>
          <w:szCs w:val="20"/>
        </w:rPr>
        <w:t>Figure 2.22</w:t>
      </w:r>
      <w:r w:rsidRPr="00D609AB">
        <w:rPr>
          <w:b/>
          <w:bCs/>
          <w:color w:val="323232"/>
          <w:szCs w:val="20"/>
        </w:rPr>
        <w:tab/>
        <w:t xml:space="preserve">Overall satisfaction with communications services in the six months to </w:t>
      </w:r>
      <w:r w:rsidR="00626035">
        <w:rPr>
          <w:b/>
          <w:bCs/>
          <w:color w:val="323232"/>
          <w:szCs w:val="20"/>
        </w:rPr>
        <w:t>June</w:t>
      </w:r>
      <w:r w:rsidRPr="00D609AB">
        <w:rPr>
          <w:b/>
          <w:bCs/>
          <w:color w:val="323232"/>
          <w:szCs w:val="20"/>
        </w:rPr>
        <w:t xml:space="preserve"> 2016 (percentage)</w:t>
      </w:r>
    </w:p>
    <w:p w14:paraId="3AE0E33C" w14:textId="77777777" w:rsidR="000A1CD9" w:rsidRPr="00D609AB" w:rsidRDefault="001D3392" w:rsidP="0047447E">
      <w:pPr>
        <w:keepNext/>
        <w:spacing w:after="0"/>
        <w:rPr>
          <w:b/>
          <w:bCs/>
          <w:color w:val="323232"/>
          <w:szCs w:val="20"/>
        </w:rPr>
      </w:pPr>
      <w:r>
        <w:rPr>
          <w:b/>
          <w:bCs/>
          <w:noProof/>
          <w:color w:val="323232"/>
          <w:szCs w:val="20"/>
        </w:rPr>
        <w:drawing>
          <wp:inline distT="0" distB="0" distL="0" distR="0" wp14:anchorId="1A5E2306" wp14:editId="17DDA2F0">
            <wp:extent cx="4797188" cy="3596005"/>
            <wp:effectExtent l="0" t="0" r="3810" b="4445"/>
            <wp:docPr id="92" name="Picture 92" descr="Data for Figure 2.22 is in the .ods file for Chapter 2 on the landing page ‘Communications report 2015-16’, available from the ACMA website." title="Figure 2.22  Overall satisfaction with communications services in six months to June 2016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ure 2.22_Figure 2.22.png"/>
                    <pic:cNvPicPr/>
                  </pic:nvPicPr>
                  <pic:blipFill rotWithShape="1">
                    <a:blip r:embed="rId85">
                      <a:extLst>
                        <a:ext uri="{28A0092B-C50C-407E-A947-70E740481C1C}">
                          <a14:useLocalDpi xmlns:a14="http://schemas.microsoft.com/office/drawing/2010/main" val="0"/>
                        </a:ext>
                      </a:extLst>
                    </a:blip>
                    <a:srcRect l="2646" t="2516" r="4299" b="2763"/>
                    <a:stretch/>
                  </pic:blipFill>
                  <pic:spPr bwMode="auto">
                    <a:xfrm>
                      <a:off x="0" y="0"/>
                      <a:ext cx="4799033" cy="3597388"/>
                    </a:xfrm>
                    <a:prstGeom prst="rect">
                      <a:avLst/>
                    </a:prstGeom>
                    <a:ln>
                      <a:noFill/>
                    </a:ln>
                    <a:extLst>
                      <a:ext uri="{53640926-AAD7-44D8-BBD7-CCE9431645EC}">
                        <a14:shadowObscured xmlns:a14="http://schemas.microsoft.com/office/drawing/2010/main"/>
                      </a:ext>
                    </a:extLst>
                  </pic:spPr>
                </pic:pic>
              </a:graphicData>
            </a:graphic>
          </wp:inline>
        </w:drawing>
      </w:r>
    </w:p>
    <w:p w14:paraId="607A3562" w14:textId="77777777" w:rsidR="000A1CD9" w:rsidRPr="00D609AB" w:rsidRDefault="000A1CD9" w:rsidP="000A1CD9">
      <w:pPr>
        <w:spacing w:before="80" w:after="0" w:line="240" w:lineRule="auto"/>
        <w:rPr>
          <w:rFonts w:cs="Arial"/>
          <w:i/>
          <w:sz w:val="16"/>
        </w:rPr>
      </w:pPr>
      <w:r w:rsidRPr="00D609AB">
        <w:rPr>
          <w:rFonts w:cs="Arial"/>
          <w:i/>
          <w:sz w:val="16"/>
        </w:rPr>
        <w:t>Base: Australians aged 18 years and over using a fixed-line telephone (n=1,442), mobile phone (n=1,904), internet (n=1,849).</w:t>
      </w:r>
    </w:p>
    <w:p w14:paraId="4B5EE078" w14:textId="77777777" w:rsidR="000A1CD9" w:rsidRPr="00D609AB" w:rsidRDefault="000A1CD9" w:rsidP="000A1CD9">
      <w:pPr>
        <w:spacing w:before="80" w:after="0" w:line="240" w:lineRule="auto"/>
        <w:rPr>
          <w:rFonts w:cs="Arial"/>
          <w:i/>
          <w:sz w:val="16"/>
        </w:rPr>
      </w:pPr>
      <w:r w:rsidRPr="00D609AB">
        <w:rPr>
          <w:rFonts w:cs="Arial"/>
          <w:i/>
          <w:sz w:val="16"/>
        </w:rPr>
        <w:t>Notes: Numbers may not add up due to rounding. Excludes ‘don’t know’ responses.</w:t>
      </w:r>
    </w:p>
    <w:p w14:paraId="11D63CB4" w14:textId="77777777" w:rsidR="000A1CD9" w:rsidRPr="00D609AB" w:rsidRDefault="000A1CD9" w:rsidP="000A1CD9">
      <w:pPr>
        <w:spacing w:before="80" w:after="0" w:line="240" w:lineRule="auto"/>
        <w:rPr>
          <w:rFonts w:cs="Arial"/>
          <w:i/>
          <w:sz w:val="16"/>
        </w:rPr>
      </w:pPr>
      <w:r w:rsidRPr="00D609AB">
        <w:rPr>
          <w:rFonts w:cs="Arial"/>
          <w:i/>
          <w:sz w:val="16"/>
        </w:rPr>
        <w:t xml:space="preserve">Source: ACMA-commissioned survey, </w:t>
      </w:r>
      <w:r w:rsidR="00626035">
        <w:rPr>
          <w:rFonts w:cs="Arial"/>
          <w:i/>
          <w:sz w:val="16"/>
        </w:rPr>
        <w:t>June</w:t>
      </w:r>
      <w:r w:rsidRPr="00D609AB">
        <w:rPr>
          <w:rFonts w:cs="Arial"/>
          <w:i/>
          <w:sz w:val="16"/>
        </w:rPr>
        <w:t xml:space="preserve"> 2016.</w:t>
      </w:r>
    </w:p>
    <w:p w14:paraId="62E38873" w14:textId="77777777" w:rsidR="000A1CD9" w:rsidRPr="00D609AB" w:rsidRDefault="000A1CD9" w:rsidP="000A1CD9">
      <w:pPr>
        <w:rPr>
          <w:rFonts w:cs="Arial"/>
        </w:rPr>
      </w:pPr>
    </w:p>
    <w:p w14:paraId="4DF6936C" w14:textId="77777777" w:rsidR="00951CCA" w:rsidRDefault="000A1CD9" w:rsidP="00AE1497">
      <w:pPr>
        <w:keepNext/>
        <w:keepLines/>
        <w:spacing w:after="80"/>
      </w:pPr>
      <w:r w:rsidRPr="00D609AB">
        <w:lastRenderedPageBreak/>
        <w:t>Satisfaction with different aspects of communications services is outlined in Figure 2.23. The highest levels of satisfaction (very satisfied and satisfied) and dissatisfaction (very dissatisfied and dissatisfied) within each service were as follows:</w:t>
      </w:r>
    </w:p>
    <w:tbl>
      <w:tblPr>
        <w:tblStyle w:val="Commsreport2014-15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Caption w:val="Satisfaction with different aspects of communications services"/>
        <w:tblDescription w:val="Fixed-line service—the highest levels of satisfaction were for service reliability, with 93 per cent satisfied or very satisfied, up four percentage points since May 2015. Line rental cost recorded the highest levels of dissatisfaction (25 per cent dissatisfied or very dissatisfied). Mobile phone—quality of voice calls recorded the highest levels of satisfaction (94 per cent), an increase of five percentage points on last year’s figure, while call/service costs (16 per cent) recorded the highest levels of dissatisfaction. Internet—the highest levels of satisfaction were recorded for billing information (91 per cent), while data speeds and service costs (both 26 per cent) recorded the highest levels of dissatisfaction."/>
      </w:tblPr>
      <w:tblGrid>
        <w:gridCol w:w="846"/>
        <w:gridCol w:w="8449"/>
      </w:tblGrid>
      <w:tr w:rsidR="00951CCA" w14:paraId="1F1A4AB2" w14:textId="77777777" w:rsidTr="009573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7826271" w14:textId="77777777" w:rsidR="00951CCA" w:rsidRDefault="00951CCA" w:rsidP="00AE1497">
            <w:pPr>
              <w:keepNext/>
              <w:keepLines/>
              <w:spacing w:after="80"/>
            </w:pPr>
            <w:r w:rsidRPr="00D609AB">
              <w:rPr>
                <w:noProof/>
              </w:rPr>
              <w:drawing>
                <wp:inline distT="0" distB="0" distL="0" distR="0" wp14:anchorId="4736500E" wp14:editId="09A9F0DF">
                  <wp:extent cx="367136" cy="238640"/>
                  <wp:effectExtent l="0" t="0" r="0" b="9525"/>
                  <wp:docPr id="18" name="Picture 18"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VIC01SRVP1\NBN and Industry Monitoring\Communications Analysis Section\Presentations\CR 2014 Charts\Lou\CH1 LB_fixed-lin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4276" cy="243281"/>
                          </a:xfrm>
                          <a:prstGeom prst="rect">
                            <a:avLst/>
                          </a:prstGeom>
                          <a:noFill/>
                          <a:ln>
                            <a:noFill/>
                          </a:ln>
                        </pic:spPr>
                      </pic:pic>
                    </a:graphicData>
                  </a:graphic>
                </wp:inline>
              </w:drawing>
            </w:r>
          </w:p>
        </w:tc>
        <w:tc>
          <w:tcPr>
            <w:tcW w:w="8449" w:type="dxa"/>
            <w:shd w:val="clear" w:color="auto" w:fill="auto"/>
          </w:tcPr>
          <w:p w14:paraId="3007321D" w14:textId="77777777" w:rsidR="00951CCA" w:rsidRPr="00717EF6" w:rsidRDefault="00951CCA" w:rsidP="00951CCA">
            <w:pPr>
              <w:keepNext/>
              <w:keepLines/>
              <w:spacing w:before="40" w:after="80"/>
              <w:jc w:val="left"/>
              <w:cnfStyle w:val="100000000000" w:firstRow="1" w:lastRow="0" w:firstColumn="0" w:lastColumn="0" w:oddVBand="0" w:evenVBand="0" w:oddHBand="0" w:evenHBand="0" w:firstRowFirstColumn="0" w:firstRowLastColumn="0" w:lastRowFirstColumn="0" w:lastRowLastColumn="0"/>
              <w:rPr>
                <w:sz w:val="20"/>
                <w:szCs w:val="20"/>
              </w:rPr>
            </w:pPr>
            <w:r w:rsidRPr="00717EF6">
              <w:rPr>
                <w:color w:val="auto"/>
                <w:sz w:val="20"/>
                <w:szCs w:val="20"/>
              </w:rPr>
              <w:t>Fixed-line service</w:t>
            </w:r>
            <w:r w:rsidRPr="00717EF6">
              <w:rPr>
                <w:b w:val="0"/>
                <w:color w:val="auto"/>
                <w:sz w:val="20"/>
                <w:szCs w:val="20"/>
              </w:rPr>
              <w:t>—the highest levels of satisfaction were for service reliability, with 93 per cent satisfied or very satisfied, up four percentage points since May 2015. Line rental cost</w:t>
            </w:r>
            <w:r w:rsidRPr="00717EF6" w:rsidDel="0095478E">
              <w:rPr>
                <w:b w:val="0"/>
                <w:color w:val="auto"/>
                <w:sz w:val="20"/>
                <w:szCs w:val="20"/>
              </w:rPr>
              <w:t xml:space="preserve"> </w:t>
            </w:r>
            <w:r w:rsidRPr="00717EF6">
              <w:rPr>
                <w:b w:val="0"/>
                <w:color w:val="auto"/>
                <w:sz w:val="20"/>
                <w:szCs w:val="20"/>
              </w:rPr>
              <w:t>recorded the highest levels of dissatisfaction (25 per cent dissatisfied or very dissatisfied).</w:t>
            </w:r>
          </w:p>
        </w:tc>
      </w:tr>
      <w:tr w:rsidR="00951CCA" w14:paraId="22A219A0" w14:textId="77777777" w:rsidTr="00417292">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EB03F11" w14:textId="77777777" w:rsidR="00951CCA" w:rsidRDefault="00951CCA" w:rsidP="00417292">
            <w:pPr>
              <w:keepNext/>
              <w:keepLines/>
              <w:spacing w:before="40" w:after="80"/>
              <w:ind w:left="57"/>
            </w:pPr>
            <w:r w:rsidRPr="00D609AB">
              <w:rPr>
                <w:noProof/>
              </w:rPr>
              <w:drawing>
                <wp:inline distT="0" distB="0" distL="0" distR="0" wp14:anchorId="578A4EF0" wp14:editId="7003224E">
                  <wp:extent cx="215214" cy="430428"/>
                  <wp:effectExtent l="0" t="0" r="0" b="8255"/>
                  <wp:docPr id="19" name="Picture 19"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VIC01SRVP1\NBN and Industry Monitoring\Communications Analysis Section\Presentations\CR 2014 Charts\Lou\CH1 LB_mobile.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565" cy="437130"/>
                          </a:xfrm>
                          <a:prstGeom prst="rect">
                            <a:avLst/>
                          </a:prstGeom>
                          <a:noFill/>
                          <a:ln>
                            <a:noFill/>
                          </a:ln>
                        </pic:spPr>
                      </pic:pic>
                    </a:graphicData>
                  </a:graphic>
                </wp:inline>
              </w:drawing>
            </w:r>
          </w:p>
        </w:tc>
        <w:tc>
          <w:tcPr>
            <w:tcW w:w="8449" w:type="dxa"/>
            <w:shd w:val="clear" w:color="auto" w:fill="auto"/>
          </w:tcPr>
          <w:p w14:paraId="5A70560D" w14:textId="77777777" w:rsidR="00951CCA" w:rsidRPr="00717EF6" w:rsidRDefault="00951CCA" w:rsidP="00951CCA">
            <w:pPr>
              <w:keepNext/>
              <w:keepLines/>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717EF6">
              <w:rPr>
                <w:b/>
                <w:sz w:val="20"/>
                <w:szCs w:val="20"/>
              </w:rPr>
              <w:t>Mobile phone</w:t>
            </w:r>
            <w:r w:rsidRPr="00717EF6">
              <w:rPr>
                <w:sz w:val="20"/>
                <w:szCs w:val="20"/>
              </w:rPr>
              <w:t>—quality of voice calls recorded the highest levels of satisfaction (94 per cent), an increase of five percentage points on last year’s figure, while call/service costs (16 per cent) recorded the highest levels of dissatisfaction.</w:t>
            </w:r>
          </w:p>
        </w:tc>
      </w:tr>
      <w:tr w:rsidR="00951CCA" w14:paraId="2732E92C" w14:textId="77777777" w:rsidTr="00417292">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FBDCDFD" w14:textId="77777777" w:rsidR="00951CCA" w:rsidRDefault="00951CCA" w:rsidP="00951CCA">
            <w:pPr>
              <w:keepNext/>
              <w:keepLines/>
              <w:spacing w:before="40" w:after="80"/>
            </w:pPr>
            <w:r w:rsidRPr="00D609AB">
              <w:rPr>
                <w:noProof/>
              </w:rPr>
              <w:drawing>
                <wp:inline distT="0" distB="0" distL="0" distR="0" wp14:anchorId="4347F15D" wp14:editId="3A034D55">
                  <wp:extent cx="319474" cy="319474"/>
                  <wp:effectExtent l="0" t="0" r="4445" b="4445"/>
                  <wp:docPr id="23" name="Picture 23"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hapter 2 - black 90_Internet in text.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1094" cy="321094"/>
                          </a:xfrm>
                          <a:prstGeom prst="rect">
                            <a:avLst/>
                          </a:prstGeom>
                        </pic:spPr>
                      </pic:pic>
                    </a:graphicData>
                  </a:graphic>
                </wp:inline>
              </w:drawing>
            </w:r>
          </w:p>
        </w:tc>
        <w:tc>
          <w:tcPr>
            <w:tcW w:w="8449" w:type="dxa"/>
            <w:shd w:val="clear" w:color="auto" w:fill="auto"/>
          </w:tcPr>
          <w:p w14:paraId="6F944BF5" w14:textId="77777777" w:rsidR="00951CCA" w:rsidRPr="00717EF6" w:rsidRDefault="00951CCA" w:rsidP="00951CCA">
            <w:pPr>
              <w:keepNext/>
              <w:keepLines/>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717EF6">
              <w:rPr>
                <w:b/>
                <w:sz w:val="20"/>
                <w:szCs w:val="20"/>
              </w:rPr>
              <w:t>Internet</w:t>
            </w:r>
            <w:r w:rsidRPr="00717EF6">
              <w:rPr>
                <w:sz w:val="20"/>
                <w:szCs w:val="20"/>
              </w:rPr>
              <w:t>—the highest levels of satisfaction were recorded for billing information (91 per cent), while data speeds and service costs (both 26 per cent) recorded the highest levels of dissatisfaction.</w:t>
            </w:r>
          </w:p>
        </w:tc>
      </w:tr>
    </w:tbl>
    <w:p w14:paraId="6727F780" w14:textId="77777777" w:rsidR="00951CCA" w:rsidRPr="00D609AB" w:rsidRDefault="00951CCA" w:rsidP="00951CCA">
      <w:pPr>
        <w:pStyle w:val="ACMASpaceaftertable"/>
      </w:pPr>
    </w:p>
    <w:p w14:paraId="034EE463" w14:textId="77777777" w:rsidR="000A1CD9" w:rsidRPr="00D609AB" w:rsidRDefault="000A1CD9" w:rsidP="00951CCA">
      <w:pPr>
        <w:keepNext/>
        <w:spacing w:after="160"/>
        <w:ind w:left="1021" w:hanging="1021"/>
        <w:rPr>
          <w:b/>
          <w:bCs/>
          <w:color w:val="323232"/>
          <w:szCs w:val="20"/>
        </w:rPr>
      </w:pPr>
      <w:r w:rsidRPr="00D609AB">
        <w:rPr>
          <w:b/>
          <w:bCs/>
          <w:color w:val="323232"/>
          <w:szCs w:val="20"/>
        </w:rPr>
        <w:lastRenderedPageBreak/>
        <w:t>Figure 2.23</w:t>
      </w:r>
      <w:r w:rsidRPr="00D609AB">
        <w:rPr>
          <w:b/>
          <w:bCs/>
          <w:color w:val="323232"/>
          <w:szCs w:val="20"/>
        </w:rPr>
        <w:tab/>
        <w:t>Consumer satisfaction with aspects of their communications services (percentage)</w:t>
      </w:r>
    </w:p>
    <w:p w14:paraId="049C5940" w14:textId="77777777" w:rsidR="000A1CD9" w:rsidRPr="00D609AB" w:rsidRDefault="001D3392" w:rsidP="00951CCA">
      <w:pPr>
        <w:keepNext/>
        <w:spacing w:after="0"/>
        <w:ind w:left="1021" w:hanging="1021"/>
        <w:rPr>
          <w:b/>
          <w:bCs/>
          <w:color w:val="323232"/>
          <w:szCs w:val="20"/>
        </w:rPr>
      </w:pPr>
      <w:r>
        <w:rPr>
          <w:b/>
          <w:bCs/>
          <w:noProof/>
          <w:color w:val="323232"/>
          <w:szCs w:val="20"/>
        </w:rPr>
        <w:drawing>
          <wp:inline distT="0" distB="0" distL="0" distR="0" wp14:anchorId="2BBA99D6" wp14:editId="44DB07F7">
            <wp:extent cx="5898515" cy="7212842"/>
            <wp:effectExtent l="0" t="0" r="0" b="7620"/>
            <wp:docPr id="93" name="Picture 93" descr="Data for Figure 2.23 is in the .ods file for Chapter 2 on the landing page ‘Communications report 2015-16’, available from the ACMA website." title="Figure 2.23  Consumer satisfaction with aspects of their communications services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e 2.23_Figure 2.23.png"/>
                    <pic:cNvPicPr/>
                  </pic:nvPicPr>
                  <pic:blipFill rotWithShape="1">
                    <a:blip r:embed="rId89">
                      <a:extLst>
                        <a:ext uri="{28A0092B-C50C-407E-A947-70E740481C1C}">
                          <a14:useLocalDpi xmlns:a14="http://schemas.microsoft.com/office/drawing/2010/main" val="0"/>
                        </a:ext>
                      </a:extLst>
                    </a:blip>
                    <a:srcRect l="689" t="561" b="662"/>
                    <a:stretch/>
                  </pic:blipFill>
                  <pic:spPr bwMode="auto">
                    <a:xfrm>
                      <a:off x="0" y="0"/>
                      <a:ext cx="5900855" cy="7215703"/>
                    </a:xfrm>
                    <a:prstGeom prst="rect">
                      <a:avLst/>
                    </a:prstGeom>
                    <a:ln>
                      <a:noFill/>
                    </a:ln>
                    <a:extLst>
                      <a:ext uri="{53640926-AAD7-44D8-BBD7-CCE9431645EC}">
                        <a14:shadowObscured xmlns:a14="http://schemas.microsoft.com/office/drawing/2010/main"/>
                      </a:ext>
                    </a:extLst>
                  </pic:spPr>
                </pic:pic>
              </a:graphicData>
            </a:graphic>
          </wp:inline>
        </w:drawing>
      </w:r>
    </w:p>
    <w:p w14:paraId="7D1890F7" w14:textId="77777777" w:rsidR="000A1CD9" w:rsidRPr="00D609AB" w:rsidRDefault="000A1CD9" w:rsidP="000A1CD9">
      <w:pPr>
        <w:spacing w:before="80" w:after="0" w:line="240" w:lineRule="auto"/>
        <w:rPr>
          <w:rFonts w:cs="Arial"/>
          <w:i/>
          <w:sz w:val="16"/>
        </w:rPr>
      </w:pPr>
      <w:r w:rsidRPr="00D609AB">
        <w:rPr>
          <w:rFonts w:cs="Arial"/>
          <w:i/>
          <w:sz w:val="16"/>
        </w:rPr>
        <w:t>Base: Australians aged 18 years and over using a fixed-line telephone (n=1,442), mobile phone (n=1,904), internet (n=1,849).</w:t>
      </w:r>
    </w:p>
    <w:p w14:paraId="327E44B7" w14:textId="77777777" w:rsidR="000A1CD9" w:rsidRPr="00D609AB" w:rsidRDefault="000A1CD9" w:rsidP="000A1CD9">
      <w:pPr>
        <w:spacing w:before="80" w:after="0" w:line="240" w:lineRule="auto"/>
        <w:rPr>
          <w:rFonts w:cs="Arial"/>
          <w:i/>
          <w:sz w:val="16"/>
        </w:rPr>
      </w:pPr>
      <w:r w:rsidRPr="00D609AB">
        <w:rPr>
          <w:rFonts w:cs="Arial"/>
          <w:i/>
          <w:sz w:val="16"/>
        </w:rPr>
        <w:t>Notes: Numbers may not add up due to rounding. Excludes ‘don’t know’ responses.</w:t>
      </w:r>
    </w:p>
    <w:p w14:paraId="311EE7E3" w14:textId="77777777" w:rsidR="000A1CD9" w:rsidRPr="00D609AB" w:rsidRDefault="000A1CD9" w:rsidP="000A1CD9">
      <w:pPr>
        <w:spacing w:before="80" w:after="0" w:line="240" w:lineRule="auto"/>
        <w:rPr>
          <w:rFonts w:cs="Arial"/>
          <w:i/>
          <w:sz w:val="16"/>
        </w:rPr>
      </w:pPr>
      <w:r w:rsidRPr="00D609AB">
        <w:rPr>
          <w:rFonts w:cs="Arial"/>
          <w:i/>
          <w:sz w:val="16"/>
        </w:rPr>
        <w:t xml:space="preserve">Source: ACMA-commissioned survey, </w:t>
      </w:r>
      <w:r w:rsidR="00626035">
        <w:rPr>
          <w:rFonts w:cs="Arial"/>
          <w:i/>
          <w:sz w:val="16"/>
        </w:rPr>
        <w:t>June</w:t>
      </w:r>
      <w:r w:rsidRPr="00D609AB">
        <w:rPr>
          <w:rFonts w:cs="Arial"/>
          <w:i/>
          <w:sz w:val="16"/>
        </w:rPr>
        <w:t xml:space="preserve"> 2016.</w:t>
      </w:r>
    </w:p>
    <w:p w14:paraId="09B2CD47" w14:textId="77777777" w:rsidR="000A1CD9" w:rsidRPr="00D609AB" w:rsidRDefault="000A1CD9" w:rsidP="000A1CD9">
      <w:pPr>
        <w:rPr>
          <w:rFonts w:cs="Arial"/>
        </w:rPr>
      </w:pPr>
    </w:p>
    <w:p w14:paraId="2B79E028" w14:textId="77777777" w:rsidR="000A1CD9" w:rsidRPr="00D609AB" w:rsidRDefault="000A1CD9" w:rsidP="00985976">
      <w:pPr>
        <w:pStyle w:val="Heading2"/>
        <w:numPr>
          <w:ilvl w:val="1"/>
          <w:numId w:val="12"/>
        </w:numPr>
        <w:ind w:hanging="792"/>
      </w:pPr>
      <w:bookmarkStart w:id="561" w:name="_Toc462899600"/>
      <w:bookmarkStart w:id="562" w:name="_Toc433790342"/>
      <w:bookmarkStart w:id="563" w:name="_Toc463529090"/>
      <w:bookmarkStart w:id="564" w:name="_Toc465842911"/>
      <w:r w:rsidRPr="00D609AB">
        <w:lastRenderedPageBreak/>
        <w:t>International trends</w:t>
      </w:r>
      <w:bookmarkEnd w:id="561"/>
      <w:bookmarkEnd w:id="562"/>
      <w:bookmarkEnd w:id="563"/>
      <w:bookmarkEnd w:id="564"/>
      <w:r w:rsidRPr="00D609AB">
        <w:t xml:space="preserve"> </w:t>
      </w:r>
    </w:p>
    <w:p w14:paraId="7D991D51" w14:textId="77777777" w:rsidR="000A1CD9" w:rsidRPr="00D609AB" w:rsidRDefault="000A1CD9" w:rsidP="000A1CD9">
      <w:pPr>
        <w:keepNext/>
        <w:keepLines/>
      </w:pPr>
      <w:r w:rsidRPr="00D609AB">
        <w:t xml:space="preserve">International data that is currently available allows a broad-level comparison of the availability of communications services, internet adoption levels, and device take-up and usage across Australia, the United States (US), the United Kingdom (UK) and the European Union (EU). </w:t>
      </w:r>
    </w:p>
    <w:p w14:paraId="7606B4DE" w14:textId="77777777" w:rsidR="000A1CD9" w:rsidRPr="00D609AB" w:rsidRDefault="000A1CD9" w:rsidP="00604073">
      <w:pPr>
        <w:pStyle w:val="Heading3"/>
      </w:pPr>
      <w:bookmarkStart w:id="565" w:name="_Toc462899601"/>
      <w:bookmarkStart w:id="566" w:name="_Toc433790343"/>
      <w:bookmarkStart w:id="567" w:name="_Toc463529091"/>
      <w:bookmarkStart w:id="568" w:name="_Toc465842912"/>
      <w:r w:rsidRPr="00D609AB">
        <w:t>Communications services</w:t>
      </w:r>
      <w:bookmarkEnd w:id="565"/>
      <w:bookmarkEnd w:id="566"/>
      <w:bookmarkEnd w:id="567"/>
      <w:bookmarkEnd w:id="568"/>
    </w:p>
    <w:p w14:paraId="7A55A002" w14:textId="77777777" w:rsidR="000A1CD9" w:rsidRPr="00D609AB" w:rsidRDefault="000A1CD9" w:rsidP="000A1CD9">
      <w:pPr>
        <w:keepNext/>
        <w:keepLines/>
        <w:spacing w:after="80" w:line="240" w:lineRule="auto"/>
        <w:rPr>
          <w:rFonts w:cs="Arial"/>
        </w:rPr>
      </w:pPr>
      <w:r w:rsidRPr="00D609AB">
        <w:rPr>
          <w:rFonts w:cs="Arial"/>
          <w:szCs w:val="20"/>
        </w:rPr>
        <w:t>The recent Australian experience of the rise of mobile-only households is also reflected in other countries</w:t>
      </w:r>
      <w:r w:rsidRPr="00D609AB">
        <w:rPr>
          <w:rFonts w:cs="Arial"/>
        </w:rPr>
        <w:t>:</w:t>
      </w:r>
    </w:p>
    <w:p w14:paraId="41E85434" w14:textId="77777777" w:rsidR="000A1CD9" w:rsidRPr="00BF4722" w:rsidRDefault="000A1CD9" w:rsidP="00EA149D">
      <w:pPr>
        <w:pStyle w:val="ListBullet"/>
        <w:rPr>
          <w:lang w:val="en-US"/>
        </w:rPr>
      </w:pPr>
      <w:r w:rsidRPr="00BF4722">
        <w:t>13 per cent of the US population was living in a smartphone-only household (a smartphone but no broadband internet connection at home)—an increase of five per cent since 2013</w:t>
      </w:r>
      <w:r w:rsidRPr="00D609AB">
        <w:rPr>
          <w:vertAlign w:val="superscript"/>
          <w:lang w:val="en-US"/>
        </w:rPr>
        <w:endnoteReference w:id="123"/>
      </w:r>
      <w:r w:rsidRPr="00BF4722">
        <w:rPr>
          <w:lang w:val="en-US"/>
        </w:rPr>
        <w:t xml:space="preserve"> </w:t>
      </w:r>
    </w:p>
    <w:p w14:paraId="08F322E4" w14:textId="77777777" w:rsidR="000A1CD9" w:rsidRPr="00BF4722" w:rsidRDefault="000A1CD9" w:rsidP="00EA149D">
      <w:pPr>
        <w:pStyle w:val="ListBullet"/>
      </w:pPr>
      <w:r w:rsidRPr="00BF4722">
        <w:t xml:space="preserve">in the first quarter of 2015, </w:t>
      </w:r>
      <w:r w:rsidRPr="00BF4722">
        <w:rPr>
          <w:lang w:val="en-US"/>
        </w:rPr>
        <w:t>15 per cent of adults in the UK lived in mobile-only households, a decrease of one percentage point since the same time in 2014</w:t>
      </w:r>
      <w:r w:rsidRPr="00D609AB">
        <w:rPr>
          <w:vertAlign w:val="superscript"/>
          <w:lang w:val="en-US"/>
        </w:rPr>
        <w:endnoteReference w:id="124"/>
      </w:r>
    </w:p>
    <w:p w14:paraId="728E29B1" w14:textId="77777777" w:rsidR="000A1CD9" w:rsidRPr="00BF4722" w:rsidRDefault="000A1CD9" w:rsidP="00EA149D">
      <w:pPr>
        <w:pStyle w:val="ListBulletLast"/>
      </w:pPr>
      <w:r w:rsidRPr="00BF4722">
        <w:t>just over three in 10 households in the EU (33 per cent) had only mobile telephone access, with no fixed telephone access (October 2015).</w:t>
      </w:r>
      <w:r w:rsidRPr="00D609AB">
        <w:rPr>
          <w:rFonts w:ascii="ECSquareSansPro" w:hAnsi="ECSquareSansPro" w:cs="ECSquareSansPro"/>
          <w:vertAlign w:val="superscript"/>
        </w:rPr>
        <w:endnoteReference w:id="125"/>
      </w:r>
    </w:p>
    <w:p w14:paraId="52E2533A" w14:textId="77777777" w:rsidR="000A1CD9" w:rsidRPr="00D609AB" w:rsidRDefault="000A1CD9" w:rsidP="00604073">
      <w:pPr>
        <w:pStyle w:val="Heading3"/>
      </w:pPr>
      <w:bookmarkStart w:id="569" w:name="_Toc462899602"/>
      <w:bookmarkStart w:id="570" w:name="_Toc433790344"/>
      <w:bookmarkStart w:id="571" w:name="_Toc463529092"/>
      <w:bookmarkStart w:id="572" w:name="_Toc465842913"/>
      <w:r w:rsidRPr="00D609AB">
        <w:t>Access to the internet</w:t>
      </w:r>
      <w:bookmarkEnd w:id="569"/>
      <w:bookmarkEnd w:id="570"/>
      <w:bookmarkEnd w:id="571"/>
      <w:bookmarkEnd w:id="572"/>
    </w:p>
    <w:p w14:paraId="4F9FAF83" w14:textId="77777777" w:rsidR="000A1CD9" w:rsidRPr="00D609AB" w:rsidRDefault="000A1CD9" w:rsidP="000A1CD9">
      <w:pPr>
        <w:rPr>
          <w:rFonts w:cs="Arial"/>
        </w:rPr>
      </w:pPr>
      <w:r w:rsidRPr="00D609AB">
        <w:rPr>
          <w:rFonts w:cs="Arial"/>
        </w:rPr>
        <w:t xml:space="preserve">Table 2.1 suggests that Australia has similar or higher levels of general and mobile phone internet users than the US and UK. </w:t>
      </w:r>
    </w:p>
    <w:p w14:paraId="3C1D0D75" w14:textId="77777777" w:rsidR="000A1CD9" w:rsidRPr="00D609AB" w:rsidRDefault="000A1CD9" w:rsidP="002C592F">
      <w:pPr>
        <w:spacing w:after="160"/>
        <w:ind w:left="964" w:hanging="964"/>
        <w:rPr>
          <w:b/>
          <w:bCs/>
          <w:color w:val="323232"/>
          <w:szCs w:val="20"/>
        </w:rPr>
      </w:pPr>
      <w:r w:rsidRPr="00D609AB">
        <w:rPr>
          <w:b/>
          <w:bCs/>
          <w:color w:val="323232"/>
          <w:szCs w:val="20"/>
        </w:rPr>
        <w:t>Table 2.1</w:t>
      </w:r>
      <w:r w:rsidRPr="00D609AB">
        <w:rPr>
          <w:b/>
          <w:bCs/>
          <w:color w:val="323232"/>
          <w:szCs w:val="20"/>
        </w:rPr>
        <w:tab/>
        <w:t>International trends in access to the internet (percentage)</w:t>
      </w:r>
    </w:p>
    <w:tbl>
      <w:tblPr>
        <w:tblStyle w:val="TableGrid1"/>
        <w:tblW w:w="960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57" w:type="dxa"/>
          <w:left w:w="57" w:type="dxa"/>
          <w:bottom w:w="57" w:type="dxa"/>
          <w:right w:w="57" w:type="dxa"/>
        </w:tblCellMar>
        <w:tblLook w:val="04A0" w:firstRow="1" w:lastRow="0" w:firstColumn="1" w:lastColumn="0" w:noHBand="0" w:noVBand="1"/>
        <w:tblCaption w:val="Table 2.1 International trends in access to the internet (percentage)"/>
      </w:tblPr>
      <w:tblGrid>
        <w:gridCol w:w="2110"/>
        <w:gridCol w:w="1248"/>
        <w:gridCol w:w="1249"/>
        <w:gridCol w:w="1248"/>
        <w:gridCol w:w="1249"/>
        <w:gridCol w:w="1248"/>
        <w:gridCol w:w="1249"/>
      </w:tblGrid>
      <w:tr w:rsidR="000A1CD9" w:rsidRPr="00D609AB" w14:paraId="0D7B0EFC" w14:textId="77777777" w:rsidTr="009573A6">
        <w:trPr>
          <w:trHeight w:val="238"/>
          <w:tblHeader/>
        </w:trPr>
        <w:tc>
          <w:tcPr>
            <w:tcW w:w="2110" w:type="dxa"/>
            <w:vMerge w:val="restart"/>
            <w:shd w:val="clear" w:color="auto" w:fill="auto"/>
            <w:vAlign w:val="center"/>
          </w:tcPr>
          <w:p w14:paraId="419A0550" w14:textId="77777777" w:rsidR="000A1CD9" w:rsidRPr="00D609AB" w:rsidRDefault="000A1CD9" w:rsidP="0043264B">
            <w:pPr>
              <w:spacing w:after="0" w:line="240" w:lineRule="auto"/>
              <w:rPr>
                <w:color w:val="FFFFFF"/>
                <w:sz w:val="18"/>
                <w:szCs w:val="18"/>
              </w:rPr>
            </w:pPr>
          </w:p>
          <w:p w14:paraId="4CCAB6A9" w14:textId="77777777" w:rsidR="000A1CD9" w:rsidRPr="00D609AB" w:rsidRDefault="000A1CD9" w:rsidP="0043264B">
            <w:pPr>
              <w:spacing w:after="0" w:line="240" w:lineRule="auto"/>
              <w:rPr>
                <w:sz w:val="18"/>
                <w:szCs w:val="18"/>
                <w:highlight w:val="yellow"/>
              </w:rPr>
            </w:pPr>
          </w:p>
        </w:tc>
        <w:tc>
          <w:tcPr>
            <w:tcW w:w="2497" w:type="dxa"/>
            <w:gridSpan w:val="2"/>
            <w:shd w:val="clear" w:color="auto" w:fill="007298"/>
          </w:tcPr>
          <w:p w14:paraId="17CE611E" w14:textId="77777777" w:rsidR="000A1CD9" w:rsidRPr="00A869AE" w:rsidRDefault="000A1CD9" w:rsidP="009573A6">
            <w:pPr>
              <w:pStyle w:val="TableHeading"/>
              <w:jc w:val="center"/>
            </w:pPr>
            <w:r w:rsidRPr="00A869AE">
              <w:t>Home broadband connection</w:t>
            </w:r>
          </w:p>
        </w:tc>
        <w:tc>
          <w:tcPr>
            <w:tcW w:w="2497" w:type="dxa"/>
            <w:gridSpan w:val="2"/>
            <w:shd w:val="clear" w:color="auto" w:fill="007298"/>
          </w:tcPr>
          <w:p w14:paraId="637068B4" w14:textId="77777777" w:rsidR="000A1CD9" w:rsidRPr="00A869AE" w:rsidRDefault="000A1CD9" w:rsidP="009573A6">
            <w:pPr>
              <w:pStyle w:val="TableHeading"/>
              <w:jc w:val="center"/>
            </w:pPr>
            <w:r w:rsidRPr="00A869AE">
              <w:t>Use mobile phone to access the internet</w:t>
            </w:r>
          </w:p>
        </w:tc>
        <w:tc>
          <w:tcPr>
            <w:tcW w:w="2497" w:type="dxa"/>
            <w:gridSpan w:val="2"/>
            <w:shd w:val="clear" w:color="auto" w:fill="007298"/>
          </w:tcPr>
          <w:p w14:paraId="6A6DB30E" w14:textId="77777777" w:rsidR="000A1CD9" w:rsidRPr="00A869AE" w:rsidRDefault="000A1CD9" w:rsidP="009573A6">
            <w:pPr>
              <w:pStyle w:val="TableHeading"/>
              <w:jc w:val="center"/>
            </w:pPr>
            <w:r w:rsidRPr="00A869AE">
              <w:t>Use the internet</w:t>
            </w:r>
          </w:p>
        </w:tc>
      </w:tr>
      <w:tr w:rsidR="000A1CD9" w:rsidRPr="00D609AB" w14:paraId="7F9F27A9" w14:textId="77777777" w:rsidTr="0043264B">
        <w:trPr>
          <w:trHeight w:val="218"/>
        </w:trPr>
        <w:tc>
          <w:tcPr>
            <w:tcW w:w="2110" w:type="dxa"/>
            <w:vMerge/>
            <w:shd w:val="clear" w:color="auto" w:fill="auto"/>
            <w:vAlign w:val="center"/>
          </w:tcPr>
          <w:p w14:paraId="44FA866E" w14:textId="77777777" w:rsidR="000A1CD9" w:rsidRPr="00D609AB" w:rsidRDefault="000A1CD9" w:rsidP="0043264B">
            <w:pPr>
              <w:spacing w:after="0" w:line="240" w:lineRule="auto"/>
              <w:rPr>
                <w:color w:val="FFFFFF"/>
                <w:sz w:val="18"/>
                <w:szCs w:val="18"/>
              </w:rPr>
            </w:pPr>
          </w:p>
        </w:tc>
        <w:tc>
          <w:tcPr>
            <w:tcW w:w="1248" w:type="dxa"/>
            <w:shd w:val="clear" w:color="auto" w:fill="007298"/>
            <w:vAlign w:val="center"/>
          </w:tcPr>
          <w:p w14:paraId="5A03FC3B" w14:textId="77777777" w:rsidR="000A1CD9" w:rsidRPr="00A869AE" w:rsidRDefault="000A1CD9" w:rsidP="0063439E">
            <w:pPr>
              <w:spacing w:after="0" w:line="240" w:lineRule="auto"/>
              <w:jc w:val="right"/>
              <w:rPr>
                <w:rFonts w:cs="Arial"/>
                <w:b/>
                <w:color w:val="FFFFFF"/>
                <w:sz w:val="18"/>
                <w:szCs w:val="18"/>
              </w:rPr>
            </w:pPr>
            <w:r w:rsidRPr="00A869AE">
              <w:rPr>
                <w:rFonts w:cs="Arial"/>
                <w:b/>
                <w:color w:val="FFFFFF"/>
                <w:sz w:val="18"/>
                <w:szCs w:val="18"/>
              </w:rPr>
              <w:t>2015</w:t>
            </w:r>
          </w:p>
        </w:tc>
        <w:tc>
          <w:tcPr>
            <w:tcW w:w="1249" w:type="dxa"/>
            <w:shd w:val="clear" w:color="auto" w:fill="007298"/>
            <w:vAlign w:val="center"/>
          </w:tcPr>
          <w:p w14:paraId="65F04E34" w14:textId="77777777" w:rsidR="000A1CD9" w:rsidRPr="00A869AE" w:rsidRDefault="000A1CD9" w:rsidP="0063439E">
            <w:pPr>
              <w:spacing w:after="0" w:line="240" w:lineRule="auto"/>
              <w:jc w:val="right"/>
              <w:rPr>
                <w:rFonts w:cs="Arial"/>
                <w:b/>
                <w:color w:val="FFFFFF"/>
                <w:sz w:val="18"/>
                <w:szCs w:val="18"/>
              </w:rPr>
            </w:pPr>
            <w:r w:rsidRPr="00A869AE">
              <w:rPr>
                <w:rFonts w:cs="Arial"/>
                <w:b/>
                <w:color w:val="FFFFFF"/>
                <w:sz w:val="18"/>
                <w:szCs w:val="18"/>
              </w:rPr>
              <w:t>2016</w:t>
            </w:r>
          </w:p>
        </w:tc>
        <w:tc>
          <w:tcPr>
            <w:tcW w:w="1248" w:type="dxa"/>
            <w:shd w:val="clear" w:color="auto" w:fill="007298"/>
            <w:vAlign w:val="center"/>
          </w:tcPr>
          <w:p w14:paraId="4EF51AE0" w14:textId="77777777" w:rsidR="000A1CD9" w:rsidRPr="00A869AE" w:rsidRDefault="000A1CD9" w:rsidP="0063439E">
            <w:pPr>
              <w:spacing w:after="0" w:line="240" w:lineRule="auto"/>
              <w:jc w:val="right"/>
              <w:rPr>
                <w:rFonts w:cs="Arial"/>
                <w:b/>
                <w:color w:val="FFFFFF"/>
                <w:sz w:val="18"/>
                <w:szCs w:val="18"/>
              </w:rPr>
            </w:pPr>
            <w:r w:rsidRPr="00A869AE">
              <w:rPr>
                <w:rFonts w:cs="Arial"/>
                <w:b/>
                <w:color w:val="FFFFFF"/>
                <w:sz w:val="18"/>
                <w:szCs w:val="18"/>
              </w:rPr>
              <w:t>2015</w:t>
            </w:r>
          </w:p>
        </w:tc>
        <w:tc>
          <w:tcPr>
            <w:tcW w:w="1249" w:type="dxa"/>
            <w:shd w:val="clear" w:color="auto" w:fill="007298"/>
            <w:vAlign w:val="center"/>
          </w:tcPr>
          <w:p w14:paraId="2C14D220" w14:textId="77777777" w:rsidR="000A1CD9" w:rsidRPr="00A869AE" w:rsidRDefault="000A1CD9" w:rsidP="0063439E">
            <w:pPr>
              <w:spacing w:after="0" w:line="240" w:lineRule="auto"/>
              <w:jc w:val="right"/>
              <w:rPr>
                <w:rFonts w:cs="Arial"/>
                <w:b/>
                <w:color w:val="FFFFFF"/>
                <w:sz w:val="18"/>
                <w:szCs w:val="18"/>
              </w:rPr>
            </w:pPr>
            <w:r w:rsidRPr="00A869AE">
              <w:rPr>
                <w:rFonts w:cs="Arial"/>
                <w:b/>
                <w:color w:val="FFFFFF"/>
                <w:sz w:val="18"/>
                <w:szCs w:val="18"/>
              </w:rPr>
              <w:t>2016</w:t>
            </w:r>
          </w:p>
        </w:tc>
        <w:tc>
          <w:tcPr>
            <w:tcW w:w="1248" w:type="dxa"/>
            <w:shd w:val="clear" w:color="auto" w:fill="007298"/>
            <w:vAlign w:val="center"/>
          </w:tcPr>
          <w:p w14:paraId="35CDEBCB" w14:textId="77777777" w:rsidR="000A1CD9" w:rsidRPr="00A869AE" w:rsidRDefault="000A1CD9" w:rsidP="0063439E">
            <w:pPr>
              <w:spacing w:after="0" w:line="240" w:lineRule="auto"/>
              <w:jc w:val="right"/>
              <w:rPr>
                <w:rFonts w:cs="Arial"/>
                <w:b/>
                <w:color w:val="FFFFFF"/>
                <w:sz w:val="18"/>
                <w:szCs w:val="18"/>
              </w:rPr>
            </w:pPr>
            <w:r w:rsidRPr="00A869AE">
              <w:rPr>
                <w:rFonts w:cs="Arial"/>
                <w:b/>
                <w:color w:val="FFFFFF"/>
                <w:sz w:val="18"/>
                <w:szCs w:val="18"/>
              </w:rPr>
              <w:t>2015</w:t>
            </w:r>
          </w:p>
        </w:tc>
        <w:tc>
          <w:tcPr>
            <w:tcW w:w="1249" w:type="dxa"/>
            <w:shd w:val="clear" w:color="auto" w:fill="007298"/>
            <w:vAlign w:val="center"/>
          </w:tcPr>
          <w:p w14:paraId="37DBA03D" w14:textId="77777777" w:rsidR="000A1CD9" w:rsidRPr="00A869AE" w:rsidRDefault="000A1CD9" w:rsidP="0063439E">
            <w:pPr>
              <w:spacing w:after="0" w:line="240" w:lineRule="auto"/>
              <w:jc w:val="right"/>
              <w:rPr>
                <w:rFonts w:cs="Arial"/>
                <w:b/>
                <w:color w:val="FFFFFF"/>
                <w:sz w:val="18"/>
                <w:szCs w:val="18"/>
              </w:rPr>
            </w:pPr>
            <w:r w:rsidRPr="00A869AE">
              <w:rPr>
                <w:rFonts w:cs="Arial"/>
                <w:b/>
                <w:color w:val="FFFFFF"/>
                <w:sz w:val="18"/>
                <w:szCs w:val="18"/>
              </w:rPr>
              <w:t>2016</w:t>
            </w:r>
          </w:p>
        </w:tc>
      </w:tr>
      <w:tr w:rsidR="000A1CD9" w:rsidRPr="00D609AB" w14:paraId="2F92DD3D" w14:textId="77777777" w:rsidTr="0043264B">
        <w:trPr>
          <w:trHeight w:val="23"/>
        </w:trPr>
        <w:tc>
          <w:tcPr>
            <w:tcW w:w="2110" w:type="dxa"/>
            <w:shd w:val="clear" w:color="auto" w:fill="7FB8CB"/>
            <w:vAlign w:val="center"/>
          </w:tcPr>
          <w:p w14:paraId="17C186FE" w14:textId="77777777" w:rsidR="000A1CD9" w:rsidRPr="008E419C" w:rsidRDefault="000A1CD9" w:rsidP="0043264B">
            <w:pPr>
              <w:spacing w:after="0" w:line="240" w:lineRule="auto"/>
              <w:rPr>
                <w:rFonts w:cs="Arial"/>
                <w:color w:val="FFFFFF" w:themeColor="background1"/>
                <w:sz w:val="18"/>
                <w:szCs w:val="18"/>
              </w:rPr>
            </w:pPr>
            <w:r w:rsidRPr="008E419C">
              <w:rPr>
                <w:rFonts w:cs="Arial"/>
                <w:color w:val="FFFFFF" w:themeColor="background1"/>
                <w:sz w:val="18"/>
                <w:szCs w:val="18"/>
              </w:rPr>
              <w:t>Australia</w:t>
            </w:r>
          </w:p>
        </w:tc>
        <w:tc>
          <w:tcPr>
            <w:tcW w:w="1248" w:type="dxa"/>
            <w:shd w:val="clear" w:color="auto" w:fill="D2E1E9"/>
            <w:vAlign w:val="center"/>
          </w:tcPr>
          <w:p w14:paraId="766476D7" w14:textId="77777777" w:rsidR="000A1CD9" w:rsidRPr="00D609AB" w:rsidRDefault="000A1CD9" w:rsidP="0063439E">
            <w:pPr>
              <w:spacing w:after="0" w:line="240" w:lineRule="auto"/>
              <w:jc w:val="right"/>
              <w:rPr>
                <w:sz w:val="18"/>
                <w:szCs w:val="18"/>
              </w:rPr>
            </w:pPr>
            <w:r w:rsidRPr="00D609AB">
              <w:rPr>
                <w:rFonts w:cs="Arial"/>
                <w:sz w:val="18"/>
                <w:szCs w:val="18"/>
              </w:rPr>
              <w:t>86</w:t>
            </w:r>
          </w:p>
        </w:tc>
        <w:tc>
          <w:tcPr>
            <w:tcW w:w="1249" w:type="dxa"/>
            <w:shd w:val="clear" w:color="auto" w:fill="D2E1E9"/>
            <w:vAlign w:val="center"/>
          </w:tcPr>
          <w:p w14:paraId="07301BA2" w14:textId="77777777" w:rsidR="000A1CD9" w:rsidRPr="00D609AB" w:rsidRDefault="000A1CD9" w:rsidP="0063439E">
            <w:pPr>
              <w:spacing w:after="0" w:line="240" w:lineRule="auto"/>
              <w:jc w:val="right"/>
              <w:rPr>
                <w:rFonts w:cs="Arial"/>
                <w:sz w:val="18"/>
                <w:szCs w:val="18"/>
              </w:rPr>
            </w:pPr>
            <w:r w:rsidRPr="00D609AB">
              <w:rPr>
                <w:rFonts w:cs="Arial"/>
                <w:sz w:val="18"/>
                <w:szCs w:val="18"/>
              </w:rPr>
              <w:t>85</w:t>
            </w:r>
          </w:p>
        </w:tc>
        <w:tc>
          <w:tcPr>
            <w:tcW w:w="1248" w:type="dxa"/>
            <w:shd w:val="clear" w:color="auto" w:fill="D2E1E9"/>
            <w:vAlign w:val="center"/>
          </w:tcPr>
          <w:p w14:paraId="5BA0BD56" w14:textId="77777777" w:rsidR="000A1CD9" w:rsidRPr="00D609AB" w:rsidRDefault="000A1CD9" w:rsidP="0063439E">
            <w:pPr>
              <w:spacing w:after="0" w:line="240" w:lineRule="auto"/>
              <w:jc w:val="right"/>
              <w:rPr>
                <w:rFonts w:cs="Arial"/>
                <w:sz w:val="18"/>
                <w:szCs w:val="18"/>
              </w:rPr>
            </w:pPr>
            <w:r w:rsidRPr="00D609AB">
              <w:rPr>
                <w:rFonts w:cs="Arial"/>
                <w:sz w:val="18"/>
                <w:szCs w:val="18"/>
              </w:rPr>
              <w:t>73</w:t>
            </w:r>
          </w:p>
        </w:tc>
        <w:tc>
          <w:tcPr>
            <w:tcW w:w="1249" w:type="dxa"/>
            <w:shd w:val="clear" w:color="auto" w:fill="D2E1E9"/>
            <w:vAlign w:val="center"/>
          </w:tcPr>
          <w:p w14:paraId="408C81E1" w14:textId="77777777" w:rsidR="000A1CD9" w:rsidRPr="00D609AB" w:rsidRDefault="000A1CD9" w:rsidP="0063439E">
            <w:pPr>
              <w:spacing w:after="0" w:line="240" w:lineRule="auto"/>
              <w:jc w:val="right"/>
              <w:rPr>
                <w:rFonts w:cs="Arial"/>
                <w:sz w:val="18"/>
                <w:szCs w:val="18"/>
                <w:highlight w:val="yellow"/>
              </w:rPr>
            </w:pPr>
            <w:r w:rsidRPr="00D609AB">
              <w:rPr>
                <w:rFonts w:cs="Arial"/>
                <w:sz w:val="18"/>
                <w:szCs w:val="18"/>
              </w:rPr>
              <w:t>70</w:t>
            </w:r>
          </w:p>
        </w:tc>
        <w:tc>
          <w:tcPr>
            <w:tcW w:w="1248" w:type="dxa"/>
            <w:shd w:val="clear" w:color="auto" w:fill="D2E1E9"/>
            <w:vAlign w:val="center"/>
          </w:tcPr>
          <w:p w14:paraId="695F7552" w14:textId="77777777" w:rsidR="000A1CD9" w:rsidRPr="00D609AB" w:rsidRDefault="000A1CD9" w:rsidP="0063439E">
            <w:pPr>
              <w:spacing w:after="0" w:line="240" w:lineRule="auto"/>
              <w:jc w:val="right"/>
              <w:rPr>
                <w:rFonts w:cs="Arial"/>
                <w:sz w:val="18"/>
                <w:szCs w:val="18"/>
              </w:rPr>
            </w:pPr>
            <w:r w:rsidRPr="00D609AB">
              <w:rPr>
                <w:rFonts w:cs="Arial"/>
                <w:sz w:val="18"/>
                <w:szCs w:val="18"/>
              </w:rPr>
              <w:t>92</w:t>
            </w:r>
          </w:p>
        </w:tc>
        <w:tc>
          <w:tcPr>
            <w:tcW w:w="1249" w:type="dxa"/>
            <w:shd w:val="clear" w:color="auto" w:fill="D2E1E9"/>
            <w:vAlign w:val="center"/>
          </w:tcPr>
          <w:p w14:paraId="0E24A9CD" w14:textId="77777777" w:rsidR="000A1CD9" w:rsidRPr="00D609AB" w:rsidRDefault="000A1CD9" w:rsidP="0063439E">
            <w:pPr>
              <w:spacing w:after="0" w:line="240" w:lineRule="auto"/>
              <w:jc w:val="right"/>
              <w:rPr>
                <w:rFonts w:cs="Arial"/>
                <w:sz w:val="18"/>
                <w:szCs w:val="18"/>
                <w:highlight w:val="yellow"/>
              </w:rPr>
            </w:pPr>
            <w:r w:rsidRPr="00D609AB">
              <w:rPr>
                <w:rFonts w:cs="Arial"/>
                <w:sz w:val="18"/>
                <w:szCs w:val="18"/>
              </w:rPr>
              <w:t>91</w:t>
            </w:r>
          </w:p>
        </w:tc>
      </w:tr>
      <w:tr w:rsidR="000A1CD9" w:rsidRPr="00D609AB" w14:paraId="66AB6C17" w14:textId="77777777" w:rsidTr="0043264B">
        <w:trPr>
          <w:trHeight w:val="23"/>
        </w:trPr>
        <w:tc>
          <w:tcPr>
            <w:tcW w:w="2110" w:type="dxa"/>
            <w:shd w:val="clear" w:color="auto" w:fill="7FB8CB"/>
            <w:vAlign w:val="center"/>
          </w:tcPr>
          <w:p w14:paraId="303E36BE" w14:textId="77777777" w:rsidR="000A1CD9" w:rsidRPr="008E419C" w:rsidRDefault="000A1CD9" w:rsidP="0043264B">
            <w:pPr>
              <w:spacing w:after="0" w:line="240" w:lineRule="auto"/>
              <w:rPr>
                <w:color w:val="FFFFFF" w:themeColor="background1"/>
                <w:sz w:val="18"/>
                <w:szCs w:val="18"/>
              </w:rPr>
            </w:pPr>
            <w:r w:rsidRPr="008E419C">
              <w:rPr>
                <w:color w:val="FFFFFF" w:themeColor="background1"/>
                <w:sz w:val="18"/>
                <w:szCs w:val="18"/>
              </w:rPr>
              <w:t>US</w:t>
            </w:r>
          </w:p>
        </w:tc>
        <w:tc>
          <w:tcPr>
            <w:tcW w:w="1248" w:type="dxa"/>
            <w:shd w:val="clear" w:color="auto" w:fill="D2E1E9"/>
            <w:vAlign w:val="center"/>
          </w:tcPr>
          <w:p w14:paraId="5DC6D8BC" w14:textId="77777777" w:rsidR="000A1CD9" w:rsidRPr="00D609AB" w:rsidRDefault="000A1CD9" w:rsidP="0063439E">
            <w:pPr>
              <w:spacing w:after="0" w:line="240" w:lineRule="auto"/>
              <w:jc w:val="right"/>
              <w:rPr>
                <w:rFonts w:cs="Arial"/>
                <w:sz w:val="18"/>
                <w:szCs w:val="18"/>
              </w:rPr>
            </w:pPr>
            <w:r>
              <w:rPr>
                <w:rFonts w:cs="Arial"/>
                <w:sz w:val="18"/>
                <w:szCs w:val="18"/>
              </w:rPr>
              <w:t>67</w:t>
            </w:r>
          </w:p>
        </w:tc>
        <w:tc>
          <w:tcPr>
            <w:tcW w:w="1249" w:type="dxa"/>
            <w:shd w:val="clear" w:color="auto" w:fill="D2E1E9"/>
            <w:vAlign w:val="center"/>
          </w:tcPr>
          <w:p w14:paraId="3075899A" w14:textId="77777777" w:rsidR="000A1CD9" w:rsidRPr="00D609AB" w:rsidRDefault="000A1CD9" w:rsidP="0063439E">
            <w:pPr>
              <w:spacing w:after="0" w:line="240" w:lineRule="auto"/>
              <w:jc w:val="right"/>
              <w:rPr>
                <w:rFonts w:cs="Arial"/>
                <w:sz w:val="18"/>
                <w:szCs w:val="18"/>
              </w:rPr>
            </w:pPr>
            <w:r w:rsidRPr="00D609AB">
              <w:rPr>
                <w:rFonts w:cs="Arial"/>
                <w:sz w:val="18"/>
                <w:szCs w:val="18"/>
              </w:rPr>
              <w:t>n/a</w:t>
            </w:r>
          </w:p>
        </w:tc>
        <w:tc>
          <w:tcPr>
            <w:tcW w:w="1248" w:type="dxa"/>
            <w:shd w:val="clear" w:color="auto" w:fill="D2E1E9"/>
            <w:vAlign w:val="center"/>
          </w:tcPr>
          <w:p w14:paraId="282CA29A" w14:textId="77777777" w:rsidR="000A1CD9" w:rsidRPr="00D609AB" w:rsidRDefault="000A1CD9" w:rsidP="0063439E">
            <w:pPr>
              <w:spacing w:after="0" w:line="240" w:lineRule="auto"/>
              <w:jc w:val="right"/>
              <w:rPr>
                <w:rFonts w:cs="Arial"/>
                <w:sz w:val="18"/>
                <w:szCs w:val="18"/>
              </w:rPr>
            </w:pPr>
            <w:r w:rsidRPr="00D609AB">
              <w:rPr>
                <w:rFonts w:cs="Arial"/>
                <w:sz w:val="18"/>
                <w:szCs w:val="18"/>
              </w:rPr>
              <w:t>64</w:t>
            </w:r>
            <w:r w:rsidRPr="00D609AB">
              <w:rPr>
                <w:rFonts w:cs="Arial"/>
                <w:sz w:val="18"/>
                <w:szCs w:val="18"/>
                <w:vertAlign w:val="superscript"/>
              </w:rPr>
              <w:t>*</w:t>
            </w:r>
          </w:p>
        </w:tc>
        <w:tc>
          <w:tcPr>
            <w:tcW w:w="1249" w:type="dxa"/>
            <w:shd w:val="clear" w:color="auto" w:fill="D2E1E9"/>
            <w:vAlign w:val="center"/>
          </w:tcPr>
          <w:p w14:paraId="5366B6A0" w14:textId="77777777" w:rsidR="000A1CD9" w:rsidRPr="00D609AB" w:rsidRDefault="000A1CD9" w:rsidP="0063439E">
            <w:pPr>
              <w:spacing w:after="0" w:line="240" w:lineRule="auto"/>
              <w:jc w:val="right"/>
              <w:rPr>
                <w:rFonts w:cs="Arial"/>
                <w:sz w:val="18"/>
                <w:szCs w:val="18"/>
              </w:rPr>
            </w:pPr>
            <w:r w:rsidRPr="00D609AB">
              <w:rPr>
                <w:rFonts w:cs="Arial"/>
                <w:sz w:val="18"/>
                <w:szCs w:val="18"/>
              </w:rPr>
              <w:t>70</w:t>
            </w:r>
          </w:p>
        </w:tc>
        <w:tc>
          <w:tcPr>
            <w:tcW w:w="1248" w:type="dxa"/>
            <w:shd w:val="clear" w:color="auto" w:fill="D2E1E9"/>
            <w:vAlign w:val="center"/>
          </w:tcPr>
          <w:p w14:paraId="2678F94F" w14:textId="77777777" w:rsidR="000A1CD9" w:rsidRPr="00D609AB" w:rsidRDefault="000A1CD9" w:rsidP="0063439E">
            <w:pPr>
              <w:spacing w:after="0" w:line="240" w:lineRule="auto"/>
              <w:jc w:val="right"/>
              <w:rPr>
                <w:rFonts w:cs="Arial"/>
                <w:sz w:val="18"/>
                <w:szCs w:val="18"/>
              </w:rPr>
            </w:pPr>
            <w:r w:rsidRPr="00D609AB">
              <w:rPr>
                <w:rFonts w:cs="Arial"/>
                <w:sz w:val="18"/>
                <w:szCs w:val="18"/>
              </w:rPr>
              <w:t>84</w:t>
            </w:r>
          </w:p>
        </w:tc>
        <w:tc>
          <w:tcPr>
            <w:tcW w:w="1249" w:type="dxa"/>
            <w:shd w:val="clear" w:color="auto" w:fill="D2E1E9"/>
            <w:vAlign w:val="center"/>
          </w:tcPr>
          <w:p w14:paraId="0A0115BB" w14:textId="77777777" w:rsidR="000A1CD9" w:rsidRPr="00D609AB" w:rsidRDefault="000A1CD9" w:rsidP="0063439E">
            <w:pPr>
              <w:spacing w:after="0" w:line="240" w:lineRule="auto"/>
              <w:jc w:val="right"/>
              <w:rPr>
                <w:rFonts w:cs="Arial"/>
                <w:sz w:val="18"/>
                <w:szCs w:val="18"/>
              </w:rPr>
            </w:pPr>
            <w:r w:rsidRPr="00D609AB">
              <w:rPr>
                <w:rFonts w:cs="Arial"/>
                <w:sz w:val="18"/>
                <w:szCs w:val="18"/>
              </w:rPr>
              <w:t>89</w:t>
            </w:r>
          </w:p>
        </w:tc>
      </w:tr>
      <w:tr w:rsidR="000A1CD9" w:rsidRPr="00D609AB" w14:paraId="2F3C10C0" w14:textId="77777777" w:rsidTr="0043264B">
        <w:trPr>
          <w:trHeight w:val="50"/>
        </w:trPr>
        <w:tc>
          <w:tcPr>
            <w:tcW w:w="2110" w:type="dxa"/>
            <w:shd w:val="clear" w:color="auto" w:fill="7FB8CB"/>
            <w:vAlign w:val="center"/>
          </w:tcPr>
          <w:p w14:paraId="595EA14B" w14:textId="77777777" w:rsidR="000A1CD9" w:rsidRPr="008E419C" w:rsidRDefault="000A1CD9" w:rsidP="0043264B">
            <w:pPr>
              <w:spacing w:after="0" w:line="240" w:lineRule="auto"/>
              <w:rPr>
                <w:color w:val="FFFFFF" w:themeColor="background1"/>
                <w:sz w:val="18"/>
                <w:szCs w:val="18"/>
                <w:highlight w:val="yellow"/>
              </w:rPr>
            </w:pPr>
            <w:r w:rsidRPr="008E419C">
              <w:rPr>
                <w:color w:val="FFFFFF" w:themeColor="background1"/>
                <w:sz w:val="18"/>
                <w:szCs w:val="18"/>
              </w:rPr>
              <w:t>UK</w:t>
            </w:r>
            <w:r w:rsidRPr="008E419C">
              <w:rPr>
                <w:color w:val="FFFFFF" w:themeColor="background1"/>
                <w:sz w:val="18"/>
                <w:szCs w:val="18"/>
                <w:vertAlign w:val="superscript"/>
              </w:rPr>
              <w:endnoteReference w:id="126"/>
            </w:r>
          </w:p>
        </w:tc>
        <w:tc>
          <w:tcPr>
            <w:tcW w:w="1248" w:type="dxa"/>
            <w:shd w:val="clear" w:color="auto" w:fill="D2E1E9"/>
            <w:vAlign w:val="center"/>
          </w:tcPr>
          <w:p w14:paraId="1E5EAC84" w14:textId="77777777" w:rsidR="000A1CD9" w:rsidRPr="00D609AB" w:rsidRDefault="000A1CD9" w:rsidP="0063439E">
            <w:pPr>
              <w:spacing w:after="0" w:line="240" w:lineRule="auto"/>
              <w:jc w:val="right"/>
              <w:rPr>
                <w:rFonts w:cs="Arial"/>
                <w:sz w:val="18"/>
                <w:szCs w:val="18"/>
              </w:rPr>
            </w:pPr>
            <w:r w:rsidRPr="00D609AB">
              <w:rPr>
                <w:rFonts w:cs="Arial"/>
                <w:sz w:val="18"/>
                <w:szCs w:val="18"/>
              </w:rPr>
              <w:t>80</w:t>
            </w:r>
          </w:p>
        </w:tc>
        <w:tc>
          <w:tcPr>
            <w:tcW w:w="1249" w:type="dxa"/>
            <w:shd w:val="clear" w:color="auto" w:fill="D2E1E9"/>
            <w:vAlign w:val="center"/>
          </w:tcPr>
          <w:p w14:paraId="310CF781" w14:textId="77777777" w:rsidR="000A1CD9" w:rsidRPr="00D609AB" w:rsidRDefault="000A1CD9" w:rsidP="0063439E">
            <w:pPr>
              <w:spacing w:after="0" w:line="240" w:lineRule="auto"/>
              <w:jc w:val="right"/>
              <w:rPr>
                <w:rFonts w:cs="Arial"/>
                <w:sz w:val="18"/>
                <w:szCs w:val="18"/>
                <w:highlight w:val="yellow"/>
              </w:rPr>
            </w:pPr>
            <w:r w:rsidRPr="00D609AB">
              <w:rPr>
                <w:rFonts w:cs="Arial"/>
                <w:sz w:val="18"/>
                <w:szCs w:val="18"/>
              </w:rPr>
              <w:t>81</w:t>
            </w:r>
          </w:p>
        </w:tc>
        <w:tc>
          <w:tcPr>
            <w:tcW w:w="1248" w:type="dxa"/>
            <w:shd w:val="clear" w:color="auto" w:fill="D2E1E9"/>
            <w:vAlign w:val="center"/>
          </w:tcPr>
          <w:p w14:paraId="597FE881" w14:textId="77777777" w:rsidR="000A1CD9" w:rsidRPr="00D609AB" w:rsidRDefault="000A1CD9" w:rsidP="0063439E">
            <w:pPr>
              <w:spacing w:after="0" w:line="240" w:lineRule="auto"/>
              <w:jc w:val="right"/>
              <w:rPr>
                <w:rFonts w:cs="Arial"/>
                <w:sz w:val="18"/>
                <w:szCs w:val="18"/>
              </w:rPr>
            </w:pPr>
            <w:r w:rsidRPr="00D609AB">
              <w:rPr>
                <w:rFonts w:cs="Arial"/>
                <w:sz w:val="18"/>
                <w:szCs w:val="18"/>
              </w:rPr>
              <w:t>61</w:t>
            </w:r>
          </w:p>
        </w:tc>
        <w:tc>
          <w:tcPr>
            <w:tcW w:w="1249" w:type="dxa"/>
            <w:shd w:val="clear" w:color="auto" w:fill="D2E1E9"/>
            <w:vAlign w:val="center"/>
          </w:tcPr>
          <w:p w14:paraId="1B077222" w14:textId="77777777" w:rsidR="000A1CD9" w:rsidRPr="00D609AB" w:rsidRDefault="000A1CD9" w:rsidP="0063439E">
            <w:pPr>
              <w:spacing w:after="0" w:line="240" w:lineRule="auto"/>
              <w:jc w:val="right"/>
              <w:rPr>
                <w:rFonts w:cs="Arial"/>
                <w:sz w:val="18"/>
                <w:szCs w:val="18"/>
                <w:highlight w:val="yellow"/>
              </w:rPr>
            </w:pPr>
            <w:r w:rsidRPr="00D609AB">
              <w:rPr>
                <w:rFonts w:cs="Arial"/>
                <w:sz w:val="18"/>
                <w:szCs w:val="18"/>
              </w:rPr>
              <w:t>66</w:t>
            </w:r>
          </w:p>
        </w:tc>
        <w:tc>
          <w:tcPr>
            <w:tcW w:w="1248" w:type="dxa"/>
            <w:shd w:val="clear" w:color="auto" w:fill="D2E1E9"/>
            <w:vAlign w:val="center"/>
          </w:tcPr>
          <w:p w14:paraId="07B250F5" w14:textId="77777777" w:rsidR="000A1CD9" w:rsidRPr="00D609AB" w:rsidRDefault="000A1CD9" w:rsidP="0063439E">
            <w:pPr>
              <w:spacing w:after="0" w:line="240" w:lineRule="auto"/>
              <w:jc w:val="right"/>
              <w:rPr>
                <w:rFonts w:cs="Arial"/>
                <w:sz w:val="18"/>
                <w:szCs w:val="18"/>
              </w:rPr>
            </w:pPr>
            <w:r w:rsidRPr="00D609AB">
              <w:rPr>
                <w:rFonts w:cs="Arial"/>
                <w:sz w:val="18"/>
                <w:szCs w:val="18"/>
              </w:rPr>
              <w:t>85</w:t>
            </w:r>
          </w:p>
        </w:tc>
        <w:tc>
          <w:tcPr>
            <w:tcW w:w="1249" w:type="dxa"/>
            <w:shd w:val="clear" w:color="auto" w:fill="D2E1E9"/>
            <w:vAlign w:val="center"/>
          </w:tcPr>
          <w:p w14:paraId="5ED868DF" w14:textId="77777777" w:rsidR="000A1CD9" w:rsidRPr="00D609AB" w:rsidRDefault="000A1CD9" w:rsidP="0063439E">
            <w:pPr>
              <w:spacing w:after="0" w:line="240" w:lineRule="auto"/>
              <w:jc w:val="right"/>
              <w:rPr>
                <w:rFonts w:cs="Arial"/>
                <w:sz w:val="18"/>
                <w:szCs w:val="18"/>
                <w:highlight w:val="yellow"/>
              </w:rPr>
            </w:pPr>
            <w:r w:rsidRPr="00D609AB">
              <w:rPr>
                <w:rFonts w:cs="Arial"/>
                <w:sz w:val="18"/>
                <w:szCs w:val="18"/>
              </w:rPr>
              <w:t>86</w:t>
            </w:r>
          </w:p>
        </w:tc>
      </w:tr>
    </w:tbl>
    <w:p w14:paraId="2E5B5225" w14:textId="77777777" w:rsidR="000A1CD9" w:rsidRPr="00D609AB" w:rsidRDefault="000A1CD9" w:rsidP="000A1CD9">
      <w:pPr>
        <w:spacing w:before="80" w:after="0" w:line="240" w:lineRule="auto"/>
        <w:rPr>
          <w:rFonts w:cs="Arial"/>
          <w:i/>
          <w:sz w:val="16"/>
        </w:rPr>
      </w:pPr>
      <w:r w:rsidRPr="00D609AB">
        <w:rPr>
          <w:rFonts w:cs="Arial"/>
          <w:i/>
          <w:sz w:val="16"/>
        </w:rPr>
        <w:t>*Relates to the use of smartphone.</w:t>
      </w:r>
    </w:p>
    <w:p w14:paraId="006B185B" w14:textId="77777777" w:rsidR="000A1CD9" w:rsidRPr="00D609AB" w:rsidRDefault="000A1CD9" w:rsidP="000A1CD9">
      <w:pPr>
        <w:spacing w:before="80" w:after="0" w:line="240" w:lineRule="auto"/>
        <w:rPr>
          <w:rFonts w:cs="Arial"/>
          <w:i/>
          <w:sz w:val="16"/>
        </w:rPr>
      </w:pPr>
      <w:r w:rsidRPr="00D609AB">
        <w:rPr>
          <w:rFonts w:cs="Arial"/>
          <w:i/>
          <w:sz w:val="16"/>
        </w:rPr>
        <w:t xml:space="preserve">Notes: Data for the UK broadband connection relates to households. UK data collected in January/February. Australian data for ‘Use the internet’ and ‘Use mobile phone to access the internet’ relates to six months to </w:t>
      </w:r>
      <w:r w:rsidR="00626035">
        <w:rPr>
          <w:rFonts w:cs="Arial"/>
          <w:i/>
          <w:sz w:val="16"/>
        </w:rPr>
        <w:t>June</w:t>
      </w:r>
      <w:r w:rsidRPr="00D609AB">
        <w:rPr>
          <w:rFonts w:cs="Arial"/>
          <w:i/>
          <w:sz w:val="16"/>
        </w:rPr>
        <w:t xml:space="preserve">; ‘Home broadband connection’ relates to 12 months to June. </w:t>
      </w:r>
    </w:p>
    <w:p w14:paraId="27921667" w14:textId="77777777" w:rsidR="000A1CD9" w:rsidRPr="00D609AB" w:rsidRDefault="000A1CD9" w:rsidP="000A1CD9">
      <w:pPr>
        <w:spacing w:before="80" w:after="0" w:line="240" w:lineRule="auto"/>
        <w:rPr>
          <w:rFonts w:cs="Arial"/>
          <w:i/>
          <w:sz w:val="16"/>
        </w:rPr>
      </w:pPr>
      <w:r w:rsidRPr="00D609AB">
        <w:rPr>
          <w:rFonts w:cs="Arial"/>
          <w:i/>
          <w:sz w:val="16"/>
        </w:rPr>
        <w:t>Australian and US data refers to total population aged 18 and over. UK data refers to people aged 16 and over.</w:t>
      </w:r>
    </w:p>
    <w:p w14:paraId="2A7241DD" w14:textId="77777777" w:rsidR="000A1CD9" w:rsidRPr="00D609AB" w:rsidRDefault="000A1CD9" w:rsidP="000A1CD9">
      <w:pPr>
        <w:spacing w:before="80" w:after="0" w:line="240" w:lineRule="auto"/>
        <w:rPr>
          <w:rFonts w:cs="Arial"/>
          <w:i/>
          <w:sz w:val="16"/>
        </w:rPr>
      </w:pPr>
      <w:r w:rsidRPr="00D609AB">
        <w:rPr>
          <w:rFonts w:cs="Arial"/>
          <w:i/>
          <w:sz w:val="16"/>
        </w:rPr>
        <w:t xml:space="preserve">Sources: Data relating to Australia—Roy Morgan Single Source June 2015 and 2016 (Home broadband connection), and ACMA-commissioned survey May 2015 and </w:t>
      </w:r>
      <w:r w:rsidR="00626035">
        <w:rPr>
          <w:rFonts w:cs="Arial"/>
          <w:i/>
          <w:sz w:val="16"/>
        </w:rPr>
        <w:t xml:space="preserve">June </w:t>
      </w:r>
      <w:r w:rsidRPr="00D609AB">
        <w:rPr>
          <w:rFonts w:cs="Arial"/>
          <w:i/>
          <w:sz w:val="16"/>
        </w:rPr>
        <w:t xml:space="preserve">2016 (‘Use the internet’ and ‘Used mobile phone to access the internet’); UK—Ofcom; </w:t>
      </w:r>
      <w:r w:rsidRPr="00D609AB">
        <w:rPr>
          <w:rFonts w:cs="Arial"/>
          <w:i/>
          <w:sz w:val="16"/>
        </w:rPr>
        <w:br/>
        <w:t xml:space="preserve">US—Pew Research Centre (‘Use mobile phone to access the internet [2015]’ and Use the internet [2015]’, Statista (‘Use mobile phone to access the internet [2016]’) and Internet Live Stats (‘Use the internet [2016]’). </w:t>
      </w:r>
    </w:p>
    <w:p w14:paraId="7C559575" w14:textId="77777777" w:rsidR="000A1CD9" w:rsidRPr="00D609AB" w:rsidRDefault="000A1CD9" w:rsidP="000A1CD9">
      <w:pPr>
        <w:rPr>
          <w:rFonts w:cs="Arial"/>
        </w:rPr>
      </w:pPr>
    </w:p>
    <w:p w14:paraId="7A53ADB6" w14:textId="77777777" w:rsidR="000A1CD9" w:rsidRPr="00107351" w:rsidRDefault="000A1CD9" w:rsidP="0043264B">
      <w:pPr>
        <w:pStyle w:val="Heading3"/>
        <w:keepNext w:val="0"/>
      </w:pPr>
      <w:bookmarkStart w:id="573" w:name="_Toc462899603"/>
      <w:bookmarkStart w:id="574" w:name="_Toc433790345"/>
      <w:bookmarkStart w:id="575" w:name="_Toc463529093"/>
      <w:bookmarkStart w:id="576" w:name="_Toc465842914"/>
      <w:r w:rsidRPr="00107351">
        <w:t>Internet access devices</w:t>
      </w:r>
      <w:bookmarkEnd w:id="573"/>
      <w:bookmarkEnd w:id="574"/>
      <w:bookmarkEnd w:id="575"/>
      <w:bookmarkEnd w:id="576"/>
    </w:p>
    <w:p w14:paraId="773C1F9E" w14:textId="77777777" w:rsidR="000A1CD9" w:rsidRPr="00D609AB" w:rsidRDefault="000A1CD9" w:rsidP="0043264B">
      <w:pPr>
        <w:spacing w:after="80"/>
      </w:pPr>
      <w:r w:rsidRPr="00D609AB">
        <w:t>Increased reliance on mobile devices to access the internet is also evident in other countries:</w:t>
      </w:r>
    </w:p>
    <w:p w14:paraId="5895DE04" w14:textId="77777777" w:rsidR="000A1CD9" w:rsidRPr="00097E11" w:rsidRDefault="000A1CD9" w:rsidP="0043264B">
      <w:pPr>
        <w:pStyle w:val="ListBullet"/>
      </w:pPr>
      <w:r w:rsidRPr="00097E11">
        <w:t>72 per cent of adult Americans owned a smartphone in early 2015, an increase of eight percentage points from October 2014</w:t>
      </w:r>
      <w:r w:rsidRPr="00097E11">
        <w:rPr>
          <w:vertAlign w:val="superscript"/>
        </w:rPr>
        <w:endnoteReference w:id="127"/>
      </w:r>
    </w:p>
    <w:p w14:paraId="087335C5" w14:textId="77777777" w:rsidR="000A1CD9" w:rsidRPr="00097E11" w:rsidRDefault="000A1CD9" w:rsidP="0043264B">
      <w:pPr>
        <w:pStyle w:val="ListBullet"/>
        <w:rPr>
          <w:b/>
          <w:i/>
        </w:rPr>
      </w:pPr>
      <w:r w:rsidRPr="00097E11">
        <w:t>smartphone ownership in the UK rose to 70 per cent at October 2015, an increase of four percentage points from 2014</w:t>
      </w:r>
      <w:r w:rsidRPr="00097E11">
        <w:rPr>
          <w:vertAlign w:val="superscript"/>
        </w:rPr>
        <w:endnoteReference w:id="128"/>
      </w:r>
    </w:p>
    <w:p w14:paraId="46E272C6" w14:textId="77777777" w:rsidR="000A1CD9" w:rsidRPr="00097E11" w:rsidRDefault="000A1CD9" w:rsidP="0043264B">
      <w:pPr>
        <w:pStyle w:val="ListBulletLast"/>
        <w:rPr>
          <w:b/>
          <w:i/>
        </w:rPr>
      </w:pPr>
      <w:r w:rsidRPr="00097E11">
        <w:t>59 per cent of adults in the UK owned a tablet in early 2016, a five per cent annual increase.</w:t>
      </w:r>
      <w:r w:rsidRPr="00097E11">
        <w:rPr>
          <w:vertAlign w:val="superscript"/>
        </w:rPr>
        <w:endnoteReference w:id="129"/>
      </w:r>
    </w:p>
    <w:p w14:paraId="7859F636" w14:textId="77777777" w:rsidR="000A1CD9" w:rsidRPr="00107351" w:rsidRDefault="000A1CD9" w:rsidP="004A695E">
      <w:pPr>
        <w:pStyle w:val="Heading3"/>
        <w:keepLines/>
      </w:pPr>
      <w:bookmarkStart w:id="577" w:name="_Toc462899604"/>
      <w:bookmarkStart w:id="578" w:name="_Toc433790346"/>
      <w:bookmarkStart w:id="579" w:name="_Toc463529094"/>
      <w:bookmarkStart w:id="580" w:name="_Toc465842915"/>
      <w:r w:rsidRPr="00107351">
        <w:lastRenderedPageBreak/>
        <w:t>Activities performed online</w:t>
      </w:r>
      <w:bookmarkEnd w:id="577"/>
      <w:bookmarkEnd w:id="578"/>
      <w:bookmarkEnd w:id="579"/>
      <w:bookmarkEnd w:id="580"/>
    </w:p>
    <w:p w14:paraId="2E475F1E" w14:textId="77777777" w:rsidR="000A1CD9" w:rsidRPr="00D609AB" w:rsidRDefault="000A1CD9" w:rsidP="004A695E">
      <w:pPr>
        <w:keepNext/>
        <w:keepLines/>
      </w:pPr>
      <w:r w:rsidRPr="00D609AB">
        <w:t>Greater access to the internet, and fast and reliable broadband services in Australia has facilitated a strong engagement with online activities. Similar online behaviours are evident internationally, as reflected in the range of activities undertaken online (Table 2.2). For example, popular online activities in the UK not only included activities such as sending email (93 per cent) and internet browsing (92 per cent), but also social networking (76 per cent).</w:t>
      </w:r>
      <w:r w:rsidRPr="00D609AB">
        <w:rPr>
          <w:vertAlign w:val="superscript"/>
        </w:rPr>
        <w:endnoteReference w:id="130"/>
      </w:r>
    </w:p>
    <w:p w14:paraId="0318D227" w14:textId="77777777" w:rsidR="000A1CD9" w:rsidRPr="00D609AB" w:rsidRDefault="000A1CD9" w:rsidP="004A695E">
      <w:pPr>
        <w:keepNext/>
        <w:keepLines/>
        <w:rPr>
          <w:b/>
        </w:rPr>
      </w:pPr>
      <w:r w:rsidRPr="00D609AB">
        <w:rPr>
          <w:b/>
        </w:rPr>
        <w:t>Table 2.2</w:t>
      </w:r>
      <w:r w:rsidRPr="00D609AB">
        <w:rPr>
          <w:b/>
          <w:bCs/>
        </w:rPr>
        <w:tab/>
      </w:r>
      <w:r w:rsidRPr="00D609AB">
        <w:rPr>
          <w:b/>
        </w:rPr>
        <w:t>International comparisons—activities performed online (Australia and UK)</w:t>
      </w:r>
    </w:p>
    <w:tbl>
      <w:tblPr>
        <w:tblpPr w:leftFromText="180" w:rightFromText="180" w:vertAnchor="text" w:horzAnchor="margin" w:tblpY="-173"/>
        <w:tblOverlap w:val="never"/>
        <w:tblW w:w="942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57" w:type="dxa"/>
          <w:left w:w="57" w:type="dxa"/>
          <w:bottom w:w="57" w:type="dxa"/>
          <w:right w:w="57" w:type="dxa"/>
        </w:tblCellMar>
        <w:tblLook w:val="01E0" w:firstRow="1" w:lastRow="1" w:firstColumn="1" w:lastColumn="1" w:noHBand="0" w:noVBand="0"/>
        <w:tblCaption w:val="Table 2.2 International comparisons—activities performed online (Australia and UK)"/>
      </w:tblPr>
      <w:tblGrid>
        <w:gridCol w:w="963"/>
        <w:gridCol w:w="3118"/>
        <w:gridCol w:w="2674"/>
        <w:gridCol w:w="2674"/>
      </w:tblGrid>
      <w:tr w:rsidR="000A1CD9" w:rsidRPr="00D609AB" w14:paraId="5F83B763" w14:textId="77777777" w:rsidTr="001B0637">
        <w:trPr>
          <w:trHeight w:val="447"/>
        </w:trPr>
        <w:tc>
          <w:tcPr>
            <w:tcW w:w="963" w:type="dxa"/>
            <w:tcBorders>
              <w:right w:val="nil"/>
            </w:tcBorders>
          </w:tcPr>
          <w:p w14:paraId="6A42C3E2" w14:textId="77777777" w:rsidR="000A1CD9" w:rsidRPr="00D609AB" w:rsidRDefault="000A1CD9" w:rsidP="004A695E">
            <w:pPr>
              <w:keepNext/>
              <w:keepLines/>
              <w:spacing w:after="0" w:line="240" w:lineRule="auto"/>
              <w:rPr>
                <w:sz w:val="18"/>
                <w:szCs w:val="18"/>
              </w:rPr>
            </w:pPr>
          </w:p>
        </w:tc>
        <w:tc>
          <w:tcPr>
            <w:tcW w:w="3118" w:type="dxa"/>
            <w:tcBorders>
              <w:bottom w:val="single" w:sz="24" w:space="0" w:color="FFFFFF"/>
              <w:right w:val="nil"/>
            </w:tcBorders>
            <w:shd w:val="clear" w:color="auto" w:fill="auto"/>
            <w:tcMar>
              <w:top w:w="0" w:type="dxa"/>
              <w:left w:w="113" w:type="dxa"/>
              <w:bottom w:w="0" w:type="dxa"/>
              <w:right w:w="0" w:type="dxa"/>
            </w:tcMar>
            <w:vAlign w:val="center"/>
          </w:tcPr>
          <w:p w14:paraId="1E61AB45" w14:textId="77777777" w:rsidR="000A1CD9" w:rsidRPr="00D609AB" w:rsidRDefault="000A1CD9" w:rsidP="004A695E">
            <w:pPr>
              <w:keepNext/>
              <w:keepLines/>
              <w:spacing w:after="0" w:line="240" w:lineRule="auto"/>
              <w:rPr>
                <w:sz w:val="18"/>
                <w:szCs w:val="18"/>
              </w:rPr>
            </w:pPr>
          </w:p>
        </w:tc>
        <w:tc>
          <w:tcPr>
            <w:tcW w:w="2674" w:type="dxa"/>
            <w:tcBorders>
              <w:bottom w:val="single" w:sz="24" w:space="0" w:color="FFFFFF"/>
            </w:tcBorders>
            <w:shd w:val="clear" w:color="auto" w:fill="007298"/>
          </w:tcPr>
          <w:p w14:paraId="23F42B58" w14:textId="77777777" w:rsidR="000A1CD9" w:rsidRPr="004A695E" w:rsidRDefault="004A695E" w:rsidP="0063439E">
            <w:pPr>
              <w:keepNext/>
              <w:keepLines/>
              <w:spacing w:after="0" w:line="240" w:lineRule="auto"/>
              <w:ind w:left="57"/>
              <w:jc w:val="right"/>
              <w:rPr>
                <w:b/>
                <w:color w:val="FFFFFF"/>
                <w:sz w:val="18"/>
                <w:szCs w:val="18"/>
              </w:rPr>
            </w:pPr>
            <w:r>
              <w:rPr>
                <w:b/>
                <w:color w:val="FFFFFF"/>
                <w:sz w:val="18"/>
                <w:szCs w:val="18"/>
              </w:rPr>
              <w:t>Australia—o</w:t>
            </w:r>
            <w:r w:rsidR="000A1CD9" w:rsidRPr="00A869AE">
              <w:rPr>
                <w:b/>
                <w:color w:val="FFFFFF"/>
                <w:sz w:val="18"/>
                <w:szCs w:val="18"/>
              </w:rPr>
              <w:t>nline</w:t>
            </w:r>
            <w:r>
              <w:rPr>
                <w:b/>
                <w:color w:val="FFFFFF"/>
                <w:sz w:val="18"/>
                <w:szCs w:val="18"/>
              </w:rPr>
              <w:t xml:space="preserve"> </w:t>
            </w:r>
            <w:r w:rsidR="000A1CD9" w:rsidRPr="00A869AE">
              <w:rPr>
                <w:b/>
                <w:color w:val="FFFFFF"/>
                <w:sz w:val="18"/>
                <w:szCs w:val="18"/>
              </w:rPr>
              <w:t>aged 18 and over</w:t>
            </w:r>
            <w:r>
              <w:rPr>
                <w:b/>
                <w:color w:val="FFFFFF"/>
                <w:sz w:val="18"/>
                <w:szCs w:val="18"/>
              </w:rPr>
              <w:t xml:space="preserve"> </w:t>
            </w:r>
            <w:r w:rsidR="000A1CD9" w:rsidRPr="00A869AE">
              <w:rPr>
                <w:b/>
                <w:color w:val="FFFFFF"/>
                <w:sz w:val="18"/>
                <w:szCs w:val="18"/>
              </w:rPr>
              <w:t>(%)</w:t>
            </w:r>
          </w:p>
        </w:tc>
        <w:tc>
          <w:tcPr>
            <w:tcW w:w="2674" w:type="dxa"/>
            <w:tcBorders>
              <w:bottom w:val="single" w:sz="24" w:space="0" w:color="FFFFFF"/>
            </w:tcBorders>
            <w:shd w:val="clear" w:color="auto" w:fill="007298"/>
            <w:tcMar>
              <w:top w:w="57" w:type="dxa"/>
              <w:left w:w="57" w:type="dxa"/>
              <w:bottom w:w="57" w:type="dxa"/>
              <w:right w:w="57" w:type="dxa"/>
            </w:tcMar>
          </w:tcPr>
          <w:p w14:paraId="692F8810" w14:textId="77777777" w:rsidR="000A1CD9" w:rsidRPr="004A695E" w:rsidRDefault="000A1CD9" w:rsidP="0063439E">
            <w:pPr>
              <w:keepNext/>
              <w:keepLines/>
              <w:spacing w:after="0" w:line="240" w:lineRule="auto"/>
              <w:jc w:val="right"/>
              <w:rPr>
                <w:b/>
                <w:color w:val="FFFFFF"/>
                <w:sz w:val="18"/>
                <w:szCs w:val="18"/>
              </w:rPr>
            </w:pPr>
            <w:r w:rsidRPr="00A869AE">
              <w:rPr>
                <w:b/>
                <w:color w:val="FFFFFF"/>
                <w:sz w:val="18"/>
                <w:szCs w:val="18"/>
              </w:rPr>
              <w:t>UK</w:t>
            </w:r>
            <w:r w:rsidRPr="00A869AE">
              <w:rPr>
                <w:b/>
                <w:color w:val="FFFFFF"/>
                <w:sz w:val="18"/>
                <w:szCs w:val="18"/>
                <w:vertAlign w:val="superscript"/>
              </w:rPr>
              <w:endnoteReference w:id="131"/>
            </w:r>
            <w:r w:rsidR="004A695E">
              <w:rPr>
                <w:b/>
                <w:color w:val="FFFFFF"/>
                <w:sz w:val="18"/>
                <w:szCs w:val="18"/>
              </w:rPr>
              <w:t>—o</w:t>
            </w:r>
            <w:r w:rsidRPr="00A869AE">
              <w:rPr>
                <w:b/>
                <w:color w:val="FFFFFF"/>
                <w:sz w:val="18"/>
                <w:szCs w:val="18"/>
              </w:rPr>
              <w:t>nline</w:t>
            </w:r>
            <w:r w:rsidR="004A695E">
              <w:rPr>
                <w:b/>
                <w:color w:val="FFFFFF"/>
                <w:sz w:val="18"/>
                <w:szCs w:val="18"/>
              </w:rPr>
              <w:t xml:space="preserve"> </w:t>
            </w:r>
            <w:r w:rsidRPr="00A869AE">
              <w:rPr>
                <w:b/>
                <w:color w:val="FFFFFF"/>
                <w:sz w:val="18"/>
                <w:szCs w:val="18"/>
              </w:rPr>
              <w:t>aged 16 and over</w:t>
            </w:r>
            <w:r w:rsidR="004A695E">
              <w:rPr>
                <w:b/>
                <w:color w:val="FFFFFF"/>
                <w:sz w:val="18"/>
                <w:szCs w:val="18"/>
              </w:rPr>
              <w:t xml:space="preserve"> </w:t>
            </w:r>
            <w:r w:rsidRPr="00A869AE">
              <w:rPr>
                <w:b/>
                <w:color w:val="FFFFFF"/>
                <w:sz w:val="18"/>
                <w:szCs w:val="18"/>
              </w:rPr>
              <w:t>(%)</w:t>
            </w:r>
          </w:p>
        </w:tc>
      </w:tr>
      <w:tr w:rsidR="000A1CD9" w:rsidRPr="00D609AB" w14:paraId="37C1B0F7" w14:textId="77777777" w:rsidTr="001B0637">
        <w:trPr>
          <w:trHeight w:val="428"/>
        </w:trPr>
        <w:tc>
          <w:tcPr>
            <w:tcW w:w="963" w:type="dxa"/>
            <w:tcBorders>
              <w:right w:val="nil"/>
            </w:tcBorders>
            <w:shd w:val="clear" w:color="auto" w:fill="7FB8CB"/>
            <w:vAlign w:val="center"/>
          </w:tcPr>
          <w:p w14:paraId="5B1F282E" w14:textId="77777777" w:rsidR="000A1CD9" w:rsidRPr="00D609AB" w:rsidRDefault="000A1CD9" w:rsidP="004A695E">
            <w:pPr>
              <w:keepNext/>
              <w:keepLines/>
              <w:spacing w:after="0" w:line="240" w:lineRule="auto"/>
              <w:rPr>
                <w:noProof/>
                <w:sz w:val="18"/>
                <w:szCs w:val="18"/>
              </w:rPr>
            </w:pPr>
            <w:r w:rsidRPr="00D609AB">
              <w:rPr>
                <w:noProof/>
                <w:sz w:val="18"/>
                <w:szCs w:val="18"/>
              </w:rPr>
              <w:drawing>
                <wp:inline distT="0" distB="0" distL="0" distR="0" wp14:anchorId="346FCBF6" wp14:editId="3FF05E4E">
                  <wp:extent cx="402337" cy="256033"/>
                  <wp:effectExtent l="0" t="0" r="0" b="0"/>
                  <wp:docPr id="74" name="Picture 74"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apter 1 charts ALL_Email.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02337" cy="256033"/>
                          </a:xfrm>
                          <a:prstGeom prst="rect">
                            <a:avLst/>
                          </a:prstGeom>
                        </pic:spPr>
                      </pic:pic>
                    </a:graphicData>
                  </a:graphic>
                </wp:inline>
              </w:drawing>
            </w:r>
          </w:p>
        </w:tc>
        <w:tc>
          <w:tcPr>
            <w:tcW w:w="3118" w:type="dxa"/>
            <w:tcBorders>
              <w:left w:val="nil"/>
              <w:right w:val="single" w:sz="24" w:space="0" w:color="FFFFFF"/>
            </w:tcBorders>
            <w:shd w:val="clear" w:color="auto" w:fill="7FB8CB"/>
            <w:tcMar>
              <w:top w:w="0" w:type="dxa"/>
              <w:left w:w="113" w:type="dxa"/>
              <w:bottom w:w="0" w:type="dxa"/>
              <w:right w:w="0" w:type="dxa"/>
            </w:tcMar>
            <w:vAlign w:val="center"/>
          </w:tcPr>
          <w:p w14:paraId="55555709" w14:textId="77777777" w:rsidR="000A1CD9" w:rsidRPr="003A681F" w:rsidRDefault="000A1CD9" w:rsidP="004A695E">
            <w:pPr>
              <w:keepNext/>
              <w:keepLines/>
              <w:spacing w:after="0" w:line="240" w:lineRule="auto"/>
              <w:rPr>
                <w:color w:val="FFFFFF" w:themeColor="background1"/>
                <w:sz w:val="18"/>
                <w:szCs w:val="18"/>
              </w:rPr>
            </w:pPr>
            <w:r w:rsidRPr="003A681F">
              <w:rPr>
                <w:color w:val="FFFFFF" w:themeColor="background1"/>
                <w:sz w:val="18"/>
                <w:szCs w:val="18"/>
              </w:rPr>
              <w:t xml:space="preserve">Email </w:t>
            </w:r>
          </w:p>
        </w:tc>
        <w:tc>
          <w:tcPr>
            <w:tcW w:w="2674" w:type="dxa"/>
            <w:shd w:val="clear" w:color="auto" w:fill="D2E1E9"/>
            <w:vAlign w:val="center"/>
          </w:tcPr>
          <w:p w14:paraId="45F8C471" w14:textId="77777777" w:rsidR="000A1CD9" w:rsidRPr="00D609AB" w:rsidRDefault="000A1CD9" w:rsidP="0063439E">
            <w:pPr>
              <w:keepNext/>
              <w:keepLines/>
              <w:spacing w:after="0" w:line="240" w:lineRule="auto"/>
              <w:ind w:left="57"/>
              <w:jc w:val="right"/>
              <w:rPr>
                <w:sz w:val="18"/>
                <w:szCs w:val="18"/>
              </w:rPr>
            </w:pPr>
            <w:r w:rsidRPr="00D609AB">
              <w:rPr>
                <w:sz w:val="18"/>
                <w:szCs w:val="18"/>
              </w:rPr>
              <w:t>97</w:t>
            </w:r>
          </w:p>
        </w:tc>
        <w:tc>
          <w:tcPr>
            <w:tcW w:w="2674" w:type="dxa"/>
            <w:shd w:val="clear" w:color="auto" w:fill="D2E1E9"/>
            <w:tcMar>
              <w:top w:w="57" w:type="dxa"/>
              <w:left w:w="57" w:type="dxa"/>
              <w:bottom w:w="57" w:type="dxa"/>
              <w:right w:w="57" w:type="dxa"/>
            </w:tcMar>
            <w:vAlign w:val="center"/>
          </w:tcPr>
          <w:p w14:paraId="73950A86" w14:textId="77777777" w:rsidR="000A1CD9" w:rsidRPr="00D609AB" w:rsidRDefault="000A1CD9" w:rsidP="0063439E">
            <w:pPr>
              <w:keepNext/>
              <w:keepLines/>
              <w:spacing w:after="0" w:line="240" w:lineRule="auto"/>
              <w:jc w:val="right"/>
              <w:rPr>
                <w:sz w:val="18"/>
                <w:szCs w:val="18"/>
                <w:highlight w:val="yellow"/>
              </w:rPr>
            </w:pPr>
            <w:r w:rsidRPr="00D609AB">
              <w:rPr>
                <w:sz w:val="18"/>
                <w:szCs w:val="18"/>
              </w:rPr>
              <w:t>93</w:t>
            </w:r>
          </w:p>
        </w:tc>
      </w:tr>
      <w:tr w:rsidR="000A1CD9" w:rsidRPr="00D609AB" w14:paraId="1610767F" w14:textId="77777777" w:rsidTr="001B0637">
        <w:trPr>
          <w:trHeight w:val="252"/>
        </w:trPr>
        <w:tc>
          <w:tcPr>
            <w:tcW w:w="963" w:type="dxa"/>
            <w:tcBorders>
              <w:right w:val="nil"/>
            </w:tcBorders>
            <w:shd w:val="clear" w:color="auto" w:fill="7FB8CB"/>
            <w:vAlign w:val="center"/>
          </w:tcPr>
          <w:p w14:paraId="1CAEB7FE" w14:textId="77777777" w:rsidR="000A1CD9" w:rsidRPr="00D609AB" w:rsidRDefault="000A1CD9" w:rsidP="004A695E">
            <w:pPr>
              <w:keepNext/>
              <w:keepLines/>
              <w:spacing w:after="0" w:line="240" w:lineRule="auto"/>
              <w:rPr>
                <w:sz w:val="18"/>
                <w:szCs w:val="18"/>
              </w:rPr>
            </w:pPr>
            <w:r w:rsidRPr="00D609AB">
              <w:rPr>
                <w:noProof/>
                <w:sz w:val="18"/>
                <w:szCs w:val="18"/>
              </w:rPr>
              <w:drawing>
                <wp:inline distT="0" distB="0" distL="0" distR="0" wp14:anchorId="035EAA2F" wp14:editId="61B38A5D">
                  <wp:extent cx="260350" cy="280010"/>
                  <wp:effectExtent l="0" t="0" r="6350" b="6350"/>
                  <wp:docPr id="75" name="Picture 75"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apter 1 charts ALL_surfing-browsing.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2906" cy="282759"/>
                          </a:xfrm>
                          <a:prstGeom prst="rect">
                            <a:avLst/>
                          </a:prstGeom>
                        </pic:spPr>
                      </pic:pic>
                    </a:graphicData>
                  </a:graphic>
                </wp:inline>
              </w:drawing>
            </w:r>
          </w:p>
        </w:tc>
        <w:tc>
          <w:tcPr>
            <w:tcW w:w="3118" w:type="dxa"/>
            <w:tcBorders>
              <w:left w:val="nil"/>
              <w:right w:val="single" w:sz="24" w:space="0" w:color="FFFFFF"/>
            </w:tcBorders>
            <w:shd w:val="clear" w:color="auto" w:fill="7FB8CB"/>
            <w:tcMar>
              <w:top w:w="0" w:type="dxa"/>
              <w:left w:w="113" w:type="dxa"/>
              <w:bottom w:w="0" w:type="dxa"/>
              <w:right w:w="0" w:type="dxa"/>
            </w:tcMar>
            <w:vAlign w:val="center"/>
          </w:tcPr>
          <w:p w14:paraId="75D550F4" w14:textId="77777777" w:rsidR="000A1CD9" w:rsidRPr="003A681F" w:rsidRDefault="000A1CD9" w:rsidP="004A695E">
            <w:pPr>
              <w:keepNext/>
              <w:keepLines/>
              <w:spacing w:after="0" w:line="240" w:lineRule="auto"/>
              <w:rPr>
                <w:color w:val="FFFFFF" w:themeColor="background1"/>
                <w:sz w:val="18"/>
                <w:szCs w:val="18"/>
              </w:rPr>
            </w:pPr>
            <w:r w:rsidRPr="003A681F">
              <w:rPr>
                <w:color w:val="FFFFFF" w:themeColor="background1"/>
                <w:sz w:val="18"/>
                <w:szCs w:val="18"/>
              </w:rPr>
              <w:t>Browsing and surfing</w:t>
            </w:r>
          </w:p>
        </w:tc>
        <w:tc>
          <w:tcPr>
            <w:tcW w:w="2674" w:type="dxa"/>
            <w:shd w:val="clear" w:color="auto" w:fill="D2E1E9"/>
            <w:vAlign w:val="center"/>
          </w:tcPr>
          <w:p w14:paraId="138F9E00" w14:textId="77777777" w:rsidR="000A1CD9" w:rsidRPr="00D609AB" w:rsidRDefault="000A1CD9" w:rsidP="0063439E">
            <w:pPr>
              <w:keepNext/>
              <w:keepLines/>
              <w:spacing w:after="0" w:line="240" w:lineRule="auto"/>
              <w:ind w:left="57"/>
              <w:jc w:val="right"/>
              <w:rPr>
                <w:sz w:val="18"/>
                <w:szCs w:val="18"/>
              </w:rPr>
            </w:pPr>
            <w:r w:rsidRPr="00D609AB">
              <w:rPr>
                <w:sz w:val="18"/>
                <w:szCs w:val="18"/>
              </w:rPr>
              <w:t>96</w:t>
            </w:r>
          </w:p>
        </w:tc>
        <w:tc>
          <w:tcPr>
            <w:tcW w:w="2674" w:type="dxa"/>
            <w:shd w:val="clear" w:color="auto" w:fill="D2E1E9"/>
            <w:tcMar>
              <w:top w:w="57" w:type="dxa"/>
              <w:left w:w="57" w:type="dxa"/>
              <w:bottom w:w="57" w:type="dxa"/>
              <w:right w:w="57" w:type="dxa"/>
            </w:tcMar>
            <w:vAlign w:val="center"/>
          </w:tcPr>
          <w:p w14:paraId="07AD1522" w14:textId="77777777" w:rsidR="000A1CD9" w:rsidRPr="00D609AB" w:rsidRDefault="000A1CD9" w:rsidP="0063439E">
            <w:pPr>
              <w:keepNext/>
              <w:keepLines/>
              <w:spacing w:after="0" w:line="240" w:lineRule="auto"/>
              <w:jc w:val="right"/>
              <w:rPr>
                <w:sz w:val="18"/>
                <w:szCs w:val="18"/>
                <w:highlight w:val="yellow"/>
              </w:rPr>
            </w:pPr>
            <w:r w:rsidRPr="00D609AB">
              <w:rPr>
                <w:sz w:val="18"/>
                <w:szCs w:val="18"/>
              </w:rPr>
              <w:t>92</w:t>
            </w:r>
          </w:p>
        </w:tc>
      </w:tr>
      <w:tr w:rsidR="000A1CD9" w:rsidRPr="00D609AB" w14:paraId="221C1C34" w14:textId="77777777" w:rsidTr="001B0637">
        <w:trPr>
          <w:trHeight w:val="390"/>
        </w:trPr>
        <w:tc>
          <w:tcPr>
            <w:tcW w:w="963" w:type="dxa"/>
            <w:tcBorders>
              <w:right w:val="nil"/>
            </w:tcBorders>
            <w:shd w:val="clear" w:color="auto" w:fill="7FB8CB"/>
            <w:vAlign w:val="center"/>
          </w:tcPr>
          <w:p w14:paraId="109EA202" w14:textId="77777777" w:rsidR="000A1CD9" w:rsidRPr="00D609AB" w:rsidRDefault="000A1CD9" w:rsidP="004A695E">
            <w:pPr>
              <w:keepNext/>
              <w:keepLines/>
              <w:spacing w:after="0" w:line="240" w:lineRule="auto"/>
              <w:rPr>
                <w:sz w:val="18"/>
                <w:szCs w:val="18"/>
              </w:rPr>
            </w:pPr>
            <w:r w:rsidRPr="00D609AB">
              <w:rPr>
                <w:noProof/>
                <w:sz w:val="18"/>
                <w:szCs w:val="18"/>
              </w:rPr>
              <w:drawing>
                <wp:inline distT="0" distB="0" distL="0" distR="0" wp14:anchorId="3FD001F4" wp14:editId="29E7C442">
                  <wp:extent cx="350520" cy="339090"/>
                  <wp:effectExtent l="0" t="0" r="0" b="3810"/>
                  <wp:docPr id="76" name="Picture 76"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hapter 1 charts ALL_Buying .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0520" cy="339090"/>
                          </a:xfrm>
                          <a:prstGeom prst="rect">
                            <a:avLst/>
                          </a:prstGeom>
                        </pic:spPr>
                      </pic:pic>
                    </a:graphicData>
                  </a:graphic>
                </wp:inline>
              </w:drawing>
            </w:r>
          </w:p>
        </w:tc>
        <w:tc>
          <w:tcPr>
            <w:tcW w:w="3118" w:type="dxa"/>
            <w:tcBorders>
              <w:left w:val="nil"/>
              <w:right w:val="single" w:sz="24" w:space="0" w:color="FFFFFF"/>
            </w:tcBorders>
            <w:shd w:val="clear" w:color="auto" w:fill="7FB8CB"/>
            <w:tcMar>
              <w:top w:w="0" w:type="dxa"/>
              <w:left w:w="113" w:type="dxa"/>
              <w:bottom w:w="0" w:type="dxa"/>
              <w:right w:w="0" w:type="dxa"/>
            </w:tcMar>
            <w:vAlign w:val="center"/>
          </w:tcPr>
          <w:p w14:paraId="30B9DF39" w14:textId="77777777" w:rsidR="000A1CD9" w:rsidRPr="003A681F" w:rsidRDefault="000A1CD9" w:rsidP="004A695E">
            <w:pPr>
              <w:keepNext/>
              <w:keepLines/>
              <w:spacing w:after="0" w:line="240" w:lineRule="auto"/>
              <w:rPr>
                <w:color w:val="FFFFFF" w:themeColor="background1"/>
                <w:sz w:val="18"/>
                <w:szCs w:val="18"/>
              </w:rPr>
            </w:pPr>
            <w:r w:rsidRPr="003A681F">
              <w:rPr>
                <w:color w:val="FFFFFF" w:themeColor="background1"/>
                <w:sz w:val="18"/>
                <w:szCs w:val="18"/>
              </w:rPr>
              <w:t>Banking/paying bills</w:t>
            </w:r>
          </w:p>
        </w:tc>
        <w:tc>
          <w:tcPr>
            <w:tcW w:w="2674" w:type="dxa"/>
            <w:shd w:val="clear" w:color="auto" w:fill="D2E1E9"/>
            <w:vAlign w:val="center"/>
          </w:tcPr>
          <w:p w14:paraId="65B565E5" w14:textId="77777777" w:rsidR="000A1CD9" w:rsidRPr="00D609AB" w:rsidRDefault="000A1CD9" w:rsidP="0063439E">
            <w:pPr>
              <w:keepNext/>
              <w:keepLines/>
              <w:spacing w:after="0" w:line="240" w:lineRule="auto"/>
              <w:ind w:left="57"/>
              <w:jc w:val="right"/>
              <w:rPr>
                <w:sz w:val="18"/>
                <w:szCs w:val="18"/>
              </w:rPr>
            </w:pPr>
            <w:r w:rsidRPr="00D609AB">
              <w:rPr>
                <w:sz w:val="18"/>
                <w:szCs w:val="18"/>
              </w:rPr>
              <w:t>88</w:t>
            </w:r>
          </w:p>
        </w:tc>
        <w:tc>
          <w:tcPr>
            <w:tcW w:w="2674" w:type="dxa"/>
            <w:shd w:val="clear" w:color="auto" w:fill="D2E1E9"/>
            <w:tcMar>
              <w:top w:w="57" w:type="dxa"/>
              <w:left w:w="57" w:type="dxa"/>
              <w:bottom w:w="57" w:type="dxa"/>
              <w:right w:w="57" w:type="dxa"/>
            </w:tcMar>
            <w:vAlign w:val="center"/>
          </w:tcPr>
          <w:p w14:paraId="7B12FA60" w14:textId="77777777" w:rsidR="000A1CD9" w:rsidRPr="00D609AB" w:rsidRDefault="000A1CD9" w:rsidP="0063439E">
            <w:pPr>
              <w:keepNext/>
              <w:keepLines/>
              <w:spacing w:after="0" w:line="240" w:lineRule="auto"/>
              <w:jc w:val="right"/>
              <w:rPr>
                <w:sz w:val="18"/>
                <w:szCs w:val="18"/>
                <w:highlight w:val="yellow"/>
              </w:rPr>
            </w:pPr>
            <w:r w:rsidRPr="00D609AB">
              <w:rPr>
                <w:sz w:val="18"/>
                <w:szCs w:val="18"/>
              </w:rPr>
              <w:t>67</w:t>
            </w:r>
          </w:p>
        </w:tc>
      </w:tr>
      <w:tr w:rsidR="000A1CD9" w:rsidRPr="00D609AB" w14:paraId="7210BAD2" w14:textId="77777777" w:rsidTr="001B0637">
        <w:trPr>
          <w:trHeight w:val="373"/>
        </w:trPr>
        <w:tc>
          <w:tcPr>
            <w:tcW w:w="963" w:type="dxa"/>
            <w:tcBorders>
              <w:right w:val="nil"/>
            </w:tcBorders>
            <w:shd w:val="clear" w:color="auto" w:fill="7FB8CB"/>
            <w:vAlign w:val="center"/>
          </w:tcPr>
          <w:p w14:paraId="2B72BCF3" w14:textId="77777777" w:rsidR="000A1CD9" w:rsidRPr="00D609AB" w:rsidRDefault="000A1CD9" w:rsidP="0043264B">
            <w:pPr>
              <w:spacing w:after="0" w:line="240" w:lineRule="auto"/>
              <w:rPr>
                <w:sz w:val="18"/>
                <w:szCs w:val="18"/>
              </w:rPr>
            </w:pPr>
            <w:r w:rsidRPr="00D609AB">
              <w:rPr>
                <w:noProof/>
                <w:sz w:val="18"/>
                <w:szCs w:val="18"/>
              </w:rPr>
              <w:drawing>
                <wp:inline distT="0" distB="0" distL="0" distR="0" wp14:anchorId="3B60F0EB" wp14:editId="11073227">
                  <wp:extent cx="332233" cy="295657"/>
                  <wp:effectExtent l="0" t="0" r="0" b="9525"/>
                  <wp:docPr id="77" name="Picture 77"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apter 1 charts ALL_Social networking.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2233" cy="295657"/>
                          </a:xfrm>
                          <a:prstGeom prst="rect">
                            <a:avLst/>
                          </a:prstGeom>
                        </pic:spPr>
                      </pic:pic>
                    </a:graphicData>
                  </a:graphic>
                </wp:inline>
              </w:drawing>
            </w:r>
          </w:p>
        </w:tc>
        <w:tc>
          <w:tcPr>
            <w:tcW w:w="3118" w:type="dxa"/>
            <w:tcBorders>
              <w:left w:val="nil"/>
              <w:right w:val="single" w:sz="24" w:space="0" w:color="FFFFFF"/>
            </w:tcBorders>
            <w:shd w:val="clear" w:color="auto" w:fill="7FB8CB"/>
            <w:tcMar>
              <w:top w:w="0" w:type="dxa"/>
              <w:left w:w="113" w:type="dxa"/>
              <w:bottom w:w="0" w:type="dxa"/>
              <w:right w:w="0" w:type="dxa"/>
            </w:tcMar>
            <w:vAlign w:val="center"/>
          </w:tcPr>
          <w:p w14:paraId="6BC789BF" w14:textId="77777777" w:rsidR="000A1CD9" w:rsidRPr="003A681F" w:rsidRDefault="000A1CD9" w:rsidP="0043264B">
            <w:pPr>
              <w:spacing w:after="0" w:line="240" w:lineRule="auto"/>
              <w:rPr>
                <w:color w:val="FFFFFF" w:themeColor="background1"/>
                <w:sz w:val="18"/>
                <w:szCs w:val="18"/>
              </w:rPr>
            </w:pPr>
            <w:r w:rsidRPr="003A681F">
              <w:rPr>
                <w:color w:val="FFFFFF" w:themeColor="background1"/>
                <w:sz w:val="18"/>
                <w:szCs w:val="18"/>
              </w:rPr>
              <w:t xml:space="preserve">Social networking </w:t>
            </w:r>
          </w:p>
        </w:tc>
        <w:tc>
          <w:tcPr>
            <w:tcW w:w="2674" w:type="dxa"/>
            <w:shd w:val="clear" w:color="auto" w:fill="D2E1E9"/>
            <w:vAlign w:val="center"/>
          </w:tcPr>
          <w:p w14:paraId="60FC4B90" w14:textId="77777777" w:rsidR="000A1CD9" w:rsidRPr="00D609AB" w:rsidRDefault="000A1CD9" w:rsidP="0063439E">
            <w:pPr>
              <w:spacing w:after="0" w:line="240" w:lineRule="auto"/>
              <w:ind w:left="57"/>
              <w:jc w:val="right"/>
              <w:rPr>
                <w:color w:val="000000"/>
                <w:sz w:val="18"/>
                <w:szCs w:val="18"/>
              </w:rPr>
            </w:pPr>
            <w:r w:rsidRPr="00D609AB">
              <w:rPr>
                <w:color w:val="000000"/>
                <w:sz w:val="18"/>
                <w:szCs w:val="18"/>
              </w:rPr>
              <w:t>79</w:t>
            </w:r>
          </w:p>
        </w:tc>
        <w:tc>
          <w:tcPr>
            <w:tcW w:w="2674" w:type="dxa"/>
            <w:shd w:val="clear" w:color="auto" w:fill="D2E1E9"/>
            <w:tcMar>
              <w:top w:w="57" w:type="dxa"/>
              <w:left w:w="57" w:type="dxa"/>
              <w:bottom w:w="57" w:type="dxa"/>
              <w:right w:w="57" w:type="dxa"/>
            </w:tcMar>
            <w:vAlign w:val="center"/>
          </w:tcPr>
          <w:p w14:paraId="49EBB1CC" w14:textId="77777777" w:rsidR="000A1CD9" w:rsidRPr="00D609AB" w:rsidRDefault="000A1CD9" w:rsidP="0063439E">
            <w:pPr>
              <w:spacing w:after="0" w:line="240" w:lineRule="auto"/>
              <w:jc w:val="right"/>
              <w:rPr>
                <w:sz w:val="18"/>
                <w:szCs w:val="18"/>
                <w:highlight w:val="yellow"/>
              </w:rPr>
            </w:pPr>
            <w:r w:rsidRPr="00D609AB">
              <w:rPr>
                <w:sz w:val="18"/>
                <w:szCs w:val="18"/>
              </w:rPr>
              <w:t>76</w:t>
            </w:r>
          </w:p>
        </w:tc>
      </w:tr>
      <w:tr w:rsidR="000A1CD9" w:rsidRPr="00D609AB" w14:paraId="3C1C7AD5" w14:textId="77777777" w:rsidTr="001B0637">
        <w:trPr>
          <w:trHeight w:val="438"/>
        </w:trPr>
        <w:tc>
          <w:tcPr>
            <w:tcW w:w="963" w:type="dxa"/>
            <w:tcBorders>
              <w:right w:val="nil"/>
            </w:tcBorders>
            <w:shd w:val="clear" w:color="auto" w:fill="7FB8CB"/>
            <w:vAlign w:val="center"/>
          </w:tcPr>
          <w:p w14:paraId="06DBF0B8" w14:textId="77777777" w:rsidR="000A1CD9" w:rsidRPr="00D609AB" w:rsidRDefault="000A1CD9" w:rsidP="0043264B">
            <w:pPr>
              <w:spacing w:after="0" w:line="240" w:lineRule="auto"/>
              <w:rPr>
                <w:sz w:val="18"/>
                <w:szCs w:val="18"/>
              </w:rPr>
            </w:pPr>
            <w:r w:rsidRPr="00D609AB">
              <w:rPr>
                <w:noProof/>
                <w:sz w:val="18"/>
                <w:szCs w:val="18"/>
              </w:rPr>
              <w:drawing>
                <wp:inline distT="0" distB="0" distL="0" distR="0" wp14:anchorId="5C1BC048" wp14:editId="2FAC7A40">
                  <wp:extent cx="431386" cy="354246"/>
                  <wp:effectExtent l="0" t="0" r="6985" b="8255"/>
                  <wp:docPr id="78" name="Picture 78"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apter 2_Accessing gov websites.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59361" cy="377219"/>
                          </a:xfrm>
                          <a:prstGeom prst="rect">
                            <a:avLst/>
                          </a:prstGeom>
                        </pic:spPr>
                      </pic:pic>
                    </a:graphicData>
                  </a:graphic>
                </wp:inline>
              </w:drawing>
            </w:r>
          </w:p>
        </w:tc>
        <w:tc>
          <w:tcPr>
            <w:tcW w:w="3118" w:type="dxa"/>
            <w:tcBorders>
              <w:left w:val="nil"/>
              <w:right w:val="single" w:sz="24" w:space="0" w:color="FFFFFF"/>
            </w:tcBorders>
            <w:shd w:val="clear" w:color="auto" w:fill="7FB8CB"/>
            <w:tcMar>
              <w:top w:w="0" w:type="dxa"/>
              <w:left w:w="113" w:type="dxa"/>
              <w:bottom w:w="0" w:type="dxa"/>
              <w:right w:w="0" w:type="dxa"/>
            </w:tcMar>
            <w:vAlign w:val="center"/>
          </w:tcPr>
          <w:p w14:paraId="3EAE8202" w14:textId="77777777" w:rsidR="000A1CD9" w:rsidRPr="003A681F" w:rsidRDefault="000A1CD9" w:rsidP="0043264B">
            <w:pPr>
              <w:spacing w:after="0" w:line="240" w:lineRule="auto"/>
              <w:rPr>
                <w:color w:val="FFFFFF" w:themeColor="background1"/>
                <w:sz w:val="18"/>
                <w:szCs w:val="18"/>
              </w:rPr>
            </w:pPr>
            <w:r w:rsidRPr="003A681F">
              <w:rPr>
                <w:color w:val="FFFFFF" w:themeColor="background1"/>
                <w:sz w:val="18"/>
                <w:szCs w:val="18"/>
              </w:rPr>
              <w:t>Accessing government websites</w:t>
            </w:r>
          </w:p>
        </w:tc>
        <w:tc>
          <w:tcPr>
            <w:tcW w:w="2674" w:type="dxa"/>
            <w:shd w:val="clear" w:color="auto" w:fill="D2E1E9"/>
            <w:vAlign w:val="center"/>
          </w:tcPr>
          <w:p w14:paraId="47BE6549" w14:textId="77777777" w:rsidR="000A1CD9" w:rsidRPr="00D609AB" w:rsidRDefault="000A1CD9" w:rsidP="0063439E">
            <w:pPr>
              <w:spacing w:after="0" w:line="240" w:lineRule="auto"/>
              <w:ind w:left="57"/>
              <w:jc w:val="right"/>
              <w:rPr>
                <w:sz w:val="18"/>
                <w:szCs w:val="18"/>
              </w:rPr>
            </w:pPr>
            <w:r w:rsidRPr="00D609AB">
              <w:rPr>
                <w:sz w:val="18"/>
                <w:szCs w:val="18"/>
              </w:rPr>
              <w:t>73</w:t>
            </w:r>
          </w:p>
        </w:tc>
        <w:tc>
          <w:tcPr>
            <w:tcW w:w="2674" w:type="dxa"/>
            <w:shd w:val="clear" w:color="auto" w:fill="D2E1E9"/>
            <w:tcMar>
              <w:top w:w="57" w:type="dxa"/>
              <w:left w:w="57" w:type="dxa"/>
              <w:bottom w:w="57" w:type="dxa"/>
              <w:right w:w="57" w:type="dxa"/>
            </w:tcMar>
            <w:vAlign w:val="center"/>
          </w:tcPr>
          <w:p w14:paraId="6E408433" w14:textId="77777777" w:rsidR="000A1CD9" w:rsidRPr="00D609AB" w:rsidRDefault="000A1CD9" w:rsidP="0063439E">
            <w:pPr>
              <w:spacing w:after="0" w:line="240" w:lineRule="auto"/>
              <w:jc w:val="right"/>
              <w:rPr>
                <w:sz w:val="18"/>
                <w:szCs w:val="18"/>
                <w:highlight w:val="yellow"/>
              </w:rPr>
            </w:pPr>
            <w:r w:rsidRPr="00D609AB">
              <w:rPr>
                <w:sz w:val="18"/>
                <w:szCs w:val="18"/>
              </w:rPr>
              <w:t>68</w:t>
            </w:r>
          </w:p>
        </w:tc>
      </w:tr>
      <w:tr w:rsidR="000A1CD9" w:rsidRPr="00D609AB" w14:paraId="76B66674" w14:textId="77777777" w:rsidTr="001B0637">
        <w:trPr>
          <w:trHeight w:val="363"/>
        </w:trPr>
        <w:tc>
          <w:tcPr>
            <w:tcW w:w="963" w:type="dxa"/>
            <w:tcBorders>
              <w:right w:val="nil"/>
            </w:tcBorders>
            <w:shd w:val="clear" w:color="auto" w:fill="7FB8CB"/>
            <w:vAlign w:val="center"/>
          </w:tcPr>
          <w:p w14:paraId="2BA12335" w14:textId="77777777" w:rsidR="000A1CD9" w:rsidRPr="00D609AB" w:rsidRDefault="000A1CD9" w:rsidP="0043264B">
            <w:pPr>
              <w:spacing w:after="0" w:line="240" w:lineRule="auto"/>
              <w:rPr>
                <w:sz w:val="18"/>
                <w:szCs w:val="18"/>
              </w:rPr>
            </w:pPr>
            <w:r w:rsidRPr="00D609AB">
              <w:rPr>
                <w:noProof/>
                <w:sz w:val="18"/>
                <w:szCs w:val="18"/>
              </w:rPr>
              <w:drawing>
                <wp:inline distT="0" distB="0" distL="0" distR="0" wp14:anchorId="06DAB8E7" wp14:editId="0FF42C9E">
                  <wp:extent cx="402337" cy="335281"/>
                  <wp:effectExtent l="0" t="0" r="0" b="7620"/>
                  <wp:docPr id="70" name="Picture 70"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Chapter 2_Gaming.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02337" cy="335281"/>
                          </a:xfrm>
                          <a:prstGeom prst="rect">
                            <a:avLst/>
                          </a:prstGeom>
                        </pic:spPr>
                      </pic:pic>
                    </a:graphicData>
                  </a:graphic>
                </wp:inline>
              </w:drawing>
            </w:r>
          </w:p>
        </w:tc>
        <w:tc>
          <w:tcPr>
            <w:tcW w:w="3118" w:type="dxa"/>
            <w:tcBorders>
              <w:left w:val="nil"/>
              <w:right w:val="single" w:sz="24" w:space="0" w:color="FFFFFF"/>
            </w:tcBorders>
            <w:shd w:val="clear" w:color="auto" w:fill="7FB8CB"/>
            <w:tcMar>
              <w:top w:w="0" w:type="dxa"/>
              <w:left w:w="113" w:type="dxa"/>
              <w:bottom w:w="0" w:type="dxa"/>
              <w:right w:w="0" w:type="dxa"/>
            </w:tcMar>
            <w:vAlign w:val="center"/>
          </w:tcPr>
          <w:p w14:paraId="5FD07C52" w14:textId="77777777" w:rsidR="000A1CD9" w:rsidRPr="003A681F" w:rsidRDefault="000A1CD9" w:rsidP="0043264B">
            <w:pPr>
              <w:spacing w:after="0" w:line="240" w:lineRule="auto"/>
              <w:rPr>
                <w:color w:val="FFFFFF" w:themeColor="background1"/>
                <w:sz w:val="18"/>
                <w:szCs w:val="18"/>
              </w:rPr>
            </w:pPr>
            <w:r w:rsidRPr="003A681F">
              <w:rPr>
                <w:color w:val="FFFFFF" w:themeColor="background1"/>
                <w:sz w:val="18"/>
                <w:szCs w:val="18"/>
              </w:rPr>
              <w:t>Playing games</w:t>
            </w:r>
          </w:p>
        </w:tc>
        <w:tc>
          <w:tcPr>
            <w:tcW w:w="2674" w:type="dxa"/>
            <w:shd w:val="clear" w:color="auto" w:fill="D2E1E9"/>
            <w:vAlign w:val="center"/>
          </w:tcPr>
          <w:p w14:paraId="5C3E4E59" w14:textId="77777777" w:rsidR="000A1CD9" w:rsidRPr="00D609AB" w:rsidRDefault="000A1CD9" w:rsidP="0063439E">
            <w:pPr>
              <w:spacing w:after="0" w:line="240" w:lineRule="auto"/>
              <w:ind w:left="57"/>
              <w:jc w:val="right"/>
              <w:rPr>
                <w:sz w:val="18"/>
                <w:szCs w:val="18"/>
              </w:rPr>
            </w:pPr>
            <w:r w:rsidRPr="00D609AB">
              <w:rPr>
                <w:sz w:val="18"/>
                <w:szCs w:val="18"/>
              </w:rPr>
              <w:t>34</w:t>
            </w:r>
          </w:p>
        </w:tc>
        <w:tc>
          <w:tcPr>
            <w:tcW w:w="2674" w:type="dxa"/>
            <w:shd w:val="clear" w:color="auto" w:fill="D2E1E9"/>
            <w:tcMar>
              <w:top w:w="57" w:type="dxa"/>
              <w:left w:w="57" w:type="dxa"/>
              <w:bottom w:w="57" w:type="dxa"/>
              <w:right w:w="57" w:type="dxa"/>
            </w:tcMar>
            <w:vAlign w:val="center"/>
          </w:tcPr>
          <w:p w14:paraId="5D509023" w14:textId="77777777" w:rsidR="000A1CD9" w:rsidRPr="00D609AB" w:rsidRDefault="000A1CD9" w:rsidP="0063439E">
            <w:pPr>
              <w:spacing w:after="0" w:line="240" w:lineRule="auto"/>
              <w:jc w:val="right"/>
              <w:rPr>
                <w:sz w:val="18"/>
                <w:szCs w:val="18"/>
                <w:highlight w:val="yellow"/>
              </w:rPr>
            </w:pPr>
            <w:r w:rsidRPr="00D609AB">
              <w:rPr>
                <w:sz w:val="18"/>
                <w:szCs w:val="18"/>
              </w:rPr>
              <w:t>41</w:t>
            </w:r>
          </w:p>
        </w:tc>
      </w:tr>
    </w:tbl>
    <w:p w14:paraId="4E8564E1" w14:textId="77777777" w:rsidR="000A1CD9" w:rsidRPr="00D609AB" w:rsidRDefault="000A1CD9" w:rsidP="000A1CD9">
      <w:pPr>
        <w:spacing w:before="80" w:after="0" w:line="240" w:lineRule="auto"/>
        <w:rPr>
          <w:rFonts w:cs="Arial"/>
          <w:i/>
          <w:sz w:val="16"/>
        </w:rPr>
      </w:pPr>
      <w:r w:rsidRPr="00D609AB">
        <w:rPr>
          <w:rFonts w:cs="Arial"/>
          <w:i/>
          <w:sz w:val="16"/>
        </w:rPr>
        <w:t>Base: Australia: internet users aged 18 and over; UK: internet users aged 16 and over.</w:t>
      </w:r>
    </w:p>
    <w:p w14:paraId="6E7BE593" w14:textId="77777777" w:rsidR="000A1CD9" w:rsidRPr="00D609AB" w:rsidRDefault="000A1CD9" w:rsidP="000A1CD9">
      <w:pPr>
        <w:spacing w:before="80" w:after="0" w:line="240" w:lineRule="auto"/>
        <w:rPr>
          <w:rFonts w:cs="Arial"/>
          <w:i/>
          <w:sz w:val="16"/>
        </w:rPr>
      </w:pPr>
      <w:r w:rsidRPr="00D609AB">
        <w:rPr>
          <w:rFonts w:cs="Arial"/>
          <w:i/>
          <w:sz w:val="16"/>
        </w:rPr>
        <w:t xml:space="preserve">Note: Australian data relates to performing activities online in the six months to </w:t>
      </w:r>
      <w:r w:rsidR="00626035">
        <w:rPr>
          <w:rFonts w:cs="Arial"/>
          <w:i/>
          <w:sz w:val="16"/>
        </w:rPr>
        <w:t>June</w:t>
      </w:r>
      <w:r w:rsidRPr="00D609AB">
        <w:rPr>
          <w:rFonts w:cs="Arial"/>
          <w:i/>
          <w:sz w:val="16"/>
        </w:rPr>
        <w:t xml:space="preserve"> 2016. </w:t>
      </w:r>
    </w:p>
    <w:p w14:paraId="22233071" w14:textId="77777777" w:rsidR="000A1CD9" w:rsidRPr="00D609AB" w:rsidRDefault="000A1CD9" w:rsidP="000A1CD9">
      <w:pPr>
        <w:spacing w:before="80" w:after="0" w:line="240" w:lineRule="auto"/>
        <w:rPr>
          <w:rFonts w:cs="Arial"/>
          <w:i/>
          <w:sz w:val="16"/>
        </w:rPr>
      </w:pPr>
      <w:r w:rsidRPr="00D609AB">
        <w:rPr>
          <w:rFonts w:cs="Arial"/>
          <w:i/>
          <w:sz w:val="16"/>
        </w:rPr>
        <w:t>UK (Ofcom) data was collected September to October 2015 and covers all adults aged 16 and over who go online at home or elsewhere.</w:t>
      </w:r>
    </w:p>
    <w:p w14:paraId="3B06123A" w14:textId="77777777" w:rsidR="000A1CD9" w:rsidRPr="00D609AB" w:rsidRDefault="000A1CD9" w:rsidP="000A1CD9">
      <w:pPr>
        <w:spacing w:before="80" w:after="0" w:line="240" w:lineRule="auto"/>
        <w:rPr>
          <w:rFonts w:cs="Arial"/>
          <w:i/>
          <w:sz w:val="16"/>
        </w:rPr>
      </w:pPr>
      <w:r w:rsidRPr="00D609AB">
        <w:rPr>
          <w:rFonts w:cs="Arial"/>
          <w:i/>
          <w:sz w:val="16"/>
        </w:rPr>
        <w:t xml:space="preserve">Source: Australian data: ACMA-commissioned survey, </w:t>
      </w:r>
      <w:r w:rsidR="00626035">
        <w:rPr>
          <w:rFonts w:cs="Arial"/>
          <w:i/>
          <w:sz w:val="16"/>
        </w:rPr>
        <w:t>June</w:t>
      </w:r>
      <w:r w:rsidRPr="00D609AB">
        <w:rPr>
          <w:rFonts w:cs="Arial"/>
          <w:i/>
          <w:sz w:val="16"/>
        </w:rPr>
        <w:t xml:space="preserve"> 2016. UK data: Of</w:t>
      </w:r>
      <w:r>
        <w:rPr>
          <w:rFonts w:cs="Arial"/>
          <w:i/>
          <w:sz w:val="16"/>
        </w:rPr>
        <w:t>c</w:t>
      </w:r>
      <w:r w:rsidRPr="00D609AB">
        <w:rPr>
          <w:rFonts w:cs="Arial"/>
          <w:i/>
          <w:sz w:val="16"/>
        </w:rPr>
        <w:t>om, Adults’ Media Use and Attitudes Report</w:t>
      </w:r>
      <w:r w:rsidRPr="00D609AB">
        <w:rPr>
          <w:rFonts w:cs="Arial"/>
          <w:sz w:val="16"/>
        </w:rPr>
        <w:t>,</w:t>
      </w:r>
      <w:r w:rsidRPr="00D609AB">
        <w:rPr>
          <w:rFonts w:cs="Arial"/>
          <w:i/>
          <w:sz w:val="16"/>
        </w:rPr>
        <w:t xml:space="preserve"> 2016.</w:t>
      </w:r>
      <w:bookmarkStart w:id="581" w:name="_Toc348105634"/>
      <w:bookmarkStart w:id="582" w:name="_Toc286994477"/>
    </w:p>
    <w:p w14:paraId="72F6173B" w14:textId="77777777" w:rsidR="000A1CD9" w:rsidRPr="00D609AB" w:rsidRDefault="000A1CD9" w:rsidP="000A1CD9">
      <w:pPr>
        <w:rPr>
          <w:rFonts w:cs="Arial"/>
        </w:rPr>
      </w:pPr>
    </w:p>
    <w:bookmarkEnd w:id="581"/>
    <w:bookmarkEnd w:id="582"/>
    <w:p w14:paraId="65E61C4E" w14:textId="77777777" w:rsidR="007C1430" w:rsidRDefault="007C1430" w:rsidP="00C05F4C">
      <w:pPr>
        <w:pStyle w:val="ListBulletLast"/>
        <w:numPr>
          <w:ilvl w:val="0"/>
          <w:numId w:val="0"/>
        </w:numPr>
        <w:ind w:left="295" w:hanging="295"/>
      </w:pPr>
    </w:p>
    <w:p w14:paraId="47D8CF80" w14:textId="77777777" w:rsidR="007C1430" w:rsidRPr="00FD7E86" w:rsidRDefault="007C1430" w:rsidP="00C05F4C">
      <w:pPr>
        <w:pStyle w:val="ListBulletLast"/>
        <w:numPr>
          <w:ilvl w:val="0"/>
          <w:numId w:val="0"/>
        </w:numPr>
        <w:ind w:left="295" w:hanging="295"/>
        <w:sectPr w:rsidR="007C1430" w:rsidRPr="00FD7E86" w:rsidSect="00604073">
          <w:endnotePr>
            <w:numFmt w:val="decimal"/>
            <w:numRestart w:val="eachSect"/>
          </w:endnotePr>
          <w:pgSz w:w="11907" w:h="16839" w:code="9"/>
          <w:pgMar w:top="1945" w:right="1134" w:bottom="1134" w:left="1134" w:header="709" w:footer="119" w:gutter="284"/>
          <w:cols w:space="708"/>
          <w:docGrid w:linePitch="360"/>
        </w:sectPr>
      </w:pPr>
    </w:p>
    <w:p w14:paraId="639D424E" w14:textId="77777777" w:rsidR="00172A9C" w:rsidRPr="00F634D9" w:rsidRDefault="00172A9C" w:rsidP="00EA149D">
      <w:pPr>
        <w:pStyle w:val="Heading1"/>
        <w:numPr>
          <w:ilvl w:val="0"/>
          <w:numId w:val="12"/>
        </w:numPr>
        <w:ind w:left="851" w:hanging="851"/>
      </w:pPr>
      <w:bookmarkStart w:id="583" w:name="_Toc462899605"/>
      <w:bookmarkStart w:id="584" w:name="_Toc465842916"/>
      <w:r w:rsidRPr="00F634D9">
        <w:lastRenderedPageBreak/>
        <w:t>Television, radio and online content developments</w:t>
      </w:r>
      <w:bookmarkEnd w:id="489"/>
      <w:bookmarkEnd w:id="583"/>
      <w:bookmarkEnd w:id="584"/>
      <w:r w:rsidRPr="00F634D9">
        <w:t xml:space="preserve"> </w:t>
      </w:r>
    </w:p>
    <w:p w14:paraId="23059E41" w14:textId="77777777" w:rsidR="00CA5385" w:rsidRPr="0082603D" w:rsidRDefault="00CA5385" w:rsidP="00985976">
      <w:pPr>
        <w:pStyle w:val="Heading2"/>
        <w:numPr>
          <w:ilvl w:val="1"/>
          <w:numId w:val="12"/>
        </w:numPr>
        <w:ind w:hanging="792"/>
      </w:pPr>
      <w:bookmarkStart w:id="585" w:name="_Toc465842917"/>
      <w:bookmarkStart w:id="586" w:name="_Toc462899606"/>
      <w:bookmarkStart w:id="587" w:name="_Toc433790348"/>
      <w:bookmarkStart w:id="588" w:name="_Toc463529096"/>
      <w:r w:rsidRPr="0082603D">
        <w:t>Overview</w:t>
      </w:r>
      <w:bookmarkEnd w:id="585"/>
    </w:p>
    <w:bookmarkEnd w:id="586"/>
    <w:bookmarkEnd w:id="587"/>
    <w:bookmarkEnd w:id="588"/>
    <w:p w14:paraId="2994D704" w14:textId="77777777" w:rsidR="00A77EE0" w:rsidRPr="001A3C79" w:rsidRDefault="00A77EE0" w:rsidP="00A77EE0">
      <w:pPr>
        <w:rPr>
          <w:rFonts w:cs="Arial"/>
          <w:szCs w:val="20"/>
        </w:rPr>
      </w:pPr>
      <w:r w:rsidRPr="001A3C79">
        <w:rPr>
          <w:rFonts w:cs="Arial"/>
          <w:szCs w:val="20"/>
        </w:rPr>
        <w:t>This chapter explores the developments in audio and video content, covering content delivered via broadcasting and over-the-top (OTT) content services. It looks at radio (traditional, online and digital) and music streaming, and examines changes in the technologies used to supply video content and services. This chapter also reports on viewing behaviours including television ownership, device usage, and engagement with traditional broadcast media, subscription and online viewing. It also looks at developments in online news services and the importance of news in regional Australia.</w:t>
      </w:r>
    </w:p>
    <w:p w14:paraId="4E097F28" w14:textId="77777777" w:rsidR="00A77EE0" w:rsidRPr="001A3C79" w:rsidRDefault="00A77EE0" w:rsidP="00A77EE0">
      <w:pPr>
        <w:rPr>
          <w:rFonts w:cs="Arial"/>
          <w:szCs w:val="20"/>
        </w:rPr>
      </w:pPr>
      <w:r w:rsidRPr="001A3C79">
        <w:rPr>
          <w:rFonts w:cs="Arial"/>
          <w:szCs w:val="20"/>
        </w:rPr>
        <w:t xml:space="preserve">Information is also presented on the performance of broadcasters in meeting their regulatory obligations. </w:t>
      </w:r>
    </w:p>
    <w:p w14:paraId="5D5FFF0A" w14:textId="77777777" w:rsidR="00A77EE0" w:rsidRPr="001A3C79" w:rsidRDefault="00A77EE0" w:rsidP="00A77EE0">
      <w:r w:rsidRPr="001A3C79">
        <w:t>There are now a range of online content options for the Australian audience. Over 2015</w:t>
      </w:r>
      <w:r w:rsidRPr="001A3C79">
        <w:rPr>
          <w:rFonts w:cs="Arial"/>
        </w:rPr>
        <w:t>–</w:t>
      </w:r>
      <w:r w:rsidRPr="001A3C79">
        <w:t xml:space="preserve">16, the boundaries between communications and media continued to blur, with communications service providers buying content rights and offering or bundling content services, such as the Optus Sports app and Telstra TV. Broadcasters are expanding their range of content services, offering live streaming services and content apps. Subscription video on demand (SVOD) services are an established part of the Australian media landscape, recording around 2.7 million active subscribers at June 2016. </w:t>
      </w:r>
    </w:p>
    <w:p w14:paraId="46C816D9" w14:textId="77777777" w:rsidR="00A77EE0" w:rsidRPr="001A3C79" w:rsidRDefault="00A77EE0" w:rsidP="00A77EE0">
      <w:pPr>
        <w:rPr>
          <w:rFonts w:cs="Arial"/>
          <w:szCs w:val="20"/>
        </w:rPr>
      </w:pPr>
      <w:r w:rsidRPr="001A3C79">
        <w:t xml:space="preserve">The expanded range of services available is reflected in an increasingly fragmented Australian audience, where households have an average of 6.4 screens on which to view content. At </w:t>
      </w:r>
      <w:r w:rsidR="00C26570">
        <w:t>59</w:t>
      </w:r>
      <w:r w:rsidRPr="001A3C79">
        <w:t> per cent, live FTA television still holds the largest share among adult Australians of time spent with television or professionally produced content. However, younger age groups are showing signs of moving away from live television. The 18</w:t>
      </w:r>
      <w:r w:rsidRPr="001A3C79">
        <w:rPr>
          <w:rFonts w:cs="Arial"/>
        </w:rPr>
        <w:t xml:space="preserve"> to </w:t>
      </w:r>
      <w:r w:rsidRPr="001A3C79">
        <w:t>24 age group spent more time with online video (5.6 hours) than live FTA television (4.5 hours).</w:t>
      </w:r>
    </w:p>
    <w:p w14:paraId="0521521C" w14:textId="77777777" w:rsidR="00A77EE0" w:rsidRPr="001A3C79" w:rsidRDefault="00A77EE0" w:rsidP="00A77EE0">
      <w:pPr>
        <w:spacing w:after="80"/>
      </w:pPr>
      <w:r w:rsidRPr="001A3C79">
        <w:t>Key points in the reporting period include:</w:t>
      </w:r>
    </w:p>
    <w:p w14:paraId="6A57B664" w14:textId="77777777" w:rsidR="00A77EE0" w:rsidRPr="001A3C79" w:rsidRDefault="00A77EE0" w:rsidP="00EA149D">
      <w:pPr>
        <w:pStyle w:val="ListBullet"/>
      </w:pPr>
      <w:r w:rsidRPr="001A3C79">
        <w:t xml:space="preserve">Listening to the radio </w:t>
      </w:r>
      <w:r w:rsidR="00BA1323">
        <w:t>remained</w:t>
      </w:r>
      <w:r w:rsidRPr="001A3C79">
        <w:t xml:space="preserve"> popular among adult Australians, with 88 per cent listening to some radio in an average seven-day period to June 2015.</w:t>
      </w:r>
    </w:p>
    <w:p w14:paraId="41FCF956" w14:textId="77777777" w:rsidR="00A77EE0" w:rsidRPr="001A3C79" w:rsidRDefault="00A77EE0" w:rsidP="00EA149D">
      <w:pPr>
        <w:pStyle w:val="ListBullet"/>
        <w:rPr>
          <w:rFonts w:cs="Arial"/>
          <w:szCs w:val="20"/>
        </w:rPr>
      </w:pPr>
      <w:r w:rsidRPr="001A3C79">
        <w:t xml:space="preserve">Older Australians </w:t>
      </w:r>
      <w:r w:rsidR="00BA1323">
        <w:t>listened</w:t>
      </w:r>
      <w:r w:rsidRPr="001A3C79">
        <w:t xml:space="preserve"> to the radio the most, at an average of 14 hours per week, while younger Australians </w:t>
      </w:r>
      <w:r w:rsidR="00BA1323">
        <w:t>listened</w:t>
      </w:r>
      <w:r w:rsidRPr="001A3C79">
        <w:t xml:space="preserve"> to around six hours per week.</w:t>
      </w:r>
    </w:p>
    <w:p w14:paraId="20F63E5F" w14:textId="77777777" w:rsidR="00A77EE0" w:rsidRPr="001A3C79" w:rsidRDefault="00A77EE0" w:rsidP="00EA149D">
      <w:pPr>
        <w:pStyle w:val="ListBullet"/>
      </w:pPr>
      <w:r w:rsidRPr="001A3C79">
        <w:t>In the first four months of 2016, the number of people listening to digital radio increased by 168,000 in Sydney, Melbourne, Brisbane, Perth and Adelaide, taking the reach of digital radio to 3.5 million people in metropolitan areas.</w:t>
      </w:r>
    </w:p>
    <w:p w14:paraId="21C38C18" w14:textId="77777777" w:rsidR="00A77EE0" w:rsidRPr="001A3C79" w:rsidRDefault="00A77EE0" w:rsidP="00EA149D">
      <w:pPr>
        <w:pStyle w:val="ListBullet"/>
        <w:rPr>
          <w:lang w:val="en-US"/>
        </w:rPr>
      </w:pPr>
      <w:r w:rsidRPr="001A3C79">
        <w:t>In the last seven days, 19 per cent of adult Australians had used a streaming music service such as Spotify, Pandora or iTunes radio.</w:t>
      </w:r>
    </w:p>
    <w:p w14:paraId="65E2366E" w14:textId="77777777" w:rsidR="00A77EE0" w:rsidRPr="001A3C79" w:rsidRDefault="00A77EE0" w:rsidP="00EA149D">
      <w:pPr>
        <w:pStyle w:val="ListBullet"/>
        <w:rPr>
          <w:lang w:val="en-US"/>
        </w:rPr>
      </w:pPr>
      <w:r w:rsidRPr="001A3C79">
        <w:rPr>
          <w:lang w:val="en-US"/>
        </w:rPr>
        <w:t>The average time audiences spend watching live FTA television is continuing to experience a slight decline and fewer people are watching traditional broadcast television every year. Metropolitan broadcasters reached 84 per cent of their potential audience in 2015</w:t>
      </w:r>
      <w:r w:rsidRPr="001A3C79">
        <w:rPr>
          <w:rFonts w:cs="Arial"/>
          <w:lang w:val="en-US"/>
        </w:rPr>
        <w:t>–</w:t>
      </w:r>
      <w:r w:rsidRPr="001A3C79">
        <w:rPr>
          <w:lang w:val="en-US"/>
        </w:rPr>
        <w:t>16, down from 85 per cent in 2014</w:t>
      </w:r>
      <w:r w:rsidRPr="001A3C79">
        <w:rPr>
          <w:rFonts w:cs="Arial"/>
          <w:lang w:val="en-US"/>
        </w:rPr>
        <w:t>–</w:t>
      </w:r>
      <w:r w:rsidRPr="001A3C79">
        <w:rPr>
          <w:lang w:val="en-US"/>
        </w:rPr>
        <w:t>15, and regional broadcasters reached 81 per cent, down from 84 per cent.</w:t>
      </w:r>
    </w:p>
    <w:p w14:paraId="324EFF44" w14:textId="77777777" w:rsidR="00A77EE0" w:rsidRPr="001A3C79" w:rsidRDefault="00A77EE0" w:rsidP="00EA149D">
      <w:pPr>
        <w:pStyle w:val="ListBullet"/>
        <w:rPr>
          <w:rFonts w:cs="Arial"/>
          <w:szCs w:val="20"/>
        </w:rPr>
      </w:pPr>
      <w:r w:rsidRPr="001A3C79">
        <w:t>Australians watch</w:t>
      </w:r>
      <w:r w:rsidR="00BA1323">
        <w:t>ed</w:t>
      </w:r>
      <w:r w:rsidRPr="001A3C79">
        <w:t xml:space="preserve"> on average 85 hours and 12 minutes of FTA television in the home per month, either live or played back within seven days of the original broadcast. While this represents a decline of four hours and 16 minutes from the same period in 2015, watching FTA television live still represents the largest share (</w:t>
      </w:r>
      <w:r w:rsidR="00C26570">
        <w:t>59</w:t>
      </w:r>
      <w:r w:rsidRPr="001A3C79">
        <w:t xml:space="preserve"> per cent) of the weekly average time spent watching television or video content (excluding pre-recorded DVDs) among Australian adults.</w:t>
      </w:r>
    </w:p>
    <w:p w14:paraId="1BA39D5C" w14:textId="77777777" w:rsidR="00A77EE0" w:rsidRPr="001A3C79" w:rsidRDefault="00A77EE0" w:rsidP="00EA149D">
      <w:pPr>
        <w:pStyle w:val="ListBullet"/>
        <w:rPr>
          <w:rFonts w:cs="Arial"/>
          <w:szCs w:val="20"/>
        </w:rPr>
      </w:pPr>
      <w:r w:rsidRPr="001A3C79">
        <w:t>Ninety-seven per cent of Australian households receive digital terrestrial television on every television set, with an average of 1.9 sets per household. The television set remains the main way to watch video content, even online content, although free video content (such as YouTube) is more likely to be watched on computers or mobile devices.</w:t>
      </w:r>
    </w:p>
    <w:p w14:paraId="6ED89B1A" w14:textId="77777777" w:rsidR="00A77EE0" w:rsidRPr="00CB74BE" w:rsidRDefault="00A77EE0" w:rsidP="00EA149D">
      <w:pPr>
        <w:pStyle w:val="ListBullet"/>
        <w:rPr>
          <w:rFonts w:cs="Arial"/>
          <w:szCs w:val="20"/>
        </w:rPr>
      </w:pPr>
      <w:r w:rsidRPr="00CB74BE">
        <w:lastRenderedPageBreak/>
        <w:t>In the six months to June 2016, 63 per cent of adult Australians watched some online television or professionally produced online video content, up from 53 per cent in 2015.</w:t>
      </w:r>
    </w:p>
    <w:p w14:paraId="06C315A2" w14:textId="77777777" w:rsidR="00A77EE0" w:rsidRPr="00CB74BE" w:rsidRDefault="00A77EE0" w:rsidP="00EA149D">
      <w:pPr>
        <w:pStyle w:val="ListBullet"/>
        <w:rPr>
          <w:rFonts w:cs="Arial"/>
          <w:szCs w:val="20"/>
        </w:rPr>
      </w:pPr>
      <w:r w:rsidRPr="00CB74BE">
        <w:t>The uptake of SVOD services has increased by almost 46 per cent in the last year, with the number of Australians paying for su</w:t>
      </w:r>
      <w:r w:rsidR="000A0F41">
        <w:t>bscriptions almost doubling to 3</w:t>
      </w:r>
      <w:r w:rsidRPr="00CB74BE">
        <w:t>2 per cent.</w:t>
      </w:r>
    </w:p>
    <w:p w14:paraId="05218B99" w14:textId="77777777" w:rsidR="00A77EE0" w:rsidRPr="00CB74BE" w:rsidRDefault="00A77EE0" w:rsidP="00EA149D">
      <w:pPr>
        <w:pStyle w:val="ListBullet"/>
      </w:pPr>
      <w:r w:rsidRPr="00CB74BE">
        <w:t>With a range of new entrants offering on-demand content in 2015</w:t>
      </w:r>
      <w:r w:rsidRPr="00CB74BE">
        <w:rPr>
          <w:rFonts w:cs="Arial"/>
        </w:rPr>
        <w:t>–</w:t>
      </w:r>
      <w:r w:rsidRPr="00CB74BE">
        <w:t xml:space="preserve">16, the market has become increasingly crowded, as the number of providers offering different devices, services and products continues to increase. </w:t>
      </w:r>
    </w:p>
    <w:p w14:paraId="72F51258" w14:textId="77777777" w:rsidR="00A77EE0" w:rsidRPr="00CB74BE" w:rsidRDefault="00A77EE0" w:rsidP="00EA149D">
      <w:pPr>
        <w:pStyle w:val="ListBullet"/>
        <w:rPr>
          <w:rFonts w:cs="Arial"/>
          <w:szCs w:val="20"/>
        </w:rPr>
      </w:pPr>
      <w:r w:rsidRPr="00CB74BE">
        <w:t xml:space="preserve">Social media is becoming an increasingly important source of news for Australians, particularly younger Australians, with 29 per cent of people aged 14 to 32 using social media as their primary source of news, compared to 18 per cent relying on television news. </w:t>
      </w:r>
    </w:p>
    <w:p w14:paraId="3ECDA8CA" w14:textId="77777777" w:rsidR="00A77EE0" w:rsidRPr="00CB74BE" w:rsidRDefault="00A77EE0" w:rsidP="00EA149D">
      <w:pPr>
        <w:pStyle w:val="ListBullet"/>
        <w:rPr>
          <w:rFonts w:cs="Arial"/>
          <w:szCs w:val="20"/>
        </w:rPr>
      </w:pPr>
      <w:r w:rsidRPr="00CB74BE">
        <w:t xml:space="preserve">Broadcast television remains the main source of news for adult Australians, with 36 per cent accessing news via the television. </w:t>
      </w:r>
    </w:p>
    <w:p w14:paraId="72D119BB" w14:textId="77777777" w:rsidR="00A77EE0" w:rsidRPr="00CB74BE" w:rsidRDefault="00A77EE0" w:rsidP="00EA149D">
      <w:pPr>
        <w:pStyle w:val="ListBullet"/>
      </w:pPr>
      <w:r w:rsidRPr="00CB74BE">
        <w:t>Local news remains extremely important to those living in regional area of Australia—77 per cent believe access to local news is important, and 40 per cent believe it is very important.</w:t>
      </w:r>
    </w:p>
    <w:p w14:paraId="5AD51EA8" w14:textId="77777777" w:rsidR="00A77EE0" w:rsidRPr="00CB74BE" w:rsidRDefault="00A77EE0" w:rsidP="00EA149D">
      <w:pPr>
        <w:pStyle w:val="ListBullet"/>
      </w:pPr>
      <w:r w:rsidRPr="00CB74BE">
        <w:t>All FTA commercial television licensees met the Australian transmission quota and sub-quota requirements for drama, documentary and children’s programs for the 2015 calendar year.</w:t>
      </w:r>
    </w:p>
    <w:p w14:paraId="3D05F975" w14:textId="77777777" w:rsidR="00A77EE0" w:rsidRPr="00CB74BE" w:rsidRDefault="00A77EE0" w:rsidP="00EA149D">
      <w:pPr>
        <w:pStyle w:val="ListBulletLast"/>
      </w:pPr>
      <w:r w:rsidRPr="00CB74BE">
        <w:t>All regional commercial radio and television broadcasting licensees broadcast the required amount of material of local significance.</w:t>
      </w:r>
    </w:p>
    <w:p w14:paraId="293FE2F5" w14:textId="77777777" w:rsidR="00A77EE0" w:rsidRPr="001A3C79" w:rsidRDefault="00A77EE0" w:rsidP="00985976">
      <w:pPr>
        <w:pStyle w:val="Heading2"/>
        <w:numPr>
          <w:ilvl w:val="1"/>
          <w:numId w:val="12"/>
        </w:numPr>
        <w:ind w:hanging="792"/>
      </w:pPr>
      <w:bookmarkStart w:id="589" w:name="_Toc462899607"/>
      <w:bookmarkStart w:id="590" w:name="_Toc433790349"/>
      <w:bookmarkStart w:id="591" w:name="_Toc463529097"/>
      <w:bookmarkStart w:id="592" w:name="_Toc465842918"/>
      <w:r w:rsidRPr="001A3C79">
        <w:t>Audio content</w:t>
      </w:r>
      <w:bookmarkEnd w:id="589"/>
      <w:bookmarkEnd w:id="590"/>
      <w:bookmarkEnd w:id="591"/>
      <w:bookmarkEnd w:id="592"/>
    </w:p>
    <w:p w14:paraId="12F2A899" w14:textId="77777777" w:rsidR="00A77EE0" w:rsidRPr="001A3C79" w:rsidRDefault="00A77EE0" w:rsidP="00EA149D">
      <w:pPr>
        <w:pStyle w:val="Heading3"/>
      </w:pPr>
      <w:bookmarkStart w:id="593" w:name="_Toc462899608"/>
      <w:bookmarkStart w:id="594" w:name="_Toc463529098"/>
      <w:bookmarkStart w:id="595" w:name="_Toc465842919"/>
      <w:r w:rsidRPr="001A3C79">
        <w:t>Industry developments in radio and audio content</w:t>
      </w:r>
      <w:bookmarkEnd w:id="593"/>
      <w:bookmarkEnd w:id="594"/>
      <w:bookmarkEnd w:id="595"/>
    </w:p>
    <w:p w14:paraId="023AB606" w14:textId="77777777" w:rsidR="00A77EE0" w:rsidRPr="001A3C79" w:rsidRDefault="00A77EE0" w:rsidP="00A77EE0">
      <w:r w:rsidRPr="001A3C79">
        <w:t xml:space="preserve">Australians have access to a growing array of audio entertainment options, from radio to online music streaming. </w:t>
      </w:r>
    </w:p>
    <w:p w14:paraId="2165BFC0" w14:textId="77777777" w:rsidR="00A77EE0" w:rsidRPr="001A3C79" w:rsidRDefault="00A77EE0" w:rsidP="00A77EE0">
      <w:r w:rsidRPr="001A3C79">
        <w:t>The growing importance of digital audio options can be seen in the impact of the digital platform on the music sector. Music sales increased by five per cent in 2015—the first increase in three years—driven by a 10.6 per cent growth in digital content (including music streaming), which now accounts for 62 per cent of the overall market by value.</w:t>
      </w:r>
      <w:r w:rsidRPr="001A3C79">
        <w:rPr>
          <w:vertAlign w:val="superscript"/>
        </w:rPr>
        <w:endnoteReference w:id="132"/>
      </w:r>
      <w:r w:rsidRPr="001A3C79">
        <w:t xml:space="preserve"> </w:t>
      </w:r>
    </w:p>
    <w:p w14:paraId="5779EBBD" w14:textId="77777777" w:rsidR="00A77EE0" w:rsidRPr="001A3C79" w:rsidRDefault="00A77EE0" w:rsidP="00A77EE0">
      <w:r w:rsidRPr="001A3C79">
        <w:t>Spotify, Apple Music, Google Play and Pandora remain the leading music streaming services in Australia</w:t>
      </w:r>
      <w:r w:rsidR="00B0785F">
        <w:t>,</w:t>
      </w:r>
      <w:r w:rsidRPr="001A3C79">
        <w:t xml:space="preserve"> but there was an overall consolidation in the number of music streaming services available. Australian-owned Guvera exited the market in August 2016</w:t>
      </w:r>
      <w:r w:rsidRPr="001A3C79">
        <w:rPr>
          <w:vertAlign w:val="superscript"/>
        </w:rPr>
        <w:endnoteReference w:id="133"/>
      </w:r>
      <w:r w:rsidRPr="001A3C79">
        <w:rPr>
          <w:vertAlign w:val="superscript"/>
        </w:rPr>
        <w:t>,</w:t>
      </w:r>
      <w:r w:rsidR="00715603">
        <w:rPr>
          <w:vertAlign w:val="superscript"/>
        </w:rPr>
        <w:t xml:space="preserve"> </w:t>
      </w:r>
      <w:r w:rsidRPr="001A3C79">
        <w:rPr>
          <w:vertAlign w:val="superscript"/>
        </w:rPr>
        <w:endnoteReference w:id="134"/>
      </w:r>
      <w:r w:rsidRPr="001A3C79">
        <w:t xml:space="preserve"> and Nokia’s MixRadio also closed in 2016 after citing performance issues and financial challenges posed by the music streaming market.</w:t>
      </w:r>
      <w:r w:rsidRPr="001A3C79">
        <w:rPr>
          <w:vertAlign w:val="superscript"/>
        </w:rPr>
        <w:endnoteReference w:id="135"/>
      </w:r>
      <w:r w:rsidRPr="001A3C79">
        <w:t xml:space="preserve"> In September 2015, Telstra closed its online streaming service Mog and entered into an agreement with Apple Music, offering </w:t>
      </w:r>
      <w:r w:rsidR="00AC0341">
        <w:t>its</w:t>
      </w:r>
      <w:r w:rsidR="00AC0341" w:rsidRPr="001A3C79">
        <w:t xml:space="preserve"> </w:t>
      </w:r>
      <w:r w:rsidRPr="001A3C79">
        <w:t>customers an introductory free 12-month subscription.</w:t>
      </w:r>
      <w:r w:rsidRPr="001A3C79">
        <w:rPr>
          <w:vertAlign w:val="superscript"/>
        </w:rPr>
        <w:endnoteReference w:id="136"/>
      </w:r>
      <w:r w:rsidRPr="001A3C79">
        <w:t xml:space="preserve"> In August 2016, Telstra announced that its mobile customers will be able to use Apple Music unmetered.</w:t>
      </w:r>
      <w:r w:rsidRPr="001A3C79">
        <w:rPr>
          <w:vertAlign w:val="superscript"/>
        </w:rPr>
        <w:endnoteReference w:id="137"/>
      </w:r>
    </w:p>
    <w:p w14:paraId="7B558AF9" w14:textId="77777777" w:rsidR="00A77EE0" w:rsidRPr="00EA149D" w:rsidRDefault="00A77EE0" w:rsidP="00A16EEF">
      <w:pPr>
        <w:pStyle w:val="BodySubHeader"/>
      </w:pPr>
      <w:r w:rsidRPr="00EA149D">
        <w:t>Access to radio</w:t>
      </w:r>
    </w:p>
    <w:p w14:paraId="1BC16014" w14:textId="77777777" w:rsidR="00A77EE0" w:rsidRPr="001A3C79" w:rsidRDefault="00A77EE0" w:rsidP="00A77EE0">
      <w:r w:rsidRPr="001A3C79">
        <w:t xml:space="preserve">Audience numbers remained stable for traditional radio, while audio streaming services experienced strong growth from a smaller base. </w:t>
      </w:r>
    </w:p>
    <w:p w14:paraId="648FAF36" w14:textId="77777777" w:rsidR="00A77EE0" w:rsidRPr="00EA149D" w:rsidRDefault="00A77EE0" w:rsidP="00A16EEF">
      <w:pPr>
        <w:pStyle w:val="BodySubHeader"/>
      </w:pPr>
      <w:r w:rsidRPr="00EA149D">
        <w:t>Reach of radio remains stable</w:t>
      </w:r>
    </w:p>
    <w:p w14:paraId="7741A38C" w14:textId="77777777" w:rsidR="00A77EE0" w:rsidRPr="001A3C79" w:rsidRDefault="00A77EE0" w:rsidP="00A77EE0">
      <w:r w:rsidRPr="001A3C79">
        <w:t>Listening to the radio remains popular with adult Australians, with 88 per cent listening to some radio in an average seven-day period to June 2016. This figure is consistent with the previous three years, with an increase from 2012 (Figure 3.1).</w:t>
      </w:r>
    </w:p>
    <w:p w14:paraId="2C2C3882" w14:textId="77777777" w:rsidR="00A77EE0" w:rsidRPr="001A3C79" w:rsidRDefault="00A77EE0" w:rsidP="002C592F">
      <w:pPr>
        <w:keepNext/>
        <w:spacing w:after="160"/>
        <w:rPr>
          <w:b/>
          <w:bCs/>
          <w:color w:val="323232"/>
          <w:szCs w:val="20"/>
        </w:rPr>
      </w:pPr>
      <w:r w:rsidRPr="001A3C79">
        <w:rPr>
          <w:b/>
          <w:bCs/>
          <w:color w:val="323232"/>
          <w:szCs w:val="20"/>
        </w:rPr>
        <w:lastRenderedPageBreak/>
        <w:t>Figure 3.1</w:t>
      </w:r>
      <w:r w:rsidRPr="001A3C79">
        <w:rPr>
          <w:b/>
          <w:bCs/>
          <w:color w:val="323232"/>
          <w:szCs w:val="20"/>
        </w:rPr>
        <w:tab/>
        <w:t>Listening to radio, last seven days (percentage)</w:t>
      </w:r>
    </w:p>
    <w:p w14:paraId="37809670" w14:textId="77777777" w:rsidR="00A77EE0" w:rsidRPr="001A3C79" w:rsidRDefault="005C2532" w:rsidP="00A77EE0">
      <w:pPr>
        <w:spacing w:after="0"/>
      </w:pPr>
      <w:r>
        <w:rPr>
          <w:noProof/>
        </w:rPr>
        <w:drawing>
          <wp:inline distT="0" distB="0" distL="0" distR="0" wp14:anchorId="4BCC4A58" wp14:editId="3E5D7BB6">
            <wp:extent cx="5918835" cy="1323833"/>
            <wp:effectExtent l="0" t="0" r="5715" b="0"/>
            <wp:docPr id="116" name="Picture 116" descr="Data for Figure 3.1 is in the .ods file for Chapter 3 on the landing page ‘Communications report 2015-16’, available from the ACMA website." title="Figure 3.1  Listening to radio, last seve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igure 3.1_Figure 3.1.png"/>
                    <pic:cNvPicPr/>
                  </pic:nvPicPr>
                  <pic:blipFill rotWithShape="1">
                    <a:blip r:embed="rId96">
                      <a:extLst>
                        <a:ext uri="{28A0092B-C50C-407E-A947-70E740481C1C}">
                          <a14:useLocalDpi xmlns:a14="http://schemas.microsoft.com/office/drawing/2010/main" val="0"/>
                        </a:ext>
                      </a:extLst>
                    </a:blip>
                    <a:srcRect l="345" t="2476" b="1434"/>
                    <a:stretch/>
                  </pic:blipFill>
                  <pic:spPr bwMode="auto">
                    <a:xfrm>
                      <a:off x="0" y="0"/>
                      <a:ext cx="5919950" cy="1324082"/>
                    </a:xfrm>
                    <a:prstGeom prst="rect">
                      <a:avLst/>
                    </a:prstGeom>
                    <a:ln>
                      <a:noFill/>
                    </a:ln>
                    <a:extLst>
                      <a:ext uri="{53640926-AAD7-44D8-BBD7-CCE9431645EC}">
                        <a14:shadowObscured xmlns:a14="http://schemas.microsoft.com/office/drawing/2010/main"/>
                      </a:ext>
                    </a:extLst>
                  </pic:spPr>
                </pic:pic>
              </a:graphicData>
            </a:graphic>
          </wp:inline>
        </w:drawing>
      </w:r>
      <w:r w:rsidR="00A77EE0" w:rsidRPr="001A3C79" w:rsidDel="00850ED9">
        <w:t xml:space="preserve"> </w:t>
      </w:r>
    </w:p>
    <w:p w14:paraId="5B181DE7" w14:textId="77777777" w:rsidR="00A77EE0" w:rsidRPr="001A3C79" w:rsidRDefault="00A77EE0" w:rsidP="00A77EE0">
      <w:pPr>
        <w:spacing w:before="80" w:after="0" w:line="240" w:lineRule="auto"/>
        <w:rPr>
          <w:rFonts w:cs="Arial"/>
          <w:i/>
          <w:sz w:val="16"/>
        </w:rPr>
      </w:pPr>
      <w:r w:rsidRPr="001A3C79">
        <w:rPr>
          <w:rFonts w:cs="Arial"/>
          <w:i/>
          <w:sz w:val="16"/>
        </w:rPr>
        <w:t>Base: Australians aged 18 and over.</w:t>
      </w:r>
    </w:p>
    <w:p w14:paraId="4740113E" w14:textId="77777777" w:rsidR="00A77EE0" w:rsidRPr="001A3C79" w:rsidRDefault="00A77EE0" w:rsidP="00A77EE0">
      <w:pPr>
        <w:spacing w:before="80" w:after="0" w:line="240" w:lineRule="auto"/>
        <w:rPr>
          <w:rFonts w:cs="Arial"/>
          <w:i/>
          <w:sz w:val="16"/>
        </w:rPr>
      </w:pPr>
      <w:r w:rsidRPr="00995CCF">
        <w:rPr>
          <w:rFonts w:cs="Arial"/>
          <w:i/>
          <w:sz w:val="16"/>
        </w:rPr>
        <w:t xml:space="preserve">Note: </w:t>
      </w:r>
      <w:r w:rsidR="00995CCF" w:rsidRPr="00995CCF">
        <w:rPr>
          <w:rFonts w:cs="Arial"/>
          <w:i/>
          <w:sz w:val="16"/>
        </w:rPr>
        <w:t>Changes to Roy Morgan weighting methodology may have resulted in some differences to the 2014–15 data measures reported in the previous Communications report</w:t>
      </w:r>
      <w:r w:rsidR="000454AE" w:rsidRPr="00995CCF">
        <w:rPr>
          <w:rFonts w:cs="Arial"/>
          <w:i/>
          <w:sz w:val="16"/>
        </w:rPr>
        <w:t>.</w:t>
      </w:r>
    </w:p>
    <w:p w14:paraId="7FE247B1" w14:textId="77777777" w:rsidR="00A77EE0" w:rsidRPr="001A3C79" w:rsidRDefault="00A77EE0" w:rsidP="00A77EE0">
      <w:pPr>
        <w:spacing w:before="80" w:after="0" w:line="240" w:lineRule="auto"/>
        <w:rPr>
          <w:rFonts w:cs="Arial"/>
          <w:i/>
          <w:sz w:val="16"/>
        </w:rPr>
      </w:pPr>
      <w:r w:rsidRPr="001A3C79">
        <w:rPr>
          <w:rFonts w:cs="Arial"/>
          <w:i/>
          <w:sz w:val="16"/>
        </w:rPr>
        <w:t>Source: Roy Morgan Single Source</w:t>
      </w:r>
      <w:r w:rsidR="00C32EDA">
        <w:rPr>
          <w:rFonts w:cs="Arial"/>
          <w:i/>
          <w:sz w:val="16"/>
        </w:rPr>
        <w:t>.</w:t>
      </w:r>
    </w:p>
    <w:p w14:paraId="26E55F24" w14:textId="77777777" w:rsidR="00A77EE0" w:rsidRPr="001A3C79" w:rsidRDefault="00A77EE0" w:rsidP="00A869AE">
      <w:pPr>
        <w:pStyle w:val="ACMASpaceaftertable"/>
      </w:pPr>
    </w:p>
    <w:p w14:paraId="487FBC13" w14:textId="77777777" w:rsidR="00A77EE0" w:rsidRPr="001A3C79" w:rsidRDefault="00A77EE0" w:rsidP="00A77EE0">
      <w:r w:rsidRPr="001A3C79">
        <w:t xml:space="preserve">ACMA research undertaken in June 2016 found that 79 per cent of adult Australians had a radio at home. Seventy-three per cent of those surveyed had listened to FM radio and 37 per cent to AM radio in the last seven days. </w:t>
      </w:r>
    </w:p>
    <w:p w14:paraId="675EF021" w14:textId="77777777" w:rsidR="00A77EE0" w:rsidRPr="001A3C79" w:rsidRDefault="00A77EE0" w:rsidP="00A77EE0">
      <w:r w:rsidRPr="001A3C79">
        <w:t>The use of digital radio is increasing, with listening figures rising by 168,000 in Sydney, Melbourne, Brisbane, Perth and Adelaide during the first three survey periods of 2016. Some 26.3 per cent of Australians listened to radio via a DAB+ digital radio, taking the reach of digital radio to 3.5 million in metropolitan areas.</w:t>
      </w:r>
      <w:r w:rsidRPr="001A3C79">
        <w:rPr>
          <w:vertAlign w:val="superscript"/>
        </w:rPr>
        <w:endnoteReference w:id="138"/>
      </w:r>
    </w:p>
    <w:p w14:paraId="402F09EA" w14:textId="77777777" w:rsidR="00A77EE0" w:rsidRPr="001A3C79" w:rsidRDefault="00A77EE0" w:rsidP="00A77EE0">
      <w:r w:rsidRPr="001A3C79">
        <w:t>Fourteen per cent of adult Australians have listened to the radio online in the last seven days. Younger Australians were more likely to listen to radio online—17 per cent of those aged 18 to 34 had listened to radio online compared with only six per cent of those aged 65 and over.</w:t>
      </w:r>
      <w:r w:rsidRPr="001A3C79">
        <w:rPr>
          <w:vertAlign w:val="superscript"/>
        </w:rPr>
        <w:endnoteReference w:id="139"/>
      </w:r>
    </w:p>
    <w:p w14:paraId="679C2D5F" w14:textId="77777777" w:rsidR="00A77EE0" w:rsidRPr="001A3C79" w:rsidRDefault="00A77EE0" w:rsidP="00985976">
      <w:pPr>
        <w:pStyle w:val="Heading2"/>
        <w:numPr>
          <w:ilvl w:val="1"/>
          <w:numId w:val="12"/>
        </w:numPr>
        <w:ind w:hanging="792"/>
      </w:pPr>
      <w:bookmarkStart w:id="596" w:name="_Toc462899609"/>
      <w:bookmarkStart w:id="597" w:name="_Toc463529099"/>
      <w:bookmarkStart w:id="598" w:name="_Toc465842920"/>
      <w:r w:rsidRPr="001A3C79">
        <w:t>Audience engagement</w:t>
      </w:r>
      <w:bookmarkEnd w:id="596"/>
      <w:bookmarkEnd w:id="597"/>
      <w:bookmarkEnd w:id="598"/>
    </w:p>
    <w:p w14:paraId="6D858DC5" w14:textId="77777777" w:rsidR="00A77EE0" w:rsidRPr="00EA149D" w:rsidRDefault="00A77EE0" w:rsidP="00A16EEF">
      <w:pPr>
        <w:pStyle w:val="Heading3"/>
        <w:rPr>
          <w:b w:val="0"/>
        </w:rPr>
      </w:pPr>
      <w:bookmarkStart w:id="599" w:name="_Toc465842921"/>
      <w:r w:rsidRPr="00EA149D">
        <w:t>Time spent listening to radio</w:t>
      </w:r>
      <w:bookmarkEnd w:id="599"/>
    </w:p>
    <w:p w14:paraId="379CACDD" w14:textId="77777777" w:rsidR="00A77EE0" w:rsidRPr="001A3C79" w:rsidRDefault="00A77EE0" w:rsidP="00A77EE0">
      <w:r w:rsidRPr="001A3C79">
        <w:t>More time is spent listening to traditional radio (AM and FM) than to digital radio or the radio online. A majority of time spent listening to the radio (traditional, digital and online) occurs at home. People spend, on average, an hour longer listening to AM radio in the home than in the car, while the average time spent listening to FM radio at home is 2.6 hours, compared to 2.4 hours in the car.</w:t>
      </w:r>
      <w:r w:rsidRPr="001A3C79">
        <w:rPr>
          <w:vertAlign w:val="superscript"/>
        </w:rPr>
        <w:endnoteReference w:id="140"/>
      </w:r>
      <w:r w:rsidRPr="001A3C79">
        <w:t xml:space="preserve"> </w:t>
      </w:r>
    </w:p>
    <w:p w14:paraId="10A05C26" w14:textId="77777777" w:rsidR="00A77EE0" w:rsidRPr="001A3C79" w:rsidRDefault="00A77EE0" w:rsidP="00A77EE0">
      <w:r w:rsidRPr="001A3C79">
        <w:t xml:space="preserve">Older Australians (aged 65 and over) are the predominant radio audience, listening to an average of 14 hours per week, with six hours dedicated to listening to AM radio at home. Conversely, younger Australians are listening the least—six hours per week—with the most time spent listening to FM radio in the car (Figure 3.2). </w:t>
      </w:r>
    </w:p>
    <w:p w14:paraId="72FBEAAE" w14:textId="77777777" w:rsidR="00A77EE0" w:rsidRPr="001A3C79" w:rsidRDefault="00A77EE0" w:rsidP="00A869AE">
      <w:pPr>
        <w:keepNext/>
        <w:spacing w:after="160"/>
        <w:rPr>
          <w:b/>
          <w:bCs/>
          <w:color w:val="323232"/>
          <w:szCs w:val="20"/>
        </w:rPr>
      </w:pPr>
      <w:r w:rsidRPr="001A3C79">
        <w:rPr>
          <w:b/>
          <w:bCs/>
          <w:color w:val="323232"/>
          <w:szCs w:val="20"/>
        </w:rPr>
        <w:lastRenderedPageBreak/>
        <w:t>Figure 3.2</w:t>
      </w:r>
      <w:r w:rsidRPr="001A3C79">
        <w:rPr>
          <w:b/>
          <w:bCs/>
          <w:color w:val="323232"/>
          <w:szCs w:val="20"/>
        </w:rPr>
        <w:tab/>
        <w:t>Time spent listening to the radio (AM, FM, DAB+ or online) in the last seven days</w:t>
      </w:r>
    </w:p>
    <w:p w14:paraId="4566FCFD" w14:textId="77777777" w:rsidR="00A77EE0" w:rsidRPr="001A3C79" w:rsidRDefault="005006A1" w:rsidP="00A869AE">
      <w:pPr>
        <w:spacing w:after="0"/>
        <w:rPr>
          <w:b/>
        </w:rPr>
      </w:pPr>
      <w:r>
        <w:rPr>
          <w:b/>
          <w:noProof/>
        </w:rPr>
        <w:drawing>
          <wp:inline distT="0" distB="0" distL="0" distR="0" wp14:anchorId="5D9D4EC2" wp14:editId="461FD0E6">
            <wp:extent cx="5858523" cy="4069715"/>
            <wp:effectExtent l="0" t="0" r="8890" b="6985"/>
            <wp:docPr id="94" name="Picture 94" descr="Data for Figure 3.2 is in the .ods file for Chapter 3 on the landing page ‘Communications report 2015-16’, available from the ACMA website." title="Figure 3.2  Time spent listening to the radio (AM, FM, DAB+ or online) in the last seve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gure 3.2_Figure 3.2.png"/>
                    <pic:cNvPicPr/>
                  </pic:nvPicPr>
                  <pic:blipFill rotWithShape="1">
                    <a:blip r:embed="rId97">
                      <a:extLst>
                        <a:ext uri="{28A0092B-C50C-407E-A947-70E740481C1C}">
                          <a14:useLocalDpi xmlns:a14="http://schemas.microsoft.com/office/drawing/2010/main" val="0"/>
                        </a:ext>
                      </a:extLst>
                    </a:blip>
                    <a:srcRect l="1379" t="666"/>
                    <a:stretch/>
                  </pic:blipFill>
                  <pic:spPr bwMode="auto">
                    <a:xfrm>
                      <a:off x="0" y="0"/>
                      <a:ext cx="5858537" cy="4069725"/>
                    </a:xfrm>
                    <a:prstGeom prst="rect">
                      <a:avLst/>
                    </a:prstGeom>
                    <a:ln>
                      <a:noFill/>
                    </a:ln>
                    <a:extLst>
                      <a:ext uri="{53640926-AAD7-44D8-BBD7-CCE9431645EC}">
                        <a14:shadowObscured xmlns:a14="http://schemas.microsoft.com/office/drawing/2010/main"/>
                      </a:ext>
                    </a:extLst>
                  </pic:spPr>
                </pic:pic>
              </a:graphicData>
            </a:graphic>
          </wp:inline>
        </w:drawing>
      </w:r>
      <w:r w:rsidR="00A77EE0" w:rsidRPr="001A3C79" w:rsidDel="00850ED9">
        <w:rPr>
          <w:b/>
        </w:rPr>
        <w:t xml:space="preserve"> </w:t>
      </w:r>
    </w:p>
    <w:p w14:paraId="1B043F6B" w14:textId="77777777" w:rsidR="00A77EE0" w:rsidRPr="009D54DB" w:rsidRDefault="00A77EE0" w:rsidP="00A77EE0">
      <w:pPr>
        <w:spacing w:before="80" w:after="0" w:line="240" w:lineRule="auto"/>
        <w:rPr>
          <w:rFonts w:cs="Arial"/>
          <w:i/>
          <w:sz w:val="16"/>
        </w:rPr>
      </w:pPr>
      <w:r w:rsidRPr="009C1BE9">
        <w:rPr>
          <w:rFonts w:cs="Arial"/>
          <w:i/>
          <w:sz w:val="16"/>
        </w:rPr>
        <w:t>Base: Australians aged 18 and over who have listened to the radio in the last seven days (n=1,717).</w:t>
      </w:r>
    </w:p>
    <w:p w14:paraId="0D01A69E" w14:textId="77777777" w:rsidR="00E04D74" w:rsidRDefault="00E04D74" w:rsidP="00A77EE0">
      <w:pPr>
        <w:spacing w:before="80" w:after="0" w:line="240" w:lineRule="auto"/>
        <w:rPr>
          <w:rFonts w:cs="Arial"/>
          <w:i/>
          <w:sz w:val="16"/>
        </w:rPr>
      </w:pPr>
      <w:r w:rsidRPr="009C1BE9">
        <w:rPr>
          <w:rFonts w:cs="Arial"/>
          <w:i/>
          <w:sz w:val="16"/>
        </w:rPr>
        <w:t>Note: Numbers may not add up to category totals due to rounding.</w:t>
      </w:r>
    </w:p>
    <w:p w14:paraId="1361BE76"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2016.</w:t>
      </w:r>
    </w:p>
    <w:p w14:paraId="27D47E26" w14:textId="77777777" w:rsidR="00A77EE0" w:rsidRPr="001A3C79" w:rsidRDefault="00A77EE0" w:rsidP="00A77EE0">
      <w:pPr>
        <w:rPr>
          <w:rFonts w:cs="Arial"/>
        </w:rPr>
      </w:pPr>
    </w:p>
    <w:p w14:paraId="1DF84402" w14:textId="77777777" w:rsidR="00A77EE0" w:rsidRPr="00EA149D" w:rsidRDefault="00715603" w:rsidP="00A16EEF">
      <w:pPr>
        <w:pStyle w:val="Heading3"/>
        <w:rPr>
          <w:b w:val="0"/>
        </w:rPr>
      </w:pPr>
      <w:bookmarkStart w:id="600" w:name="_Toc465842922"/>
      <w:r>
        <w:t>M</w:t>
      </w:r>
      <w:r w:rsidR="00A77EE0" w:rsidRPr="00EA149D">
        <w:t>usic streaming services</w:t>
      </w:r>
      <w:bookmarkEnd w:id="600"/>
    </w:p>
    <w:p w14:paraId="5855D026" w14:textId="77777777" w:rsidR="00A77EE0" w:rsidRPr="001A3C79" w:rsidRDefault="00A77EE0" w:rsidP="00A77EE0">
      <w:r w:rsidRPr="001A3C79">
        <w:t>Nineteen per cent of adult Australians had used a streaming music service such as Spotify, Pandora or iTunes radio in the last seven days. Spotify is the most used music streaming service, with 58 per cent of respondents using the service. The average time spent by Spotify users is 8.1 hours, with a total average time spent streaming online music of 6.6 hours (Figure 3.3)</w:t>
      </w:r>
      <w:r w:rsidR="006C5C3B">
        <w:t>.</w:t>
      </w:r>
      <w:r w:rsidR="00DD6238" w:rsidRPr="001A3C79">
        <w:rPr>
          <w:vertAlign w:val="superscript"/>
        </w:rPr>
        <w:endnoteReference w:id="141"/>
      </w:r>
    </w:p>
    <w:p w14:paraId="6F1F3052" w14:textId="77777777" w:rsidR="00A77EE0" w:rsidRPr="001A3C79" w:rsidRDefault="00A77EE0" w:rsidP="00A869AE">
      <w:pPr>
        <w:keepNext/>
        <w:spacing w:after="160"/>
        <w:rPr>
          <w:b/>
          <w:bCs/>
          <w:color w:val="323232"/>
          <w:szCs w:val="20"/>
        </w:rPr>
      </w:pPr>
      <w:r w:rsidRPr="001A3C79">
        <w:rPr>
          <w:b/>
          <w:bCs/>
          <w:color w:val="323232"/>
          <w:szCs w:val="20"/>
        </w:rPr>
        <w:lastRenderedPageBreak/>
        <w:t>Figure 3.3</w:t>
      </w:r>
      <w:r w:rsidRPr="001A3C79">
        <w:rPr>
          <w:b/>
          <w:bCs/>
          <w:color w:val="323232"/>
          <w:szCs w:val="20"/>
        </w:rPr>
        <w:tab/>
        <w:t>Music streaming services used in the last seven days (percentage)</w:t>
      </w:r>
    </w:p>
    <w:p w14:paraId="1A8DB6EC" w14:textId="77777777" w:rsidR="00A77EE0" w:rsidRPr="001A3C79" w:rsidRDefault="00EF1AC4" w:rsidP="00A869AE">
      <w:pPr>
        <w:spacing w:after="0"/>
        <w:rPr>
          <w:b/>
        </w:rPr>
      </w:pPr>
      <w:r>
        <w:rPr>
          <w:b/>
          <w:noProof/>
        </w:rPr>
        <w:drawing>
          <wp:inline distT="0" distB="0" distL="0" distR="0" wp14:anchorId="07ECA9AB" wp14:editId="1D35CAE2">
            <wp:extent cx="4983480" cy="2672062"/>
            <wp:effectExtent l="0" t="0" r="7620" b="0"/>
            <wp:docPr id="64" name="Picture 64" descr="Data for Figure 3.3 is in the .ods file for Chapter 3 on the landing page ‘Communications report 2015-16’, available from the ACMA website." title="Figure 3.3  Music streaming services used in the last seven days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 3.3_Figure 3.3.png"/>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4985594" cy="2673196"/>
                    </a:xfrm>
                    <a:prstGeom prst="rect">
                      <a:avLst/>
                    </a:prstGeom>
                    <a:ln>
                      <a:noFill/>
                    </a:ln>
                    <a:extLst>
                      <a:ext uri="{53640926-AAD7-44D8-BBD7-CCE9431645EC}">
                        <a14:shadowObscured xmlns:a14="http://schemas.microsoft.com/office/drawing/2010/main"/>
                      </a:ext>
                    </a:extLst>
                  </pic:spPr>
                </pic:pic>
              </a:graphicData>
            </a:graphic>
          </wp:inline>
        </w:drawing>
      </w:r>
      <w:r w:rsidR="00A77EE0" w:rsidRPr="001A3C79" w:rsidDel="00850ED9">
        <w:rPr>
          <w:b/>
        </w:rPr>
        <w:t xml:space="preserve"> </w:t>
      </w:r>
    </w:p>
    <w:p w14:paraId="49AF3C66" w14:textId="77777777" w:rsidR="00A77EE0" w:rsidRPr="001A3C79" w:rsidRDefault="00A77EE0" w:rsidP="00A77EE0">
      <w:pPr>
        <w:spacing w:before="80" w:after="0" w:line="240" w:lineRule="auto"/>
        <w:rPr>
          <w:rFonts w:cs="Arial"/>
          <w:i/>
          <w:sz w:val="16"/>
        </w:rPr>
      </w:pPr>
      <w:bookmarkStart w:id="601" w:name="_Toc433790352"/>
      <w:r w:rsidRPr="001A3C79">
        <w:rPr>
          <w:rFonts w:cs="Arial"/>
          <w:i/>
          <w:sz w:val="16"/>
        </w:rPr>
        <w:t xml:space="preserve">Base: Australians aged 18 and over who used streaming services in the last seven days (N=323). </w:t>
      </w:r>
    </w:p>
    <w:p w14:paraId="62ACE587"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2016.</w:t>
      </w:r>
    </w:p>
    <w:p w14:paraId="1DEE4908" w14:textId="77777777" w:rsidR="00A77EE0" w:rsidRPr="001A3C79" w:rsidRDefault="00A77EE0" w:rsidP="00A869AE">
      <w:pPr>
        <w:pStyle w:val="ACMASpaceaftertable"/>
      </w:pPr>
    </w:p>
    <w:p w14:paraId="59747B57" w14:textId="77777777" w:rsidR="00A77EE0" w:rsidRPr="001A3C79" w:rsidRDefault="00A77EE0" w:rsidP="00A77EE0">
      <w:pPr>
        <w:rPr>
          <w:lang w:val="en-US"/>
        </w:rPr>
      </w:pPr>
      <w:r w:rsidRPr="001A3C79">
        <w:rPr>
          <w:lang w:val="en-US"/>
        </w:rPr>
        <w:t xml:space="preserve">ACMA research shows that nine out of 10 Australians were satisfied with the technical quality of online audio and radio content, with more than half being very satisfied. Nevertheless, 28 per cent of respondents experienced technical problems in the last seven days. Many issues would appear to be easily remedied, with only slightly lower levels of satisfaction (73 per cent) for those who </w:t>
      </w:r>
      <w:r w:rsidR="001243B9">
        <w:rPr>
          <w:lang w:val="en-US"/>
        </w:rPr>
        <w:t xml:space="preserve">had </w:t>
      </w:r>
      <w:r w:rsidRPr="001A3C79">
        <w:rPr>
          <w:lang w:val="en-US"/>
        </w:rPr>
        <w:t>experienced three or more technical issues in the last seven days.</w:t>
      </w:r>
      <w:r w:rsidRPr="001A3C79">
        <w:rPr>
          <w:vertAlign w:val="superscript"/>
          <w:lang w:val="en-US"/>
        </w:rPr>
        <w:endnoteReference w:id="142"/>
      </w:r>
    </w:p>
    <w:p w14:paraId="64ACA4BA" w14:textId="77777777" w:rsidR="00A77EE0" w:rsidRPr="00EA149D" w:rsidRDefault="00A77EE0" w:rsidP="00A16EEF">
      <w:pPr>
        <w:pStyle w:val="Heading3"/>
        <w:rPr>
          <w:b w:val="0"/>
        </w:rPr>
      </w:pPr>
      <w:bookmarkStart w:id="602" w:name="_Toc465842923"/>
      <w:r w:rsidRPr="00EA149D">
        <w:t>Expanding audio measurement</w:t>
      </w:r>
      <w:bookmarkEnd w:id="602"/>
    </w:p>
    <w:p w14:paraId="4E385188" w14:textId="77777777" w:rsidR="00A77EE0" w:rsidRPr="001A3C79" w:rsidRDefault="00A77EE0" w:rsidP="00A77EE0">
      <w:r w:rsidRPr="001A3C79">
        <w:t>Commercial Radio Australia is expanding surveys beyond metropolitan areas to monitor radio audiences in regional areas. The surveys, conducted by Xtra Research, will help businesses and government bodies to reach audiences by providing current information on the audience reach and listening habits of regional audiences, as some regional markets have not been surveyed in over 10 years.</w:t>
      </w:r>
      <w:r w:rsidRPr="001A3C79">
        <w:rPr>
          <w:vertAlign w:val="superscript"/>
        </w:rPr>
        <w:endnoteReference w:id="143"/>
      </w:r>
    </w:p>
    <w:p w14:paraId="619C9FB4" w14:textId="77777777" w:rsidR="00A77EE0" w:rsidRPr="001A3C79" w:rsidRDefault="00A77EE0" w:rsidP="00985976">
      <w:pPr>
        <w:pStyle w:val="Heading2"/>
        <w:numPr>
          <w:ilvl w:val="1"/>
          <w:numId w:val="12"/>
        </w:numPr>
        <w:ind w:hanging="792"/>
      </w:pPr>
      <w:bookmarkStart w:id="603" w:name="_Toc462899610"/>
      <w:bookmarkStart w:id="604" w:name="_Toc463529100"/>
      <w:bookmarkStart w:id="605" w:name="_Toc465842924"/>
      <w:r w:rsidRPr="001A3C79">
        <w:t>Video content</w:t>
      </w:r>
      <w:bookmarkEnd w:id="601"/>
      <w:bookmarkEnd w:id="603"/>
      <w:bookmarkEnd w:id="604"/>
      <w:bookmarkEnd w:id="605"/>
    </w:p>
    <w:p w14:paraId="50A7994D" w14:textId="77777777" w:rsidR="00A77EE0" w:rsidRPr="00EA149D" w:rsidRDefault="00A77EE0" w:rsidP="00A16EEF">
      <w:pPr>
        <w:pStyle w:val="Heading3"/>
        <w:rPr>
          <w:b w:val="0"/>
        </w:rPr>
      </w:pPr>
      <w:bookmarkStart w:id="606" w:name="_Toc462899611"/>
      <w:bookmarkStart w:id="607" w:name="_Toc463529101"/>
      <w:bookmarkStart w:id="608" w:name="_Toc465842925"/>
      <w:r w:rsidRPr="00EA149D">
        <w:t xml:space="preserve">Industry </w:t>
      </w:r>
      <w:r w:rsidRPr="00A16EEF">
        <w:t>developments</w:t>
      </w:r>
      <w:bookmarkEnd w:id="606"/>
      <w:bookmarkEnd w:id="607"/>
      <w:bookmarkEnd w:id="608"/>
    </w:p>
    <w:p w14:paraId="48B101CE" w14:textId="77777777" w:rsidR="00A77EE0" w:rsidRPr="001A3C79" w:rsidRDefault="00A77EE0" w:rsidP="00A77EE0">
      <w:r w:rsidRPr="001A3C79">
        <w:t>Developments from traditional broadcasters, communications providers, online content providers and technology companies are providing more content via multiple services and devices to reflect the changing viewing habits of consumers.</w:t>
      </w:r>
      <w:r w:rsidRPr="001A3C79">
        <w:rPr>
          <w:vertAlign w:val="superscript"/>
        </w:rPr>
        <w:endnoteReference w:id="144"/>
      </w:r>
      <w:r w:rsidRPr="001A3C79">
        <w:t xml:space="preserve"> Viewers are now able to access more video content than ever before through a range of web-based services, applications and devices.</w:t>
      </w:r>
    </w:p>
    <w:p w14:paraId="499F05B7" w14:textId="77777777" w:rsidR="00A77EE0" w:rsidRPr="00EA149D" w:rsidRDefault="00A77EE0" w:rsidP="00573B26">
      <w:pPr>
        <w:pStyle w:val="BodySubHeader"/>
      </w:pPr>
      <w:r w:rsidRPr="00EA149D">
        <w:t>Traditional broadcasters providing new services</w:t>
      </w:r>
    </w:p>
    <w:p w14:paraId="74AB1B10" w14:textId="77777777" w:rsidR="00A77EE0" w:rsidRPr="001A3C79" w:rsidRDefault="00A77EE0" w:rsidP="00A77EE0">
      <w:r w:rsidRPr="001A3C79">
        <w:t>Traditional broadcasters are expanding the platforms on which their content can be accessed. In October 2015, Seven Network launched 7live to replace the previous 7Now catch-up service, becoming the first FTA broadcaster to provide live streaming of their main channel.</w:t>
      </w:r>
      <w:r w:rsidRPr="001A3C79">
        <w:rPr>
          <w:vertAlign w:val="superscript"/>
        </w:rPr>
        <w:endnoteReference w:id="145"/>
      </w:r>
      <w:r w:rsidRPr="001A3C79">
        <w:t xml:space="preserve"> At the beginning of 2016, the Nine Network also launched a new catch-up TV and live streaming service, 9Now, while the Ten Network rolled out live streaming.</w:t>
      </w:r>
      <w:r w:rsidRPr="001A3C79">
        <w:rPr>
          <w:vertAlign w:val="superscript"/>
        </w:rPr>
        <w:endnoteReference w:id="146"/>
      </w:r>
      <w:r w:rsidRPr="001A3C79">
        <w:t xml:space="preserve"> </w:t>
      </w:r>
    </w:p>
    <w:p w14:paraId="633A2FFE" w14:textId="77777777" w:rsidR="00A77EE0" w:rsidRPr="001A3C79" w:rsidRDefault="00A77EE0" w:rsidP="00A77EE0">
      <w:r w:rsidRPr="001A3C79">
        <w:t>In 2015</w:t>
      </w:r>
      <w:r w:rsidRPr="001A3C79">
        <w:rPr>
          <w:rFonts w:cs="Arial"/>
        </w:rPr>
        <w:t>–</w:t>
      </w:r>
      <w:r w:rsidRPr="001A3C79">
        <w:t>16, three new digital channels were launched. In November 2015, the Nine Network launched its third digital channel, 9Life, a lifestyle channel, and SBS launched the Food Network. Seven Network launched 7flix, a new film and entertainment digital channel, in February 2016.</w:t>
      </w:r>
      <w:r w:rsidRPr="001A3C79">
        <w:rPr>
          <w:vertAlign w:val="superscript"/>
        </w:rPr>
        <w:endnoteReference w:id="147"/>
      </w:r>
      <w:r w:rsidRPr="001A3C79">
        <w:t xml:space="preserve"> </w:t>
      </w:r>
    </w:p>
    <w:p w14:paraId="4A5014CA" w14:textId="77777777" w:rsidR="00A77EE0" w:rsidRPr="001A3C79" w:rsidRDefault="00A77EE0" w:rsidP="00A77EE0">
      <w:r w:rsidRPr="001A3C79">
        <w:t xml:space="preserve">In November 2015, the Nine Network restacked its digital channels to give audiences access to its main channel in HD. The Seven Network followed in May 2016, </w:t>
      </w:r>
      <w:r w:rsidR="00E62F1C">
        <w:t>with the main channel</w:t>
      </w:r>
      <w:r w:rsidRPr="001A3C79">
        <w:t xml:space="preserve"> simulcast in HD in </w:t>
      </w:r>
      <w:r w:rsidRPr="001A3C79">
        <w:lastRenderedPageBreak/>
        <w:t>Melbourne and Adelaide to provide HD coverage of AFL matches. In Sydney, Brisbane and Perth, 7Mate remain</w:t>
      </w:r>
      <w:r w:rsidR="00E62F1C">
        <w:t>ed as</w:t>
      </w:r>
      <w:r w:rsidRPr="001A3C79">
        <w:t xml:space="preserve"> the HD channel.</w:t>
      </w:r>
      <w:r w:rsidRPr="001A3C79">
        <w:rPr>
          <w:vertAlign w:val="superscript"/>
        </w:rPr>
        <w:endnoteReference w:id="148"/>
      </w:r>
    </w:p>
    <w:p w14:paraId="7D3A6A56" w14:textId="77777777" w:rsidR="00A77EE0" w:rsidRPr="001A3C79" w:rsidRDefault="00A77EE0" w:rsidP="00A77EE0">
      <w:r w:rsidRPr="001A3C79">
        <w:t>The Seven Network’s 2016 Rio Olympics coverage could be seen on all three of its digital channels, via a catch-up service and on a dedicated mobile app with 36 different streams available and the option to upgrade to a premium paid subscription for $19.99, giving unlimited access to more than 3,000 hours of HD coverage.</w:t>
      </w:r>
      <w:r w:rsidRPr="001A3C79">
        <w:rPr>
          <w:vertAlign w:val="superscript"/>
        </w:rPr>
        <w:endnoteReference w:id="149"/>
      </w:r>
      <w:r w:rsidRPr="001A3C79">
        <w:t xml:space="preserve"> </w:t>
      </w:r>
    </w:p>
    <w:p w14:paraId="450E6718" w14:textId="77777777" w:rsidR="00A77EE0" w:rsidRPr="00EA149D" w:rsidRDefault="00A77EE0" w:rsidP="00573B26">
      <w:pPr>
        <w:pStyle w:val="BodySubHeader"/>
      </w:pPr>
      <w:r w:rsidRPr="00EA149D">
        <w:t>Changes in regional television</w:t>
      </w:r>
    </w:p>
    <w:p w14:paraId="5495D551" w14:textId="77777777" w:rsidR="00A77EE0" w:rsidRPr="001A3C79" w:rsidRDefault="00A77EE0" w:rsidP="00A77EE0">
      <w:r w:rsidRPr="001A3C79">
        <w:t>From 1 July 2016, both the Nine Network and Network Ten entered into new affiliation deals with regional networks. Nine signed a five-year affiliation deal with Southern Cross Ten, ending its 30-year affiliation with the WIN Network. In the new agreement, Southern Cross will pay Nine 50 per cent of its ad revenue to broadcast Nine programming into regional areas of Queensland, southern New South Wales, the Australian Capital Territory, Victoria, Tasmania, parts of South Australia, regional Western Australia</w:t>
      </w:r>
      <w:r w:rsidR="00200325">
        <w:t>,</w:t>
      </w:r>
      <w:r>
        <w:t xml:space="preserve"> </w:t>
      </w:r>
      <w:r w:rsidRPr="009C1BE9">
        <w:t>and solus markets</w:t>
      </w:r>
      <w:r w:rsidRPr="001A3C79">
        <w:t xml:space="preserve"> Mildura in Victoria and Griffith in New South Wales. Network Ten and WIN Network have signed a five-year agreement that will see WIN pay approximately 36 per cent of its revenue to Ten with increases over the duration.</w:t>
      </w:r>
      <w:r w:rsidRPr="001A3C79">
        <w:rPr>
          <w:vertAlign w:val="superscript"/>
        </w:rPr>
        <w:endnoteReference w:id="150"/>
      </w:r>
    </w:p>
    <w:p w14:paraId="132556DA" w14:textId="77777777" w:rsidR="00A77EE0" w:rsidRPr="00EA149D" w:rsidRDefault="00A77EE0" w:rsidP="00573B26">
      <w:pPr>
        <w:pStyle w:val="BodySubHeader"/>
      </w:pPr>
      <w:r w:rsidRPr="00EA149D">
        <w:t>SVOD and streaming devices</w:t>
      </w:r>
    </w:p>
    <w:p w14:paraId="1A81952E" w14:textId="77777777" w:rsidR="00A77EE0" w:rsidRPr="001A3C79" w:rsidRDefault="00A77EE0" w:rsidP="00A77EE0">
      <w:r w:rsidRPr="001A3C79">
        <w:t>SVOD and streaming service offerings continue to expand but other online video-on-demand services ceased in 2015–16.</w:t>
      </w:r>
    </w:p>
    <w:p w14:paraId="7844D116" w14:textId="77777777" w:rsidR="00A77EE0" w:rsidRPr="001A3C79" w:rsidRDefault="00A77EE0" w:rsidP="00A77EE0">
      <w:r w:rsidRPr="001A3C79">
        <w:t>In March 2016, NBC Universal-owned reality television SVOD service Hayu was launched in Australia, with a subscription fee of $5.99 per month. In June 2016, Foxtel partnered with NBC Universal to provide the service free for Foxtel subscribers who have the E Entertainment channel in their subscription package.</w:t>
      </w:r>
      <w:r w:rsidRPr="001A3C79">
        <w:rPr>
          <w:vertAlign w:val="superscript"/>
        </w:rPr>
        <w:endnoteReference w:id="151"/>
      </w:r>
      <w:r w:rsidRPr="001A3C79">
        <w:t xml:space="preserve"> Hayu is the only new SVOD service to launch in Australia since the arrival of Netflix, Stan and Presto in 2015. </w:t>
      </w:r>
    </w:p>
    <w:p w14:paraId="03162EDC" w14:textId="77777777" w:rsidR="00A77EE0" w:rsidRPr="001A3C79" w:rsidRDefault="00A77EE0" w:rsidP="00A77EE0">
      <w:r w:rsidRPr="001A3C79">
        <w:t>While the SVOD services launched in 2015 have experienced a strong take-up from Australian households, other Australian online video-on-demand services have ceased operations. Quickflix went into administration in early 2016, following on from the closure of locally owned on-demand service EzyFlix in August 2015.</w:t>
      </w:r>
      <w:r w:rsidRPr="001A3C79">
        <w:rPr>
          <w:vertAlign w:val="superscript"/>
        </w:rPr>
        <w:endnoteReference w:id="152"/>
      </w:r>
      <w:r w:rsidRPr="001A3C79">
        <w:t xml:space="preserve"> </w:t>
      </w:r>
    </w:p>
    <w:p w14:paraId="051056C3" w14:textId="77777777" w:rsidR="00A77EE0" w:rsidRPr="001A3C79" w:rsidRDefault="00A77EE0" w:rsidP="00A77EE0">
      <w:pPr>
        <w:rPr>
          <w:rFonts w:ascii="Times New Roman" w:hAnsi="Times New Roman"/>
        </w:rPr>
      </w:pPr>
      <w:r w:rsidRPr="001A3C79">
        <w:rPr>
          <w:rFonts w:cs="Arial"/>
          <w:szCs w:val="20"/>
        </w:rPr>
        <w:t>In addition, Foxtel announced in October 2016 the closure of local SVOD service Presto by January 2017, after acquiring joint venture partner Seven West Media’s stake. The closure was announced in conjunction with a remodel of their Foxtel Play subscription packages, with prices starting from $10 a month.</w:t>
      </w:r>
      <w:r w:rsidRPr="001A3C79">
        <w:rPr>
          <w:rFonts w:cs="Arial"/>
          <w:szCs w:val="20"/>
          <w:vertAlign w:val="superscript"/>
        </w:rPr>
        <w:endnoteReference w:id="153"/>
      </w:r>
    </w:p>
    <w:p w14:paraId="5EDD2A17" w14:textId="77777777" w:rsidR="00A77EE0" w:rsidRPr="001A3C79" w:rsidRDefault="00A77EE0" w:rsidP="00A77EE0">
      <w:r w:rsidRPr="001A3C79">
        <w:t>In contrast, Australian internet protocol television (IPTV) providers are expanding their services. Fetch TV launched a new streaming device, the Mini, on 4 July 2016 to accompany the Mighty service currently available through the Optus network. The Mini offers a budget alternative to the Mighty, while still providing access to streaming services Netflix, Stan, movie purchase/rentals, catch-up television and the recently added Presto, Spike and Comedy Central.</w:t>
      </w:r>
      <w:r w:rsidRPr="001A3C79">
        <w:rPr>
          <w:vertAlign w:val="superscript"/>
        </w:rPr>
        <w:endnoteReference w:id="154"/>
      </w:r>
      <w:r w:rsidRPr="001A3C79">
        <w:rPr>
          <w:vertAlign w:val="superscript"/>
        </w:rPr>
        <w:t>,</w:t>
      </w:r>
      <w:r w:rsidR="00EA1350">
        <w:rPr>
          <w:vertAlign w:val="superscript"/>
        </w:rPr>
        <w:t xml:space="preserve"> </w:t>
      </w:r>
      <w:r w:rsidRPr="001A3C79">
        <w:rPr>
          <w:vertAlign w:val="superscript"/>
        </w:rPr>
        <w:endnoteReference w:id="155"/>
      </w:r>
      <w:r w:rsidRPr="001A3C79">
        <w:t xml:space="preserve"> </w:t>
      </w:r>
    </w:p>
    <w:p w14:paraId="65A4AE7A" w14:textId="77777777" w:rsidR="00A77EE0" w:rsidRPr="00EA149D" w:rsidRDefault="00A77EE0" w:rsidP="00A16EEF">
      <w:pPr>
        <w:pStyle w:val="Heading3"/>
        <w:rPr>
          <w:b w:val="0"/>
        </w:rPr>
      </w:pPr>
      <w:bookmarkStart w:id="609" w:name="_Toc465842926"/>
      <w:r w:rsidRPr="00EA149D">
        <w:t xml:space="preserve">Developments from </w:t>
      </w:r>
      <w:r w:rsidRPr="00A16EEF">
        <w:t>content</w:t>
      </w:r>
      <w:r w:rsidRPr="00EA149D">
        <w:t xml:space="preserve"> providers</w:t>
      </w:r>
      <w:bookmarkEnd w:id="609"/>
    </w:p>
    <w:p w14:paraId="79C67215" w14:textId="77777777" w:rsidR="00A77EE0" w:rsidRPr="001A3C79" w:rsidRDefault="00A77EE0" w:rsidP="00A77EE0">
      <w:r w:rsidRPr="001A3C79">
        <w:t>Technology and telecommunications providers are developing new ways for consumers to access the vast amount of streaming services and online video content. Communications providers like Optus and Telstra are extending the content services they offer. Optus launched the Optus Sport app on 4 July 2016, giving consumers access to the English Premier League, with 10 channels streaming scheduled programming and live action. The service is also available through the ‘Yes TV’ app, via Fetch TV and Apple TV.</w:t>
      </w:r>
      <w:r w:rsidRPr="001A3C79">
        <w:rPr>
          <w:vertAlign w:val="superscript"/>
        </w:rPr>
        <w:endnoteReference w:id="156"/>
      </w:r>
      <w:r w:rsidRPr="001A3C79">
        <w:t xml:space="preserve"> In August 2016, Telstra launched a new mobile app, Telstra TV</w:t>
      </w:r>
      <w:r w:rsidR="0087222B" w:rsidRPr="001A3C79">
        <w:t>+, which</w:t>
      </w:r>
      <w:r w:rsidRPr="001A3C79">
        <w:t xml:space="preserve"> provides access across Stan, Presto, BigPond Movies, Apple Music and catch-up services via a single search-and-launch point, while also allowing customers to use their mobile devices as remotes for the Telstra TV set-top-box.</w:t>
      </w:r>
      <w:r w:rsidRPr="001A3C79">
        <w:rPr>
          <w:vertAlign w:val="superscript"/>
        </w:rPr>
        <w:endnoteReference w:id="157"/>
      </w:r>
    </w:p>
    <w:p w14:paraId="4D1381D2" w14:textId="77777777" w:rsidR="00A77EE0" w:rsidRPr="001A3C79" w:rsidRDefault="00A77EE0" w:rsidP="00D770DE">
      <w:pPr>
        <w:keepLines/>
      </w:pPr>
      <w:r w:rsidRPr="001A3C79">
        <w:lastRenderedPageBreak/>
        <w:t>In addition, a number of devices, such as Apple TV, Google’s Chromecast, Fetch TV and Telstra’s TV Product Roku and Roku 2 offer alternative ways to watch online content on a television set that is not itself internet-connected. LG’s latest generation of smart televisions will come with an additional 50 internet streaming channels, made available through a dedicated app with an integrated TV guide that allows users to stream content in a more traditional linear-like fashion, while still offering content on demand.</w:t>
      </w:r>
      <w:r w:rsidRPr="001A3C79">
        <w:rPr>
          <w:vertAlign w:val="superscript"/>
        </w:rPr>
        <w:endnoteReference w:id="158"/>
      </w:r>
    </w:p>
    <w:p w14:paraId="0068283D" w14:textId="77777777" w:rsidR="00A77EE0" w:rsidRPr="00EA149D" w:rsidRDefault="00A77EE0" w:rsidP="00A16EEF">
      <w:pPr>
        <w:pStyle w:val="Heading3"/>
        <w:rPr>
          <w:b w:val="0"/>
        </w:rPr>
      </w:pPr>
      <w:bookmarkStart w:id="610" w:name="_Toc463529102"/>
      <w:bookmarkStart w:id="611" w:name="_Toc465842927"/>
      <w:r w:rsidRPr="00EA149D">
        <w:t>Developments in audience measurement</w:t>
      </w:r>
      <w:bookmarkEnd w:id="610"/>
      <w:bookmarkEnd w:id="611"/>
    </w:p>
    <w:p w14:paraId="36DC628F" w14:textId="77777777" w:rsidR="00A77EE0" w:rsidRPr="001A3C79" w:rsidRDefault="00A77EE0" w:rsidP="00A77EE0">
      <w:r w:rsidRPr="001A3C79">
        <w:t xml:space="preserve">Because of the changes in the way content is supplied and viewed by Australians, new measures of audience measurement are being developed. At the beginning of 2016, OzTAM began reporting on </w:t>
      </w:r>
      <w:r w:rsidRPr="001A3C79">
        <w:br/>
        <w:t>8</w:t>
      </w:r>
      <w:r w:rsidRPr="001A3C79">
        <w:rPr>
          <w:rFonts w:cs="Arial"/>
        </w:rPr>
        <w:t>–</w:t>
      </w:r>
      <w:r w:rsidRPr="001A3C79">
        <w:t>28</w:t>
      </w:r>
      <w:r w:rsidRPr="001A3C79">
        <w:noBreakHyphen/>
        <w:t>day playback on television sets, and launched the Video Player Measurement (VPM) report, measuring for the first time television playback ratings across a 28-day period and the number of devices used to stream broadcasters’ online catch-up video players. The first-quarter results showed that around 2.5 to three per cent was added to program ratings through 8</w:t>
      </w:r>
      <w:r w:rsidRPr="001A3C79">
        <w:rPr>
          <w:rFonts w:cs="Arial"/>
        </w:rPr>
        <w:t>–</w:t>
      </w:r>
      <w:r w:rsidR="00EA1350">
        <w:t>28-</w:t>
      </w:r>
      <w:r w:rsidRPr="001A3C79">
        <w:t>day playback and VPN.</w:t>
      </w:r>
      <w:r w:rsidRPr="001A3C79">
        <w:rPr>
          <w:vertAlign w:val="superscript"/>
        </w:rPr>
        <w:endnoteReference w:id="159"/>
      </w:r>
      <w:r w:rsidRPr="001A3C79">
        <w:t xml:space="preserve"> </w:t>
      </w:r>
    </w:p>
    <w:p w14:paraId="3FBDDCD8" w14:textId="77777777" w:rsidR="00A77EE0" w:rsidRPr="001A3C79" w:rsidRDefault="00A77EE0" w:rsidP="00A77EE0">
      <w:r w:rsidRPr="001A3C79">
        <w:t xml:space="preserve">In July 2016, OzTAM and RegionalTAM announced they will increase the number of homes on their television audience measurement panels by 50 per cent by the start of 2017, making Australia the world’s largest per capita people-metered market. With the changes in audience viewing habits, the additional homes on the panel will ensure television ratings are more representative of the overall population as people continue to spread their viewing across new channels. The number of homes across the five city metro panel </w:t>
      </w:r>
      <w:r w:rsidR="00833ADB">
        <w:t>will increase</w:t>
      </w:r>
      <w:r w:rsidR="00833ADB" w:rsidRPr="001A3C79">
        <w:t xml:space="preserve"> </w:t>
      </w:r>
      <w:r w:rsidRPr="001A3C79">
        <w:t>to 5,250, the STV panel to 2,120 and the regional panel to 3,000.</w:t>
      </w:r>
      <w:r w:rsidRPr="001A3C79">
        <w:rPr>
          <w:vertAlign w:val="superscript"/>
        </w:rPr>
        <w:endnoteReference w:id="160"/>
      </w:r>
    </w:p>
    <w:p w14:paraId="71CE2AF9" w14:textId="77777777" w:rsidR="00A77EE0" w:rsidRPr="001A3C79" w:rsidRDefault="00A77EE0" w:rsidP="009C1BE9">
      <w:pPr>
        <w:pStyle w:val="Heading3"/>
      </w:pPr>
      <w:bookmarkStart w:id="612" w:name="_Toc433790353"/>
      <w:bookmarkStart w:id="613" w:name="_Toc462899612"/>
      <w:bookmarkStart w:id="614" w:name="_Toc463529103"/>
      <w:bookmarkStart w:id="615" w:name="_Toc465842928"/>
      <w:bookmarkEnd w:id="612"/>
      <w:r w:rsidRPr="001A3C79">
        <w:t>Devices used to access video content</w:t>
      </w:r>
      <w:bookmarkEnd w:id="613"/>
      <w:bookmarkEnd w:id="614"/>
      <w:bookmarkEnd w:id="615"/>
    </w:p>
    <w:p w14:paraId="0D5390DD" w14:textId="77777777" w:rsidR="00A77EE0" w:rsidRPr="001A3C79" w:rsidRDefault="00A77EE0" w:rsidP="00A77EE0">
      <w:r w:rsidRPr="001A3C79">
        <w:t xml:space="preserve">The increase in online video content and access to SVOD services has seen a rise in the number of devices used to access the internet. However, despite the wide range of devices able to display broadcast and online content, the television set remains the most popular way of watching video content. </w:t>
      </w:r>
    </w:p>
    <w:p w14:paraId="59E9323E" w14:textId="77777777" w:rsidR="00A77EE0" w:rsidRPr="001A3C79" w:rsidRDefault="00A77EE0" w:rsidP="00A77EE0">
      <w:r w:rsidRPr="001A3C79">
        <w:t>Ninety-seven per cent of Australian households receive digital terrestrial television on every television set, with an average of 1.9 sets per household.</w:t>
      </w:r>
      <w:r w:rsidRPr="001A3C79">
        <w:rPr>
          <w:vertAlign w:val="superscript"/>
        </w:rPr>
        <w:endnoteReference w:id="161"/>
      </w:r>
      <w:r w:rsidRPr="001A3C79">
        <w:t xml:space="preserve"> Forty-five per cent of television sets are smart televisions, although not all have been connected to the internet (28 per cent of all television sets are internet-connected).</w:t>
      </w:r>
      <w:r w:rsidRPr="001A3C79">
        <w:rPr>
          <w:vertAlign w:val="superscript"/>
        </w:rPr>
        <w:endnoteReference w:id="162"/>
      </w:r>
    </w:p>
    <w:p w14:paraId="62396B0F" w14:textId="77777777" w:rsidR="00A77EE0" w:rsidRPr="001A3C79" w:rsidRDefault="00A77EE0" w:rsidP="00A77EE0">
      <w:r w:rsidRPr="001A3C79">
        <w:t>Australians are increasingly using their televisions to view video-on-demand services, with 56 per cent of those aged 16 and over using their home television set to watch video on demand in 2015, compared to 44 per cent in 2014.</w:t>
      </w:r>
      <w:r w:rsidRPr="001A3C79">
        <w:rPr>
          <w:vertAlign w:val="superscript"/>
        </w:rPr>
        <w:endnoteReference w:id="163"/>
      </w:r>
    </w:p>
    <w:p w14:paraId="4FCD05ED" w14:textId="77777777" w:rsidR="00A77EE0" w:rsidRPr="001A3C79" w:rsidRDefault="00A77EE0" w:rsidP="00A77EE0">
      <w:r w:rsidRPr="001A3C79">
        <w:t>Each household now has an average of 6.4 screens per household, up from 5.4 in 2012, creating more opportunities to view broadcast television and other video. There are approximately 2.31 million connected devices accessing catch-up television each week; however, 88 per cent of Australians are still watching broadcast television on in-home sets each week.</w:t>
      </w:r>
      <w:r w:rsidRPr="001A3C79">
        <w:rPr>
          <w:vertAlign w:val="superscript"/>
        </w:rPr>
        <w:endnoteReference w:id="164"/>
      </w:r>
      <w:r w:rsidRPr="001A3C79">
        <w:t xml:space="preserve"> </w:t>
      </w:r>
    </w:p>
    <w:p w14:paraId="07692905" w14:textId="77777777" w:rsidR="00A77EE0" w:rsidRPr="001A3C79" w:rsidRDefault="00A77EE0" w:rsidP="00A77EE0">
      <w:r w:rsidRPr="001A3C79">
        <w:t>Figure 3.4 shows that a television set remains the main way to watch video content—even online content—although free video content (such as YouTube) is more likely to be watched on computers or mobile devices.</w:t>
      </w:r>
    </w:p>
    <w:p w14:paraId="68576913" w14:textId="77777777" w:rsidR="00A77EE0" w:rsidRDefault="00A77EE0" w:rsidP="00A869AE">
      <w:pPr>
        <w:keepNext/>
        <w:spacing w:after="160"/>
        <w:rPr>
          <w:b/>
          <w:bCs/>
          <w:color w:val="323232"/>
          <w:szCs w:val="20"/>
        </w:rPr>
      </w:pPr>
      <w:r w:rsidRPr="001A3C79">
        <w:rPr>
          <w:b/>
          <w:bCs/>
          <w:color w:val="323232"/>
          <w:szCs w:val="20"/>
        </w:rPr>
        <w:lastRenderedPageBreak/>
        <w:t>Figure 3.4</w:t>
      </w:r>
      <w:r w:rsidRPr="001A3C79">
        <w:rPr>
          <w:b/>
          <w:bCs/>
          <w:color w:val="323232"/>
          <w:szCs w:val="20"/>
        </w:rPr>
        <w:tab/>
        <w:t xml:space="preserve">Devices used for viewing different types of content (percentage)  </w:t>
      </w:r>
    </w:p>
    <w:p w14:paraId="7C66E9F2" w14:textId="77777777" w:rsidR="009F2B33" w:rsidRPr="001A3C79" w:rsidRDefault="00982798" w:rsidP="00A869AE">
      <w:pPr>
        <w:spacing w:after="0"/>
        <w:rPr>
          <w:b/>
          <w:bCs/>
          <w:color w:val="323232"/>
          <w:szCs w:val="20"/>
        </w:rPr>
      </w:pPr>
      <w:r>
        <w:rPr>
          <w:b/>
          <w:bCs/>
          <w:noProof/>
          <w:color w:val="323232"/>
          <w:szCs w:val="20"/>
        </w:rPr>
        <w:drawing>
          <wp:inline distT="0" distB="0" distL="0" distR="0" wp14:anchorId="33B4F7B3" wp14:editId="408F5F53">
            <wp:extent cx="5353408" cy="5238130"/>
            <wp:effectExtent l="0" t="0" r="0" b="635"/>
            <wp:docPr id="66" name="Picture 66" descr="Data for Figure 3.4 is in the .ods file for Chapter 3 on the landing page ‘Communications report 2015-16’, available from the ACMA website." title="Figure 3.4  Devices used for viewing different types of content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ure 3.4_Figure 3.4.png"/>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5366665" cy="5251101"/>
                    </a:xfrm>
                    <a:prstGeom prst="rect">
                      <a:avLst/>
                    </a:prstGeom>
                    <a:ln>
                      <a:noFill/>
                    </a:ln>
                    <a:extLst>
                      <a:ext uri="{53640926-AAD7-44D8-BBD7-CCE9431645EC}">
                        <a14:shadowObscured xmlns:a14="http://schemas.microsoft.com/office/drawing/2010/main"/>
                      </a:ext>
                    </a:extLst>
                  </pic:spPr>
                </pic:pic>
              </a:graphicData>
            </a:graphic>
          </wp:inline>
        </w:drawing>
      </w:r>
    </w:p>
    <w:p w14:paraId="1329E646" w14:textId="77777777" w:rsidR="00A77EE0" w:rsidRPr="001A3C79" w:rsidRDefault="00A77EE0" w:rsidP="00A77EE0">
      <w:pPr>
        <w:spacing w:before="80" w:after="0" w:line="240" w:lineRule="auto"/>
        <w:rPr>
          <w:rFonts w:cs="Arial"/>
          <w:i/>
          <w:sz w:val="16"/>
        </w:rPr>
      </w:pPr>
      <w:r w:rsidRPr="001A3C79">
        <w:rPr>
          <w:rFonts w:cs="Arial"/>
          <w:i/>
          <w:sz w:val="16"/>
        </w:rPr>
        <w:t xml:space="preserve">Base: Australians aged 18 and over who watched: Free-to-air live (n=1,706), Foxtel live (n=597), Recorded Foxtel or free-to-air TV (n=647), Catch-up TV for free-to-air programs (n=422), Other free online video content (n=411), Video content via an online subscription service (n=395). </w:t>
      </w:r>
    </w:p>
    <w:p w14:paraId="4973BA8F" w14:textId="77777777" w:rsidR="00A77EE0" w:rsidRPr="001A3C79" w:rsidRDefault="00A77EE0" w:rsidP="00A77EE0">
      <w:pPr>
        <w:spacing w:before="80" w:after="0" w:line="240" w:lineRule="auto"/>
        <w:rPr>
          <w:rFonts w:cs="Arial"/>
          <w:i/>
          <w:sz w:val="16"/>
        </w:rPr>
      </w:pPr>
      <w:r w:rsidRPr="001A3C79">
        <w:rPr>
          <w:rFonts w:cs="Arial"/>
          <w:i/>
          <w:sz w:val="16"/>
        </w:rPr>
        <w:t xml:space="preserve">Note: Data includes multiple responses. ‘Other free online video content’ excludes user-generated content. </w:t>
      </w:r>
    </w:p>
    <w:p w14:paraId="77C8E373"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2016.</w:t>
      </w:r>
    </w:p>
    <w:p w14:paraId="70CABB5E" w14:textId="77777777" w:rsidR="00A77EE0" w:rsidRPr="001A3C79" w:rsidRDefault="00A77EE0" w:rsidP="00A869AE">
      <w:pPr>
        <w:pStyle w:val="ACMASpaceaftertable"/>
      </w:pPr>
    </w:p>
    <w:p w14:paraId="2C830A73" w14:textId="77777777" w:rsidR="00A77EE0" w:rsidRPr="00EA149D" w:rsidRDefault="00A77EE0" w:rsidP="009F2B33">
      <w:pPr>
        <w:pStyle w:val="Heading3"/>
        <w:rPr>
          <w:b w:val="0"/>
        </w:rPr>
      </w:pPr>
      <w:bookmarkStart w:id="616" w:name="_Toc465842929"/>
      <w:r w:rsidRPr="00EA149D">
        <w:t>Online video traffic</w:t>
      </w:r>
      <w:bookmarkEnd w:id="616"/>
    </w:p>
    <w:p w14:paraId="3A3496A6" w14:textId="77777777" w:rsidR="00A77EE0" w:rsidRPr="001A3C79" w:rsidRDefault="00A77EE0" w:rsidP="00A77EE0">
      <w:r w:rsidRPr="001A3C79">
        <w:t>With more Australians using the internet to stream and access video, there has been a rise in the amount of total internet traffic, with a higher proportion coming from video.</w:t>
      </w:r>
    </w:p>
    <w:p w14:paraId="0E8432FA" w14:textId="77777777" w:rsidR="00A77EE0" w:rsidRPr="001A3C79" w:rsidRDefault="00A77EE0" w:rsidP="00A77EE0">
      <w:r w:rsidRPr="001A3C79">
        <w:t>The ABS reported a 51.8 per cent increase in the total volume of data downloaded in 2015</w:t>
      </w:r>
      <w:r w:rsidR="00200325">
        <w:t>–</w:t>
      </w:r>
      <w:r w:rsidRPr="001A3C79">
        <w:t xml:space="preserve">16. In the </w:t>
      </w:r>
      <w:r w:rsidR="00CD2641">
        <w:t>June quarter 2016</w:t>
      </w:r>
      <w:r w:rsidRPr="001A3C79">
        <w:t>, Australians downloaded 2.1 million terabytes via a fixe</w:t>
      </w:r>
      <w:r w:rsidR="00DD6238">
        <w:t>d or wireless broadband, a 23.5 </w:t>
      </w:r>
      <w:r w:rsidRPr="001A3C79">
        <w:t xml:space="preserve">per cent increase compared to the three months to 31 December 2015. Mobile phone downloads also </w:t>
      </w:r>
      <w:r w:rsidR="00BE030B">
        <w:t>grew</w:t>
      </w:r>
      <w:r w:rsidRPr="001A3C79">
        <w:t xml:space="preserve"> over the same period, with 121,147 terabytes downloaded</w:t>
      </w:r>
      <w:r w:rsidR="00BE030B">
        <w:t>—</w:t>
      </w:r>
      <w:r w:rsidRPr="001A3C79">
        <w:t>an increase of 33.6 per cent. Data downloaded via fixed</w:t>
      </w:r>
      <w:r w:rsidR="00BE030B">
        <w:t>-</w:t>
      </w:r>
      <w:r w:rsidRPr="001A3C79">
        <w:t xml:space="preserve">line broadband accounted for 97.9 per cent of all internet downloads in the </w:t>
      </w:r>
      <w:r w:rsidR="00DC4DFD">
        <w:t>June quarter</w:t>
      </w:r>
      <w:r w:rsidRPr="001A3C79">
        <w:t xml:space="preserve"> 2016.</w:t>
      </w:r>
      <w:r w:rsidRPr="001A3C79">
        <w:rPr>
          <w:vertAlign w:val="superscript"/>
        </w:rPr>
        <w:endnoteReference w:id="165"/>
      </w:r>
    </w:p>
    <w:p w14:paraId="00A45E0A" w14:textId="77777777" w:rsidR="00A77EE0" w:rsidRPr="001A3C79" w:rsidRDefault="00A77EE0" w:rsidP="00A77EE0">
      <w:pPr>
        <w:rPr>
          <w:lang w:val="en"/>
        </w:rPr>
      </w:pPr>
      <w:r w:rsidRPr="001A3C79">
        <w:t>Industry research forecast</w:t>
      </w:r>
      <w:r w:rsidR="009E6A2F">
        <w:t>s</w:t>
      </w:r>
      <w:r w:rsidRPr="001A3C79">
        <w:t xml:space="preserve"> that Australia’s internet protocol (IP) video traffic is set to surge from 488 petabytes per month to 1.5 exabyte per month in 2020, and </w:t>
      </w:r>
      <w:r w:rsidRPr="001A3C79">
        <w:rPr>
          <w:lang w:val="en"/>
        </w:rPr>
        <w:t xml:space="preserve">consumer internet video traffic is expected to account for 85 per cent of consumer internet traffic by 2020, up from 76 per cent in 2015. </w:t>
      </w:r>
      <w:r w:rsidRPr="001A3C79">
        <w:rPr>
          <w:lang w:val="en"/>
        </w:rPr>
        <w:lastRenderedPageBreak/>
        <w:t>Twelve billion minutes of video content is forecast to cross the internet each month by 2020, up from 11 billion minutes in 2015, with the average fixed broadband speeds in Australia expected to grow from 18.4 Mbps to 44.3 Mbps over the period.</w:t>
      </w:r>
      <w:r w:rsidRPr="001A3C79">
        <w:rPr>
          <w:vertAlign w:val="superscript"/>
          <w:lang w:val="en"/>
        </w:rPr>
        <w:endnoteReference w:id="166"/>
      </w:r>
    </w:p>
    <w:p w14:paraId="3CB86878" w14:textId="77777777" w:rsidR="00A77EE0" w:rsidRPr="001A3C79" w:rsidRDefault="00A77EE0" w:rsidP="00A77EE0">
      <w:pPr>
        <w:rPr>
          <w:lang w:val="en"/>
        </w:rPr>
      </w:pPr>
      <w:r w:rsidRPr="001A3C79">
        <w:rPr>
          <w:lang w:val="en"/>
        </w:rPr>
        <w:t>Globally, IP video traffic is predicted to be 82 per cent of all consumer internet traffic by 2020, up from 70 per cent in 2015, with internet video-to-TV traffic accounting for 26 per cent of consumer internet video traffic by 2020, up from 24 per cent in 2015.</w:t>
      </w:r>
      <w:r w:rsidRPr="001A3C79">
        <w:rPr>
          <w:vertAlign w:val="superscript"/>
          <w:lang w:val="en"/>
        </w:rPr>
        <w:endnoteReference w:id="167"/>
      </w:r>
    </w:p>
    <w:p w14:paraId="098C9E56" w14:textId="77777777" w:rsidR="00A77EE0" w:rsidRPr="001A3C79" w:rsidRDefault="00A77EE0" w:rsidP="009D7639">
      <w:pPr>
        <w:pStyle w:val="Heading2"/>
        <w:numPr>
          <w:ilvl w:val="1"/>
          <w:numId w:val="12"/>
        </w:numPr>
        <w:ind w:hanging="792"/>
      </w:pPr>
      <w:bookmarkStart w:id="617" w:name="_Toc463529104"/>
      <w:bookmarkStart w:id="618" w:name="_Toc465842930"/>
      <w:r w:rsidRPr="001A3C79">
        <w:t xml:space="preserve">Traditional broadcast </w:t>
      </w:r>
      <w:r w:rsidRPr="005D29B0">
        <w:t>and</w:t>
      </w:r>
      <w:r w:rsidRPr="001A3C79">
        <w:t xml:space="preserve"> online video engagement</w:t>
      </w:r>
      <w:bookmarkEnd w:id="617"/>
      <w:bookmarkEnd w:id="618"/>
      <w:r w:rsidRPr="001A3C79">
        <w:t xml:space="preserve"> </w:t>
      </w:r>
    </w:p>
    <w:p w14:paraId="72A306E8" w14:textId="77777777" w:rsidR="00A77EE0" w:rsidRPr="00EA149D" w:rsidRDefault="006011FC" w:rsidP="009A1984">
      <w:pPr>
        <w:pStyle w:val="Heading3"/>
        <w:rPr>
          <w:b w:val="0"/>
          <w:lang w:val="en-US"/>
        </w:rPr>
      </w:pPr>
      <w:bookmarkStart w:id="619" w:name="_Toc463529105"/>
      <w:bookmarkStart w:id="620" w:name="_Toc465842931"/>
      <w:r>
        <w:rPr>
          <w:lang w:val="en-US"/>
        </w:rPr>
        <w:t>Engagement</w:t>
      </w:r>
      <w:r w:rsidR="00A77EE0" w:rsidRPr="00EA149D">
        <w:rPr>
          <w:lang w:val="en-US"/>
        </w:rPr>
        <w:t xml:space="preserve"> with broadcast content</w:t>
      </w:r>
      <w:bookmarkEnd w:id="619"/>
      <w:bookmarkEnd w:id="620"/>
    </w:p>
    <w:p w14:paraId="734CDEED" w14:textId="77777777" w:rsidR="00A77EE0" w:rsidRPr="001A3C79" w:rsidRDefault="00A77EE0" w:rsidP="00A77EE0">
      <w:pPr>
        <w:rPr>
          <w:lang w:val="en-US"/>
        </w:rPr>
      </w:pPr>
      <w:r w:rsidRPr="001A3C79">
        <w:rPr>
          <w:lang w:val="en-US"/>
        </w:rPr>
        <w:t xml:space="preserve">Australians are spending less time on traditional broadcast television viewing but live content viewing remains popular. Time spent watching live FTA television </w:t>
      </w:r>
      <w:r w:rsidR="00026166">
        <w:rPr>
          <w:lang w:val="en-US"/>
        </w:rPr>
        <w:t xml:space="preserve">(viewed on the day of broadcast) </w:t>
      </w:r>
      <w:r w:rsidRPr="001A3C79">
        <w:rPr>
          <w:lang w:val="en-US"/>
        </w:rPr>
        <w:t>is declining and so is the number of adult Australians watching traditional broadcast television every year.</w:t>
      </w:r>
    </w:p>
    <w:p w14:paraId="6711129F" w14:textId="77777777" w:rsidR="00A77EE0" w:rsidRPr="001A3C79" w:rsidRDefault="00A77EE0" w:rsidP="00A77EE0">
      <w:r w:rsidRPr="001A3C79">
        <w:t>In the first four months of 2016, Australians watched an average 85 hours and 12 minutes of FTA television in the home per month, either live or played back within seven days of the original broadcast. This was a decline of four hours and 16 minutes from the same period in 2015, and was eight hours and four minutes fewer than in the first quarter of 2014.</w:t>
      </w:r>
      <w:r w:rsidRPr="001A3C79">
        <w:rPr>
          <w:vertAlign w:val="superscript"/>
        </w:rPr>
        <w:endnoteReference w:id="168"/>
      </w:r>
      <w:r w:rsidRPr="001A3C79">
        <w:rPr>
          <w:vertAlign w:val="superscript"/>
        </w:rPr>
        <w:t>,</w:t>
      </w:r>
      <w:r w:rsidR="00715603">
        <w:rPr>
          <w:vertAlign w:val="superscript"/>
        </w:rPr>
        <w:t xml:space="preserve"> </w:t>
      </w:r>
      <w:r w:rsidRPr="001A3C79">
        <w:rPr>
          <w:vertAlign w:val="superscript"/>
        </w:rPr>
        <w:endnoteReference w:id="169"/>
      </w:r>
    </w:p>
    <w:p w14:paraId="15044697" w14:textId="77777777" w:rsidR="00A77EE0" w:rsidRPr="001A3C79" w:rsidRDefault="00A77EE0" w:rsidP="00A77EE0">
      <w:r w:rsidRPr="001A3C79">
        <w:t>The majority of time spent watching television is viewing live content. Live broadcast viewing makes up 77 hours and 44 minutes, with only seven hours and 28 minutes spent viewing playback content per month. Viewing playback content makes up less than nine per cent of total viewing.</w:t>
      </w:r>
    </w:p>
    <w:p w14:paraId="6014C6C0" w14:textId="77777777" w:rsidR="00A77EE0" w:rsidRPr="001A3C79" w:rsidRDefault="00A77EE0" w:rsidP="00A77EE0">
      <w:r w:rsidRPr="001A3C79">
        <w:t>There has been a gradual decline in FTA television viewing over the last six years, with 84 per cent of Australian adults in the five major cities watching at least five minutes of FTA television in an average week in 2015</w:t>
      </w:r>
      <w:r w:rsidRPr="001A3C79">
        <w:rPr>
          <w:rFonts w:cs="Arial"/>
        </w:rPr>
        <w:t>–</w:t>
      </w:r>
      <w:r w:rsidRPr="001A3C79">
        <w:t>16, compared to 89 per cent in 2010</w:t>
      </w:r>
      <w:r w:rsidRPr="001A3C79">
        <w:rPr>
          <w:rFonts w:cs="Arial"/>
        </w:rPr>
        <w:t>–</w:t>
      </w:r>
      <w:r w:rsidRPr="001A3C79">
        <w:t>11. Regional markets have seen a decline in audience viewing from 87 per cent to 81 per cent (see Figure 3.5).</w:t>
      </w:r>
    </w:p>
    <w:p w14:paraId="1819A0EC" w14:textId="77777777" w:rsidR="00A77EE0" w:rsidRPr="001A3C79" w:rsidRDefault="00A77EE0" w:rsidP="00A869AE">
      <w:pPr>
        <w:spacing w:after="160"/>
        <w:ind w:left="1134" w:hanging="1134"/>
        <w:rPr>
          <w:b/>
          <w:bCs/>
          <w:color w:val="323232"/>
          <w:szCs w:val="20"/>
        </w:rPr>
      </w:pPr>
      <w:r w:rsidRPr="001A3C79">
        <w:rPr>
          <w:b/>
          <w:bCs/>
          <w:color w:val="323232"/>
          <w:szCs w:val="20"/>
        </w:rPr>
        <w:t>Figure 3.5</w:t>
      </w:r>
      <w:r w:rsidRPr="001A3C79">
        <w:rPr>
          <w:b/>
          <w:bCs/>
          <w:color w:val="323232"/>
          <w:szCs w:val="20"/>
        </w:rPr>
        <w:tab/>
        <w:t xml:space="preserve">FTA television viewing—average weekly cumulative reach (five minutes consecutive), five city metro and consolidated regional markets </w:t>
      </w:r>
    </w:p>
    <w:p w14:paraId="2A3F4A2A" w14:textId="488E7160" w:rsidR="00A77EE0" w:rsidRPr="001A3C79" w:rsidRDefault="00FC1884" w:rsidP="00A869AE">
      <w:pPr>
        <w:spacing w:after="0"/>
      </w:pPr>
      <w:r>
        <w:rPr>
          <w:noProof/>
        </w:rPr>
        <w:drawing>
          <wp:inline distT="0" distB="0" distL="0" distR="0" wp14:anchorId="1BA04AB1" wp14:editId="7017597F">
            <wp:extent cx="5725160" cy="2178252"/>
            <wp:effectExtent l="0" t="0" r="8890" b="0"/>
            <wp:docPr id="68" name="Picture 68" descr="Data for Figure 3.5 is in the .ods file for Chapter 3 on the landing page ‘Communications report 2015-16’, available from the ACMA website." title="Figure 3.5  FTA television viewing - average weekily cumulative reach (five minutes consecutive), five city metro and consolidated mar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e 3.5_Figure 3.5.png"/>
                    <pic:cNvPicPr/>
                  </pic:nvPicPr>
                  <pic:blipFill rotWithShape="1">
                    <a:blip r:embed="rId100">
                      <a:extLst>
                        <a:ext uri="{28A0092B-C50C-407E-A947-70E740481C1C}">
                          <a14:useLocalDpi xmlns:a14="http://schemas.microsoft.com/office/drawing/2010/main" val="0"/>
                        </a:ext>
                      </a:extLst>
                    </a:blip>
                    <a:srcRect l="988" t="393" r="2591" b="1050"/>
                    <a:stretch/>
                  </pic:blipFill>
                  <pic:spPr bwMode="auto">
                    <a:xfrm>
                      <a:off x="0" y="0"/>
                      <a:ext cx="5727671" cy="2179207"/>
                    </a:xfrm>
                    <a:prstGeom prst="rect">
                      <a:avLst/>
                    </a:prstGeom>
                    <a:ln>
                      <a:noFill/>
                    </a:ln>
                    <a:extLst>
                      <a:ext uri="{53640926-AAD7-44D8-BBD7-CCE9431645EC}">
                        <a14:shadowObscured xmlns:a14="http://schemas.microsoft.com/office/drawing/2010/main"/>
                      </a:ext>
                    </a:extLst>
                  </pic:spPr>
                </pic:pic>
              </a:graphicData>
            </a:graphic>
          </wp:inline>
        </w:drawing>
      </w:r>
    </w:p>
    <w:p w14:paraId="590CEB39" w14:textId="77777777" w:rsidR="00A77EE0" w:rsidRPr="001A3C79" w:rsidRDefault="00A77EE0" w:rsidP="00A77EE0">
      <w:pPr>
        <w:spacing w:before="80" w:after="0" w:line="240" w:lineRule="auto"/>
        <w:rPr>
          <w:rFonts w:cs="Arial"/>
          <w:i/>
          <w:sz w:val="16"/>
        </w:rPr>
      </w:pPr>
      <w:r w:rsidRPr="001A3C79">
        <w:rPr>
          <w:rFonts w:cs="Arial"/>
          <w:i/>
          <w:sz w:val="16"/>
        </w:rPr>
        <w:t>Base: People aged 18 and over in the five mainland metropolitan markets (Sydney, Melbourne, Brisbane, Adelaide and Perth) for OzTAM, and for the combined regional markets (RegionalTAM).</w:t>
      </w:r>
    </w:p>
    <w:p w14:paraId="5FA8CBDD" w14:textId="77777777" w:rsidR="00A77EE0" w:rsidRPr="001A3C79" w:rsidRDefault="00A77EE0" w:rsidP="00A77EE0">
      <w:pPr>
        <w:spacing w:before="80" w:after="0" w:line="240" w:lineRule="auto"/>
        <w:rPr>
          <w:rFonts w:cs="Arial"/>
          <w:i/>
          <w:sz w:val="16"/>
        </w:rPr>
      </w:pPr>
      <w:r w:rsidRPr="001A3C79">
        <w:rPr>
          <w:rFonts w:cs="Arial"/>
          <w:i/>
          <w:sz w:val="16"/>
        </w:rPr>
        <w:t xml:space="preserve">Note: Definition of reach—the cumulative percentage or total (usually expressed in thousands) of a population that has been counted as viewers at least once during a specified interval. From 27 December 2015, figures are consolidated to 28 days. </w:t>
      </w:r>
    </w:p>
    <w:p w14:paraId="69A1B52C" w14:textId="77777777" w:rsidR="00A77EE0" w:rsidRPr="001A3C79" w:rsidRDefault="00A77EE0" w:rsidP="00A77EE0">
      <w:pPr>
        <w:spacing w:before="80" w:after="0" w:line="240" w:lineRule="auto"/>
        <w:rPr>
          <w:rFonts w:cs="Arial"/>
          <w:i/>
          <w:sz w:val="16"/>
        </w:rPr>
      </w:pPr>
      <w:r w:rsidRPr="001A3C79">
        <w:rPr>
          <w:rFonts w:cs="Arial"/>
          <w:i/>
          <w:sz w:val="16"/>
        </w:rPr>
        <w:t xml:space="preserve">Source: </w:t>
      </w:r>
      <w:r w:rsidRPr="001A3C79">
        <w:rPr>
          <w:rFonts w:cs="Arial"/>
          <w:i/>
          <w:sz w:val="16"/>
          <w:vertAlign w:val="superscript"/>
        </w:rPr>
        <w:t>©</w:t>
      </w:r>
      <w:r w:rsidRPr="001A3C79">
        <w:rPr>
          <w:rFonts w:cs="Arial"/>
          <w:i/>
          <w:sz w:val="16"/>
        </w:rPr>
        <w:t xml:space="preserve">OzTAM Pty Limited and Regional TAM Pty Limited 2016. Apart from any use permitted under the </w:t>
      </w:r>
      <w:r w:rsidRPr="001A3C79">
        <w:rPr>
          <w:rFonts w:cs="Arial"/>
          <w:sz w:val="16"/>
        </w:rPr>
        <w:t>Copyright Act 1968</w:t>
      </w:r>
      <w:r w:rsidRPr="001A3C79">
        <w:rPr>
          <w:rFonts w:cs="Arial"/>
          <w:i/>
          <w:sz w:val="16"/>
        </w:rPr>
        <w:t>, the data may not be reproduced, published or communicated (electronically or in hard copy) without the prior written consent of OzTAM and/or RegionalTAM.</w:t>
      </w:r>
    </w:p>
    <w:p w14:paraId="7BB05BA8" w14:textId="77777777" w:rsidR="00A77EE0" w:rsidRPr="001A3C79" w:rsidRDefault="00A77EE0" w:rsidP="00A869AE">
      <w:pPr>
        <w:pStyle w:val="ACMASpaceaftertable"/>
      </w:pPr>
    </w:p>
    <w:p w14:paraId="37B933D8" w14:textId="77777777" w:rsidR="00A77EE0" w:rsidRPr="001A3C79" w:rsidRDefault="00A77EE0" w:rsidP="002C592F">
      <w:pPr>
        <w:keepNext/>
        <w:keepLines/>
      </w:pPr>
      <w:r w:rsidRPr="001A3C79">
        <w:lastRenderedPageBreak/>
        <w:t xml:space="preserve">Despite the decline in time spent </w:t>
      </w:r>
      <w:r w:rsidR="00D204C5">
        <w:t>viewing</w:t>
      </w:r>
      <w:r w:rsidR="00D204C5" w:rsidRPr="001A3C79">
        <w:t xml:space="preserve"> </w:t>
      </w:r>
      <w:r w:rsidRPr="001A3C79">
        <w:t>broadcast content, watching FTA television live still represents the largest share (</w:t>
      </w:r>
      <w:r w:rsidR="00601664">
        <w:t>59</w:t>
      </w:r>
      <w:r w:rsidRPr="001A3C79">
        <w:t xml:space="preserve"> per cent) of the weekly average time spent watching television or video content (excluding pre-recorded DVDs) among Australian adults. </w:t>
      </w:r>
    </w:p>
    <w:p w14:paraId="5706AA07" w14:textId="77777777" w:rsidR="00A77EE0" w:rsidRPr="001A3C79" w:rsidRDefault="00A77EE0" w:rsidP="002C592F">
      <w:pPr>
        <w:keepNext/>
        <w:keepLines/>
      </w:pPr>
      <w:r w:rsidRPr="001A3C79">
        <w:t>Watching professionally produced online content (catch-up television, other free online video content, video content via a subscription service, or pay-per-view content) accounted for 1</w:t>
      </w:r>
      <w:r w:rsidR="00B27969">
        <w:t>5</w:t>
      </w:r>
      <w:r w:rsidRPr="001A3C79">
        <w:t xml:space="preserve"> per cent of time spent</w:t>
      </w:r>
      <w:r w:rsidR="00903549">
        <w:t xml:space="preserve"> viewing content</w:t>
      </w:r>
      <w:r w:rsidRPr="001A3C79">
        <w:t>, and Foxtel accounted for 1</w:t>
      </w:r>
      <w:r w:rsidR="00B27969">
        <w:t>4</w:t>
      </w:r>
      <w:r w:rsidRPr="001A3C79">
        <w:t xml:space="preserve"> per cent. Programs recorded from Foxtel or FTA television accounted for 11 per cent of time spent viewing (Figure 3.6).</w:t>
      </w:r>
    </w:p>
    <w:p w14:paraId="35B5B01A" w14:textId="77777777" w:rsidR="00A77EE0" w:rsidRPr="001A3C79" w:rsidRDefault="00A77EE0" w:rsidP="00A869AE">
      <w:pPr>
        <w:spacing w:after="160"/>
        <w:ind w:left="1134" w:hanging="1134"/>
        <w:rPr>
          <w:b/>
          <w:bCs/>
          <w:color w:val="323232"/>
          <w:szCs w:val="20"/>
        </w:rPr>
      </w:pPr>
      <w:r w:rsidRPr="001A3C79">
        <w:rPr>
          <w:b/>
          <w:bCs/>
          <w:color w:val="323232"/>
          <w:szCs w:val="20"/>
        </w:rPr>
        <w:t>Figure 3.6</w:t>
      </w:r>
      <w:r w:rsidRPr="001A3C79">
        <w:rPr>
          <w:b/>
          <w:bCs/>
          <w:color w:val="323232"/>
          <w:szCs w:val="20"/>
        </w:rPr>
        <w:tab/>
        <w:t>Share of time spent watching television (live or recorded) or professional online video content, in the last seven days (percentage)</w:t>
      </w:r>
    </w:p>
    <w:p w14:paraId="16319BF5" w14:textId="77777777" w:rsidR="00A77EE0" w:rsidRPr="001A3C79" w:rsidRDefault="00CE1B93" w:rsidP="00A869AE">
      <w:pPr>
        <w:spacing w:after="0" w:line="240" w:lineRule="auto"/>
        <w:rPr>
          <w:rFonts w:cs="Arial"/>
          <w:i/>
          <w:sz w:val="16"/>
        </w:rPr>
      </w:pPr>
      <w:r>
        <w:rPr>
          <w:rFonts w:cs="Arial"/>
          <w:i/>
          <w:noProof/>
          <w:sz w:val="16"/>
        </w:rPr>
        <w:drawing>
          <wp:inline distT="0" distB="0" distL="0" distR="0" wp14:anchorId="2E1DFBD2" wp14:editId="4F5284E0">
            <wp:extent cx="5642582" cy="3170916"/>
            <wp:effectExtent l="0" t="0" r="0" b="0"/>
            <wp:docPr id="69" name="Picture 69" descr="Data for Figure 3.6 is in the .ods file for Chapter 3 on the landing page ‘Communications report 2015-16’, available from the ACMA website." title="Figure 3.6  Share of time spent watching television (live or recorded) or professional online video content, in the last seven days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ure 3.6_Figure 3.6.png"/>
                    <pic:cNvPicPr/>
                  </pic:nvPicPr>
                  <pic:blipFill rotWithShape="1">
                    <a:blip r:embed="rId101">
                      <a:extLst>
                        <a:ext uri="{28A0092B-C50C-407E-A947-70E740481C1C}">
                          <a14:useLocalDpi xmlns:a14="http://schemas.microsoft.com/office/drawing/2010/main" val="0"/>
                        </a:ext>
                      </a:extLst>
                    </a:blip>
                    <a:srcRect l="803" t="2036" r="905" b="1594"/>
                    <a:stretch/>
                  </pic:blipFill>
                  <pic:spPr bwMode="auto">
                    <a:xfrm>
                      <a:off x="0" y="0"/>
                      <a:ext cx="5657249" cy="3179158"/>
                    </a:xfrm>
                    <a:prstGeom prst="rect">
                      <a:avLst/>
                    </a:prstGeom>
                    <a:ln>
                      <a:noFill/>
                    </a:ln>
                    <a:extLst>
                      <a:ext uri="{53640926-AAD7-44D8-BBD7-CCE9431645EC}">
                        <a14:shadowObscured xmlns:a14="http://schemas.microsoft.com/office/drawing/2010/main"/>
                      </a:ext>
                    </a:extLst>
                  </pic:spPr>
                </pic:pic>
              </a:graphicData>
            </a:graphic>
          </wp:inline>
        </w:drawing>
      </w:r>
      <w:r w:rsidR="00A77EE0" w:rsidRPr="001A3C79" w:rsidDel="004C0051">
        <w:rPr>
          <w:rFonts w:cs="Arial"/>
          <w:i/>
          <w:sz w:val="16"/>
        </w:rPr>
        <w:t xml:space="preserve"> </w:t>
      </w:r>
    </w:p>
    <w:p w14:paraId="0838B690" w14:textId="77777777" w:rsidR="00A77EE0" w:rsidRPr="001A3C79" w:rsidRDefault="00A77EE0" w:rsidP="00A77EE0">
      <w:pPr>
        <w:spacing w:before="80" w:after="0" w:line="240" w:lineRule="auto"/>
        <w:rPr>
          <w:rFonts w:cs="Arial"/>
          <w:i/>
          <w:sz w:val="16"/>
        </w:rPr>
      </w:pPr>
      <w:r w:rsidRPr="001A3C79">
        <w:rPr>
          <w:rFonts w:cs="Arial"/>
          <w:i/>
          <w:sz w:val="16"/>
        </w:rPr>
        <w:t xml:space="preserve">Base: Australians aged 18 and over. </w:t>
      </w:r>
    </w:p>
    <w:p w14:paraId="02C05A67" w14:textId="77777777" w:rsidR="00E04D74" w:rsidRDefault="00E04D74" w:rsidP="00A77EE0">
      <w:pPr>
        <w:spacing w:before="80" w:after="0" w:line="240" w:lineRule="auto"/>
        <w:rPr>
          <w:rFonts w:cs="Arial"/>
          <w:i/>
          <w:sz w:val="16"/>
        </w:rPr>
      </w:pPr>
      <w:r w:rsidRPr="009C1BE9">
        <w:rPr>
          <w:rFonts w:cs="Arial"/>
          <w:i/>
          <w:sz w:val="16"/>
        </w:rPr>
        <w:t>Note: Numbers may not add up due to rounding. ’Other free online video content’ excludes user-generated content.</w:t>
      </w:r>
    </w:p>
    <w:p w14:paraId="2858DBB7"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2016.</w:t>
      </w:r>
    </w:p>
    <w:p w14:paraId="73F1BB18" w14:textId="77777777" w:rsidR="00A77EE0" w:rsidRPr="001A3C79" w:rsidRDefault="00A77EE0" w:rsidP="00A869AE">
      <w:pPr>
        <w:pStyle w:val="ACMASpaceaftertable"/>
      </w:pPr>
    </w:p>
    <w:p w14:paraId="1BA380BB" w14:textId="77777777" w:rsidR="00A77EE0" w:rsidRPr="00EA149D" w:rsidRDefault="00A77EE0" w:rsidP="009A1984">
      <w:pPr>
        <w:pStyle w:val="Heading3"/>
        <w:rPr>
          <w:b w:val="0"/>
        </w:rPr>
      </w:pPr>
      <w:bookmarkStart w:id="621" w:name="_Toc463529106"/>
      <w:bookmarkStart w:id="622" w:name="_Toc465842932"/>
      <w:r w:rsidRPr="00EA149D">
        <w:t>SVOD subscribers</w:t>
      </w:r>
      <w:bookmarkEnd w:id="621"/>
      <w:bookmarkEnd w:id="622"/>
    </w:p>
    <w:p w14:paraId="6A8E46E5" w14:textId="77777777" w:rsidR="00A77EE0" w:rsidRPr="001A3C79" w:rsidRDefault="00A77EE0" w:rsidP="00A77EE0">
      <w:r w:rsidRPr="001A3C79">
        <w:t>The number of SVOD subscribers has grown rapidly since the launch of Australian services in 2015. Since entering the Australian market in March 2015, Netflix quickly became the largest of the SVOD services available.</w:t>
      </w:r>
    </w:p>
    <w:p w14:paraId="6F42AB89" w14:textId="77777777" w:rsidR="00A77EE0" w:rsidRPr="001A3C79" w:rsidRDefault="00A77EE0" w:rsidP="00A77EE0">
      <w:pPr>
        <w:rPr>
          <w:rFonts w:cs="Arial"/>
        </w:rPr>
      </w:pPr>
      <w:r w:rsidRPr="001A3C79">
        <w:t>At the end of 2015, Netflix had just over one million subscriptions (including paid, free trials and special offers).</w:t>
      </w:r>
      <w:r w:rsidRPr="001A3C79">
        <w:rPr>
          <w:vertAlign w:val="superscript"/>
        </w:rPr>
        <w:endnoteReference w:id="170"/>
      </w:r>
      <w:r w:rsidRPr="001A3C79">
        <w:t xml:space="preserve"> </w:t>
      </w:r>
      <w:r w:rsidR="008E5367" w:rsidRPr="008E5367">
        <w:t>By May 2016, the number of Netflix subscribers had risen to 1.878 million subscribers (or 11 per cent of households), reaching a potential audience of five million Australians</w:t>
      </w:r>
      <w:r w:rsidRPr="008E5367">
        <w:t>.</w:t>
      </w:r>
      <w:r w:rsidRPr="001A3C79">
        <w:t xml:space="preserve"> </w:t>
      </w:r>
      <w:r w:rsidR="008E5367" w:rsidRPr="008E5367">
        <w:t xml:space="preserve">By comparison, </w:t>
      </w:r>
      <w:r w:rsidRPr="001A3C79">
        <w:t>Stan had 332,000 subscriptions reaching 891,000 Australians and Presto had 142,000 subscriptions reaching 353,000 Australians.</w:t>
      </w:r>
      <w:r w:rsidRPr="001A3C79">
        <w:rPr>
          <w:vertAlign w:val="superscript"/>
        </w:rPr>
        <w:endnoteReference w:id="171"/>
      </w:r>
      <w:r w:rsidRPr="001A3C79">
        <w:t xml:space="preserve"> </w:t>
      </w:r>
      <w:r w:rsidRPr="001A3C79">
        <w:rPr>
          <w:rFonts w:cs="Arial"/>
        </w:rPr>
        <w:t>There were approximately 2.7 million active online streaming subscriptions—including paid, free or trial—in Australia at the end of June 2016.</w:t>
      </w:r>
      <w:r w:rsidRPr="001A3C79">
        <w:rPr>
          <w:rFonts w:cs="Arial"/>
          <w:vertAlign w:val="superscript"/>
        </w:rPr>
        <w:endnoteReference w:id="172"/>
      </w:r>
      <w:r w:rsidRPr="001A3C79">
        <w:rPr>
          <w:rFonts w:cs="Arial"/>
        </w:rPr>
        <w:t xml:space="preserve"> While Netflix is still the </w:t>
      </w:r>
      <w:r w:rsidR="00E4688E">
        <w:rPr>
          <w:rFonts w:cs="Arial"/>
        </w:rPr>
        <w:t xml:space="preserve">market </w:t>
      </w:r>
      <w:r w:rsidRPr="001A3C79">
        <w:rPr>
          <w:rFonts w:cs="Arial"/>
        </w:rPr>
        <w:t>leader</w:t>
      </w:r>
      <w:r w:rsidRPr="009C1BE9">
        <w:rPr>
          <w:rFonts w:cs="Arial"/>
        </w:rPr>
        <w:t>, at June 2016</w:t>
      </w:r>
      <w:r>
        <w:rPr>
          <w:rFonts w:cs="Arial"/>
        </w:rPr>
        <w:t xml:space="preserve"> </w:t>
      </w:r>
      <w:r w:rsidRPr="001A3C79">
        <w:rPr>
          <w:rFonts w:cs="Arial"/>
        </w:rPr>
        <w:t xml:space="preserve">both Stan and Presto </w:t>
      </w:r>
      <w:r>
        <w:rPr>
          <w:rFonts w:cs="Arial"/>
        </w:rPr>
        <w:t>were</w:t>
      </w:r>
      <w:r w:rsidRPr="001A3C79">
        <w:rPr>
          <w:rFonts w:cs="Arial"/>
        </w:rPr>
        <w:t xml:space="preserve"> growing faster as more households subscribed to multiple services. The average number of SVOD subscriptions per household with at least one subscription increased from 1.5 to 1.7 by June 2016</w:t>
      </w:r>
      <w:r w:rsidRPr="001A3C79">
        <w:rPr>
          <w:rFonts w:cs="Arial"/>
          <w:vertAlign w:val="superscript"/>
        </w:rPr>
        <w:endnoteReference w:id="173"/>
      </w:r>
      <w:r w:rsidRPr="001A3C79">
        <w:t>,</w:t>
      </w:r>
      <w:r w:rsidRPr="001A3C79">
        <w:rPr>
          <w:rFonts w:cs="Arial"/>
        </w:rPr>
        <w:t xml:space="preserve"> with the top three SVOD services making up 85 per cent of all active SVOD subscriptions.</w:t>
      </w:r>
      <w:r w:rsidRPr="001A3C79">
        <w:rPr>
          <w:rFonts w:cs="Arial"/>
          <w:vertAlign w:val="superscript"/>
        </w:rPr>
        <w:endnoteReference w:id="174"/>
      </w:r>
    </w:p>
    <w:p w14:paraId="6BBB99A2" w14:textId="77777777" w:rsidR="00A77EE0" w:rsidRPr="001A3C79" w:rsidRDefault="00A77EE0" w:rsidP="00A77EE0">
      <w:r w:rsidRPr="001A3C79">
        <w:t>Foxtel’s subscriber numbers have also continued to increase, with a rise of 4.7 per cent to 2.9 million in the year ending 30 June 2016. The increase was driven by growth in broadcast subscribers and the inclusion of Presto-only subscribers.</w:t>
      </w:r>
      <w:r w:rsidRPr="001A3C79">
        <w:rPr>
          <w:vertAlign w:val="superscript"/>
        </w:rPr>
        <w:endnoteReference w:id="175"/>
      </w:r>
      <w:r w:rsidRPr="001A3C79" w:rsidDel="002C5933">
        <w:rPr>
          <w:vertAlign w:val="superscript"/>
        </w:rPr>
        <w:t xml:space="preserve"> </w:t>
      </w:r>
    </w:p>
    <w:p w14:paraId="1701C73A" w14:textId="77777777" w:rsidR="00A77EE0" w:rsidRPr="001A3C79" w:rsidRDefault="00A77EE0" w:rsidP="00EA149D">
      <w:pPr>
        <w:pStyle w:val="Heading3"/>
      </w:pPr>
      <w:bookmarkStart w:id="623" w:name="_Toc465842933"/>
      <w:bookmarkStart w:id="624" w:name="_Toc463529107"/>
      <w:r w:rsidRPr="001A3C79">
        <w:lastRenderedPageBreak/>
        <w:t>Accessing online content</w:t>
      </w:r>
      <w:bookmarkEnd w:id="623"/>
      <w:r w:rsidRPr="001A3C79">
        <w:t xml:space="preserve"> </w:t>
      </w:r>
      <w:bookmarkEnd w:id="624"/>
    </w:p>
    <w:p w14:paraId="3A44BAC9" w14:textId="77777777" w:rsidR="00A77EE0" w:rsidRPr="001A3C79" w:rsidRDefault="00A77EE0" w:rsidP="00A77EE0">
      <w:r w:rsidRPr="001A3C79">
        <w:t xml:space="preserve">ACMA research shows that 63 per cent of adult Australians (11.5 million) </w:t>
      </w:r>
      <w:r w:rsidR="000537B7">
        <w:t xml:space="preserve">had </w:t>
      </w:r>
      <w:r w:rsidRPr="001A3C79">
        <w:t xml:space="preserve">watched some online television or professionally produced online video content in the six months to June 2016, with 44 per cent watching in the last seven days. Forty-four per cent watched catch-up television in the last six months, while </w:t>
      </w:r>
      <w:r w:rsidR="000A0F41">
        <w:t>32</w:t>
      </w:r>
      <w:r w:rsidRPr="001A3C79">
        <w:t xml:space="preserve"> per cent watched video content via an online subscription (Figure 3.7). </w:t>
      </w:r>
    </w:p>
    <w:p w14:paraId="79BE8C21" w14:textId="77777777" w:rsidR="00A77EE0" w:rsidRPr="001A3C79" w:rsidRDefault="00A77EE0" w:rsidP="00A869AE">
      <w:pPr>
        <w:spacing w:after="160"/>
        <w:rPr>
          <w:b/>
          <w:bCs/>
          <w:color w:val="323232"/>
          <w:szCs w:val="20"/>
        </w:rPr>
      </w:pPr>
      <w:r w:rsidRPr="001A3C79">
        <w:rPr>
          <w:b/>
          <w:bCs/>
          <w:color w:val="323232"/>
          <w:szCs w:val="20"/>
        </w:rPr>
        <w:t>Figure 3.7</w:t>
      </w:r>
      <w:r w:rsidRPr="001A3C79">
        <w:rPr>
          <w:b/>
          <w:bCs/>
          <w:color w:val="323232"/>
          <w:szCs w:val="20"/>
        </w:rPr>
        <w:tab/>
        <w:t>Online content watched in the last six months and last seven days (percentage)</w:t>
      </w:r>
    </w:p>
    <w:p w14:paraId="1E12C966" w14:textId="77777777" w:rsidR="00A77EE0" w:rsidRPr="001A3C79" w:rsidRDefault="005006A1" w:rsidP="00A77EE0">
      <w:pPr>
        <w:spacing w:after="0"/>
      </w:pPr>
      <w:r>
        <w:rPr>
          <w:noProof/>
        </w:rPr>
        <w:drawing>
          <wp:inline distT="0" distB="0" distL="0" distR="0" wp14:anchorId="2BC05A32" wp14:editId="29B176C8">
            <wp:extent cx="5884974" cy="2436126"/>
            <wp:effectExtent l="0" t="0" r="0" b="2540"/>
            <wp:docPr id="95" name="Picture 95" descr="Data for Figure 3.7 is in the .ods file for Chapter 3 on the landing page ‘Communications report 2015-16’, available from the ACMA website." title="Figure 3.7  Online content watched in the last six months and last seven days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ure 3.7_Figure 3.7.png"/>
                    <pic:cNvPicPr/>
                  </pic:nvPicPr>
                  <pic:blipFill rotWithShape="1">
                    <a:blip r:embed="rId102">
                      <a:extLst>
                        <a:ext uri="{28A0092B-C50C-407E-A947-70E740481C1C}">
                          <a14:useLocalDpi xmlns:a14="http://schemas.microsoft.com/office/drawing/2010/main" val="0"/>
                        </a:ext>
                      </a:extLst>
                    </a:blip>
                    <a:srcRect/>
                    <a:stretch/>
                  </pic:blipFill>
                  <pic:spPr bwMode="auto">
                    <a:xfrm>
                      <a:off x="0" y="0"/>
                      <a:ext cx="5886000" cy="2436551"/>
                    </a:xfrm>
                    <a:prstGeom prst="rect">
                      <a:avLst/>
                    </a:prstGeom>
                    <a:ln>
                      <a:noFill/>
                    </a:ln>
                    <a:extLst>
                      <a:ext uri="{53640926-AAD7-44D8-BBD7-CCE9431645EC}">
                        <a14:shadowObscured xmlns:a14="http://schemas.microsoft.com/office/drawing/2010/main"/>
                      </a:ext>
                    </a:extLst>
                  </pic:spPr>
                </pic:pic>
              </a:graphicData>
            </a:graphic>
          </wp:inline>
        </w:drawing>
      </w:r>
      <w:r w:rsidR="00A77EE0" w:rsidRPr="001A3C79" w:rsidDel="004C0051">
        <w:t xml:space="preserve"> </w:t>
      </w:r>
    </w:p>
    <w:p w14:paraId="51C507D3" w14:textId="77777777" w:rsidR="00A77EE0" w:rsidRPr="001A3C79" w:rsidRDefault="00A77EE0" w:rsidP="00A77EE0">
      <w:pPr>
        <w:spacing w:before="80" w:after="0" w:line="240" w:lineRule="auto"/>
        <w:rPr>
          <w:rFonts w:cs="Arial"/>
          <w:i/>
          <w:sz w:val="16"/>
        </w:rPr>
      </w:pPr>
      <w:r w:rsidRPr="001A3C79">
        <w:rPr>
          <w:rFonts w:cs="Arial"/>
          <w:i/>
          <w:sz w:val="16"/>
        </w:rPr>
        <w:t>*Excludes user-generated content.</w:t>
      </w:r>
    </w:p>
    <w:p w14:paraId="0ECA0538" w14:textId="77777777" w:rsidR="00A77EE0" w:rsidRPr="001A3C79" w:rsidRDefault="00A77EE0" w:rsidP="00A77EE0">
      <w:pPr>
        <w:spacing w:before="80" w:after="0" w:line="240" w:lineRule="auto"/>
        <w:rPr>
          <w:rFonts w:cs="Arial"/>
          <w:i/>
          <w:sz w:val="16"/>
        </w:rPr>
      </w:pPr>
      <w:r w:rsidRPr="001A3C79">
        <w:rPr>
          <w:rFonts w:cs="Arial"/>
          <w:i/>
          <w:sz w:val="16"/>
        </w:rPr>
        <w:t>Base: Australians aged 18 and over.</w:t>
      </w:r>
    </w:p>
    <w:p w14:paraId="7736E778"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2016.</w:t>
      </w:r>
    </w:p>
    <w:p w14:paraId="105AD44B" w14:textId="77777777" w:rsidR="00A77EE0" w:rsidRPr="001A3C79" w:rsidRDefault="00A77EE0" w:rsidP="00A869AE">
      <w:pPr>
        <w:pStyle w:val="ACMASpaceaftertable"/>
      </w:pPr>
    </w:p>
    <w:p w14:paraId="078EF1BA" w14:textId="77777777" w:rsidR="00A77EE0" w:rsidRPr="001A3C79" w:rsidRDefault="00A77EE0" w:rsidP="00A77EE0">
      <w:r w:rsidRPr="001A3C79">
        <w:t xml:space="preserve">Netflix is more popular than YouTube as an online source for professional video content (Figure 3.8). </w:t>
      </w:r>
    </w:p>
    <w:p w14:paraId="11DC340E" w14:textId="77777777" w:rsidR="00A77EE0" w:rsidRPr="001A3C79" w:rsidRDefault="00A77EE0" w:rsidP="00A77EE0">
      <w:r w:rsidRPr="001A3C79">
        <w:t>In June 2016, 39 per cent of Australian adults had watched Netflix in the last seven days, while 27 per cent had watched professional content on YouTube and 16 per cent had watched Foxtel.</w:t>
      </w:r>
    </w:p>
    <w:p w14:paraId="47C5BB80" w14:textId="77777777" w:rsidR="00A77EE0" w:rsidRPr="001A3C79" w:rsidRDefault="00A77EE0" w:rsidP="00A869AE">
      <w:pPr>
        <w:keepNext/>
        <w:spacing w:after="160"/>
        <w:rPr>
          <w:b/>
          <w:bCs/>
          <w:color w:val="323232"/>
          <w:szCs w:val="20"/>
        </w:rPr>
      </w:pPr>
      <w:r w:rsidRPr="001A3C79">
        <w:rPr>
          <w:b/>
          <w:bCs/>
          <w:color w:val="323232"/>
          <w:szCs w:val="20"/>
        </w:rPr>
        <w:lastRenderedPageBreak/>
        <w:t>Figure 3.8</w:t>
      </w:r>
      <w:r w:rsidRPr="001A3C79">
        <w:rPr>
          <w:b/>
          <w:bCs/>
          <w:color w:val="323232"/>
          <w:szCs w:val="20"/>
        </w:rPr>
        <w:tab/>
        <w:t>Online video services used in the last seven days (percentage)</w:t>
      </w:r>
    </w:p>
    <w:p w14:paraId="07B7031B" w14:textId="77777777" w:rsidR="00A77EE0" w:rsidRPr="001A3C79" w:rsidRDefault="005006A1" w:rsidP="00A869AE">
      <w:pPr>
        <w:spacing w:after="0" w:line="240" w:lineRule="auto"/>
        <w:rPr>
          <w:rFonts w:cs="Arial"/>
          <w:i/>
          <w:noProof/>
          <w:sz w:val="16"/>
        </w:rPr>
      </w:pPr>
      <w:r>
        <w:rPr>
          <w:rFonts w:cs="Arial"/>
          <w:i/>
          <w:noProof/>
          <w:sz w:val="16"/>
        </w:rPr>
        <w:drawing>
          <wp:inline distT="0" distB="0" distL="0" distR="0" wp14:anchorId="76C63361" wp14:editId="297373A0">
            <wp:extent cx="5857875" cy="5964072"/>
            <wp:effectExtent l="0" t="0" r="0" b="0"/>
            <wp:docPr id="102" name="Picture 102" descr="Data for Figure 3.8 is in the .ods file for Chapter 3 on the landing page ‘Communications report 2015-16’, available from the ACMA website." title="Figure 3.8  Online video services used in the last seven days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gure 3.8_Figure 3.8.png"/>
                    <pic:cNvPicPr/>
                  </pic:nvPicPr>
                  <pic:blipFill rotWithShape="1">
                    <a:blip r:embed="rId103">
                      <a:extLst>
                        <a:ext uri="{28A0092B-C50C-407E-A947-70E740481C1C}">
                          <a14:useLocalDpi xmlns:a14="http://schemas.microsoft.com/office/drawing/2010/main" val="0"/>
                        </a:ext>
                      </a:extLst>
                    </a:blip>
                    <a:srcRect/>
                    <a:stretch/>
                  </pic:blipFill>
                  <pic:spPr bwMode="auto">
                    <a:xfrm>
                      <a:off x="0" y="0"/>
                      <a:ext cx="5858535" cy="5964744"/>
                    </a:xfrm>
                    <a:prstGeom prst="rect">
                      <a:avLst/>
                    </a:prstGeom>
                    <a:ln>
                      <a:noFill/>
                    </a:ln>
                    <a:extLst>
                      <a:ext uri="{53640926-AAD7-44D8-BBD7-CCE9431645EC}">
                        <a14:shadowObscured xmlns:a14="http://schemas.microsoft.com/office/drawing/2010/main"/>
                      </a:ext>
                    </a:extLst>
                  </pic:spPr>
                </pic:pic>
              </a:graphicData>
            </a:graphic>
          </wp:inline>
        </w:drawing>
      </w:r>
      <w:r w:rsidR="00A77EE0" w:rsidRPr="001A3C79" w:rsidDel="004C0051">
        <w:rPr>
          <w:rFonts w:cs="Arial"/>
          <w:i/>
          <w:noProof/>
          <w:sz w:val="16"/>
        </w:rPr>
        <w:t xml:space="preserve"> </w:t>
      </w:r>
    </w:p>
    <w:p w14:paraId="12FEE1FA" w14:textId="77777777" w:rsidR="00A77EE0" w:rsidRPr="001A3C79" w:rsidRDefault="00A77EE0" w:rsidP="00A77EE0">
      <w:pPr>
        <w:spacing w:before="80" w:after="0" w:line="240" w:lineRule="auto"/>
        <w:rPr>
          <w:rFonts w:cs="Arial"/>
          <w:i/>
          <w:sz w:val="16"/>
        </w:rPr>
      </w:pPr>
      <w:r w:rsidRPr="009C1BE9">
        <w:rPr>
          <w:rFonts w:cs="Arial"/>
          <w:i/>
          <w:sz w:val="16"/>
        </w:rPr>
        <w:t>Base: Australians aged 18 and over who had watched online video, excluding catch-up</w:t>
      </w:r>
      <w:r w:rsidR="00FB30C5">
        <w:rPr>
          <w:rFonts w:cs="Arial"/>
          <w:i/>
          <w:sz w:val="16"/>
        </w:rPr>
        <w:t>,</w:t>
      </w:r>
      <w:r w:rsidRPr="009C1BE9">
        <w:rPr>
          <w:rFonts w:cs="Arial"/>
          <w:i/>
          <w:sz w:val="16"/>
        </w:rPr>
        <w:t xml:space="preserve"> in the last six months (n=994).</w:t>
      </w:r>
    </w:p>
    <w:p w14:paraId="572FEC04"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2016.</w:t>
      </w:r>
    </w:p>
    <w:p w14:paraId="647E3822" w14:textId="77777777" w:rsidR="00A77EE0" w:rsidRPr="001A3C79" w:rsidRDefault="00A77EE0" w:rsidP="00A869AE">
      <w:pPr>
        <w:pStyle w:val="ACMASpaceaftertable"/>
      </w:pPr>
    </w:p>
    <w:p w14:paraId="593C52A8" w14:textId="77777777" w:rsidR="00A77EE0" w:rsidRPr="001A3C79" w:rsidRDefault="00A77EE0" w:rsidP="00A77EE0">
      <w:r w:rsidRPr="001A3C79">
        <w:t xml:space="preserve">In June 2016, Channel 7’s catch-up service Plus7 was the most watched service for FTA programs, with 54 per cent using the service in the last seven days, while 43 per cent watched Ten Play and 42 per cent ABC iView (Figure 3.9). </w:t>
      </w:r>
    </w:p>
    <w:p w14:paraId="7A3BDCDB" w14:textId="77777777" w:rsidR="00A77EE0" w:rsidRPr="001A3C79" w:rsidRDefault="00A77EE0" w:rsidP="00A77EE0">
      <w:pPr>
        <w:rPr>
          <w:noProof/>
        </w:rPr>
      </w:pPr>
      <w:r w:rsidRPr="001A3C79">
        <w:t xml:space="preserve">Almost 60 per cent of consumers 65 and over had watched ABC’s iView in </w:t>
      </w:r>
      <w:r w:rsidR="00DD6238">
        <w:t>the last seven days, while only </w:t>
      </w:r>
      <w:r w:rsidRPr="001A3C79">
        <w:t xml:space="preserve">19 per cent </w:t>
      </w:r>
      <w:r w:rsidR="00903549">
        <w:t xml:space="preserve">had </w:t>
      </w:r>
      <w:r w:rsidRPr="001A3C79">
        <w:t>watched 9Now. Plus7 was the most watched service for younger Australians aged 18</w:t>
      </w:r>
      <w:r w:rsidRPr="001A3C79">
        <w:rPr>
          <w:rFonts w:cs="Arial"/>
        </w:rPr>
        <w:t xml:space="preserve"> to </w:t>
      </w:r>
      <w:r w:rsidRPr="001A3C79">
        <w:t xml:space="preserve">34. </w:t>
      </w:r>
    </w:p>
    <w:p w14:paraId="6594B7FD" w14:textId="77777777" w:rsidR="00A77EE0" w:rsidRPr="001A3C79" w:rsidRDefault="00A77EE0" w:rsidP="00A869AE">
      <w:pPr>
        <w:keepNext/>
        <w:spacing w:after="160"/>
        <w:rPr>
          <w:b/>
          <w:bCs/>
          <w:color w:val="323232"/>
          <w:szCs w:val="20"/>
        </w:rPr>
      </w:pPr>
      <w:r w:rsidRPr="001A3C79">
        <w:rPr>
          <w:b/>
          <w:bCs/>
          <w:color w:val="323232"/>
          <w:szCs w:val="20"/>
        </w:rPr>
        <w:lastRenderedPageBreak/>
        <w:t>Figure 3.9</w:t>
      </w:r>
      <w:r w:rsidRPr="001A3C79">
        <w:rPr>
          <w:b/>
          <w:bCs/>
          <w:color w:val="323232"/>
          <w:szCs w:val="20"/>
        </w:rPr>
        <w:tab/>
        <w:t>Catch-up TV services used in the last seven days (percentage)</w:t>
      </w:r>
    </w:p>
    <w:p w14:paraId="15635D9F" w14:textId="77777777" w:rsidR="00A77EE0" w:rsidRPr="001A3C79" w:rsidRDefault="005006A1" w:rsidP="00A869AE">
      <w:pPr>
        <w:keepNext/>
        <w:spacing w:after="0"/>
        <w:rPr>
          <w:rFonts w:cs="Arial"/>
          <w:b/>
          <w:bCs/>
          <w:color w:val="323232"/>
        </w:rPr>
      </w:pPr>
      <w:r>
        <w:rPr>
          <w:rFonts w:cs="Arial"/>
          <w:b/>
          <w:bCs/>
          <w:noProof/>
          <w:color w:val="323232"/>
        </w:rPr>
        <w:drawing>
          <wp:inline distT="0" distB="0" distL="0" distR="0" wp14:anchorId="2CF8CDF4" wp14:editId="3126F4B6">
            <wp:extent cx="5294810" cy="1685122"/>
            <wp:effectExtent l="0" t="0" r="0" b="0"/>
            <wp:docPr id="103" name="Picture 103" descr="Data for Figure 3.9 is in the .ods file for Chapter 3 on the landing page ‘Communications report 2015-16’, available from the ACMA website." title="Figure 3.9  Catch-up services used in the last seven days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gure 3.9_Figure 3.9.png"/>
                    <pic:cNvPicPr/>
                  </pic:nvPicPr>
                  <pic:blipFill rotWithShape="1">
                    <a:blip r:embed="rId104">
                      <a:extLst>
                        <a:ext uri="{28A0092B-C50C-407E-A947-70E740481C1C}">
                          <a14:useLocalDpi xmlns:a14="http://schemas.microsoft.com/office/drawing/2010/main" val="0"/>
                        </a:ext>
                      </a:extLst>
                    </a:blip>
                    <a:srcRect/>
                    <a:stretch/>
                  </pic:blipFill>
                  <pic:spPr bwMode="auto">
                    <a:xfrm>
                      <a:off x="0" y="0"/>
                      <a:ext cx="5296955" cy="1685805"/>
                    </a:xfrm>
                    <a:prstGeom prst="rect">
                      <a:avLst/>
                    </a:prstGeom>
                    <a:ln>
                      <a:noFill/>
                    </a:ln>
                    <a:extLst>
                      <a:ext uri="{53640926-AAD7-44D8-BBD7-CCE9431645EC}">
                        <a14:shadowObscured xmlns:a14="http://schemas.microsoft.com/office/drawing/2010/main"/>
                      </a:ext>
                    </a:extLst>
                  </pic:spPr>
                </pic:pic>
              </a:graphicData>
            </a:graphic>
          </wp:inline>
        </w:drawing>
      </w:r>
      <w:r w:rsidR="00A77EE0" w:rsidRPr="001A3C79" w:rsidDel="004C0051">
        <w:rPr>
          <w:rFonts w:cs="Arial"/>
          <w:b/>
          <w:bCs/>
          <w:color w:val="323232"/>
        </w:rPr>
        <w:t xml:space="preserve"> </w:t>
      </w:r>
    </w:p>
    <w:p w14:paraId="200B6824" w14:textId="77777777" w:rsidR="00A77EE0" w:rsidRPr="001A3C79" w:rsidRDefault="00A77EE0" w:rsidP="00A77EE0">
      <w:pPr>
        <w:spacing w:before="80" w:after="0" w:line="240" w:lineRule="auto"/>
        <w:rPr>
          <w:rFonts w:cs="Arial"/>
          <w:i/>
          <w:sz w:val="16"/>
        </w:rPr>
      </w:pPr>
      <w:r w:rsidRPr="001A3C79">
        <w:rPr>
          <w:rFonts w:cs="Arial"/>
          <w:i/>
          <w:sz w:val="16"/>
        </w:rPr>
        <w:t>Base: Australians aged 18 and over who watched catch-up T</w:t>
      </w:r>
      <w:r w:rsidR="00DD6238">
        <w:rPr>
          <w:rFonts w:cs="Arial"/>
          <w:i/>
          <w:sz w:val="16"/>
        </w:rPr>
        <w:t>V for FTA programs in the last seven</w:t>
      </w:r>
      <w:r w:rsidRPr="001A3C79">
        <w:rPr>
          <w:rFonts w:cs="Arial"/>
          <w:i/>
          <w:sz w:val="16"/>
        </w:rPr>
        <w:t xml:space="preserve"> days (n=422).</w:t>
      </w:r>
    </w:p>
    <w:p w14:paraId="70A6FC93"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2016.</w:t>
      </w:r>
    </w:p>
    <w:p w14:paraId="513488E4" w14:textId="77777777" w:rsidR="00A77EE0" w:rsidRPr="001A3C79" w:rsidRDefault="00A77EE0" w:rsidP="00A869AE">
      <w:pPr>
        <w:pStyle w:val="ACMASpaceaftertable"/>
      </w:pPr>
    </w:p>
    <w:p w14:paraId="67746579" w14:textId="77777777" w:rsidR="00A77EE0" w:rsidRPr="001A3C79" w:rsidRDefault="00A77EE0" w:rsidP="00EA149D">
      <w:pPr>
        <w:pStyle w:val="Heading3"/>
      </w:pPr>
      <w:bookmarkStart w:id="625" w:name="_Toc462899613"/>
      <w:bookmarkStart w:id="626" w:name="_Toc463529108"/>
      <w:bookmarkStart w:id="627" w:name="_Toc465842934"/>
      <w:bookmarkStart w:id="628" w:name="_Toc433790360"/>
      <w:r w:rsidRPr="001A3C79">
        <w:t>Online viewer profile and perceived benefits</w:t>
      </w:r>
      <w:bookmarkEnd w:id="625"/>
      <w:bookmarkEnd w:id="626"/>
      <w:bookmarkEnd w:id="627"/>
    </w:p>
    <w:p w14:paraId="7765BA35" w14:textId="77777777" w:rsidR="00A77EE0" w:rsidRPr="001A3C79" w:rsidRDefault="00A77EE0" w:rsidP="00A77EE0">
      <w:r w:rsidRPr="001A3C79">
        <w:t xml:space="preserve">Younger people (aged 18 to 24) spent the largest proportion (43 per cent) of their viewing time watching online content (Figure 3.10). However, the total hours this age group </w:t>
      </w:r>
      <w:r w:rsidR="00B70D49">
        <w:t>had watched</w:t>
      </w:r>
      <w:r w:rsidR="00EE6E0D" w:rsidRPr="001A3C79">
        <w:t xml:space="preserve"> </w:t>
      </w:r>
      <w:r w:rsidRPr="001A3C79">
        <w:t>televi</w:t>
      </w:r>
      <w:r w:rsidR="00DD6238">
        <w:t>sion and online video combined wa</w:t>
      </w:r>
      <w:r w:rsidRPr="001A3C79">
        <w:t>s among the lowest—a reported 13 hours during the week prior to the survey.</w:t>
      </w:r>
    </w:p>
    <w:p w14:paraId="14A568A3" w14:textId="77777777" w:rsidR="00A77EE0" w:rsidRPr="001A3C79" w:rsidRDefault="00A77EE0" w:rsidP="00A77EE0">
      <w:r w:rsidRPr="001A3C79">
        <w:t>Industry research has reported that subscription video consumers are watching 30 minutes less commercial television than those without.</w:t>
      </w:r>
      <w:r w:rsidRPr="001A3C79">
        <w:rPr>
          <w:vertAlign w:val="superscript"/>
        </w:rPr>
        <w:endnoteReference w:id="176"/>
      </w:r>
    </w:p>
    <w:p w14:paraId="28ABDF8D" w14:textId="77777777" w:rsidR="00A77EE0" w:rsidRDefault="00A77EE0" w:rsidP="00A869AE">
      <w:pPr>
        <w:keepNext/>
        <w:spacing w:after="160"/>
        <w:ind w:left="1134" w:hanging="1134"/>
        <w:rPr>
          <w:b/>
          <w:bCs/>
          <w:color w:val="323232"/>
          <w:szCs w:val="20"/>
        </w:rPr>
      </w:pPr>
      <w:r w:rsidRPr="001A3C79">
        <w:rPr>
          <w:b/>
          <w:bCs/>
          <w:color w:val="323232"/>
          <w:szCs w:val="20"/>
        </w:rPr>
        <w:lastRenderedPageBreak/>
        <w:t>Figure 3.10</w:t>
      </w:r>
      <w:r w:rsidRPr="001A3C79">
        <w:rPr>
          <w:b/>
          <w:bCs/>
          <w:color w:val="323232"/>
          <w:szCs w:val="20"/>
        </w:rPr>
        <w:tab/>
        <w:t>Time spent watching television (live or recorded) and online video content in the last seven days</w:t>
      </w:r>
    </w:p>
    <w:p w14:paraId="64ABEFC0" w14:textId="77777777" w:rsidR="005006A1" w:rsidRDefault="005006A1" w:rsidP="00A869AE">
      <w:pPr>
        <w:keepNext/>
        <w:spacing w:after="160"/>
        <w:ind w:left="1134" w:hanging="1134"/>
        <w:rPr>
          <w:b/>
          <w:bCs/>
          <w:color w:val="323232"/>
          <w:szCs w:val="20"/>
        </w:rPr>
      </w:pPr>
      <w:r>
        <w:rPr>
          <w:b/>
          <w:bCs/>
          <w:noProof/>
          <w:color w:val="323232"/>
          <w:szCs w:val="20"/>
        </w:rPr>
        <w:drawing>
          <wp:inline distT="0" distB="0" distL="0" distR="0" wp14:anchorId="42642429" wp14:editId="753B4EEF">
            <wp:extent cx="5905500" cy="4053385"/>
            <wp:effectExtent l="0" t="0" r="0" b="4445"/>
            <wp:docPr id="105" name="Picture 105" descr="Data for Figure 3.10 is in the .ods file for Chapter 3 on the landing page ‘Communications report 2015-16’, available from the ACMA website." title="Figure 3.10 Time spent watching television (live or recorded) and online video content in the last seven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ure 3.10_Figure 3.10.png"/>
                    <pic:cNvPicPr/>
                  </pic:nvPicPr>
                  <pic:blipFill rotWithShape="1">
                    <a:blip r:embed="rId105">
                      <a:extLst>
                        <a:ext uri="{28A0092B-C50C-407E-A947-70E740481C1C}">
                          <a14:useLocalDpi xmlns:a14="http://schemas.microsoft.com/office/drawing/2010/main" val="0"/>
                        </a:ext>
                      </a:extLst>
                    </a:blip>
                    <a:srcRect l="575" t="496" b="1438"/>
                    <a:stretch/>
                  </pic:blipFill>
                  <pic:spPr bwMode="auto">
                    <a:xfrm>
                      <a:off x="0" y="0"/>
                      <a:ext cx="5906301" cy="4053935"/>
                    </a:xfrm>
                    <a:prstGeom prst="rect">
                      <a:avLst/>
                    </a:prstGeom>
                    <a:ln>
                      <a:noFill/>
                    </a:ln>
                    <a:extLst>
                      <a:ext uri="{53640926-AAD7-44D8-BBD7-CCE9431645EC}">
                        <a14:shadowObscured xmlns:a14="http://schemas.microsoft.com/office/drawing/2010/main"/>
                      </a:ext>
                    </a:extLst>
                  </pic:spPr>
                </pic:pic>
              </a:graphicData>
            </a:graphic>
          </wp:inline>
        </w:drawing>
      </w:r>
    </w:p>
    <w:p w14:paraId="33197630" w14:textId="77777777" w:rsidR="00A77EE0" w:rsidRPr="001A3C79" w:rsidRDefault="00A77EE0" w:rsidP="002C592F">
      <w:pPr>
        <w:keepNext/>
        <w:spacing w:before="120" w:after="0"/>
        <w:rPr>
          <w:rFonts w:cs="Arial"/>
          <w:i/>
          <w:sz w:val="16"/>
        </w:rPr>
      </w:pPr>
      <w:r w:rsidRPr="001A3C79">
        <w:rPr>
          <w:rFonts w:cs="Arial"/>
          <w:i/>
          <w:sz w:val="16"/>
        </w:rPr>
        <w:t>Base: Australians aged 18 and over. Ages: 18–24 (n=202), 25–34 (n=294), 35–44 (n=301), 45–54 (n=343), 55–64 (n=360), 65 and over (n=507).</w:t>
      </w:r>
    </w:p>
    <w:p w14:paraId="72D7D651" w14:textId="77777777" w:rsidR="00A77EE0" w:rsidRPr="001A3C79" w:rsidRDefault="00A77EE0" w:rsidP="00A77EE0">
      <w:pPr>
        <w:spacing w:before="80" w:after="0" w:line="240" w:lineRule="auto"/>
        <w:rPr>
          <w:rFonts w:cs="Arial"/>
          <w:i/>
          <w:sz w:val="16"/>
        </w:rPr>
      </w:pPr>
      <w:r w:rsidRPr="001A3C79">
        <w:rPr>
          <w:rFonts w:cs="Arial"/>
          <w:i/>
          <w:sz w:val="16"/>
        </w:rPr>
        <w:t>Note: Numbers may not add up to category totals due to rounding. Online (catch-up TV, subscription and free video content) excludes user-generated content.</w:t>
      </w:r>
    </w:p>
    <w:p w14:paraId="5D45DB2F"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w:t>
      </w:r>
      <w:r w:rsidR="00032760">
        <w:rPr>
          <w:rFonts w:cs="Arial"/>
          <w:i/>
          <w:sz w:val="16"/>
        </w:rPr>
        <w:t>6</w:t>
      </w:r>
      <w:r w:rsidRPr="001A3C79">
        <w:rPr>
          <w:rFonts w:cs="Arial"/>
          <w:i/>
          <w:sz w:val="16"/>
        </w:rPr>
        <w:t>.</w:t>
      </w:r>
    </w:p>
    <w:p w14:paraId="5BF67A5B" w14:textId="77777777" w:rsidR="00A77EE0" w:rsidRPr="001A3C79" w:rsidRDefault="00A77EE0" w:rsidP="008E4CB3">
      <w:pPr>
        <w:pStyle w:val="ACMASpaceaftertable"/>
      </w:pPr>
    </w:p>
    <w:bookmarkEnd w:id="628"/>
    <w:p w14:paraId="19C0DE8F" w14:textId="77777777" w:rsidR="00A77EE0" w:rsidRPr="001A3C79" w:rsidRDefault="00A77EE0" w:rsidP="00A77EE0">
      <w:pPr>
        <w:spacing w:after="80"/>
      </w:pPr>
      <w:r w:rsidRPr="001A3C79">
        <w:t xml:space="preserve">Viewers of online content say that convenience, cost and flexibility are the top three benefits of accessing video content online (Figure 3.11). Of adults who watched online content: </w:t>
      </w:r>
    </w:p>
    <w:p w14:paraId="1726E433" w14:textId="77777777" w:rsidR="00A77EE0" w:rsidRPr="009C1BE9" w:rsidRDefault="00A77EE0" w:rsidP="00EA149D">
      <w:pPr>
        <w:pStyle w:val="ListBullet"/>
      </w:pPr>
      <w:r w:rsidRPr="009C1BE9">
        <w:t>Convenience (‘can watch whenever I want’) was the main perceived benefit for 54 per cent of viewers.</w:t>
      </w:r>
    </w:p>
    <w:p w14:paraId="4A0D409C" w14:textId="77777777" w:rsidR="00A77EE0" w:rsidRPr="009C1BE9" w:rsidRDefault="00A77EE0" w:rsidP="00EA149D">
      <w:pPr>
        <w:pStyle w:val="ListBullet"/>
      </w:pPr>
      <w:r w:rsidRPr="009C1BE9">
        <w:t>Cost or the absence of a contract was a benefit for 47 per cent of viewers.</w:t>
      </w:r>
    </w:p>
    <w:p w14:paraId="79747078" w14:textId="77777777" w:rsidR="00A77EE0" w:rsidRPr="009C1BE9" w:rsidRDefault="00A77EE0" w:rsidP="00EA149D">
      <w:pPr>
        <w:pStyle w:val="ListBulletLast"/>
      </w:pPr>
      <w:r w:rsidRPr="009C1BE9">
        <w:t xml:space="preserve">Flexibility and the ability to stop, skip and pause were a benefit for 45 per cent of viewers. </w:t>
      </w:r>
    </w:p>
    <w:p w14:paraId="030B9698" w14:textId="77777777" w:rsidR="00A77EE0" w:rsidRPr="001A3C79" w:rsidRDefault="00A77EE0" w:rsidP="008E4CB3">
      <w:pPr>
        <w:keepNext/>
        <w:spacing w:after="160"/>
        <w:rPr>
          <w:b/>
          <w:bCs/>
          <w:color w:val="323232"/>
          <w:szCs w:val="20"/>
        </w:rPr>
      </w:pPr>
      <w:r w:rsidRPr="001A3C79">
        <w:rPr>
          <w:b/>
          <w:bCs/>
          <w:color w:val="323232"/>
          <w:szCs w:val="20"/>
        </w:rPr>
        <w:lastRenderedPageBreak/>
        <w:t>Figure 3.11</w:t>
      </w:r>
      <w:r w:rsidRPr="001A3C79">
        <w:rPr>
          <w:b/>
          <w:bCs/>
          <w:color w:val="323232"/>
          <w:szCs w:val="20"/>
        </w:rPr>
        <w:tab/>
        <w:t xml:space="preserve">Main benefits of accessing video content online (percentage) </w:t>
      </w:r>
    </w:p>
    <w:p w14:paraId="6E9D0761" w14:textId="7F50247A" w:rsidR="00A77EE0" w:rsidRPr="001A3C79" w:rsidRDefault="005006A1" w:rsidP="00A77EE0">
      <w:pPr>
        <w:keepNext/>
        <w:spacing w:after="0"/>
        <w:rPr>
          <w:rFonts w:cs="Arial"/>
          <w:b/>
          <w:bCs/>
          <w:color w:val="323232"/>
        </w:rPr>
      </w:pPr>
      <w:r>
        <w:rPr>
          <w:rFonts w:cs="Arial"/>
          <w:b/>
          <w:bCs/>
          <w:noProof/>
          <w:color w:val="323232"/>
        </w:rPr>
        <w:drawing>
          <wp:inline distT="0" distB="0" distL="0" distR="0" wp14:anchorId="2BCCC0EE" wp14:editId="5B39C7EB">
            <wp:extent cx="5789295" cy="4954137"/>
            <wp:effectExtent l="0" t="0" r="0" b="0"/>
            <wp:docPr id="106" name="Picture 106" descr="Data for Figure 3.11 is in the .ods file for Chapter 3 on the landing page ‘Communications report 2015-16’, available from the ACMA website." title="Figure 3.11  Main benefits of accessing video content online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igure 3.11_Figure 3.11.png"/>
                    <pic:cNvPicPr/>
                  </pic:nvPicPr>
                  <pic:blipFill rotWithShape="1">
                    <a:blip r:embed="rId106">
                      <a:extLst>
                        <a:ext uri="{28A0092B-C50C-407E-A947-70E740481C1C}">
                          <a14:useLocalDpi xmlns:a14="http://schemas.microsoft.com/office/drawing/2010/main" val="0"/>
                        </a:ext>
                      </a:extLst>
                    </a:blip>
                    <a:srcRect/>
                    <a:stretch/>
                  </pic:blipFill>
                  <pic:spPr bwMode="auto">
                    <a:xfrm>
                      <a:off x="0" y="0"/>
                      <a:ext cx="5790284" cy="4954983"/>
                    </a:xfrm>
                    <a:prstGeom prst="rect">
                      <a:avLst/>
                    </a:prstGeom>
                    <a:ln>
                      <a:noFill/>
                    </a:ln>
                    <a:extLst>
                      <a:ext uri="{53640926-AAD7-44D8-BBD7-CCE9431645EC}">
                        <a14:shadowObscured xmlns:a14="http://schemas.microsoft.com/office/drawing/2010/main"/>
                      </a:ext>
                    </a:extLst>
                  </pic:spPr>
                </pic:pic>
              </a:graphicData>
            </a:graphic>
          </wp:inline>
        </w:drawing>
      </w:r>
    </w:p>
    <w:p w14:paraId="1930FCFE" w14:textId="77777777" w:rsidR="00A77EE0" w:rsidRPr="001A3C79" w:rsidRDefault="00A77EE0" w:rsidP="008F68BF">
      <w:pPr>
        <w:spacing w:before="120" w:after="0" w:line="240" w:lineRule="auto"/>
        <w:rPr>
          <w:rFonts w:cs="Arial"/>
          <w:i/>
          <w:sz w:val="16"/>
        </w:rPr>
      </w:pPr>
      <w:r w:rsidRPr="009C1BE9">
        <w:rPr>
          <w:rFonts w:cs="Arial"/>
          <w:i/>
          <w:sz w:val="16"/>
        </w:rPr>
        <w:t>Base: Australians aged 18 and over and those who watched online video in the last six months (n=1</w:t>
      </w:r>
      <w:r w:rsidR="00FB30C5">
        <w:rPr>
          <w:rFonts w:cs="Arial"/>
          <w:i/>
          <w:sz w:val="16"/>
        </w:rPr>
        <w:t>,</w:t>
      </w:r>
      <w:r w:rsidRPr="009C1BE9">
        <w:rPr>
          <w:rFonts w:cs="Arial"/>
          <w:i/>
          <w:sz w:val="16"/>
        </w:rPr>
        <w:t>219).</w:t>
      </w:r>
      <w:r w:rsidRPr="001A3C79">
        <w:rPr>
          <w:rFonts w:cs="Arial"/>
          <w:i/>
          <w:sz w:val="16"/>
        </w:rPr>
        <w:t xml:space="preserve"> </w:t>
      </w:r>
    </w:p>
    <w:p w14:paraId="07666449"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2016.</w:t>
      </w:r>
    </w:p>
    <w:p w14:paraId="7E21E6FC" w14:textId="77777777" w:rsidR="00A77EE0" w:rsidRPr="001A3C79" w:rsidRDefault="00A77EE0" w:rsidP="008E4CB3">
      <w:pPr>
        <w:pStyle w:val="ACMASpaceaftertable"/>
      </w:pPr>
    </w:p>
    <w:p w14:paraId="75A740AA" w14:textId="77777777" w:rsidR="00A77EE0" w:rsidRPr="001A3C79" w:rsidRDefault="00A77EE0" w:rsidP="00EA149D">
      <w:pPr>
        <w:pStyle w:val="Heading3"/>
      </w:pPr>
      <w:bookmarkStart w:id="629" w:name="_Toc462899614"/>
      <w:bookmarkStart w:id="630" w:name="_Toc433790361"/>
      <w:bookmarkStart w:id="631" w:name="_Toc463529109"/>
      <w:bookmarkStart w:id="632" w:name="_Toc465842935"/>
      <w:r w:rsidRPr="001A3C79">
        <w:t>Technical experience</w:t>
      </w:r>
      <w:bookmarkEnd w:id="629"/>
      <w:bookmarkEnd w:id="630"/>
      <w:bookmarkEnd w:id="631"/>
      <w:bookmarkEnd w:id="632"/>
    </w:p>
    <w:p w14:paraId="2C68A1FC" w14:textId="77777777" w:rsidR="00A77EE0" w:rsidRPr="001A3C79" w:rsidRDefault="00A77EE0" w:rsidP="00A77EE0">
      <w:r w:rsidRPr="001A3C79">
        <w:t>Ease of use and satisfaction with technical quality are important to consumers. While almost half of the respondents (48 per cent) who had watched streaming video reported that they had a problem in the last seven days, 86 per cent said that they were satisfied or very satisfied with the quality of online video.</w:t>
      </w:r>
    </w:p>
    <w:p w14:paraId="451B0D80" w14:textId="77777777" w:rsidR="00A77EE0" w:rsidRPr="001A3C79" w:rsidRDefault="00A77EE0" w:rsidP="00B96C52">
      <w:pPr>
        <w:keepNext/>
        <w:keepLines/>
        <w:spacing w:after="160"/>
        <w:rPr>
          <w:b/>
          <w:bCs/>
          <w:color w:val="323232"/>
          <w:szCs w:val="20"/>
        </w:rPr>
      </w:pPr>
      <w:r w:rsidRPr="001A3C79">
        <w:rPr>
          <w:b/>
          <w:bCs/>
          <w:color w:val="323232"/>
          <w:szCs w:val="20"/>
        </w:rPr>
        <w:lastRenderedPageBreak/>
        <w:t>Table 3.1</w:t>
      </w:r>
      <w:r w:rsidRPr="001A3C79">
        <w:rPr>
          <w:b/>
          <w:bCs/>
          <w:color w:val="323232"/>
          <w:szCs w:val="20"/>
        </w:rPr>
        <w:tab/>
        <w:t>Satisfaction with technical quality of online video, including catch-up TV services</w:t>
      </w:r>
    </w:p>
    <w:tbl>
      <w:tblPr>
        <w:tblStyle w:val="Commsreport2014-15TABLE2"/>
        <w:tblW w:w="7483" w:type="dxa"/>
        <w:tblCellMar>
          <w:top w:w="57" w:type="dxa"/>
          <w:left w:w="57" w:type="dxa"/>
          <w:bottom w:w="57" w:type="dxa"/>
          <w:right w:w="57" w:type="dxa"/>
        </w:tblCellMar>
        <w:tblLook w:val="04A0" w:firstRow="1" w:lastRow="0" w:firstColumn="1" w:lastColumn="0" w:noHBand="0" w:noVBand="1"/>
        <w:tblCaption w:val="Table 3.1  Satisfaction with technical quality of online video, including catch-up TV services"/>
      </w:tblPr>
      <w:tblGrid>
        <w:gridCol w:w="2989"/>
        <w:gridCol w:w="4494"/>
      </w:tblGrid>
      <w:tr w:rsidR="00A77EE0" w:rsidRPr="009573A6" w14:paraId="08A534A9" w14:textId="77777777" w:rsidTr="009573A6">
        <w:trPr>
          <w:cnfStyle w:val="100000000000" w:firstRow="1" w:lastRow="0" w:firstColumn="0" w:lastColumn="0" w:oddVBand="0" w:evenVBand="0" w:oddHBand="0" w:evenHBand="0" w:firstRowFirstColumn="0" w:firstRowLastColumn="0" w:lastRowFirstColumn="0" w:lastRowLastColumn="0"/>
          <w:cantSplit/>
          <w:trHeight w:val="199"/>
          <w:tblHeader/>
        </w:trPr>
        <w:tc>
          <w:tcPr>
            <w:cnfStyle w:val="001000000000" w:firstRow="0" w:lastRow="0" w:firstColumn="1" w:lastColumn="0" w:oddVBand="0" w:evenVBand="0" w:oddHBand="0" w:evenHBand="0" w:firstRowFirstColumn="0" w:firstRowLastColumn="0" w:lastRowFirstColumn="0" w:lastRowLastColumn="0"/>
            <w:tcW w:w="2989" w:type="dxa"/>
            <w:shd w:val="clear" w:color="auto" w:fill="auto"/>
          </w:tcPr>
          <w:p w14:paraId="39E1AFE2" w14:textId="77777777" w:rsidR="00A77EE0" w:rsidRPr="009573A6" w:rsidRDefault="00A77EE0" w:rsidP="009573A6">
            <w:pPr>
              <w:pStyle w:val="TableHeading"/>
              <w:rPr>
                <w:b/>
              </w:rPr>
            </w:pPr>
          </w:p>
        </w:tc>
        <w:tc>
          <w:tcPr>
            <w:tcW w:w="4494" w:type="dxa"/>
            <w:shd w:val="clear" w:color="auto" w:fill="007298"/>
          </w:tcPr>
          <w:p w14:paraId="2225366A"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9573A6">
              <w:rPr>
                <w:b/>
              </w:rPr>
              <w:t>Technical quality satisfaction (%)</w:t>
            </w:r>
          </w:p>
        </w:tc>
      </w:tr>
      <w:tr w:rsidR="00A77EE0" w:rsidRPr="001A3C79" w14:paraId="5866F159" w14:textId="77777777" w:rsidTr="0063439E">
        <w:trPr>
          <w:cantSplit/>
          <w:trHeight w:val="23"/>
        </w:trPr>
        <w:tc>
          <w:tcPr>
            <w:cnfStyle w:val="001000000000" w:firstRow="0" w:lastRow="0" w:firstColumn="1" w:lastColumn="0" w:oddVBand="0" w:evenVBand="0" w:oddHBand="0" w:evenHBand="0" w:firstRowFirstColumn="0" w:firstRowLastColumn="0" w:lastRowFirstColumn="0" w:lastRowLastColumn="0"/>
            <w:tcW w:w="2989" w:type="dxa"/>
            <w:shd w:val="clear" w:color="auto" w:fill="7FB8CB"/>
            <w:vAlign w:val="bottom"/>
          </w:tcPr>
          <w:p w14:paraId="44E1FB0E" w14:textId="77777777" w:rsidR="00A77EE0" w:rsidRPr="008E419C" w:rsidRDefault="00A77EE0" w:rsidP="00B96C52">
            <w:pPr>
              <w:keepNext/>
              <w:keepLines/>
              <w:spacing w:after="0"/>
              <w:rPr>
                <w:color w:val="FFFFFF" w:themeColor="background1"/>
              </w:rPr>
            </w:pPr>
            <w:r w:rsidRPr="008E419C">
              <w:rPr>
                <w:color w:val="FFFFFF" w:themeColor="background1"/>
              </w:rPr>
              <w:t>Very satisfied</w:t>
            </w:r>
          </w:p>
        </w:tc>
        <w:tc>
          <w:tcPr>
            <w:tcW w:w="4494" w:type="dxa"/>
            <w:shd w:val="clear" w:color="auto" w:fill="D2E1E9"/>
            <w:vAlign w:val="bottom"/>
          </w:tcPr>
          <w:p w14:paraId="2C6922C0" w14:textId="77777777" w:rsidR="00A77EE0" w:rsidRPr="001A3C79" w:rsidRDefault="00A77EE0" w:rsidP="00B96C52">
            <w:pPr>
              <w:keepNext/>
              <w:keepLines/>
              <w:spacing w:after="0"/>
              <w:cnfStyle w:val="000000000000" w:firstRow="0" w:lastRow="0" w:firstColumn="0" w:lastColumn="0" w:oddVBand="0" w:evenVBand="0" w:oddHBand="0" w:evenHBand="0" w:firstRowFirstColumn="0" w:firstRowLastColumn="0" w:lastRowFirstColumn="0" w:lastRowLastColumn="0"/>
            </w:pPr>
            <w:r w:rsidRPr="001A3C79">
              <w:t>38</w:t>
            </w:r>
          </w:p>
        </w:tc>
      </w:tr>
      <w:tr w:rsidR="00A77EE0" w:rsidRPr="001A3C79" w14:paraId="63D89D3F" w14:textId="77777777" w:rsidTr="0063439E">
        <w:trPr>
          <w:cantSplit/>
          <w:trHeight w:val="23"/>
        </w:trPr>
        <w:tc>
          <w:tcPr>
            <w:cnfStyle w:val="001000000000" w:firstRow="0" w:lastRow="0" w:firstColumn="1" w:lastColumn="0" w:oddVBand="0" w:evenVBand="0" w:oddHBand="0" w:evenHBand="0" w:firstRowFirstColumn="0" w:firstRowLastColumn="0" w:lastRowFirstColumn="0" w:lastRowLastColumn="0"/>
            <w:tcW w:w="2989" w:type="dxa"/>
            <w:shd w:val="clear" w:color="auto" w:fill="7FB8CB"/>
            <w:vAlign w:val="bottom"/>
          </w:tcPr>
          <w:p w14:paraId="0045B5C2" w14:textId="77777777" w:rsidR="00A77EE0" w:rsidRPr="008E419C" w:rsidRDefault="00A77EE0" w:rsidP="00B96C52">
            <w:pPr>
              <w:keepNext/>
              <w:keepLines/>
              <w:spacing w:after="0"/>
              <w:rPr>
                <w:color w:val="FFFFFF" w:themeColor="background1"/>
              </w:rPr>
            </w:pPr>
            <w:r w:rsidRPr="008E419C">
              <w:rPr>
                <w:color w:val="FFFFFF" w:themeColor="background1"/>
              </w:rPr>
              <w:t>Satisfied</w:t>
            </w:r>
          </w:p>
        </w:tc>
        <w:tc>
          <w:tcPr>
            <w:tcW w:w="4494" w:type="dxa"/>
            <w:shd w:val="clear" w:color="auto" w:fill="D2E1E9"/>
            <w:vAlign w:val="bottom"/>
          </w:tcPr>
          <w:p w14:paraId="0D5A7F77" w14:textId="77777777" w:rsidR="00A77EE0" w:rsidRPr="001A3C79" w:rsidRDefault="00A77EE0" w:rsidP="00B96C52">
            <w:pPr>
              <w:keepNext/>
              <w:keepLines/>
              <w:spacing w:after="0"/>
              <w:cnfStyle w:val="000000000000" w:firstRow="0" w:lastRow="0" w:firstColumn="0" w:lastColumn="0" w:oddVBand="0" w:evenVBand="0" w:oddHBand="0" w:evenHBand="0" w:firstRowFirstColumn="0" w:firstRowLastColumn="0" w:lastRowFirstColumn="0" w:lastRowLastColumn="0"/>
            </w:pPr>
            <w:r w:rsidRPr="001A3C79">
              <w:t>48</w:t>
            </w:r>
          </w:p>
        </w:tc>
      </w:tr>
      <w:tr w:rsidR="00A77EE0" w:rsidRPr="008E419C" w14:paraId="2E730F81" w14:textId="77777777" w:rsidTr="0063439E">
        <w:trPr>
          <w:cantSplit/>
          <w:trHeight w:val="46"/>
        </w:trPr>
        <w:tc>
          <w:tcPr>
            <w:cnfStyle w:val="001000000000" w:firstRow="0" w:lastRow="0" w:firstColumn="1" w:lastColumn="0" w:oddVBand="0" w:evenVBand="0" w:oddHBand="0" w:evenHBand="0" w:firstRowFirstColumn="0" w:firstRowLastColumn="0" w:lastRowFirstColumn="0" w:lastRowLastColumn="0"/>
            <w:tcW w:w="2989" w:type="dxa"/>
            <w:shd w:val="clear" w:color="auto" w:fill="7FB8CB"/>
            <w:vAlign w:val="bottom"/>
          </w:tcPr>
          <w:p w14:paraId="081557C2" w14:textId="77777777" w:rsidR="00A77EE0" w:rsidRPr="008E419C" w:rsidRDefault="00A77EE0" w:rsidP="00B96C52">
            <w:pPr>
              <w:keepNext/>
              <w:keepLines/>
              <w:spacing w:after="0"/>
              <w:rPr>
                <w:color w:val="FFFFFF" w:themeColor="background1"/>
              </w:rPr>
            </w:pPr>
            <w:r w:rsidRPr="008E419C">
              <w:rPr>
                <w:b/>
                <w:color w:val="FFFFFF" w:themeColor="background1"/>
              </w:rPr>
              <w:t>Total satisfied</w:t>
            </w:r>
          </w:p>
        </w:tc>
        <w:tc>
          <w:tcPr>
            <w:tcW w:w="4494" w:type="dxa"/>
            <w:shd w:val="clear" w:color="auto" w:fill="7FB8CB"/>
            <w:vAlign w:val="bottom"/>
          </w:tcPr>
          <w:p w14:paraId="35D45950" w14:textId="77777777" w:rsidR="00A77EE0" w:rsidRPr="008E419C" w:rsidRDefault="00A77EE0" w:rsidP="00B96C52">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rPr>
            </w:pPr>
            <w:r w:rsidRPr="008E419C">
              <w:rPr>
                <w:b/>
                <w:color w:val="FFFFFF" w:themeColor="background1"/>
              </w:rPr>
              <w:t>86</w:t>
            </w:r>
          </w:p>
        </w:tc>
      </w:tr>
      <w:tr w:rsidR="00A77EE0" w:rsidRPr="001A3C79" w14:paraId="5A23D243" w14:textId="77777777" w:rsidTr="0063439E">
        <w:trPr>
          <w:cantSplit/>
          <w:trHeight w:val="23"/>
        </w:trPr>
        <w:tc>
          <w:tcPr>
            <w:cnfStyle w:val="001000000000" w:firstRow="0" w:lastRow="0" w:firstColumn="1" w:lastColumn="0" w:oddVBand="0" w:evenVBand="0" w:oddHBand="0" w:evenHBand="0" w:firstRowFirstColumn="0" w:firstRowLastColumn="0" w:lastRowFirstColumn="0" w:lastRowLastColumn="0"/>
            <w:tcW w:w="2989" w:type="dxa"/>
            <w:shd w:val="clear" w:color="auto" w:fill="7FB8CB"/>
            <w:vAlign w:val="bottom"/>
          </w:tcPr>
          <w:p w14:paraId="0F269F9C" w14:textId="77777777" w:rsidR="00A77EE0" w:rsidRPr="008E419C" w:rsidRDefault="00A77EE0" w:rsidP="00B96C52">
            <w:pPr>
              <w:keepNext/>
              <w:keepLines/>
              <w:spacing w:after="0"/>
              <w:rPr>
                <w:color w:val="FFFFFF" w:themeColor="background1"/>
              </w:rPr>
            </w:pPr>
            <w:r w:rsidRPr="008E419C">
              <w:rPr>
                <w:color w:val="FFFFFF" w:themeColor="background1"/>
              </w:rPr>
              <w:t>Dissatisfied</w:t>
            </w:r>
          </w:p>
        </w:tc>
        <w:tc>
          <w:tcPr>
            <w:tcW w:w="4494" w:type="dxa"/>
            <w:shd w:val="clear" w:color="auto" w:fill="D2E1E9"/>
            <w:vAlign w:val="bottom"/>
          </w:tcPr>
          <w:p w14:paraId="57C5CBAF" w14:textId="77777777" w:rsidR="00A77EE0" w:rsidRPr="001A3C79" w:rsidRDefault="00A77EE0" w:rsidP="00B96C52">
            <w:pPr>
              <w:keepNext/>
              <w:keepLines/>
              <w:spacing w:after="0"/>
              <w:cnfStyle w:val="000000000000" w:firstRow="0" w:lastRow="0" w:firstColumn="0" w:lastColumn="0" w:oddVBand="0" w:evenVBand="0" w:oddHBand="0" w:evenHBand="0" w:firstRowFirstColumn="0" w:firstRowLastColumn="0" w:lastRowFirstColumn="0" w:lastRowLastColumn="0"/>
            </w:pPr>
            <w:r w:rsidRPr="001A3C79">
              <w:t>8</w:t>
            </w:r>
          </w:p>
        </w:tc>
      </w:tr>
      <w:tr w:rsidR="00A77EE0" w:rsidRPr="001A3C79" w14:paraId="74088743" w14:textId="77777777" w:rsidTr="0063439E">
        <w:trPr>
          <w:cantSplit/>
          <w:trHeight w:val="23"/>
        </w:trPr>
        <w:tc>
          <w:tcPr>
            <w:cnfStyle w:val="001000000000" w:firstRow="0" w:lastRow="0" w:firstColumn="1" w:lastColumn="0" w:oddVBand="0" w:evenVBand="0" w:oddHBand="0" w:evenHBand="0" w:firstRowFirstColumn="0" w:firstRowLastColumn="0" w:lastRowFirstColumn="0" w:lastRowLastColumn="0"/>
            <w:tcW w:w="2989" w:type="dxa"/>
            <w:tcBorders>
              <w:bottom w:val="single" w:sz="24" w:space="0" w:color="FFFFFF"/>
            </w:tcBorders>
            <w:shd w:val="clear" w:color="auto" w:fill="7FB8CB"/>
            <w:vAlign w:val="bottom"/>
          </w:tcPr>
          <w:p w14:paraId="2B463E71" w14:textId="77777777" w:rsidR="00A77EE0" w:rsidRPr="008E419C" w:rsidRDefault="00A77EE0" w:rsidP="00B96C52">
            <w:pPr>
              <w:keepNext/>
              <w:keepLines/>
              <w:spacing w:after="0"/>
              <w:rPr>
                <w:color w:val="FFFFFF" w:themeColor="background1"/>
              </w:rPr>
            </w:pPr>
            <w:r w:rsidRPr="008E419C">
              <w:rPr>
                <w:color w:val="FFFFFF" w:themeColor="background1"/>
              </w:rPr>
              <w:t>Very dissatisfied</w:t>
            </w:r>
          </w:p>
        </w:tc>
        <w:tc>
          <w:tcPr>
            <w:tcW w:w="4494" w:type="dxa"/>
            <w:tcBorders>
              <w:bottom w:val="single" w:sz="24" w:space="0" w:color="FFFFFF"/>
            </w:tcBorders>
            <w:shd w:val="clear" w:color="auto" w:fill="D2E1E9"/>
            <w:vAlign w:val="bottom"/>
          </w:tcPr>
          <w:p w14:paraId="40D63052" w14:textId="77777777" w:rsidR="00A77EE0" w:rsidRPr="001A3C79" w:rsidRDefault="00A77EE0" w:rsidP="00B96C52">
            <w:pPr>
              <w:keepNext/>
              <w:keepLines/>
              <w:spacing w:after="0"/>
              <w:cnfStyle w:val="000000000000" w:firstRow="0" w:lastRow="0" w:firstColumn="0" w:lastColumn="0" w:oddVBand="0" w:evenVBand="0" w:oddHBand="0" w:evenHBand="0" w:firstRowFirstColumn="0" w:firstRowLastColumn="0" w:lastRowFirstColumn="0" w:lastRowLastColumn="0"/>
            </w:pPr>
            <w:r w:rsidRPr="001A3C79">
              <w:t>3</w:t>
            </w:r>
          </w:p>
        </w:tc>
      </w:tr>
      <w:tr w:rsidR="00A77EE0" w:rsidRPr="001A3C79" w14:paraId="67341428" w14:textId="77777777" w:rsidTr="0063439E">
        <w:trPr>
          <w:cantSplit/>
          <w:trHeight w:val="23"/>
        </w:trPr>
        <w:tc>
          <w:tcPr>
            <w:cnfStyle w:val="001000000000" w:firstRow="0" w:lastRow="0" w:firstColumn="1" w:lastColumn="0" w:oddVBand="0" w:evenVBand="0" w:oddHBand="0" w:evenHBand="0" w:firstRowFirstColumn="0" w:firstRowLastColumn="0" w:lastRowFirstColumn="0" w:lastRowLastColumn="0"/>
            <w:tcW w:w="2989" w:type="dxa"/>
            <w:shd w:val="clear" w:color="auto" w:fill="7FB8CB"/>
            <w:vAlign w:val="bottom"/>
          </w:tcPr>
          <w:p w14:paraId="063A0E81" w14:textId="77777777" w:rsidR="00A77EE0" w:rsidRPr="008E419C" w:rsidRDefault="00A77EE0" w:rsidP="00B96C52">
            <w:pPr>
              <w:keepNext/>
              <w:keepLines/>
              <w:spacing w:after="0"/>
              <w:rPr>
                <w:color w:val="FFFFFF" w:themeColor="background1"/>
              </w:rPr>
            </w:pPr>
            <w:r w:rsidRPr="008E419C">
              <w:rPr>
                <w:b/>
                <w:color w:val="FFFFFF" w:themeColor="background1"/>
              </w:rPr>
              <w:t>Total dissatisfied</w:t>
            </w:r>
          </w:p>
        </w:tc>
        <w:tc>
          <w:tcPr>
            <w:tcW w:w="4494" w:type="dxa"/>
            <w:shd w:val="clear" w:color="auto" w:fill="7FB8CB"/>
            <w:vAlign w:val="bottom"/>
          </w:tcPr>
          <w:p w14:paraId="7C4B1365" w14:textId="77777777" w:rsidR="00A77EE0" w:rsidRPr="001A3C79" w:rsidRDefault="00A77EE0" w:rsidP="00B96C52">
            <w:pPr>
              <w:keepNext/>
              <w:keepLines/>
              <w:spacing w:after="0"/>
              <w:cnfStyle w:val="000000000000" w:firstRow="0" w:lastRow="0" w:firstColumn="0" w:lastColumn="0" w:oddVBand="0" w:evenVBand="0" w:oddHBand="0" w:evenHBand="0" w:firstRowFirstColumn="0" w:firstRowLastColumn="0" w:lastRowFirstColumn="0" w:lastRowLastColumn="0"/>
            </w:pPr>
            <w:r w:rsidRPr="000A7930">
              <w:rPr>
                <w:b/>
                <w:color w:val="FFFFFF" w:themeColor="background1"/>
              </w:rPr>
              <w:t>11</w:t>
            </w:r>
          </w:p>
        </w:tc>
      </w:tr>
      <w:tr w:rsidR="00A77EE0" w:rsidRPr="001A3C79" w14:paraId="298240DA" w14:textId="77777777" w:rsidTr="0063439E">
        <w:trPr>
          <w:cantSplit/>
          <w:trHeight w:val="23"/>
        </w:trPr>
        <w:tc>
          <w:tcPr>
            <w:cnfStyle w:val="001000000000" w:firstRow="0" w:lastRow="0" w:firstColumn="1" w:lastColumn="0" w:oddVBand="0" w:evenVBand="0" w:oddHBand="0" w:evenHBand="0" w:firstRowFirstColumn="0" w:firstRowLastColumn="0" w:lastRowFirstColumn="0" w:lastRowLastColumn="0"/>
            <w:tcW w:w="2989" w:type="dxa"/>
            <w:shd w:val="clear" w:color="auto" w:fill="7FB8CB"/>
            <w:vAlign w:val="bottom"/>
          </w:tcPr>
          <w:p w14:paraId="53F63625" w14:textId="77777777" w:rsidR="00A77EE0" w:rsidRPr="008E419C" w:rsidRDefault="00A556F4" w:rsidP="00B96C52">
            <w:pPr>
              <w:keepNext/>
              <w:keepLines/>
              <w:spacing w:after="0"/>
              <w:rPr>
                <w:color w:val="FFFFFF" w:themeColor="background1"/>
              </w:rPr>
            </w:pPr>
            <w:r w:rsidRPr="008E419C">
              <w:rPr>
                <w:color w:val="FFFFFF" w:themeColor="background1"/>
              </w:rPr>
              <w:t>Don’</w:t>
            </w:r>
            <w:r w:rsidR="00A77EE0" w:rsidRPr="008E419C">
              <w:rPr>
                <w:color w:val="FFFFFF" w:themeColor="background1"/>
              </w:rPr>
              <w:t>t know/not applicable</w:t>
            </w:r>
          </w:p>
        </w:tc>
        <w:tc>
          <w:tcPr>
            <w:tcW w:w="4494" w:type="dxa"/>
            <w:shd w:val="clear" w:color="auto" w:fill="D2E1E9"/>
            <w:vAlign w:val="bottom"/>
          </w:tcPr>
          <w:p w14:paraId="27880DB3" w14:textId="77777777" w:rsidR="00A77EE0" w:rsidRPr="001A3C79" w:rsidRDefault="00A77EE0" w:rsidP="00B96C52">
            <w:pPr>
              <w:keepNext/>
              <w:keepLines/>
              <w:spacing w:after="0"/>
              <w:cnfStyle w:val="000000000000" w:firstRow="0" w:lastRow="0" w:firstColumn="0" w:lastColumn="0" w:oddVBand="0" w:evenVBand="0" w:oddHBand="0" w:evenHBand="0" w:firstRowFirstColumn="0" w:firstRowLastColumn="0" w:lastRowFirstColumn="0" w:lastRowLastColumn="0"/>
              <w:rPr>
                <w:b/>
                <w:i/>
              </w:rPr>
            </w:pPr>
            <w:r w:rsidRPr="001A3C79">
              <w:t>3</w:t>
            </w:r>
          </w:p>
        </w:tc>
      </w:tr>
    </w:tbl>
    <w:p w14:paraId="04FEC736" w14:textId="77777777" w:rsidR="00A77EE0" w:rsidRPr="001A3C79" w:rsidRDefault="00A77EE0" w:rsidP="00B96C52">
      <w:pPr>
        <w:keepNext/>
        <w:keepLines/>
        <w:spacing w:before="80" w:after="0" w:line="240" w:lineRule="auto"/>
        <w:rPr>
          <w:rFonts w:cs="Arial"/>
          <w:i/>
          <w:sz w:val="16"/>
        </w:rPr>
      </w:pPr>
      <w:r w:rsidRPr="009D54DB">
        <w:rPr>
          <w:rFonts w:cs="Arial"/>
          <w:i/>
          <w:sz w:val="16"/>
        </w:rPr>
        <w:t xml:space="preserve">Base: Australians aged 18 and over who </w:t>
      </w:r>
      <w:r w:rsidRPr="009C1BE9">
        <w:rPr>
          <w:rFonts w:cs="Arial"/>
          <w:i/>
          <w:sz w:val="16"/>
        </w:rPr>
        <w:t xml:space="preserve">watched </w:t>
      </w:r>
      <w:r w:rsidR="00B27969" w:rsidRPr="009C1BE9">
        <w:rPr>
          <w:rFonts w:cs="Arial"/>
          <w:i/>
          <w:sz w:val="16"/>
        </w:rPr>
        <w:t>online content</w:t>
      </w:r>
      <w:r w:rsidRPr="009C1BE9">
        <w:rPr>
          <w:rFonts w:cs="Arial"/>
          <w:i/>
          <w:sz w:val="16"/>
        </w:rPr>
        <w:t xml:space="preserve"> in</w:t>
      </w:r>
      <w:r w:rsidRPr="009D54DB">
        <w:rPr>
          <w:rFonts w:cs="Arial"/>
          <w:i/>
          <w:sz w:val="16"/>
        </w:rPr>
        <w:t xml:space="preserve"> the last six m</w:t>
      </w:r>
      <w:r w:rsidRPr="00940A4A">
        <w:rPr>
          <w:rFonts w:cs="Arial"/>
          <w:i/>
          <w:sz w:val="16"/>
        </w:rPr>
        <w:t>onths (n=1,219).</w:t>
      </w:r>
      <w:r w:rsidRPr="001A3C79">
        <w:rPr>
          <w:rFonts w:cs="Arial"/>
          <w:i/>
          <w:sz w:val="16"/>
        </w:rPr>
        <w:t xml:space="preserve"> </w:t>
      </w:r>
    </w:p>
    <w:p w14:paraId="3D2D1831" w14:textId="77777777" w:rsidR="00A77EE0" w:rsidRPr="001A3C79" w:rsidRDefault="00A77EE0" w:rsidP="00B96C52">
      <w:pPr>
        <w:keepNext/>
        <w:keepLines/>
        <w:spacing w:before="80" w:after="0" w:line="240" w:lineRule="auto"/>
        <w:rPr>
          <w:rFonts w:cs="Arial"/>
          <w:i/>
          <w:sz w:val="16"/>
        </w:rPr>
      </w:pPr>
      <w:r w:rsidRPr="001A3C79">
        <w:rPr>
          <w:rFonts w:cs="Arial"/>
          <w:i/>
          <w:sz w:val="16"/>
        </w:rPr>
        <w:t>Note: Data may not add up to category totals due to rounding.</w:t>
      </w:r>
    </w:p>
    <w:p w14:paraId="0605E4C6" w14:textId="77777777" w:rsidR="00A77EE0" w:rsidRPr="001A3C79" w:rsidRDefault="00A77EE0" w:rsidP="00B96C52">
      <w:pPr>
        <w:keepNext/>
        <w:keepLines/>
        <w:spacing w:before="80" w:after="0" w:line="240" w:lineRule="auto"/>
        <w:rPr>
          <w:rFonts w:cs="Arial"/>
          <w:i/>
          <w:sz w:val="16"/>
        </w:rPr>
      </w:pPr>
      <w:r w:rsidRPr="001A3C79">
        <w:rPr>
          <w:rFonts w:cs="Arial"/>
          <w:i/>
          <w:sz w:val="16"/>
        </w:rPr>
        <w:t>Source: ACMA-commissioned survey, June 2016.</w:t>
      </w:r>
    </w:p>
    <w:p w14:paraId="2B2632A8" w14:textId="77777777" w:rsidR="00A77EE0" w:rsidRPr="001A3C79" w:rsidRDefault="00A77EE0" w:rsidP="00B96C52">
      <w:pPr>
        <w:pStyle w:val="ACMASpaceaftertable"/>
        <w:keepNext/>
        <w:keepLines/>
      </w:pPr>
    </w:p>
    <w:p w14:paraId="73722FBE" w14:textId="77777777" w:rsidR="00A77EE0" w:rsidRPr="001A3C79" w:rsidRDefault="00A77EE0" w:rsidP="00A77EE0">
      <w:r w:rsidRPr="001A3C79">
        <w:t>Forty-eight per cent of users of online video services had experienced one or more technical problems in</w:t>
      </w:r>
      <w:r w:rsidR="0063439E">
        <w:t> </w:t>
      </w:r>
      <w:r w:rsidRPr="001A3C79">
        <w:t xml:space="preserve">the last seven days, with 19 per cent experiencing problems three times or more. </w:t>
      </w:r>
    </w:p>
    <w:p w14:paraId="7E9E8E9F" w14:textId="77777777" w:rsidR="00A77EE0" w:rsidRPr="001A3C79" w:rsidRDefault="00A77EE0" w:rsidP="008E4CB3">
      <w:pPr>
        <w:spacing w:after="160"/>
        <w:rPr>
          <w:b/>
          <w:bCs/>
          <w:color w:val="323232"/>
          <w:szCs w:val="20"/>
        </w:rPr>
      </w:pPr>
      <w:r w:rsidRPr="001A3C79">
        <w:rPr>
          <w:b/>
          <w:bCs/>
          <w:color w:val="323232"/>
          <w:szCs w:val="20"/>
        </w:rPr>
        <w:t>Table 3.2</w:t>
      </w:r>
      <w:r w:rsidRPr="001A3C79">
        <w:rPr>
          <w:b/>
          <w:bCs/>
          <w:color w:val="323232"/>
          <w:szCs w:val="20"/>
        </w:rPr>
        <w:tab/>
        <w:t>Number of technical problems experienced in last seven days</w:t>
      </w:r>
    </w:p>
    <w:tbl>
      <w:tblPr>
        <w:tblStyle w:val="Commsreport2014-15TABLE2"/>
        <w:tblW w:w="7483" w:type="dxa"/>
        <w:tblCellMar>
          <w:top w:w="57" w:type="dxa"/>
          <w:left w:w="57" w:type="dxa"/>
          <w:bottom w:w="57" w:type="dxa"/>
          <w:right w:w="57" w:type="dxa"/>
        </w:tblCellMar>
        <w:tblLook w:val="04A0" w:firstRow="1" w:lastRow="0" w:firstColumn="1" w:lastColumn="0" w:noHBand="0" w:noVBand="1"/>
        <w:tblCaption w:val="Table 3.2  Number of technical problems experienced in the last seven days"/>
      </w:tblPr>
      <w:tblGrid>
        <w:gridCol w:w="3089"/>
        <w:gridCol w:w="4394"/>
      </w:tblGrid>
      <w:tr w:rsidR="00A77EE0" w:rsidRPr="009573A6" w14:paraId="507498FB" w14:textId="77777777" w:rsidTr="009573A6">
        <w:trPr>
          <w:cnfStyle w:val="100000000000" w:firstRow="1" w:lastRow="0" w:firstColumn="0" w:lastColumn="0" w:oddVBand="0" w:evenVBand="0" w:oddHBand="0" w:evenHBand="0" w:firstRowFirstColumn="0" w:firstRowLastColumn="0" w:lastRowFirstColumn="0" w:lastRowLastColumn="0"/>
          <w:trHeight w:val="78"/>
          <w:tblHeader/>
        </w:trPr>
        <w:tc>
          <w:tcPr>
            <w:cnfStyle w:val="001000000000" w:firstRow="0" w:lastRow="0" w:firstColumn="1" w:lastColumn="0" w:oddVBand="0" w:evenVBand="0" w:oddHBand="0" w:evenHBand="0" w:firstRowFirstColumn="0" w:firstRowLastColumn="0" w:lastRowFirstColumn="0" w:lastRowLastColumn="0"/>
            <w:tcW w:w="3089" w:type="dxa"/>
            <w:shd w:val="clear" w:color="auto" w:fill="auto"/>
          </w:tcPr>
          <w:p w14:paraId="23D25AAE" w14:textId="77777777" w:rsidR="00A77EE0" w:rsidRPr="009573A6" w:rsidRDefault="00A77EE0" w:rsidP="009573A6">
            <w:pPr>
              <w:pStyle w:val="TableHeading"/>
              <w:jc w:val="right"/>
              <w:rPr>
                <w:b/>
              </w:rPr>
            </w:pPr>
          </w:p>
        </w:tc>
        <w:tc>
          <w:tcPr>
            <w:tcW w:w="4394" w:type="dxa"/>
            <w:shd w:val="clear" w:color="auto" w:fill="007298"/>
          </w:tcPr>
          <w:p w14:paraId="57ED94DC"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9573A6">
              <w:rPr>
                <w:b/>
              </w:rPr>
              <w:t xml:space="preserve">Technical problems experienced (last </w:t>
            </w:r>
            <w:r w:rsidRPr="009573A6">
              <w:rPr>
                <w:rFonts w:cs="Arial"/>
                <w:b/>
                <w:bCs/>
                <w:szCs w:val="18"/>
              </w:rPr>
              <w:t>7</w:t>
            </w:r>
            <w:r w:rsidRPr="009573A6">
              <w:rPr>
                <w:b/>
              </w:rPr>
              <w:t xml:space="preserve"> days) (%)</w:t>
            </w:r>
          </w:p>
        </w:tc>
      </w:tr>
      <w:tr w:rsidR="00A77EE0" w:rsidRPr="001A3C79" w14:paraId="1EFEF921" w14:textId="77777777" w:rsidTr="0063439E">
        <w:trPr>
          <w:trHeight w:val="72"/>
        </w:trPr>
        <w:tc>
          <w:tcPr>
            <w:cnfStyle w:val="001000000000" w:firstRow="0" w:lastRow="0" w:firstColumn="1" w:lastColumn="0" w:oddVBand="0" w:evenVBand="0" w:oddHBand="0" w:evenHBand="0" w:firstRowFirstColumn="0" w:firstRowLastColumn="0" w:lastRowFirstColumn="0" w:lastRowLastColumn="0"/>
            <w:tcW w:w="3089" w:type="dxa"/>
            <w:shd w:val="clear" w:color="auto" w:fill="7FB8CB"/>
          </w:tcPr>
          <w:p w14:paraId="241DC5F4" w14:textId="77777777" w:rsidR="00A77EE0" w:rsidRPr="008E419C" w:rsidRDefault="00A77EE0" w:rsidP="0043264B">
            <w:pPr>
              <w:spacing w:after="0"/>
              <w:rPr>
                <w:color w:val="FFFFFF" w:themeColor="background1"/>
              </w:rPr>
            </w:pPr>
            <w:r w:rsidRPr="008E419C">
              <w:rPr>
                <w:color w:val="FFFFFF" w:themeColor="background1"/>
              </w:rPr>
              <w:t>None</w:t>
            </w:r>
          </w:p>
        </w:tc>
        <w:tc>
          <w:tcPr>
            <w:tcW w:w="4394" w:type="dxa"/>
            <w:shd w:val="clear" w:color="auto" w:fill="D2E1E9"/>
          </w:tcPr>
          <w:p w14:paraId="253FE348" w14:textId="77777777" w:rsidR="00A77EE0" w:rsidRPr="001A3C7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1A3C79">
              <w:t>45</w:t>
            </w:r>
          </w:p>
        </w:tc>
      </w:tr>
      <w:tr w:rsidR="00A77EE0" w:rsidRPr="001A3C79" w14:paraId="1FAF5EEF" w14:textId="77777777" w:rsidTr="0063439E">
        <w:trPr>
          <w:trHeight w:val="23"/>
        </w:trPr>
        <w:tc>
          <w:tcPr>
            <w:cnfStyle w:val="001000000000" w:firstRow="0" w:lastRow="0" w:firstColumn="1" w:lastColumn="0" w:oddVBand="0" w:evenVBand="0" w:oddHBand="0" w:evenHBand="0" w:firstRowFirstColumn="0" w:firstRowLastColumn="0" w:lastRowFirstColumn="0" w:lastRowLastColumn="0"/>
            <w:tcW w:w="3089" w:type="dxa"/>
            <w:shd w:val="clear" w:color="auto" w:fill="7FB8CB"/>
          </w:tcPr>
          <w:p w14:paraId="36A834C4" w14:textId="77777777" w:rsidR="00A77EE0" w:rsidRPr="008E419C" w:rsidRDefault="00A77EE0" w:rsidP="0043264B">
            <w:pPr>
              <w:spacing w:after="0"/>
              <w:rPr>
                <w:color w:val="FFFFFF" w:themeColor="background1"/>
              </w:rPr>
            </w:pPr>
            <w:r w:rsidRPr="008E419C">
              <w:rPr>
                <w:color w:val="FFFFFF" w:themeColor="background1"/>
              </w:rPr>
              <w:t xml:space="preserve">Once </w:t>
            </w:r>
          </w:p>
        </w:tc>
        <w:tc>
          <w:tcPr>
            <w:tcW w:w="4394" w:type="dxa"/>
            <w:shd w:val="clear" w:color="auto" w:fill="D2E1E9"/>
          </w:tcPr>
          <w:p w14:paraId="6DFD0B82" w14:textId="77777777" w:rsidR="00A77EE0" w:rsidRPr="001A3C7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1A3C79">
              <w:t>12</w:t>
            </w:r>
          </w:p>
        </w:tc>
      </w:tr>
      <w:tr w:rsidR="00A77EE0" w:rsidRPr="001A3C79" w14:paraId="62839555" w14:textId="77777777" w:rsidTr="0063439E">
        <w:trPr>
          <w:trHeight w:val="208"/>
        </w:trPr>
        <w:tc>
          <w:tcPr>
            <w:cnfStyle w:val="001000000000" w:firstRow="0" w:lastRow="0" w:firstColumn="1" w:lastColumn="0" w:oddVBand="0" w:evenVBand="0" w:oddHBand="0" w:evenHBand="0" w:firstRowFirstColumn="0" w:firstRowLastColumn="0" w:lastRowFirstColumn="0" w:lastRowLastColumn="0"/>
            <w:tcW w:w="3089" w:type="dxa"/>
            <w:shd w:val="clear" w:color="auto" w:fill="7FB8CB"/>
          </w:tcPr>
          <w:p w14:paraId="25D9AF19" w14:textId="77777777" w:rsidR="00A77EE0" w:rsidRPr="008E419C" w:rsidRDefault="00A77EE0" w:rsidP="0043264B">
            <w:pPr>
              <w:spacing w:after="0"/>
              <w:rPr>
                <w:color w:val="FFFFFF" w:themeColor="background1"/>
              </w:rPr>
            </w:pPr>
            <w:r w:rsidRPr="008E419C">
              <w:rPr>
                <w:color w:val="FFFFFF" w:themeColor="background1"/>
              </w:rPr>
              <w:t>Twice</w:t>
            </w:r>
          </w:p>
        </w:tc>
        <w:tc>
          <w:tcPr>
            <w:tcW w:w="4394" w:type="dxa"/>
            <w:shd w:val="clear" w:color="auto" w:fill="D2E1E9"/>
          </w:tcPr>
          <w:p w14:paraId="2B1F155F" w14:textId="77777777" w:rsidR="00A77EE0" w:rsidRPr="001A3C7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1A3C79">
              <w:t>16</w:t>
            </w:r>
          </w:p>
        </w:tc>
      </w:tr>
      <w:tr w:rsidR="00A77EE0" w:rsidRPr="001A3C79" w14:paraId="27D5E461" w14:textId="77777777" w:rsidTr="0063439E">
        <w:trPr>
          <w:trHeight w:val="114"/>
        </w:trPr>
        <w:tc>
          <w:tcPr>
            <w:cnfStyle w:val="001000000000" w:firstRow="0" w:lastRow="0" w:firstColumn="1" w:lastColumn="0" w:oddVBand="0" w:evenVBand="0" w:oddHBand="0" w:evenHBand="0" w:firstRowFirstColumn="0" w:firstRowLastColumn="0" w:lastRowFirstColumn="0" w:lastRowLastColumn="0"/>
            <w:tcW w:w="3089" w:type="dxa"/>
            <w:tcBorders>
              <w:bottom w:val="single" w:sz="24" w:space="0" w:color="FFFFFF"/>
            </w:tcBorders>
            <w:shd w:val="clear" w:color="auto" w:fill="7FB8CB"/>
          </w:tcPr>
          <w:p w14:paraId="6D04C414" w14:textId="77777777" w:rsidR="00A77EE0" w:rsidRPr="008E419C" w:rsidRDefault="00A77EE0" w:rsidP="0043264B">
            <w:pPr>
              <w:spacing w:after="0"/>
              <w:rPr>
                <w:color w:val="FFFFFF" w:themeColor="background1"/>
              </w:rPr>
            </w:pPr>
            <w:r w:rsidRPr="008E419C">
              <w:rPr>
                <w:color w:val="FFFFFF" w:themeColor="background1"/>
              </w:rPr>
              <w:t>Three times or more</w:t>
            </w:r>
          </w:p>
        </w:tc>
        <w:tc>
          <w:tcPr>
            <w:tcW w:w="4394" w:type="dxa"/>
            <w:tcBorders>
              <w:bottom w:val="single" w:sz="24" w:space="0" w:color="FFFFFF"/>
            </w:tcBorders>
            <w:shd w:val="clear" w:color="auto" w:fill="D2E1E9"/>
          </w:tcPr>
          <w:p w14:paraId="6AE32A2D" w14:textId="77777777" w:rsidR="00A77EE0" w:rsidRPr="001A3C7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1A3C79">
              <w:t>19</w:t>
            </w:r>
          </w:p>
        </w:tc>
      </w:tr>
      <w:tr w:rsidR="00A77EE0" w:rsidRPr="008E419C" w14:paraId="74310400" w14:textId="77777777" w:rsidTr="0063439E">
        <w:trPr>
          <w:trHeight w:val="23"/>
        </w:trPr>
        <w:tc>
          <w:tcPr>
            <w:cnfStyle w:val="001000000000" w:firstRow="0" w:lastRow="0" w:firstColumn="1" w:lastColumn="0" w:oddVBand="0" w:evenVBand="0" w:oddHBand="0" w:evenHBand="0" w:firstRowFirstColumn="0" w:firstRowLastColumn="0" w:lastRowFirstColumn="0" w:lastRowLastColumn="0"/>
            <w:tcW w:w="3089" w:type="dxa"/>
            <w:shd w:val="clear" w:color="auto" w:fill="7FB8CB"/>
          </w:tcPr>
          <w:p w14:paraId="53A72398" w14:textId="77777777" w:rsidR="00A77EE0" w:rsidRPr="008E419C" w:rsidRDefault="00A77EE0" w:rsidP="0043264B">
            <w:pPr>
              <w:spacing w:after="0"/>
              <w:rPr>
                <w:b/>
                <w:color w:val="FFFFFF" w:themeColor="background1"/>
              </w:rPr>
            </w:pPr>
            <w:r w:rsidRPr="008E419C">
              <w:rPr>
                <w:b/>
                <w:color w:val="FFFFFF" w:themeColor="background1"/>
              </w:rPr>
              <w:t>Total experienced problems</w:t>
            </w:r>
          </w:p>
        </w:tc>
        <w:tc>
          <w:tcPr>
            <w:tcW w:w="4394" w:type="dxa"/>
            <w:shd w:val="clear" w:color="auto" w:fill="7FB8CB"/>
          </w:tcPr>
          <w:p w14:paraId="4E0D6D90" w14:textId="77777777" w:rsidR="00A77EE0" w:rsidRPr="008E419C" w:rsidRDefault="00A77EE0" w:rsidP="0063439E">
            <w:pPr>
              <w:spacing w:after="0"/>
              <w:cnfStyle w:val="000000000000" w:firstRow="0" w:lastRow="0" w:firstColumn="0" w:lastColumn="0" w:oddVBand="0" w:evenVBand="0" w:oddHBand="0" w:evenHBand="0" w:firstRowFirstColumn="0" w:firstRowLastColumn="0" w:lastRowFirstColumn="0" w:lastRowLastColumn="0"/>
              <w:rPr>
                <w:b/>
                <w:color w:val="FFFFFF" w:themeColor="background1"/>
              </w:rPr>
            </w:pPr>
            <w:r w:rsidRPr="008E419C">
              <w:rPr>
                <w:b/>
                <w:color w:val="FFFFFF" w:themeColor="background1"/>
              </w:rPr>
              <w:t>48</w:t>
            </w:r>
          </w:p>
        </w:tc>
      </w:tr>
      <w:tr w:rsidR="00A77EE0" w:rsidRPr="001A3C79" w14:paraId="1758AED9" w14:textId="77777777" w:rsidTr="0063439E">
        <w:trPr>
          <w:trHeight w:val="23"/>
        </w:trPr>
        <w:tc>
          <w:tcPr>
            <w:cnfStyle w:val="001000000000" w:firstRow="0" w:lastRow="0" w:firstColumn="1" w:lastColumn="0" w:oddVBand="0" w:evenVBand="0" w:oddHBand="0" w:evenHBand="0" w:firstRowFirstColumn="0" w:firstRowLastColumn="0" w:lastRowFirstColumn="0" w:lastRowLastColumn="0"/>
            <w:tcW w:w="3089" w:type="dxa"/>
            <w:shd w:val="clear" w:color="auto" w:fill="7FB8CB"/>
          </w:tcPr>
          <w:p w14:paraId="17737A46" w14:textId="77777777" w:rsidR="00A77EE0" w:rsidRPr="008E419C" w:rsidRDefault="00A77EE0" w:rsidP="0043264B">
            <w:pPr>
              <w:spacing w:after="0"/>
              <w:rPr>
                <w:color w:val="FFFFFF" w:themeColor="background1"/>
              </w:rPr>
            </w:pPr>
            <w:r w:rsidRPr="008E419C">
              <w:rPr>
                <w:color w:val="FFFFFF" w:themeColor="background1"/>
              </w:rPr>
              <w:t>Don</w:t>
            </w:r>
            <w:r w:rsidRPr="008E419C">
              <w:rPr>
                <w:rFonts w:cs="Arial"/>
                <w:bCs/>
                <w:color w:val="FFFFFF" w:themeColor="background1"/>
                <w:szCs w:val="18"/>
              </w:rPr>
              <w:t>’</w:t>
            </w:r>
            <w:r w:rsidRPr="008E419C">
              <w:rPr>
                <w:color w:val="FFFFFF" w:themeColor="background1"/>
              </w:rPr>
              <w:t>t know</w:t>
            </w:r>
          </w:p>
        </w:tc>
        <w:tc>
          <w:tcPr>
            <w:tcW w:w="4394" w:type="dxa"/>
            <w:shd w:val="clear" w:color="auto" w:fill="D2E1E9"/>
          </w:tcPr>
          <w:p w14:paraId="44269616" w14:textId="77777777" w:rsidR="00A77EE0" w:rsidRPr="001A3C7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1A3C79">
              <w:t xml:space="preserve">7 </w:t>
            </w:r>
          </w:p>
        </w:tc>
      </w:tr>
    </w:tbl>
    <w:p w14:paraId="4038810A" w14:textId="77777777" w:rsidR="00A77EE0" w:rsidRPr="001A3C79" w:rsidRDefault="00A77EE0" w:rsidP="00A77EE0">
      <w:pPr>
        <w:spacing w:before="80" w:after="0" w:line="240" w:lineRule="auto"/>
        <w:rPr>
          <w:rFonts w:cs="Arial"/>
          <w:i/>
          <w:sz w:val="16"/>
        </w:rPr>
      </w:pPr>
      <w:r w:rsidRPr="009C1BE9">
        <w:rPr>
          <w:rFonts w:cs="Arial"/>
          <w:i/>
          <w:sz w:val="16"/>
        </w:rPr>
        <w:t>Base: Australians aged 18 and over who watched online content in the last seven days (n=837).</w:t>
      </w:r>
      <w:r w:rsidRPr="001A3C79">
        <w:rPr>
          <w:rFonts w:cs="Arial"/>
          <w:i/>
          <w:sz w:val="16"/>
        </w:rPr>
        <w:t xml:space="preserve"> </w:t>
      </w:r>
    </w:p>
    <w:p w14:paraId="52BB3E0A" w14:textId="77777777" w:rsidR="00A77EE0" w:rsidRPr="001A3C79" w:rsidRDefault="00A77EE0" w:rsidP="00A77EE0">
      <w:pPr>
        <w:spacing w:before="80" w:after="0" w:line="240" w:lineRule="auto"/>
        <w:rPr>
          <w:rFonts w:cs="Arial"/>
          <w:i/>
          <w:sz w:val="16"/>
        </w:rPr>
      </w:pPr>
      <w:r w:rsidRPr="001A3C79">
        <w:rPr>
          <w:rFonts w:cs="Arial"/>
          <w:i/>
          <w:sz w:val="16"/>
        </w:rPr>
        <w:t>Note: Data may not add up to category totals due to rounding.</w:t>
      </w:r>
    </w:p>
    <w:p w14:paraId="7447E490" w14:textId="77777777" w:rsidR="00A77EE0" w:rsidRPr="001A3C79" w:rsidRDefault="00A77EE0" w:rsidP="00A77EE0">
      <w:pPr>
        <w:spacing w:before="80" w:after="0" w:line="240" w:lineRule="auto"/>
        <w:rPr>
          <w:rFonts w:cs="Arial"/>
          <w:i/>
          <w:sz w:val="16"/>
        </w:rPr>
      </w:pPr>
      <w:r w:rsidRPr="001A3C79">
        <w:rPr>
          <w:rFonts w:cs="Arial"/>
          <w:i/>
          <w:sz w:val="16"/>
        </w:rPr>
        <w:t>Source: ACMA-commissioned survey, June 2016.</w:t>
      </w:r>
    </w:p>
    <w:p w14:paraId="05186DD7" w14:textId="77777777" w:rsidR="00A77EE0" w:rsidRPr="001A3C79" w:rsidRDefault="00A77EE0" w:rsidP="008E4CB3">
      <w:pPr>
        <w:pStyle w:val="ACMASpaceaftertable"/>
      </w:pPr>
    </w:p>
    <w:p w14:paraId="153A7898" w14:textId="77777777" w:rsidR="00A77EE0" w:rsidRPr="001A3C79" w:rsidRDefault="00A77EE0" w:rsidP="009D7639">
      <w:pPr>
        <w:pStyle w:val="Heading2"/>
        <w:numPr>
          <w:ilvl w:val="1"/>
          <w:numId w:val="12"/>
        </w:numPr>
        <w:ind w:hanging="792"/>
      </w:pPr>
      <w:bookmarkStart w:id="633" w:name="_Toc462899615"/>
      <w:bookmarkStart w:id="634" w:name="_Toc433790365"/>
      <w:bookmarkStart w:id="635" w:name="_Toc463529110"/>
      <w:bookmarkStart w:id="636" w:name="_Toc465842936"/>
      <w:r w:rsidRPr="001A3C79">
        <w:t>Online news services</w:t>
      </w:r>
      <w:bookmarkEnd w:id="633"/>
      <w:bookmarkEnd w:id="634"/>
      <w:bookmarkEnd w:id="635"/>
      <w:bookmarkEnd w:id="636"/>
    </w:p>
    <w:p w14:paraId="7F312E7D" w14:textId="77777777" w:rsidR="00A77EE0" w:rsidRPr="001A3C79" w:rsidRDefault="00A77EE0" w:rsidP="00A77EE0">
      <w:r w:rsidRPr="001A3C79">
        <w:t xml:space="preserve">The online news market has experienced significant growth. In the last few years, international news brands such as </w:t>
      </w:r>
      <w:r w:rsidRPr="001A3C79">
        <w:rPr>
          <w:i/>
        </w:rPr>
        <w:t>Huffington Post</w:t>
      </w:r>
      <w:r w:rsidRPr="001A3C79">
        <w:t xml:space="preserve">, </w:t>
      </w:r>
      <w:r w:rsidRPr="001A3C79">
        <w:rPr>
          <w:i/>
        </w:rPr>
        <w:t>BuzzFeed</w:t>
      </w:r>
      <w:r w:rsidRPr="001A3C79">
        <w:t xml:space="preserve"> and </w:t>
      </w:r>
      <w:r w:rsidRPr="001A3C79">
        <w:rPr>
          <w:i/>
        </w:rPr>
        <w:t>Daily Mail</w:t>
      </w:r>
      <w:r w:rsidRPr="001A3C79">
        <w:t xml:space="preserve"> launched Australian versions of their websites, redefining what many Australians consider news.</w:t>
      </w:r>
      <w:r w:rsidRPr="001A3C79">
        <w:rPr>
          <w:vertAlign w:val="superscript"/>
        </w:rPr>
        <w:endnoteReference w:id="177"/>
      </w:r>
      <w:r w:rsidRPr="001A3C79">
        <w:t xml:space="preserve"> In recognition of the move online, Fairfax, the owner of several Australian print newspapers, has announced it will pursue a more targeted, rather than a seven-day week, printing schedule in the future.</w:t>
      </w:r>
      <w:r w:rsidRPr="001A3C79">
        <w:rPr>
          <w:vertAlign w:val="superscript"/>
        </w:rPr>
        <w:endnoteReference w:id="178"/>
      </w:r>
      <w:r w:rsidRPr="001A3C79">
        <w:t xml:space="preserve"> In the six months to </w:t>
      </w:r>
      <w:r w:rsidR="00626035">
        <w:t>June</w:t>
      </w:r>
      <w:r w:rsidRPr="001A3C79">
        <w:t xml:space="preserve"> 2016, the number of people who had accessed an online news site increased from 10.28 million in 2015 to 13.01 million in 2016.</w:t>
      </w:r>
      <w:r w:rsidRPr="001A3C79">
        <w:rPr>
          <w:vertAlign w:val="superscript"/>
        </w:rPr>
        <w:endnoteReference w:id="179"/>
      </w:r>
      <w:r w:rsidRPr="001A3C79">
        <w:t xml:space="preserve"> </w:t>
      </w:r>
    </w:p>
    <w:p w14:paraId="1CD1785C" w14:textId="77777777" w:rsidR="00A77EE0" w:rsidRPr="001A3C79" w:rsidRDefault="00A77EE0" w:rsidP="00A77EE0">
      <w:pPr>
        <w:keepLines/>
      </w:pPr>
      <w:r w:rsidRPr="001A3C79">
        <w:t>Online platforms, such as Facebook and Twitter, are increasingly acting as a source of news, particularly for younger Australians. Industry research indicates that 29 per cent of those aged 14 to 32 use social media as their primary source of news, compared to 18 per cent for television news stations.</w:t>
      </w:r>
      <w:r w:rsidRPr="001A3C79">
        <w:rPr>
          <w:vertAlign w:val="superscript"/>
        </w:rPr>
        <w:endnoteReference w:id="180"/>
      </w:r>
      <w:r w:rsidRPr="001A3C79">
        <w:t xml:space="preserve"> Eighteen</w:t>
      </w:r>
      <w:r w:rsidR="00FC5AFE">
        <w:t> </w:t>
      </w:r>
      <w:r w:rsidRPr="001A3C79">
        <w:t>per cent of Australians listed social media as their primary source of news</w:t>
      </w:r>
      <w:r w:rsidR="008D4A8E">
        <w:t xml:space="preserve"> </w:t>
      </w:r>
      <w:r w:rsidR="008D4A8E" w:rsidRPr="001A3C79">
        <w:t>(up from nine per cent the previous year)</w:t>
      </w:r>
      <w:r w:rsidRPr="001A3C79">
        <w:t>, ahead of the US (17 per cent) and Norway (13 per cent).</w:t>
      </w:r>
      <w:r w:rsidRPr="001A3C79">
        <w:rPr>
          <w:vertAlign w:val="superscript"/>
        </w:rPr>
        <w:endnoteReference w:id="181"/>
      </w:r>
    </w:p>
    <w:p w14:paraId="2B031A25" w14:textId="77777777" w:rsidR="00A77EE0" w:rsidRPr="001A3C79" w:rsidRDefault="00A77EE0" w:rsidP="00A77EE0">
      <w:r w:rsidRPr="001A3C79">
        <w:lastRenderedPageBreak/>
        <w:t>At the same time, print newspaper subscriptions are declining as new audiences appear to be moving to online sources. Household ownership of newspaper subscriptions has decreased from 21 per cent in 2015 to 17 per cent in 2016.</w:t>
      </w:r>
      <w:r w:rsidRPr="001A3C79">
        <w:rPr>
          <w:vertAlign w:val="superscript"/>
        </w:rPr>
        <w:endnoteReference w:id="182"/>
      </w:r>
      <w:r w:rsidRPr="001A3C79">
        <w:t xml:space="preserve"> </w:t>
      </w:r>
    </w:p>
    <w:p w14:paraId="310EC42D" w14:textId="77777777" w:rsidR="00A77EE0" w:rsidRPr="001A3C79" w:rsidRDefault="00A77EE0" w:rsidP="00A77EE0">
      <w:r w:rsidRPr="001A3C79">
        <w:t xml:space="preserve">While there appears to be a shift towards accessing news online, consumers remain relatively unwilling to pay for online news. Those who are willing to pay for news has remained steady at nine per cent; and </w:t>
      </w:r>
      <w:r w:rsidRPr="009D54DB">
        <w:t>whi</w:t>
      </w:r>
      <w:r w:rsidRPr="00940A4A">
        <w:t>le Australians aged 27 to 32</w:t>
      </w:r>
      <w:r w:rsidRPr="009D54DB">
        <w:t xml:space="preserve"> are the most willing at 15 per cent, this has decreased from 24 per cent in</w:t>
      </w:r>
      <w:r w:rsidRPr="001A3C79">
        <w:t xml:space="preserve"> 2015.</w:t>
      </w:r>
      <w:r w:rsidRPr="001A3C79">
        <w:rPr>
          <w:vertAlign w:val="superscript"/>
        </w:rPr>
        <w:endnoteReference w:id="183"/>
      </w:r>
    </w:p>
    <w:p w14:paraId="1E88B7CF" w14:textId="77777777" w:rsidR="00A77EE0" w:rsidRPr="001A3C79" w:rsidRDefault="00A77EE0" w:rsidP="00A77EE0">
      <w:r w:rsidRPr="001A3C79">
        <w:t xml:space="preserve">Despite this decline in print subscriptions and the availability of other online news sources, broadcast television remains the main source of news, with 36 per cent of </w:t>
      </w:r>
      <w:r>
        <w:t>Australians aged 14 plus</w:t>
      </w:r>
      <w:r w:rsidRPr="001A3C79">
        <w:t xml:space="preserve"> frequently accessing news via television</w:t>
      </w:r>
      <w:r>
        <w:t xml:space="preserve"> news stations</w:t>
      </w:r>
      <w:r w:rsidRPr="001A3C79">
        <w:t>.</w:t>
      </w:r>
      <w:r w:rsidRPr="001A3C79">
        <w:rPr>
          <w:vertAlign w:val="superscript"/>
        </w:rPr>
        <w:endnoteReference w:id="184"/>
      </w:r>
      <w:r w:rsidRPr="001A3C79">
        <w:t xml:space="preserve"> Television also had the highest weekly news reach with 65</w:t>
      </w:r>
      <w:r w:rsidR="00FB30C5">
        <w:t> </w:t>
      </w:r>
      <w:r w:rsidRPr="001A3C79">
        <w:t>per cent, ahead of radio with 40 per cent and print with 38 per cent.</w:t>
      </w:r>
      <w:r w:rsidRPr="001A3C79">
        <w:rPr>
          <w:vertAlign w:val="superscript"/>
        </w:rPr>
        <w:endnoteReference w:id="185"/>
      </w:r>
    </w:p>
    <w:p w14:paraId="7E004248" w14:textId="77777777" w:rsidR="00A77EE0" w:rsidRPr="001A3C79" w:rsidRDefault="00A77EE0" w:rsidP="00A77EE0">
      <w:r w:rsidRPr="001A3C79">
        <w:t>This is reflected in the monthly digital ratings for news, where the online platforms of print newspapers or television broadcasters record the largest audiences in the current and global news sub-category (Table 3.3).</w:t>
      </w:r>
    </w:p>
    <w:p w14:paraId="6AFBCC4C" w14:textId="77777777" w:rsidR="00A77EE0" w:rsidRPr="001A3C79" w:rsidRDefault="00A77EE0" w:rsidP="00A77EE0">
      <w:r w:rsidRPr="009C1BE9">
        <w:t xml:space="preserve">At June 2016, news.com.au had the biggest unique audience at </w:t>
      </w:r>
      <w:r w:rsidR="00AE415E" w:rsidRPr="009C1BE9">
        <w:t>5.5 million</w:t>
      </w:r>
      <w:r w:rsidR="00FB30C5">
        <w:t>,</w:t>
      </w:r>
      <w:r w:rsidRPr="009C1BE9">
        <w:t xml:space="preserve"> followed by ABC News websites (5,003,000) and smh.com (4,911,000)</w:t>
      </w:r>
      <w:r w:rsidRPr="009D54DB">
        <w:t>.</w:t>
      </w:r>
      <w:r w:rsidRPr="001A3C79">
        <w:t xml:space="preserve"> International news brands have been edging up the list, with </w:t>
      </w:r>
      <w:r w:rsidRPr="001A3C79">
        <w:rPr>
          <w:i/>
        </w:rPr>
        <w:t>Daily Mail Australia</w:t>
      </w:r>
      <w:r w:rsidRPr="001A3C79">
        <w:t xml:space="preserve">, </w:t>
      </w:r>
      <w:r w:rsidRPr="001A3C79">
        <w:rPr>
          <w:i/>
        </w:rPr>
        <w:t>The Guardian</w:t>
      </w:r>
      <w:r w:rsidRPr="001A3C79">
        <w:t xml:space="preserve"> and the BBC in fourth, sixth and seventh place respectively.</w:t>
      </w:r>
      <w:r w:rsidRPr="001A3C79">
        <w:rPr>
          <w:vertAlign w:val="superscript"/>
        </w:rPr>
        <w:endnoteReference w:id="186"/>
      </w:r>
    </w:p>
    <w:p w14:paraId="58D98175" w14:textId="77777777" w:rsidR="00A77EE0" w:rsidRPr="001A3C79" w:rsidRDefault="00A77EE0" w:rsidP="008E4CB3">
      <w:pPr>
        <w:spacing w:after="160"/>
        <w:ind w:left="993" w:hanging="964"/>
        <w:rPr>
          <w:b/>
          <w:bCs/>
          <w:color w:val="323232"/>
          <w:szCs w:val="20"/>
        </w:rPr>
      </w:pPr>
      <w:r w:rsidRPr="001A3C79">
        <w:rPr>
          <w:b/>
          <w:bCs/>
          <w:color w:val="323232"/>
          <w:szCs w:val="20"/>
        </w:rPr>
        <w:t>Table 3.3</w:t>
      </w:r>
      <w:r w:rsidRPr="001A3C79">
        <w:rPr>
          <w:b/>
          <w:bCs/>
          <w:color w:val="323232"/>
          <w:szCs w:val="20"/>
        </w:rPr>
        <w:tab/>
        <w:t>Top 10 by unique audience, current events and global news sub-category, June 2016</w:t>
      </w:r>
    </w:p>
    <w:tbl>
      <w:tblPr>
        <w:tblStyle w:val="Commsreport2014-15TABLE2"/>
        <w:tblW w:w="7341" w:type="dxa"/>
        <w:tblCellMar>
          <w:top w:w="57" w:type="dxa"/>
          <w:left w:w="57" w:type="dxa"/>
          <w:bottom w:w="57" w:type="dxa"/>
          <w:right w:w="57" w:type="dxa"/>
        </w:tblCellMar>
        <w:tblLook w:val="04A0" w:firstRow="1" w:lastRow="0" w:firstColumn="1" w:lastColumn="0" w:noHBand="0" w:noVBand="1"/>
        <w:tblCaption w:val="Table 3.3  Top 10 by unique audience, current events and global news sub-category, June 2016 "/>
      </w:tblPr>
      <w:tblGrid>
        <w:gridCol w:w="3670"/>
        <w:gridCol w:w="3671"/>
      </w:tblGrid>
      <w:tr w:rsidR="00A77EE0" w:rsidRPr="009573A6" w14:paraId="4D8C8903" w14:textId="77777777" w:rsidTr="009573A6">
        <w:trPr>
          <w:cnfStyle w:val="100000000000" w:firstRow="1" w:lastRow="0" w:firstColumn="0" w:lastColumn="0" w:oddVBand="0" w:evenVBand="0" w:oddHBand="0" w:evenHBand="0" w:firstRowFirstColumn="0" w:firstRowLastColumn="0" w:lastRowFirstColumn="0" w:lastRowLastColumn="0"/>
          <w:trHeight w:val="23"/>
          <w:tblHeader/>
        </w:trPr>
        <w:tc>
          <w:tcPr>
            <w:cnfStyle w:val="001000000000" w:firstRow="0" w:lastRow="0" w:firstColumn="1" w:lastColumn="0" w:oddVBand="0" w:evenVBand="0" w:oddHBand="0" w:evenHBand="0" w:firstRowFirstColumn="0" w:firstRowLastColumn="0" w:lastRowFirstColumn="0" w:lastRowLastColumn="0"/>
            <w:tcW w:w="3670" w:type="dxa"/>
            <w:shd w:val="clear" w:color="auto" w:fill="auto"/>
          </w:tcPr>
          <w:p w14:paraId="2B485D77" w14:textId="77777777" w:rsidR="00A77EE0" w:rsidRPr="009573A6" w:rsidRDefault="00A77EE0" w:rsidP="009573A6">
            <w:pPr>
              <w:pStyle w:val="TableHeading"/>
              <w:jc w:val="right"/>
              <w:rPr>
                <w:b/>
              </w:rPr>
            </w:pPr>
          </w:p>
        </w:tc>
        <w:tc>
          <w:tcPr>
            <w:tcW w:w="3671" w:type="dxa"/>
            <w:shd w:val="clear" w:color="auto" w:fill="007298"/>
          </w:tcPr>
          <w:p w14:paraId="123670A8"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9573A6">
              <w:rPr>
                <w:b/>
              </w:rPr>
              <w:t xml:space="preserve">Unique </w:t>
            </w:r>
            <w:r w:rsidRPr="009573A6">
              <w:rPr>
                <w:rFonts w:cs="Arial"/>
                <w:b/>
                <w:bCs/>
                <w:szCs w:val="18"/>
              </w:rPr>
              <w:t>a</w:t>
            </w:r>
            <w:r w:rsidRPr="009573A6">
              <w:rPr>
                <w:b/>
              </w:rPr>
              <w:t xml:space="preserve">udience </w:t>
            </w:r>
          </w:p>
        </w:tc>
      </w:tr>
      <w:tr w:rsidR="00A77EE0" w:rsidRPr="001A3C79" w14:paraId="142849DE" w14:textId="77777777" w:rsidTr="0043264B">
        <w:trPr>
          <w:trHeight w:val="67"/>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237129D5" w14:textId="77777777" w:rsidR="00A77EE0" w:rsidRPr="00BE6BBB" w:rsidRDefault="00A77EE0" w:rsidP="0043264B">
            <w:pPr>
              <w:spacing w:after="0"/>
              <w:rPr>
                <w:color w:val="FFFFFF" w:themeColor="background1"/>
              </w:rPr>
            </w:pPr>
            <w:r w:rsidRPr="00BE6BBB">
              <w:rPr>
                <w:color w:val="FFFFFF" w:themeColor="background1"/>
              </w:rPr>
              <w:t>news.com.au</w:t>
            </w:r>
          </w:p>
        </w:tc>
        <w:tc>
          <w:tcPr>
            <w:tcW w:w="3671" w:type="dxa"/>
            <w:shd w:val="clear" w:color="auto" w:fill="D2E1E9"/>
          </w:tcPr>
          <w:p w14:paraId="475E9FE1"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5,463,000</w:t>
            </w:r>
          </w:p>
        </w:tc>
      </w:tr>
      <w:tr w:rsidR="00A77EE0" w:rsidRPr="001A3C79" w14:paraId="0B65B580" w14:textId="77777777" w:rsidTr="0043264B">
        <w:trPr>
          <w:trHeight w:val="100"/>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68A675EE" w14:textId="77777777" w:rsidR="00A77EE0" w:rsidRPr="00BE6BBB" w:rsidRDefault="00A77EE0" w:rsidP="0043264B">
            <w:pPr>
              <w:spacing w:after="0"/>
              <w:rPr>
                <w:color w:val="FFFFFF" w:themeColor="background1"/>
              </w:rPr>
            </w:pPr>
            <w:r w:rsidRPr="00BE6BBB">
              <w:rPr>
                <w:color w:val="FFFFFF" w:themeColor="background1"/>
              </w:rPr>
              <w:t xml:space="preserve">ABC News </w:t>
            </w:r>
            <w:r w:rsidRPr="00BE6BBB">
              <w:rPr>
                <w:rFonts w:cs="Arial"/>
                <w:bCs/>
                <w:color w:val="FFFFFF" w:themeColor="background1"/>
                <w:szCs w:val="18"/>
              </w:rPr>
              <w:t>w</w:t>
            </w:r>
            <w:r w:rsidRPr="00BE6BBB">
              <w:rPr>
                <w:color w:val="FFFFFF" w:themeColor="background1"/>
              </w:rPr>
              <w:t>ebsites</w:t>
            </w:r>
          </w:p>
        </w:tc>
        <w:tc>
          <w:tcPr>
            <w:tcW w:w="3671" w:type="dxa"/>
            <w:shd w:val="clear" w:color="auto" w:fill="D2E1E9"/>
          </w:tcPr>
          <w:p w14:paraId="550712B6"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5,003,000</w:t>
            </w:r>
          </w:p>
        </w:tc>
      </w:tr>
      <w:tr w:rsidR="00A77EE0" w:rsidRPr="001A3C79" w14:paraId="08C8349D" w14:textId="77777777" w:rsidTr="0043264B">
        <w:trPr>
          <w:trHeight w:val="162"/>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57F099C2" w14:textId="77777777" w:rsidR="00A77EE0" w:rsidRPr="00BE6BBB" w:rsidRDefault="00A77EE0" w:rsidP="0043264B">
            <w:pPr>
              <w:spacing w:after="0"/>
              <w:rPr>
                <w:color w:val="FFFFFF" w:themeColor="background1"/>
              </w:rPr>
            </w:pPr>
            <w:r w:rsidRPr="00BE6BBB">
              <w:rPr>
                <w:color w:val="FFFFFF" w:themeColor="background1"/>
              </w:rPr>
              <w:t>smh.com.au</w:t>
            </w:r>
          </w:p>
        </w:tc>
        <w:tc>
          <w:tcPr>
            <w:tcW w:w="3671" w:type="dxa"/>
            <w:shd w:val="clear" w:color="auto" w:fill="D2E1E9"/>
          </w:tcPr>
          <w:p w14:paraId="44479266"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4,911,000</w:t>
            </w:r>
          </w:p>
        </w:tc>
      </w:tr>
      <w:tr w:rsidR="00A77EE0" w:rsidRPr="001A3C79" w14:paraId="759C48F4" w14:textId="77777777" w:rsidTr="0043264B">
        <w:trPr>
          <w:trHeight w:val="55"/>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0397318C" w14:textId="77777777" w:rsidR="00A77EE0" w:rsidRPr="00BE6BBB" w:rsidRDefault="00A77EE0" w:rsidP="0043264B">
            <w:pPr>
              <w:spacing w:after="0"/>
              <w:rPr>
                <w:i/>
                <w:color w:val="FFFFFF" w:themeColor="background1"/>
              </w:rPr>
            </w:pPr>
            <w:r w:rsidRPr="00BE6BBB">
              <w:rPr>
                <w:i/>
                <w:color w:val="FFFFFF" w:themeColor="background1"/>
              </w:rPr>
              <w:t>Daily Mail Australia</w:t>
            </w:r>
          </w:p>
        </w:tc>
        <w:tc>
          <w:tcPr>
            <w:tcW w:w="3671" w:type="dxa"/>
            <w:shd w:val="clear" w:color="auto" w:fill="D2E1E9"/>
          </w:tcPr>
          <w:p w14:paraId="5A547869"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3,230,000</w:t>
            </w:r>
          </w:p>
        </w:tc>
      </w:tr>
      <w:tr w:rsidR="00A77EE0" w:rsidRPr="001A3C79" w14:paraId="00318A43" w14:textId="77777777" w:rsidTr="0043264B">
        <w:trPr>
          <w:trHeight w:val="23"/>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07A7BFAA" w14:textId="77777777" w:rsidR="00A77EE0" w:rsidRPr="00BE6BBB" w:rsidRDefault="00A77EE0" w:rsidP="0043264B">
            <w:pPr>
              <w:spacing w:after="0"/>
              <w:rPr>
                <w:color w:val="FFFFFF" w:themeColor="background1"/>
              </w:rPr>
            </w:pPr>
            <w:r w:rsidRPr="00BE6BBB">
              <w:rPr>
                <w:color w:val="FFFFFF" w:themeColor="background1"/>
              </w:rPr>
              <w:t xml:space="preserve">Yahoo7 News </w:t>
            </w:r>
            <w:r w:rsidRPr="00BE6BBB">
              <w:rPr>
                <w:rFonts w:cs="Arial"/>
                <w:bCs/>
                <w:color w:val="FFFFFF" w:themeColor="background1"/>
                <w:szCs w:val="18"/>
              </w:rPr>
              <w:t>w</w:t>
            </w:r>
            <w:r w:rsidRPr="00BE6BBB">
              <w:rPr>
                <w:color w:val="FFFFFF" w:themeColor="background1"/>
              </w:rPr>
              <w:t>ebsites</w:t>
            </w:r>
          </w:p>
        </w:tc>
        <w:tc>
          <w:tcPr>
            <w:tcW w:w="3671" w:type="dxa"/>
            <w:shd w:val="clear" w:color="auto" w:fill="D2E1E9"/>
          </w:tcPr>
          <w:p w14:paraId="49709C86"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3,079,000</w:t>
            </w:r>
          </w:p>
        </w:tc>
      </w:tr>
      <w:tr w:rsidR="00A77EE0" w:rsidRPr="001A3C79" w14:paraId="63CC3A93" w14:textId="77777777" w:rsidTr="0043264B">
        <w:trPr>
          <w:trHeight w:val="23"/>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0791EE0E" w14:textId="77777777" w:rsidR="00A77EE0" w:rsidRPr="00BE6BBB" w:rsidRDefault="00A77EE0" w:rsidP="0043264B">
            <w:pPr>
              <w:spacing w:after="0"/>
              <w:rPr>
                <w:i/>
                <w:color w:val="FFFFFF" w:themeColor="background1"/>
              </w:rPr>
            </w:pPr>
            <w:r w:rsidRPr="00BE6BBB">
              <w:rPr>
                <w:i/>
                <w:color w:val="FFFFFF" w:themeColor="background1"/>
              </w:rPr>
              <w:t>The Guardian</w:t>
            </w:r>
          </w:p>
        </w:tc>
        <w:tc>
          <w:tcPr>
            <w:tcW w:w="3671" w:type="dxa"/>
            <w:shd w:val="clear" w:color="auto" w:fill="D2E1E9"/>
          </w:tcPr>
          <w:p w14:paraId="04664E08"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3,043,000</w:t>
            </w:r>
          </w:p>
        </w:tc>
      </w:tr>
      <w:tr w:rsidR="00A77EE0" w:rsidRPr="001A3C79" w14:paraId="158C469C" w14:textId="77777777" w:rsidTr="0043264B">
        <w:trPr>
          <w:trHeight w:val="23"/>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2CEFF465" w14:textId="77777777" w:rsidR="00A77EE0" w:rsidRPr="00BE6BBB" w:rsidRDefault="00A77EE0" w:rsidP="0043264B">
            <w:pPr>
              <w:spacing w:after="0"/>
              <w:rPr>
                <w:color w:val="FFFFFF" w:themeColor="background1"/>
              </w:rPr>
            </w:pPr>
            <w:r w:rsidRPr="00BE6BBB">
              <w:rPr>
                <w:color w:val="FFFFFF" w:themeColor="background1"/>
              </w:rPr>
              <w:t>BBC</w:t>
            </w:r>
          </w:p>
        </w:tc>
        <w:tc>
          <w:tcPr>
            <w:tcW w:w="3671" w:type="dxa"/>
            <w:shd w:val="clear" w:color="auto" w:fill="D2E1E9"/>
          </w:tcPr>
          <w:p w14:paraId="0C7F9538"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2,888,000</w:t>
            </w:r>
          </w:p>
        </w:tc>
      </w:tr>
      <w:tr w:rsidR="00A77EE0" w:rsidRPr="001A3C79" w14:paraId="5A3E0D02" w14:textId="77777777" w:rsidTr="0043264B">
        <w:trPr>
          <w:trHeight w:val="23"/>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417D8A2A" w14:textId="77777777" w:rsidR="00A77EE0" w:rsidRPr="00BE6BBB" w:rsidRDefault="00A77EE0" w:rsidP="0043264B">
            <w:pPr>
              <w:spacing w:after="0"/>
              <w:rPr>
                <w:color w:val="FFFFFF" w:themeColor="background1"/>
              </w:rPr>
            </w:pPr>
            <w:r w:rsidRPr="00BE6BBB">
              <w:rPr>
                <w:color w:val="FFFFFF" w:themeColor="background1"/>
              </w:rPr>
              <w:t xml:space="preserve">ninemsn </w:t>
            </w:r>
            <w:r w:rsidRPr="00BE6BBB">
              <w:rPr>
                <w:rFonts w:cs="Arial"/>
                <w:bCs/>
                <w:color w:val="FFFFFF" w:themeColor="background1"/>
                <w:szCs w:val="18"/>
              </w:rPr>
              <w:t>news websites</w:t>
            </w:r>
          </w:p>
        </w:tc>
        <w:tc>
          <w:tcPr>
            <w:tcW w:w="3671" w:type="dxa"/>
            <w:shd w:val="clear" w:color="auto" w:fill="D2E1E9"/>
          </w:tcPr>
          <w:p w14:paraId="082A4FA4"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2,753,000</w:t>
            </w:r>
          </w:p>
        </w:tc>
      </w:tr>
      <w:tr w:rsidR="00A77EE0" w:rsidRPr="001A3C79" w14:paraId="08B3512D" w14:textId="77777777" w:rsidTr="0043264B">
        <w:trPr>
          <w:trHeight w:val="124"/>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1985FC0A" w14:textId="77777777" w:rsidR="00A77EE0" w:rsidRPr="00BE6BBB" w:rsidRDefault="00A77EE0" w:rsidP="0043264B">
            <w:pPr>
              <w:spacing w:after="0"/>
              <w:rPr>
                <w:i/>
                <w:color w:val="FFFFFF" w:themeColor="background1"/>
              </w:rPr>
            </w:pPr>
            <w:r w:rsidRPr="00BE6BBB">
              <w:rPr>
                <w:i/>
                <w:color w:val="FFFFFF" w:themeColor="background1"/>
              </w:rPr>
              <w:t>The Daily Telegraph</w:t>
            </w:r>
          </w:p>
        </w:tc>
        <w:tc>
          <w:tcPr>
            <w:tcW w:w="3671" w:type="dxa"/>
            <w:shd w:val="clear" w:color="auto" w:fill="D2E1E9"/>
          </w:tcPr>
          <w:p w14:paraId="4422DE34"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2,520,000</w:t>
            </w:r>
          </w:p>
        </w:tc>
      </w:tr>
      <w:tr w:rsidR="00A77EE0" w:rsidRPr="001A3C79" w14:paraId="0BD3BAB2" w14:textId="77777777" w:rsidTr="0043264B">
        <w:trPr>
          <w:trHeight w:val="30"/>
        </w:trPr>
        <w:tc>
          <w:tcPr>
            <w:cnfStyle w:val="001000000000" w:firstRow="0" w:lastRow="0" w:firstColumn="1" w:lastColumn="0" w:oddVBand="0" w:evenVBand="0" w:oddHBand="0" w:evenHBand="0" w:firstRowFirstColumn="0" w:firstRowLastColumn="0" w:lastRowFirstColumn="0" w:lastRowLastColumn="0"/>
            <w:tcW w:w="3670" w:type="dxa"/>
            <w:shd w:val="clear" w:color="auto" w:fill="7FB8CB"/>
          </w:tcPr>
          <w:p w14:paraId="623DEE7B" w14:textId="77777777" w:rsidR="00A77EE0" w:rsidRPr="00BE6BBB" w:rsidRDefault="00A77EE0" w:rsidP="0043264B">
            <w:pPr>
              <w:spacing w:after="0"/>
              <w:rPr>
                <w:i/>
                <w:color w:val="FFFFFF" w:themeColor="background1"/>
              </w:rPr>
            </w:pPr>
            <w:r w:rsidRPr="00BE6BBB">
              <w:rPr>
                <w:i/>
                <w:color w:val="FFFFFF" w:themeColor="background1"/>
              </w:rPr>
              <w:t>Herald Sun</w:t>
            </w:r>
          </w:p>
        </w:tc>
        <w:tc>
          <w:tcPr>
            <w:tcW w:w="3671" w:type="dxa"/>
            <w:shd w:val="clear" w:color="auto" w:fill="D2E1E9"/>
          </w:tcPr>
          <w:p w14:paraId="7CF2DB4B" w14:textId="77777777" w:rsidR="00A77EE0" w:rsidRPr="009C1BE9" w:rsidRDefault="00A77EE0" w:rsidP="0063439E">
            <w:pPr>
              <w:spacing w:after="0"/>
              <w:cnfStyle w:val="000000000000" w:firstRow="0" w:lastRow="0" w:firstColumn="0" w:lastColumn="0" w:oddVBand="0" w:evenVBand="0" w:oddHBand="0" w:evenHBand="0" w:firstRowFirstColumn="0" w:firstRowLastColumn="0" w:lastRowFirstColumn="0" w:lastRowLastColumn="0"/>
            </w:pPr>
            <w:r w:rsidRPr="009C1BE9">
              <w:t>2,519,000</w:t>
            </w:r>
          </w:p>
        </w:tc>
      </w:tr>
    </w:tbl>
    <w:p w14:paraId="54ADE840" w14:textId="77777777" w:rsidR="00A77EE0" w:rsidRPr="001A3C79" w:rsidRDefault="00A77EE0" w:rsidP="00A77EE0">
      <w:pPr>
        <w:spacing w:before="80" w:after="0" w:line="240" w:lineRule="auto"/>
        <w:rPr>
          <w:rFonts w:cs="Arial"/>
          <w:i/>
          <w:sz w:val="16"/>
        </w:rPr>
      </w:pPr>
      <w:r w:rsidRPr="001A3C79">
        <w:rPr>
          <w:rFonts w:cs="Arial"/>
          <w:i/>
          <w:sz w:val="16"/>
        </w:rPr>
        <w:t>Source: Nielsen Digital Ratings (Monthly), June 2016</w:t>
      </w:r>
      <w:r w:rsidR="00D02106">
        <w:rPr>
          <w:rFonts w:cs="Arial"/>
          <w:i/>
          <w:sz w:val="16"/>
        </w:rPr>
        <w:t>.</w:t>
      </w:r>
    </w:p>
    <w:p w14:paraId="2EB3B1D3" w14:textId="77777777" w:rsidR="00A77EE0" w:rsidRPr="001A3C79" w:rsidRDefault="00A77EE0" w:rsidP="008E4CB3">
      <w:pPr>
        <w:pStyle w:val="ACMASpaceaftertable"/>
      </w:pPr>
    </w:p>
    <w:p w14:paraId="3EB9A593" w14:textId="77777777" w:rsidR="00A77EE0" w:rsidRPr="001A3C79" w:rsidRDefault="00A77EE0" w:rsidP="00EA149D">
      <w:pPr>
        <w:pStyle w:val="Heading3"/>
      </w:pPr>
      <w:bookmarkStart w:id="637" w:name="_Toc462899616"/>
      <w:bookmarkStart w:id="638" w:name="_Toc463529111"/>
      <w:bookmarkStart w:id="639" w:name="_Toc465842937"/>
      <w:r w:rsidRPr="001A3C79">
        <w:t>Trust in news</w:t>
      </w:r>
      <w:bookmarkEnd w:id="637"/>
      <w:bookmarkEnd w:id="638"/>
      <w:bookmarkEnd w:id="639"/>
    </w:p>
    <w:p w14:paraId="7311BB89" w14:textId="77777777" w:rsidR="00A77EE0" w:rsidRPr="001A3C79" w:rsidRDefault="00A77EE0" w:rsidP="00A77EE0">
      <w:pPr>
        <w:keepLines/>
      </w:pPr>
      <w:r w:rsidRPr="001A3C79">
        <w:t>As more Australians are able to access multiple sources of news, industry reporting is showing a decline in trust for traditional news sources. Trust and a sense of reliability in news and opinion in daily newspapers has slowly declined over recent years, with only five per cent of adult Australians in February 2016 reporting a lot of trust in news—down from nine per cent at June 2015. Trust in commercial television news and current affairs also declined slightly in 2016, from 46 per cent in February to 42 per cent by August.</w:t>
      </w:r>
      <w:r w:rsidRPr="001A3C79">
        <w:rPr>
          <w:vertAlign w:val="superscript"/>
        </w:rPr>
        <w:endnoteReference w:id="187"/>
      </w:r>
      <w:r w:rsidRPr="001A3C79">
        <w:t xml:space="preserve"> </w:t>
      </w:r>
    </w:p>
    <w:p w14:paraId="0A546D62" w14:textId="77777777" w:rsidR="00A77EE0" w:rsidRPr="001A3C79" w:rsidRDefault="00A77EE0" w:rsidP="00EA149D">
      <w:pPr>
        <w:pStyle w:val="Heading3"/>
      </w:pPr>
      <w:bookmarkStart w:id="640" w:name="_Toc462899617"/>
      <w:bookmarkStart w:id="641" w:name="_Toc463529112"/>
      <w:bookmarkStart w:id="642" w:name="_Toc465842938"/>
      <w:r w:rsidRPr="001A3C79">
        <w:t>Local news in regional Australia</w:t>
      </w:r>
      <w:bookmarkEnd w:id="640"/>
      <w:bookmarkEnd w:id="641"/>
      <w:bookmarkEnd w:id="642"/>
    </w:p>
    <w:p w14:paraId="63F510C1" w14:textId="77777777" w:rsidR="00A77EE0" w:rsidRPr="001A3C79" w:rsidRDefault="00A77EE0" w:rsidP="00A77EE0">
      <w:r w:rsidRPr="001A3C79">
        <w:t>Local news remains extremely important to those living in regional areas of Australia—77 per cent believe access to local news is important and 40 per cent believe it is very important.</w:t>
      </w:r>
      <w:r w:rsidRPr="001A3C79">
        <w:rPr>
          <w:vertAlign w:val="superscript"/>
        </w:rPr>
        <w:endnoteReference w:id="188"/>
      </w:r>
    </w:p>
    <w:p w14:paraId="4B90B93E" w14:textId="77777777" w:rsidR="00A77EE0" w:rsidRPr="001A3C79" w:rsidRDefault="00A77EE0" w:rsidP="00A77EE0">
      <w:r w:rsidRPr="001A3C79">
        <w:lastRenderedPageBreak/>
        <w:t>Traditional sources (print newspaper, radio, television) are the most used, with radio being the source of choice in emergency situations.</w:t>
      </w:r>
    </w:p>
    <w:p w14:paraId="0A1F6667" w14:textId="77777777" w:rsidR="00A77EE0" w:rsidRPr="001A3C79" w:rsidRDefault="00A77EE0" w:rsidP="00A77EE0">
      <w:r w:rsidRPr="001A3C79">
        <w:t>For local news, 52 per cent of respondents accessed print newspapers, followed by commercial television (43 per cent) and commercial radio (30 per cent), with commercial television being the most preferred.</w:t>
      </w:r>
    </w:p>
    <w:p w14:paraId="71A83FF4" w14:textId="77777777" w:rsidR="00A77EE0" w:rsidRPr="001A3C79" w:rsidRDefault="00A77EE0" w:rsidP="00A77EE0">
      <w:r w:rsidRPr="001A3C79">
        <w:t>In emergency situations, such as a bush fire, storm, flood or cyclone, 43 per cent get up-to-date information about what to do by contacting the fire and emergency services. For those who have experienced an emergency, only 10 per cent contacted the fire and emergency services—the most common source was listening to local ABC radio (33 per cent).</w:t>
      </w:r>
      <w:r w:rsidRPr="001A3C79">
        <w:rPr>
          <w:vertAlign w:val="superscript"/>
        </w:rPr>
        <w:endnoteReference w:id="189"/>
      </w:r>
      <w:r w:rsidRPr="001A3C79">
        <w:t xml:space="preserve"> </w:t>
      </w:r>
    </w:p>
    <w:p w14:paraId="5EAA58DE" w14:textId="77777777" w:rsidR="00A77EE0" w:rsidRPr="001A3C79" w:rsidRDefault="00A77EE0" w:rsidP="009D7639">
      <w:pPr>
        <w:pStyle w:val="Heading2"/>
        <w:numPr>
          <w:ilvl w:val="1"/>
          <w:numId w:val="12"/>
        </w:numPr>
        <w:ind w:hanging="792"/>
      </w:pPr>
      <w:bookmarkStart w:id="643" w:name="_Toc462899618"/>
      <w:bookmarkStart w:id="644" w:name="_Toc433790366"/>
      <w:bookmarkStart w:id="645" w:name="_Toc463529113"/>
      <w:bookmarkStart w:id="646" w:name="_Toc465842939"/>
      <w:r w:rsidRPr="001A3C79">
        <w:t>Broadcasting in Australia</w:t>
      </w:r>
      <w:bookmarkEnd w:id="643"/>
      <w:bookmarkEnd w:id="644"/>
      <w:bookmarkEnd w:id="645"/>
      <w:bookmarkEnd w:id="646"/>
    </w:p>
    <w:p w14:paraId="482025C6" w14:textId="77777777" w:rsidR="00A77EE0" w:rsidRPr="001A3C79" w:rsidRDefault="00A77EE0" w:rsidP="00A77EE0">
      <w:r w:rsidRPr="001A3C79">
        <w:t xml:space="preserve">Australian broadcasters are subject to certain content requirements as part of the licence conditions set out in the BSA. These requirements include meeting minimum amounts of Australian content, children’s program content, captioning, local content for regional broadcasters and Australian content expenditure for subscription television broadcasters. </w:t>
      </w:r>
    </w:p>
    <w:p w14:paraId="1455F0B4" w14:textId="77777777" w:rsidR="00A77EE0" w:rsidRPr="001A3C79" w:rsidRDefault="00A77EE0" w:rsidP="00EA149D">
      <w:pPr>
        <w:pStyle w:val="Heading3"/>
      </w:pPr>
      <w:bookmarkStart w:id="647" w:name="_Toc462899619"/>
      <w:bookmarkStart w:id="648" w:name="_Toc433790367"/>
      <w:bookmarkStart w:id="649" w:name="_Toc463529114"/>
      <w:bookmarkStart w:id="650" w:name="_Toc465842940"/>
      <w:r w:rsidRPr="001A3C79">
        <w:t>Australian content</w:t>
      </w:r>
      <w:bookmarkEnd w:id="647"/>
      <w:bookmarkEnd w:id="648"/>
      <w:bookmarkEnd w:id="649"/>
      <w:bookmarkEnd w:id="650"/>
      <w:r w:rsidRPr="001A3C79">
        <w:t xml:space="preserve"> </w:t>
      </w:r>
    </w:p>
    <w:p w14:paraId="3FFFDFB7" w14:textId="77777777" w:rsidR="00A77EE0" w:rsidRPr="001A3C79" w:rsidRDefault="00A77EE0" w:rsidP="00A77EE0">
      <w:pPr>
        <w:spacing w:after="80"/>
        <w:rPr>
          <w:rFonts w:cs="Arial"/>
          <w:szCs w:val="20"/>
        </w:rPr>
      </w:pPr>
      <w:r w:rsidRPr="001A3C79">
        <w:rPr>
          <w:rFonts w:cs="Arial"/>
          <w:szCs w:val="20"/>
        </w:rPr>
        <w:t>The BSA and the Broadcasting Services (Australian Content) Standard 2016 (Australian Content Standard) stipulate Australian content quotas for commercial television. Under the BSA, commercial television broadcasters must provide:</w:t>
      </w:r>
    </w:p>
    <w:p w14:paraId="56363D68" w14:textId="77777777" w:rsidR="00A77EE0" w:rsidRPr="007E786E" w:rsidRDefault="00A77EE0" w:rsidP="00EA149D">
      <w:pPr>
        <w:pStyle w:val="ListBullet"/>
      </w:pPr>
      <w:r w:rsidRPr="007E786E">
        <w:t>55 per cent Australian content, between 6</w:t>
      </w:r>
      <w:r w:rsidR="00315208">
        <w:t xml:space="preserve"> </w:t>
      </w:r>
      <w:r w:rsidRPr="007E786E">
        <w:t>am and midnight across the year, on their primary channel</w:t>
      </w:r>
    </w:p>
    <w:p w14:paraId="79DE9505" w14:textId="77777777" w:rsidR="00A77EE0" w:rsidRPr="007E786E" w:rsidRDefault="00A77EE0" w:rsidP="00EA149D">
      <w:pPr>
        <w:pStyle w:val="ListBulletLast"/>
      </w:pPr>
      <w:r w:rsidRPr="007E786E">
        <w:t>1,460 hours of Australian programming on other than their primary channel (multi-channels).</w:t>
      </w:r>
    </w:p>
    <w:p w14:paraId="6B07E3A4" w14:textId="77777777" w:rsidR="00A77EE0" w:rsidRPr="001A3C79" w:rsidRDefault="00A77EE0" w:rsidP="00A77EE0">
      <w:pPr>
        <w:spacing w:after="80"/>
      </w:pPr>
      <w:r w:rsidRPr="001A3C79">
        <w:t>The Australian Content Standard requires commercial television broadcasters to:</w:t>
      </w:r>
    </w:p>
    <w:p w14:paraId="28B4EA1D" w14:textId="77777777" w:rsidR="00A77EE0" w:rsidRPr="007E786E" w:rsidRDefault="00A77EE0" w:rsidP="00EA149D">
      <w:pPr>
        <w:pStyle w:val="ListBullet"/>
      </w:pPr>
      <w:r w:rsidRPr="007E786E">
        <w:t>broadcast minimum amounts of first-release Australian drama and documentary programs</w:t>
      </w:r>
    </w:p>
    <w:p w14:paraId="3F8624CA" w14:textId="77777777" w:rsidR="00A77EE0" w:rsidRPr="007E786E" w:rsidRDefault="00A77EE0" w:rsidP="00EA149D">
      <w:pPr>
        <w:pStyle w:val="ListBullet"/>
      </w:pPr>
      <w:r w:rsidRPr="007E786E">
        <w:t xml:space="preserve">broadcast minimum amounts of Australian-made children’s programs </w:t>
      </w:r>
    </w:p>
    <w:p w14:paraId="183E3373" w14:textId="77777777" w:rsidR="00A77EE0" w:rsidRPr="007E786E" w:rsidRDefault="00A77EE0" w:rsidP="00EA149D">
      <w:pPr>
        <w:pStyle w:val="ListBulletLast"/>
      </w:pPr>
      <w:r w:rsidRPr="007E786E">
        <w:t>ensure that all preschool programs are Australian programs.</w:t>
      </w:r>
    </w:p>
    <w:p w14:paraId="254882FE" w14:textId="77777777" w:rsidR="00A77EE0" w:rsidRPr="001A3C79" w:rsidRDefault="00A77EE0" w:rsidP="00A77EE0">
      <w:r w:rsidRPr="001A3C79">
        <w:t>Assessment of compliance with the quota requirements is calendar year-based. The metropolitan FTA commercial network licensees all met the Australian content transmission quotas for overall content, drama and documentaries for the 2015 calendar year (Table 3.4).</w:t>
      </w:r>
    </w:p>
    <w:p w14:paraId="69D6174C" w14:textId="77777777" w:rsidR="00A77EE0" w:rsidRPr="00097E11" w:rsidRDefault="00A77EE0" w:rsidP="00A77EE0">
      <w:pPr>
        <w:rPr>
          <w:rFonts w:cs="Arial"/>
          <w:szCs w:val="20"/>
        </w:rPr>
      </w:pPr>
      <w:r w:rsidRPr="009C1BE9">
        <w:rPr>
          <w:rFonts w:cs="Arial"/>
          <w:szCs w:val="20"/>
        </w:rPr>
        <w:t>The ACMA made the Australian Content Standard to replace its predecessor</w:t>
      </w:r>
      <w:r w:rsidR="00826F08">
        <w:rPr>
          <w:rFonts w:cs="Arial"/>
          <w:szCs w:val="20"/>
        </w:rPr>
        <w:t>,</w:t>
      </w:r>
      <w:r w:rsidRPr="009C1BE9">
        <w:rPr>
          <w:rFonts w:cs="Arial"/>
          <w:szCs w:val="20"/>
        </w:rPr>
        <w:t xml:space="preserve"> which was due to lapse under the sunsetting provisions of the </w:t>
      </w:r>
      <w:r w:rsidRPr="009C1BE9">
        <w:rPr>
          <w:rFonts w:cs="Arial"/>
          <w:i/>
          <w:szCs w:val="20"/>
        </w:rPr>
        <w:t>Legislative Instruments Act 2003</w:t>
      </w:r>
      <w:r w:rsidRPr="009C1BE9">
        <w:rPr>
          <w:rFonts w:cs="Arial"/>
          <w:szCs w:val="20"/>
        </w:rPr>
        <w:t>. The new standard commenced on 31 March 2016 and maintains the effect of the previous standard.</w:t>
      </w:r>
    </w:p>
    <w:p w14:paraId="5548B452" w14:textId="77777777" w:rsidR="00A77EE0" w:rsidRPr="001A3C79" w:rsidRDefault="00A77EE0" w:rsidP="0043264B">
      <w:pPr>
        <w:keepNext/>
        <w:keepLines/>
        <w:spacing w:after="160"/>
        <w:ind w:left="1136" w:hanging="1136"/>
        <w:rPr>
          <w:b/>
          <w:bCs/>
          <w:color w:val="323232"/>
        </w:rPr>
      </w:pPr>
      <w:r w:rsidRPr="001A3C79">
        <w:rPr>
          <w:b/>
          <w:bCs/>
          <w:color w:val="323232"/>
        </w:rPr>
        <w:lastRenderedPageBreak/>
        <w:t>Table 3.4</w:t>
      </w:r>
      <w:r w:rsidRPr="001A3C79">
        <w:rPr>
          <w:b/>
          <w:bCs/>
          <w:color w:val="323232"/>
        </w:rPr>
        <w:tab/>
        <w:t>Metropolitan FTA commercial network licensee compliance with the Australian Content Standard for the 2015 calendar year</w:t>
      </w:r>
    </w:p>
    <w:tbl>
      <w:tblPr>
        <w:tblStyle w:val="Commsreport2014-15TABLE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Caption w:val="Table 3.4 Metropolitan free-to-air commercial network licensee compliance with the Australian Content Standard for the 2015 calendar year"/>
      </w:tblPr>
      <w:tblGrid>
        <w:gridCol w:w="1245"/>
        <w:gridCol w:w="2246"/>
        <w:gridCol w:w="1075"/>
        <w:gridCol w:w="1270"/>
        <w:gridCol w:w="1184"/>
        <w:gridCol w:w="1147"/>
        <w:gridCol w:w="1128"/>
      </w:tblGrid>
      <w:tr w:rsidR="00A77EE0" w:rsidRPr="009573A6" w14:paraId="2DAD94EF" w14:textId="77777777" w:rsidTr="009573A6">
        <w:trPr>
          <w:cnfStyle w:val="100000000000" w:firstRow="1" w:lastRow="0" w:firstColumn="0" w:lastColumn="0" w:oddVBand="0" w:evenVBand="0" w:oddHBand="0" w:evenHBand="0" w:firstRowFirstColumn="0" w:firstRowLastColumn="0" w:lastRowFirstColumn="0" w:lastRowLastColumn="0"/>
          <w:trHeight w:val="213"/>
          <w:tblHeader/>
        </w:trPr>
        <w:tc>
          <w:tcPr>
            <w:cnfStyle w:val="001000000000" w:firstRow="0" w:lastRow="0" w:firstColumn="1" w:lastColumn="0" w:oddVBand="0" w:evenVBand="0" w:oddHBand="0" w:evenHBand="0" w:firstRowFirstColumn="0" w:firstRowLastColumn="0" w:lastRowFirstColumn="0" w:lastRowLastColumn="0"/>
            <w:tcW w:w="670" w:type="pct"/>
            <w:shd w:val="clear" w:color="auto" w:fill="auto"/>
          </w:tcPr>
          <w:p w14:paraId="613A9557" w14:textId="77777777" w:rsidR="00A77EE0" w:rsidRPr="009573A6" w:rsidRDefault="00A77EE0" w:rsidP="009573A6">
            <w:pPr>
              <w:pStyle w:val="TableHeading"/>
              <w:rPr>
                <w:b/>
              </w:rPr>
            </w:pPr>
          </w:p>
        </w:tc>
        <w:tc>
          <w:tcPr>
            <w:tcW w:w="1208" w:type="pct"/>
            <w:shd w:val="clear" w:color="auto" w:fill="auto"/>
          </w:tcPr>
          <w:p w14:paraId="1F80057F"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p>
        </w:tc>
        <w:tc>
          <w:tcPr>
            <w:tcW w:w="578" w:type="pct"/>
            <w:tcBorders>
              <w:right w:val="single" w:sz="24" w:space="0" w:color="FFFFFF" w:themeColor="background1"/>
            </w:tcBorders>
            <w:shd w:val="clear" w:color="auto" w:fill="auto"/>
          </w:tcPr>
          <w:p w14:paraId="0D5F9947"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p>
        </w:tc>
        <w:tc>
          <w:tcPr>
            <w:tcW w:w="683" w:type="pct"/>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298"/>
          </w:tcPr>
          <w:p w14:paraId="2787FEDA"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9573A6">
              <w:rPr>
                <w:b/>
              </w:rPr>
              <w:t>Minimum quota*</w:t>
            </w:r>
          </w:p>
        </w:tc>
        <w:tc>
          <w:tcPr>
            <w:tcW w:w="1861" w:type="pct"/>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298"/>
          </w:tcPr>
          <w:p w14:paraId="2748C4AB" w14:textId="77777777" w:rsidR="00A77EE0" w:rsidRPr="009573A6" w:rsidRDefault="00A77EE0" w:rsidP="009573A6">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9573A6">
              <w:rPr>
                <w:b/>
              </w:rPr>
              <w:t>Licensees</w:t>
            </w:r>
          </w:p>
        </w:tc>
      </w:tr>
      <w:tr w:rsidR="00A77EE0" w:rsidRPr="001A3C79" w14:paraId="650B9875" w14:textId="77777777" w:rsidTr="0043264B">
        <w:trPr>
          <w:trHeight w:val="248"/>
        </w:trPr>
        <w:tc>
          <w:tcPr>
            <w:cnfStyle w:val="001000000000" w:firstRow="0" w:lastRow="0" w:firstColumn="1" w:lastColumn="0" w:oddVBand="0" w:evenVBand="0" w:oddHBand="0" w:evenHBand="0" w:firstRowFirstColumn="0" w:firstRowLastColumn="0" w:lastRowFirstColumn="0" w:lastRowLastColumn="0"/>
            <w:tcW w:w="670" w:type="pct"/>
            <w:tcBorders>
              <w:bottom w:val="single" w:sz="24" w:space="0" w:color="FFFFFF" w:themeColor="background1"/>
            </w:tcBorders>
            <w:shd w:val="clear" w:color="auto" w:fill="auto"/>
          </w:tcPr>
          <w:p w14:paraId="7737733B" w14:textId="77777777" w:rsidR="00A77EE0" w:rsidRPr="001A3C79" w:rsidRDefault="00A77EE0" w:rsidP="0043264B">
            <w:pPr>
              <w:keepNext/>
              <w:keepLines/>
              <w:spacing w:after="0"/>
              <w:rPr>
                <w:b/>
              </w:rPr>
            </w:pPr>
          </w:p>
        </w:tc>
        <w:tc>
          <w:tcPr>
            <w:tcW w:w="1208" w:type="pct"/>
            <w:tcBorders>
              <w:bottom w:val="single" w:sz="24" w:space="0" w:color="FFFFFF" w:themeColor="background1"/>
            </w:tcBorders>
            <w:shd w:val="clear" w:color="auto" w:fill="auto"/>
          </w:tcPr>
          <w:p w14:paraId="254C998B" w14:textId="77777777" w:rsidR="00A77EE0" w:rsidRPr="001A3C79" w:rsidRDefault="00A77EE0" w:rsidP="0043264B">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p>
        </w:tc>
        <w:tc>
          <w:tcPr>
            <w:tcW w:w="578" w:type="pct"/>
            <w:tcBorders>
              <w:bottom w:val="single" w:sz="24" w:space="0" w:color="FFFFFF" w:themeColor="background1"/>
              <w:right w:val="single" w:sz="24" w:space="0" w:color="FFFFFF" w:themeColor="background1"/>
            </w:tcBorders>
            <w:shd w:val="clear" w:color="auto" w:fill="auto"/>
          </w:tcPr>
          <w:p w14:paraId="06AB2DC2" w14:textId="77777777" w:rsidR="00A77EE0" w:rsidRPr="001A3C79" w:rsidRDefault="00A77EE0" w:rsidP="0043264B">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p>
        </w:tc>
        <w:tc>
          <w:tcPr>
            <w:tcW w:w="683" w:type="pct"/>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0073128"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p>
        </w:tc>
        <w:tc>
          <w:tcPr>
            <w:tcW w:w="6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298"/>
          </w:tcPr>
          <w:p w14:paraId="5EF5C8E2"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r w:rsidRPr="001A3C79">
              <w:rPr>
                <w:b/>
                <w:color w:val="FFFFFF"/>
              </w:rPr>
              <w:t>Seven Network</w:t>
            </w:r>
          </w:p>
        </w:tc>
        <w:tc>
          <w:tcPr>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298"/>
          </w:tcPr>
          <w:p w14:paraId="162881F6"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r w:rsidRPr="001A3C79">
              <w:rPr>
                <w:b/>
                <w:color w:val="FFFFFF"/>
              </w:rPr>
              <w:t>Nine Network</w:t>
            </w:r>
          </w:p>
        </w:tc>
        <w:tc>
          <w:tcPr>
            <w:tcW w:w="6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298"/>
          </w:tcPr>
          <w:p w14:paraId="2B0E7783"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r w:rsidRPr="001A3C79">
              <w:rPr>
                <w:b/>
                <w:color w:val="FFFFFF"/>
              </w:rPr>
              <w:t>Network</w:t>
            </w:r>
            <w:r w:rsidRPr="001A3C79">
              <w:rPr>
                <w:rFonts w:cs="Arial"/>
                <w:b/>
                <w:bCs/>
                <w:color w:val="FFFFFF"/>
                <w:szCs w:val="18"/>
              </w:rPr>
              <w:t xml:space="preserve"> Ten </w:t>
            </w:r>
          </w:p>
        </w:tc>
      </w:tr>
      <w:tr w:rsidR="00A77EE0" w:rsidRPr="001A3C79" w14:paraId="096C407A" w14:textId="77777777" w:rsidTr="0043264B">
        <w:trPr>
          <w:trHeight w:val="228"/>
        </w:trPr>
        <w:tc>
          <w:tcPr>
            <w:cnfStyle w:val="001000000000" w:firstRow="0" w:lastRow="0" w:firstColumn="1" w:lastColumn="0" w:oddVBand="0" w:evenVBand="0" w:oddHBand="0" w:evenHBand="0" w:firstRowFirstColumn="0" w:firstRowLastColumn="0" w:lastRowFirstColumn="0" w:lastRowLastColumn="0"/>
            <w:tcW w:w="670" w:type="pct"/>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08E49F5E" w14:textId="77777777" w:rsidR="00A77EE0" w:rsidRPr="001A3C79" w:rsidRDefault="00A77EE0" w:rsidP="0043264B">
            <w:pPr>
              <w:keepNext/>
              <w:keepLines/>
              <w:spacing w:after="0"/>
              <w:rPr>
                <w:b/>
              </w:rPr>
            </w:pPr>
            <w:r w:rsidRPr="00BE6BBB">
              <w:rPr>
                <w:rFonts w:cs="Arial"/>
                <w:b/>
                <w:noProof/>
                <w:color w:val="FFFFFF" w:themeColor="background1"/>
              </w:rPr>
              <w:drawing>
                <wp:anchor distT="0" distB="0" distL="114300" distR="114300" simplePos="0" relativeHeight="251658242" behindDoc="1" locked="0" layoutInCell="1" allowOverlap="1" wp14:anchorId="256073CE" wp14:editId="2EA86941">
                  <wp:simplePos x="0" y="0"/>
                  <wp:positionH relativeFrom="column">
                    <wp:posOffset>5715</wp:posOffset>
                  </wp:positionH>
                  <wp:positionV relativeFrom="paragraph">
                    <wp:posOffset>-426720</wp:posOffset>
                  </wp:positionV>
                  <wp:extent cx="445770" cy="410210"/>
                  <wp:effectExtent l="0" t="0" r="0" b="8890"/>
                  <wp:wrapSquare wrapText="bothSides"/>
                  <wp:docPr id="12" name="Picture 12"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con-16.png"/>
                          <pic:cNvPicPr/>
                        </pic:nvPicPr>
                        <pic:blipFill>
                          <a:blip r:embed="rId107">
                            <a:extLst>
                              <a:ext uri="{28A0092B-C50C-407E-A947-70E740481C1C}">
                                <a14:useLocalDpi xmlns:a14="http://schemas.microsoft.com/office/drawing/2010/main" val="0"/>
                              </a:ext>
                            </a:extLst>
                          </a:blip>
                          <a:stretch>
                            <a:fillRect/>
                          </a:stretch>
                        </pic:blipFill>
                        <pic:spPr>
                          <a:xfrm>
                            <a:off x="0" y="0"/>
                            <a:ext cx="445770" cy="410210"/>
                          </a:xfrm>
                          <a:prstGeom prst="rect">
                            <a:avLst/>
                          </a:prstGeom>
                        </pic:spPr>
                      </pic:pic>
                    </a:graphicData>
                  </a:graphic>
                  <wp14:sizeRelH relativeFrom="margin">
                    <wp14:pctWidth>0</wp14:pctWidth>
                  </wp14:sizeRelH>
                  <wp14:sizeRelV relativeFrom="margin">
                    <wp14:pctHeight>0</wp14:pctHeight>
                  </wp14:sizeRelV>
                </wp:anchor>
              </w:drawing>
            </w:r>
            <w:r w:rsidRPr="00BE6BBB">
              <w:rPr>
                <w:b/>
                <w:color w:val="FFFFFF" w:themeColor="background1"/>
              </w:rPr>
              <w:t>Overall Australian content</w:t>
            </w:r>
          </w:p>
        </w:tc>
        <w:tc>
          <w:tcPr>
            <w:tcW w:w="120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45C28AFA" w14:textId="77777777" w:rsidR="00A77EE0" w:rsidRPr="00BE6BBB" w:rsidRDefault="00A77EE0" w:rsidP="0043264B">
            <w:pPr>
              <w:keepNext/>
              <w:keepLines/>
              <w:spacing w:after="0"/>
              <w:jc w:val="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BE6BBB">
              <w:rPr>
                <w:b/>
                <w:color w:val="FFFFFF" w:themeColor="background1"/>
              </w:rPr>
              <w:t>On primary channel</w:t>
            </w:r>
          </w:p>
        </w:tc>
        <w:tc>
          <w:tcPr>
            <w:tcW w:w="57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535A6AA4" w14:textId="77777777" w:rsidR="00A77EE0" w:rsidRPr="00BE6BBB" w:rsidRDefault="00A77EE0" w:rsidP="0043264B">
            <w:pPr>
              <w:keepNext/>
              <w:keepLines/>
              <w:spacing w:after="0"/>
              <w:jc w:val="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BE6BBB">
              <w:rPr>
                <w:color w:val="FFFFFF" w:themeColor="background1"/>
              </w:rPr>
              <w:t>(%)</w:t>
            </w:r>
          </w:p>
        </w:tc>
        <w:tc>
          <w:tcPr>
            <w:tcW w:w="68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4EB9FCE7"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55</w:t>
            </w:r>
          </w:p>
        </w:tc>
        <w:tc>
          <w:tcPr>
            <w:tcW w:w="6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50281643"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70</w:t>
            </w:r>
          </w:p>
        </w:tc>
        <w:tc>
          <w:tcPr>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2CEAFB35"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72</w:t>
            </w:r>
          </w:p>
        </w:tc>
        <w:tc>
          <w:tcPr>
            <w:tcW w:w="6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4DB3E530"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63</w:t>
            </w:r>
          </w:p>
        </w:tc>
      </w:tr>
      <w:tr w:rsidR="00A77EE0" w:rsidRPr="001A3C79" w14:paraId="0FF9D9C2" w14:textId="77777777" w:rsidTr="0043264B">
        <w:trPr>
          <w:trHeight w:val="454"/>
        </w:trPr>
        <w:tc>
          <w:tcPr>
            <w:cnfStyle w:val="001000000000" w:firstRow="0" w:lastRow="0" w:firstColumn="1" w:lastColumn="0" w:oddVBand="0" w:evenVBand="0" w:oddHBand="0" w:evenHBand="0" w:firstRowFirstColumn="0" w:firstRowLastColumn="0" w:lastRowFirstColumn="0" w:lastRowLastColumn="0"/>
            <w:tcW w:w="670" w:type="pct"/>
            <w:vMerge/>
            <w:tcBorders>
              <w:left w:val="single" w:sz="24" w:space="0" w:color="FFFFFF" w:themeColor="background1"/>
              <w:bottom w:val="single" w:sz="24" w:space="0" w:color="FFFFFF" w:themeColor="background1"/>
              <w:right w:val="single" w:sz="24" w:space="0" w:color="FFFFFF" w:themeColor="background1"/>
            </w:tcBorders>
            <w:shd w:val="clear" w:color="auto" w:fill="7FB8CB"/>
          </w:tcPr>
          <w:p w14:paraId="18F23A3A" w14:textId="77777777" w:rsidR="00A77EE0" w:rsidRPr="001A3C79" w:rsidRDefault="00A77EE0" w:rsidP="0043264B">
            <w:pPr>
              <w:keepNext/>
              <w:keepLines/>
              <w:spacing w:after="0"/>
              <w:rPr>
                <w:b/>
              </w:rPr>
            </w:pPr>
          </w:p>
        </w:tc>
        <w:tc>
          <w:tcPr>
            <w:tcW w:w="120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1FB07580" w14:textId="77777777" w:rsidR="00A77EE0" w:rsidRPr="00BE6BBB" w:rsidRDefault="00A77EE0" w:rsidP="0043264B">
            <w:pPr>
              <w:keepNext/>
              <w:keepLines/>
              <w:spacing w:after="0"/>
              <w:jc w:val="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BE6BBB">
              <w:rPr>
                <w:b/>
                <w:color w:val="FFFFFF" w:themeColor="background1"/>
              </w:rPr>
              <w:t>On non-primary channel</w:t>
            </w:r>
          </w:p>
        </w:tc>
        <w:tc>
          <w:tcPr>
            <w:tcW w:w="57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4F986C57" w14:textId="77777777" w:rsidR="00A77EE0" w:rsidRPr="00BE6BBB" w:rsidRDefault="00A77EE0" w:rsidP="0043264B">
            <w:pPr>
              <w:keepNext/>
              <w:keepLines/>
              <w:spacing w:after="0"/>
              <w:jc w:val="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BE6BBB">
              <w:rPr>
                <w:color w:val="FFFFFF" w:themeColor="background1"/>
              </w:rPr>
              <w:t>(average hours)</w:t>
            </w:r>
          </w:p>
        </w:tc>
        <w:tc>
          <w:tcPr>
            <w:tcW w:w="68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25813254"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1,460</w:t>
            </w:r>
          </w:p>
        </w:tc>
        <w:tc>
          <w:tcPr>
            <w:tcW w:w="6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6874897E"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2,960</w:t>
            </w:r>
          </w:p>
        </w:tc>
        <w:tc>
          <w:tcPr>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59CBA3D4"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1,604</w:t>
            </w:r>
          </w:p>
        </w:tc>
        <w:tc>
          <w:tcPr>
            <w:tcW w:w="6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7458DBEC"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4,078</w:t>
            </w:r>
          </w:p>
        </w:tc>
      </w:tr>
      <w:tr w:rsidR="00A77EE0" w:rsidRPr="001A3C79" w14:paraId="4889ADDA" w14:textId="77777777" w:rsidTr="0043264B">
        <w:trPr>
          <w:trHeight w:val="448"/>
        </w:trPr>
        <w:tc>
          <w:tcPr>
            <w:cnfStyle w:val="001000000000" w:firstRow="0" w:lastRow="0" w:firstColumn="1" w:lastColumn="0" w:oddVBand="0" w:evenVBand="0" w:oddHBand="0" w:evenHBand="0" w:firstRowFirstColumn="0" w:firstRowLastColumn="0" w:lastRowFirstColumn="0" w:lastRowLastColumn="0"/>
            <w:tcW w:w="67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7F23A60A" w14:textId="77777777" w:rsidR="00A77EE0" w:rsidRPr="001A3C79" w:rsidRDefault="00A77EE0" w:rsidP="0043264B">
            <w:pPr>
              <w:keepNext/>
              <w:keepLines/>
              <w:spacing w:after="0"/>
              <w:rPr>
                <w:b/>
              </w:rPr>
            </w:pPr>
            <w:r w:rsidRPr="001A3C79">
              <w:rPr>
                <w:rFonts w:cs="Arial"/>
                <w:b/>
                <w:noProof/>
              </w:rPr>
              <w:drawing>
                <wp:anchor distT="0" distB="0" distL="114300" distR="114300" simplePos="0" relativeHeight="251658250" behindDoc="0" locked="0" layoutInCell="1" allowOverlap="1" wp14:anchorId="4E596B4B" wp14:editId="0DDA9C3D">
                  <wp:simplePos x="1105786" y="9324753"/>
                  <wp:positionH relativeFrom="margin">
                    <wp:align>left</wp:align>
                  </wp:positionH>
                  <wp:positionV relativeFrom="margin">
                    <wp:align>top</wp:align>
                  </wp:positionV>
                  <wp:extent cx="426721" cy="441961"/>
                  <wp:effectExtent l="0" t="0" r="0" b="0"/>
                  <wp:wrapSquare wrapText="bothSides"/>
                  <wp:docPr id="87" name="Picture 87"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con-24.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26721" cy="441961"/>
                          </a:xfrm>
                          <a:prstGeom prst="rect">
                            <a:avLst/>
                          </a:prstGeom>
                        </pic:spPr>
                      </pic:pic>
                    </a:graphicData>
                  </a:graphic>
                  <wp14:sizeRelH relativeFrom="margin">
                    <wp14:pctWidth>0</wp14:pctWidth>
                  </wp14:sizeRelH>
                  <wp14:sizeRelV relativeFrom="margin">
                    <wp14:pctHeight>0</wp14:pctHeight>
                  </wp14:sizeRelV>
                </wp:anchor>
              </w:drawing>
            </w:r>
          </w:p>
        </w:tc>
        <w:tc>
          <w:tcPr>
            <w:tcW w:w="120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15A5C12D" w14:textId="77777777" w:rsidR="00A77EE0" w:rsidRPr="00BE6BBB" w:rsidRDefault="00A77EE0" w:rsidP="0043264B">
            <w:pPr>
              <w:keepNext/>
              <w:keepLines/>
              <w:spacing w:after="0"/>
              <w:jc w:val="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BE6BBB">
              <w:rPr>
                <w:b/>
                <w:color w:val="FFFFFF" w:themeColor="background1"/>
              </w:rPr>
              <w:t>First-release Australian drama</w:t>
            </w:r>
          </w:p>
        </w:tc>
        <w:tc>
          <w:tcPr>
            <w:tcW w:w="57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12F0926C" w14:textId="77777777" w:rsidR="00A77EE0" w:rsidRPr="00BE6BBB" w:rsidRDefault="00A77EE0" w:rsidP="0043264B">
            <w:pPr>
              <w:keepNext/>
              <w:keepLines/>
              <w:spacing w:after="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BE6BBB">
              <w:rPr>
                <w:color w:val="FFFFFF" w:themeColor="background1"/>
              </w:rPr>
              <w:t>(points)</w:t>
            </w:r>
          </w:p>
        </w:tc>
        <w:tc>
          <w:tcPr>
            <w:tcW w:w="68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322E001E"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250</w:t>
            </w:r>
          </w:p>
        </w:tc>
        <w:tc>
          <w:tcPr>
            <w:tcW w:w="6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29C7524C"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311</w:t>
            </w:r>
          </w:p>
        </w:tc>
        <w:tc>
          <w:tcPr>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5EACE774"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269</w:t>
            </w:r>
          </w:p>
        </w:tc>
        <w:tc>
          <w:tcPr>
            <w:tcW w:w="6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2A382FAC"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251</w:t>
            </w:r>
          </w:p>
        </w:tc>
      </w:tr>
      <w:tr w:rsidR="00A77EE0" w:rsidRPr="001A3C79" w14:paraId="34F3C39F" w14:textId="77777777" w:rsidTr="0043264B">
        <w:trPr>
          <w:trHeight w:val="365"/>
        </w:trPr>
        <w:tc>
          <w:tcPr>
            <w:cnfStyle w:val="001000000000" w:firstRow="0" w:lastRow="0" w:firstColumn="1" w:lastColumn="0" w:oddVBand="0" w:evenVBand="0" w:oddHBand="0" w:evenHBand="0" w:firstRowFirstColumn="0" w:firstRowLastColumn="0" w:lastRowFirstColumn="0" w:lastRowLastColumn="0"/>
            <w:tcW w:w="67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64DF7243" w14:textId="77777777" w:rsidR="00A77EE0" w:rsidRPr="001A3C79" w:rsidRDefault="00A77EE0" w:rsidP="0043264B">
            <w:pPr>
              <w:keepNext/>
              <w:keepLines/>
              <w:spacing w:after="0"/>
              <w:rPr>
                <w:b/>
              </w:rPr>
            </w:pPr>
            <w:r w:rsidRPr="001A3C79">
              <w:rPr>
                <w:rFonts w:cs="Arial"/>
                <w:b/>
                <w:noProof/>
              </w:rPr>
              <w:drawing>
                <wp:anchor distT="0" distB="0" distL="144145" distR="114300" simplePos="0" relativeHeight="251658241" behindDoc="0" locked="0" layoutInCell="1" allowOverlap="1" wp14:anchorId="619FBEDF" wp14:editId="3FF66804">
                  <wp:simplePos x="0" y="0"/>
                  <wp:positionH relativeFrom="margin">
                    <wp:posOffset>49530</wp:posOffset>
                  </wp:positionH>
                  <wp:positionV relativeFrom="paragraph">
                    <wp:posOffset>-407670</wp:posOffset>
                  </wp:positionV>
                  <wp:extent cx="500380" cy="449580"/>
                  <wp:effectExtent l="0" t="0" r="0" b="7620"/>
                  <wp:wrapSquare wrapText="left"/>
                  <wp:docPr id="14" name="Picture 14"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ent delivery-09.png"/>
                          <pic:cNvPicPr/>
                        </pic:nvPicPr>
                        <pic:blipFill>
                          <a:blip r:embed="rId109">
                            <a:extLst>
                              <a:ext uri="{28A0092B-C50C-407E-A947-70E740481C1C}">
                                <a14:useLocalDpi xmlns:a14="http://schemas.microsoft.com/office/drawing/2010/main" val="0"/>
                              </a:ext>
                            </a:extLst>
                          </a:blip>
                          <a:stretch>
                            <a:fillRect/>
                          </a:stretch>
                        </pic:blipFill>
                        <pic:spPr>
                          <a:xfrm>
                            <a:off x="0" y="0"/>
                            <a:ext cx="5003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120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6B2F6E05" w14:textId="77777777" w:rsidR="00A77EE0" w:rsidRPr="00BE6BBB" w:rsidRDefault="00A77EE0" w:rsidP="0043264B">
            <w:pPr>
              <w:keepNext/>
              <w:keepLines/>
              <w:spacing w:after="0"/>
              <w:jc w:val="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BE6BBB">
              <w:rPr>
                <w:b/>
                <w:color w:val="FFFFFF" w:themeColor="background1"/>
              </w:rPr>
              <w:t>First-release Australian documentaries</w:t>
            </w:r>
          </w:p>
        </w:tc>
        <w:tc>
          <w:tcPr>
            <w:tcW w:w="57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B8CB"/>
          </w:tcPr>
          <w:p w14:paraId="159CB56C" w14:textId="77777777" w:rsidR="00A77EE0" w:rsidRPr="00BE6BBB" w:rsidRDefault="00A77EE0" w:rsidP="0043264B">
            <w:pPr>
              <w:keepNext/>
              <w:keepLines/>
              <w:spacing w:after="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BE6BBB">
              <w:rPr>
                <w:color w:val="FFFFFF" w:themeColor="background1"/>
              </w:rPr>
              <w:t>(average hours)</w:t>
            </w:r>
          </w:p>
        </w:tc>
        <w:tc>
          <w:tcPr>
            <w:tcW w:w="68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37E8B099"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20</w:t>
            </w:r>
          </w:p>
        </w:tc>
        <w:tc>
          <w:tcPr>
            <w:tcW w:w="6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74CBB88B"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63</w:t>
            </w:r>
          </w:p>
        </w:tc>
        <w:tc>
          <w:tcPr>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467399F7"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22</w:t>
            </w:r>
          </w:p>
        </w:tc>
        <w:tc>
          <w:tcPr>
            <w:tcW w:w="6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2E1E9"/>
          </w:tcPr>
          <w:p w14:paraId="5BE6811B"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30</w:t>
            </w:r>
          </w:p>
        </w:tc>
      </w:tr>
    </w:tbl>
    <w:p w14:paraId="06A48A4D" w14:textId="77777777" w:rsidR="00A77EE0" w:rsidRPr="001A3C79" w:rsidRDefault="00A77EE0" w:rsidP="0043264B">
      <w:pPr>
        <w:keepNext/>
        <w:keepLines/>
        <w:spacing w:before="80" w:after="0" w:line="240" w:lineRule="auto"/>
        <w:rPr>
          <w:rFonts w:cs="Arial"/>
          <w:i/>
          <w:sz w:val="16"/>
        </w:rPr>
      </w:pPr>
      <w:r w:rsidRPr="001A3C79">
        <w:rPr>
          <w:rFonts w:cs="Arial"/>
          <w:i/>
          <w:sz w:val="16"/>
        </w:rPr>
        <w:t xml:space="preserve">*Minimum transmission quota required as per section 121G of the </w:t>
      </w:r>
      <w:r w:rsidRPr="00D02106">
        <w:rPr>
          <w:rFonts w:cs="Arial"/>
          <w:sz w:val="16"/>
        </w:rPr>
        <w:t>Broadcasting Services Act 1992</w:t>
      </w:r>
      <w:r w:rsidRPr="001A3C79">
        <w:rPr>
          <w:rFonts w:cs="Arial"/>
          <w:i/>
          <w:sz w:val="16"/>
        </w:rPr>
        <w:t>.</w:t>
      </w:r>
    </w:p>
    <w:p w14:paraId="715A4FC9" w14:textId="77777777" w:rsidR="00A77EE0" w:rsidRPr="001A3C79" w:rsidRDefault="00A77EE0" w:rsidP="0043264B">
      <w:pPr>
        <w:keepNext/>
        <w:keepLines/>
        <w:spacing w:before="80" w:after="0" w:line="240" w:lineRule="auto"/>
        <w:rPr>
          <w:rFonts w:cs="Arial"/>
          <w:i/>
          <w:sz w:val="16"/>
        </w:rPr>
      </w:pPr>
      <w:r w:rsidRPr="001A3C79">
        <w:rPr>
          <w:rFonts w:cs="Arial"/>
          <w:i/>
          <w:sz w:val="16"/>
        </w:rPr>
        <w:t>Note: Overall Australian content relates to first release and repeat programs that must be broadcast between 6.00 am and midnight. Licensee requirements for each network are calculated by averaging across the following locations: Seven Network—five mainland state capital cities, Nine Network—Brisbane, Melbourne and Sydney, Network Ten—five mainland capital cities.</w:t>
      </w:r>
    </w:p>
    <w:p w14:paraId="30B3CB7B" w14:textId="77777777" w:rsidR="00A77EE0" w:rsidRPr="001A3C79" w:rsidRDefault="00A77EE0" w:rsidP="0043264B">
      <w:pPr>
        <w:keepNext/>
        <w:keepLines/>
        <w:spacing w:before="80" w:after="0" w:line="240" w:lineRule="auto"/>
        <w:rPr>
          <w:rFonts w:cs="Arial"/>
          <w:i/>
          <w:sz w:val="16"/>
        </w:rPr>
      </w:pPr>
      <w:r w:rsidRPr="001A3C79">
        <w:rPr>
          <w:rFonts w:cs="Arial"/>
          <w:i/>
          <w:sz w:val="16"/>
        </w:rPr>
        <w:t>Australian drama and Australian documentaries relate to first-release programs only.</w:t>
      </w:r>
    </w:p>
    <w:p w14:paraId="7C91F217" w14:textId="77777777" w:rsidR="00A77EE0" w:rsidRPr="001A3C79" w:rsidRDefault="00A77EE0" w:rsidP="00A77EE0">
      <w:pPr>
        <w:spacing w:before="80" w:after="0" w:line="240" w:lineRule="auto"/>
        <w:rPr>
          <w:rFonts w:cs="Arial"/>
          <w:i/>
          <w:sz w:val="16"/>
        </w:rPr>
      </w:pPr>
      <w:r w:rsidRPr="001A3C79">
        <w:rPr>
          <w:rFonts w:cs="Arial"/>
          <w:i/>
          <w:sz w:val="16"/>
        </w:rPr>
        <w:t>Source: ACMA.</w:t>
      </w:r>
    </w:p>
    <w:p w14:paraId="06015658" w14:textId="77777777" w:rsidR="00A77EE0" w:rsidRPr="001A3C79" w:rsidRDefault="00A77EE0" w:rsidP="0082073C">
      <w:pPr>
        <w:pStyle w:val="ACMASpaceaftertable"/>
      </w:pPr>
    </w:p>
    <w:p w14:paraId="7C5A165A" w14:textId="77777777" w:rsidR="00A77EE0" w:rsidRPr="001A3C79" w:rsidRDefault="00A77EE0" w:rsidP="00EA149D">
      <w:pPr>
        <w:pStyle w:val="Heading3"/>
      </w:pPr>
      <w:bookmarkStart w:id="651" w:name="_Toc399331815"/>
      <w:bookmarkStart w:id="652" w:name="_Toc399336996"/>
      <w:bookmarkStart w:id="653" w:name="_Toc402337601"/>
      <w:bookmarkStart w:id="654" w:name="_Toc462899620"/>
      <w:bookmarkStart w:id="655" w:name="_Toc433790368"/>
      <w:bookmarkStart w:id="656" w:name="_Toc463529115"/>
      <w:bookmarkStart w:id="657" w:name="_Toc465842941"/>
      <w:r w:rsidRPr="001A3C79">
        <w:t>Children’s programs on commercial television</w:t>
      </w:r>
      <w:bookmarkEnd w:id="651"/>
      <w:bookmarkEnd w:id="652"/>
      <w:bookmarkEnd w:id="653"/>
      <w:bookmarkEnd w:id="654"/>
      <w:bookmarkEnd w:id="655"/>
      <w:bookmarkEnd w:id="656"/>
      <w:bookmarkEnd w:id="657"/>
    </w:p>
    <w:p w14:paraId="2718773A" w14:textId="77777777" w:rsidR="00A77EE0" w:rsidRPr="001A3C79" w:rsidRDefault="00A77EE0" w:rsidP="00A77EE0">
      <w:pPr>
        <w:rPr>
          <w:rFonts w:cs="Arial"/>
          <w:szCs w:val="20"/>
        </w:rPr>
      </w:pPr>
      <w:r w:rsidRPr="001A3C79">
        <w:rPr>
          <w:rFonts w:cs="Arial"/>
          <w:szCs w:val="20"/>
        </w:rPr>
        <w:t>In conjunction with the Australian Content Standard, the Children’s Television Standards 2009 (CTS) are designed to give children under 14 years of age access to quality television programs that are specifically made for them and reflect their cultural experience.</w:t>
      </w:r>
    </w:p>
    <w:p w14:paraId="70A2C1B6" w14:textId="77777777" w:rsidR="00A77EE0" w:rsidRPr="001A3C79" w:rsidRDefault="00A77EE0" w:rsidP="00A77EE0">
      <w:pPr>
        <w:spacing w:after="80"/>
      </w:pPr>
      <w:r w:rsidRPr="001A3C79">
        <w:t>The CTS requires licensees to provide at least 390 hours annually of children’s programs comprising:</w:t>
      </w:r>
    </w:p>
    <w:p w14:paraId="2EEE548F" w14:textId="77777777" w:rsidR="00A77EE0" w:rsidRPr="00A65C1C" w:rsidRDefault="00A77EE0" w:rsidP="00EA149D">
      <w:pPr>
        <w:pStyle w:val="ListBullet"/>
      </w:pPr>
      <w:r w:rsidRPr="00A65C1C">
        <w:t>260 hours of children’s (C) programs</w:t>
      </w:r>
    </w:p>
    <w:p w14:paraId="082ECC17" w14:textId="77777777" w:rsidR="00A77EE0" w:rsidRPr="00A65C1C" w:rsidRDefault="00A77EE0" w:rsidP="00EA149D">
      <w:pPr>
        <w:pStyle w:val="ListBulletLast"/>
      </w:pPr>
      <w:r w:rsidRPr="00A65C1C">
        <w:t>130 hours of preschool (P) programs.</w:t>
      </w:r>
    </w:p>
    <w:p w14:paraId="0658558B" w14:textId="77777777" w:rsidR="00A77EE0" w:rsidRPr="001A3C79" w:rsidRDefault="00A77EE0" w:rsidP="00A77EE0">
      <w:pPr>
        <w:rPr>
          <w:rFonts w:cs="Arial"/>
          <w:color w:val="000000"/>
          <w:szCs w:val="20"/>
        </w:rPr>
      </w:pPr>
      <w:r w:rsidRPr="001A3C79">
        <w:rPr>
          <w:rFonts w:cs="Arial"/>
          <w:szCs w:val="20"/>
        </w:rPr>
        <w:t xml:space="preserve">The Australian Content Standard sets out additional annual and triennial first-release and C-drama requirements within these quotas. For the 2015 calendar year, all metropolitan FTA commercial television broadcasting licensees met all of these annual quotas (Table 3.5). </w:t>
      </w:r>
    </w:p>
    <w:p w14:paraId="05D6580B" w14:textId="77777777" w:rsidR="00A77EE0" w:rsidRPr="001A3C79" w:rsidRDefault="00A77EE0" w:rsidP="0082073C">
      <w:pPr>
        <w:keepNext/>
        <w:keepLines/>
        <w:spacing w:after="160"/>
        <w:ind w:left="1136" w:hanging="1136"/>
        <w:rPr>
          <w:rFonts w:cs="Arial"/>
          <w:b/>
          <w:bCs/>
          <w:color w:val="323232"/>
        </w:rPr>
      </w:pPr>
      <w:r w:rsidRPr="001A3C79">
        <w:rPr>
          <w:rFonts w:cs="Arial"/>
          <w:b/>
          <w:bCs/>
          <w:color w:val="323232"/>
        </w:rPr>
        <w:lastRenderedPageBreak/>
        <w:t>Table 3.5</w:t>
      </w:r>
      <w:r w:rsidRPr="001A3C79">
        <w:rPr>
          <w:rFonts w:cs="Arial"/>
          <w:b/>
          <w:bCs/>
          <w:color w:val="323232"/>
        </w:rPr>
        <w:tab/>
        <w:t>Metropolitan free-to-air commercial network licensee’s compliance with children’s and preschool children’s program quotas (total annual hours), for the 2015 calendar year</w:t>
      </w:r>
    </w:p>
    <w:tbl>
      <w:tblPr>
        <w:tblStyle w:val="Commsreport2014-15TABLE2"/>
        <w:tblW w:w="0" w:type="auto"/>
        <w:tblLayout w:type="fixed"/>
        <w:tblCellMar>
          <w:top w:w="57" w:type="dxa"/>
          <w:left w:w="57" w:type="dxa"/>
          <w:bottom w:w="57" w:type="dxa"/>
          <w:right w:w="57" w:type="dxa"/>
        </w:tblCellMar>
        <w:tblLook w:val="01E0" w:firstRow="1" w:lastRow="1" w:firstColumn="1" w:lastColumn="1" w:noHBand="0" w:noVBand="0"/>
        <w:tblCaption w:val="Table 3.5 Metropolitan free-to-air commercial network licensee’s compliance with children’s and preschool children’s program quotas (total annual hours), for the 2015 calendar year"/>
      </w:tblPr>
      <w:tblGrid>
        <w:gridCol w:w="936"/>
        <w:gridCol w:w="1296"/>
        <w:gridCol w:w="1776"/>
        <w:gridCol w:w="1542"/>
        <w:gridCol w:w="1248"/>
        <w:gridCol w:w="1248"/>
        <w:gridCol w:w="1248"/>
      </w:tblGrid>
      <w:tr w:rsidR="00A77EE0" w:rsidRPr="009573A6" w14:paraId="4018F5A8" w14:textId="77777777" w:rsidTr="00C51AB7">
        <w:trPr>
          <w:cnfStyle w:val="100000000000" w:firstRow="1" w:lastRow="0" w:firstColumn="0" w:lastColumn="0" w:oddVBand="0" w:evenVBand="0" w:oddHBand="0" w:evenHBand="0" w:firstRowFirstColumn="0" w:firstRowLastColumn="0" w:lastRowFirstColumn="0" w:lastRowLastColumn="0"/>
          <w:trHeight w:val="103"/>
          <w:tblHeader/>
        </w:trPr>
        <w:tc>
          <w:tcPr>
            <w:cnfStyle w:val="001000000000" w:firstRow="0" w:lastRow="0" w:firstColumn="1" w:lastColumn="0" w:oddVBand="0" w:evenVBand="0" w:oddHBand="0" w:evenHBand="0" w:firstRowFirstColumn="0" w:firstRowLastColumn="0" w:lastRowFirstColumn="0" w:lastRowLastColumn="0"/>
            <w:tcW w:w="936" w:type="dxa"/>
            <w:shd w:val="clear" w:color="auto" w:fill="auto"/>
          </w:tcPr>
          <w:p w14:paraId="0AFC475C" w14:textId="77777777" w:rsidR="00A77EE0" w:rsidRPr="009573A6" w:rsidRDefault="00A77EE0" w:rsidP="009573A6">
            <w:pPr>
              <w:pStyle w:val="TableHeading"/>
              <w:rPr>
                <w:b/>
              </w:rPr>
            </w:pPr>
          </w:p>
        </w:tc>
        <w:tc>
          <w:tcPr>
            <w:tcW w:w="1296" w:type="dxa"/>
            <w:shd w:val="clear" w:color="auto" w:fill="auto"/>
          </w:tcPr>
          <w:p w14:paraId="0B4A5217"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p>
        </w:tc>
        <w:tc>
          <w:tcPr>
            <w:tcW w:w="1776" w:type="dxa"/>
            <w:shd w:val="clear" w:color="auto" w:fill="auto"/>
          </w:tcPr>
          <w:p w14:paraId="3D3C02A4"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p>
        </w:tc>
        <w:tc>
          <w:tcPr>
            <w:tcW w:w="1542" w:type="dxa"/>
            <w:vMerge w:val="restart"/>
            <w:shd w:val="clear" w:color="auto" w:fill="007298"/>
          </w:tcPr>
          <w:p w14:paraId="423E0F97"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9573A6">
              <w:rPr>
                <w:b/>
              </w:rPr>
              <w:t>Minimum annual requirement (hours)</w:t>
            </w:r>
          </w:p>
        </w:tc>
        <w:tc>
          <w:tcPr>
            <w:tcW w:w="3744" w:type="dxa"/>
            <w:gridSpan w:val="3"/>
            <w:shd w:val="clear" w:color="auto" w:fill="007298"/>
          </w:tcPr>
          <w:p w14:paraId="61E8EEAB" w14:textId="77777777" w:rsidR="00A77EE0" w:rsidRPr="009573A6" w:rsidRDefault="00A77EE0" w:rsidP="009573A6">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9573A6">
              <w:rPr>
                <w:b/>
              </w:rPr>
              <w:t>Licensees</w:t>
            </w:r>
          </w:p>
        </w:tc>
      </w:tr>
      <w:tr w:rsidR="00A77EE0" w:rsidRPr="001A3C79" w14:paraId="16D84AB4" w14:textId="77777777" w:rsidTr="00C51AB7">
        <w:trPr>
          <w:trHeight w:val="293"/>
        </w:trPr>
        <w:tc>
          <w:tcPr>
            <w:cnfStyle w:val="001000000000" w:firstRow="0" w:lastRow="0" w:firstColumn="1" w:lastColumn="0" w:oddVBand="0" w:evenVBand="0" w:oddHBand="0" w:evenHBand="0" w:firstRowFirstColumn="0" w:firstRowLastColumn="0" w:lastRowFirstColumn="0" w:lastRowLastColumn="0"/>
            <w:tcW w:w="936" w:type="dxa"/>
            <w:shd w:val="clear" w:color="auto" w:fill="auto"/>
          </w:tcPr>
          <w:p w14:paraId="1894F837" w14:textId="77777777" w:rsidR="00A77EE0" w:rsidRPr="001A3C79" w:rsidRDefault="00A77EE0" w:rsidP="0043264B">
            <w:pPr>
              <w:keepNext/>
              <w:keepLines/>
              <w:spacing w:after="0"/>
              <w:rPr>
                <w:b/>
              </w:rPr>
            </w:pPr>
          </w:p>
        </w:tc>
        <w:tc>
          <w:tcPr>
            <w:tcW w:w="1296" w:type="dxa"/>
            <w:tcBorders>
              <w:bottom w:val="single" w:sz="24" w:space="0" w:color="FFFFFF"/>
            </w:tcBorders>
            <w:shd w:val="clear" w:color="auto" w:fill="auto"/>
          </w:tcPr>
          <w:p w14:paraId="260302B7" w14:textId="77777777" w:rsidR="00A77EE0" w:rsidRPr="001A3C79" w:rsidRDefault="00A77EE0" w:rsidP="0043264B">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p>
        </w:tc>
        <w:tc>
          <w:tcPr>
            <w:tcW w:w="1776" w:type="dxa"/>
            <w:tcBorders>
              <w:bottom w:val="single" w:sz="24" w:space="0" w:color="FFFFFF"/>
            </w:tcBorders>
            <w:shd w:val="clear" w:color="auto" w:fill="auto"/>
          </w:tcPr>
          <w:p w14:paraId="5C8BEAD0" w14:textId="77777777" w:rsidR="00A77EE0" w:rsidRPr="001A3C79" w:rsidRDefault="00A77EE0" w:rsidP="0043264B">
            <w:pPr>
              <w:keepNext/>
              <w:keepLines/>
              <w:spacing w:after="0"/>
              <w:jc w:val="center"/>
              <w:cnfStyle w:val="000000000000" w:firstRow="0" w:lastRow="0" w:firstColumn="0" w:lastColumn="0" w:oddVBand="0" w:evenVBand="0" w:oddHBand="0" w:evenHBand="0" w:firstRowFirstColumn="0" w:firstRowLastColumn="0" w:lastRowFirstColumn="0" w:lastRowLastColumn="0"/>
              <w:rPr>
                <w:b/>
                <w:color w:val="FFFFFF"/>
              </w:rPr>
            </w:pPr>
          </w:p>
        </w:tc>
        <w:tc>
          <w:tcPr>
            <w:tcW w:w="1542" w:type="dxa"/>
            <w:vMerge/>
            <w:shd w:val="clear" w:color="auto" w:fill="007298"/>
          </w:tcPr>
          <w:p w14:paraId="7EBC2093"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p>
        </w:tc>
        <w:tc>
          <w:tcPr>
            <w:tcW w:w="1248" w:type="dxa"/>
            <w:shd w:val="clear" w:color="auto" w:fill="007298"/>
          </w:tcPr>
          <w:p w14:paraId="123AA0A4"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r w:rsidRPr="001A3C79">
              <w:rPr>
                <w:b/>
                <w:color w:val="FFFFFF"/>
              </w:rPr>
              <w:t>Seven Network</w:t>
            </w:r>
          </w:p>
        </w:tc>
        <w:tc>
          <w:tcPr>
            <w:tcW w:w="1248" w:type="dxa"/>
            <w:shd w:val="clear" w:color="auto" w:fill="007298"/>
          </w:tcPr>
          <w:p w14:paraId="6E316328"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r w:rsidRPr="001A3C79">
              <w:rPr>
                <w:b/>
                <w:color w:val="FFFFFF"/>
              </w:rPr>
              <w:t>Nine Network</w:t>
            </w:r>
          </w:p>
        </w:tc>
        <w:tc>
          <w:tcPr>
            <w:tcW w:w="1248" w:type="dxa"/>
            <w:shd w:val="clear" w:color="auto" w:fill="007298"/>
          </w:tcPr>
          <w:p w14:paraId="77B5DC7B"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rPr>
                <w:b/>
                <w:color w:val="FFFFFF"/>
              </w:rPr>
            </w:pPr>
            <w:r w:rsidRPr="001A3C79">
              <w:rPr>
                <w:b/>
                <w:color w:val="FFFFFF"/>
              </w:rPr>
              <w:t>Network</w:t>
            </w:r>
            <w:r w:rsidRPr="001A3C79">
              <w:rPr>
                <w:rFonts w:cs="Arial"/>
                <w:b/>
                <w:color w:val="FFFFFF"/>
                <w:szCs w:val="18"/>
              </w:rPr>
              <w:t xml:space="preserve"> Ten </w:t>
            </w:r>
          </w:p>
        </w:tc>
      </w:tr>
      <w:tr w:rsidR="00A77EE0" w:rsidRPr="001A3C79" w14:paraId="680D2E56" w14:textId="77777777" w:rsidTr="00C51AB7">
        <w:trPr>
          <w:trHeight w:val="259"/>
        </w:trPr>
        <w:tc>
          <w:tcPr>
            <w:cnfStyle w:val="001000000000" w:firstRow="0" w:lastRow="0" w:firstColumn="1" w:lastColumn="0" w:oddVBand="0" w:evenVBand="0" w:oddHBand="0" w:evenHBand="0" w:firstRowFirstColumn="0" w:firstRowLastColumn="0" w:lastRowFirstColumn="0" w:lastRowLastColumn="0"/>
            <w:tcW w:w="2232" w:type="dxa"/>
            <w:gridSpan w:val="2"/>
            <w:vMerge w:val="restart"/>
            <w:tcBorders>
              <w:right w:val="nil"/>
            </w:tcBorders>
            <w:shd w:val="clear" w:color="auto" w:fill="7FB8CB"/>
          </w:tcPr>
          <w:p w14:paraId="02B6A426" w14:textId="77777777" w:rsidR="00A77EE0" w:rsidRPr="001A3C79" w:rsidRDefault="00A77EE0" w:rsidP="001E3C44">
            <w:pPr>
              <w:keepNext/>
              <w:keepLines/>
              <w:spacing w:after="0"/>
              <w:ind w:hanging="568"/>
              <w:jc w:val="right"/>
              <w:rPr>
                <w:b/>
              </w:rPr>
            </w:pPr>
            <w:r w:rsidRPr="001E3C44">
              <w:rPr>
                <w:rFonts w:cs="Arial"/>
                <w:b/>
                <w:bCs/>
                <w:noProof/>
                <w:color w:val="FFFFFF" w:themeColor="background1"/>
                <w:szCs w:val="18"/>
              </w:rPr>
              <w:drawing>
                <wp:anchor distT="0" distB="0" distL="114300" distR="114300" simplePos="0" relativeHeight="251658243" behindDoc="1" locked="0" layoutInCell="1" allowOverlap="1" wp14:anchorId="31AF3465" wp14:editId="57FA4AF7">
                  <wp:simplePos x="0" y="0"/>
                  <wp:positionH relativeFrom="margin">
                    <wp:posOffset>45085</wp:posOffset>
                  </wp:positionH>
                  <wp:positionV relativeFrom="margin">
                    <wp:posOffset>31115</wp:posOffset>
                  </wp:positionV>
                  <wp:extent cx="411480" cy="420370"/>
                  <wp:effectExtent l="0" t="0" r="7620" b="0"/>
                  <wp:wrapSquare wrapText="bothSides"/>
                  <wp:docPr id="88" name="Picture 88"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on-24.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11480" cy="420370"/>
                          </a:xfrm>
                          <a:prstGeom prst="rect">
                            <a:avLst/>
                          </a:prstGeom>
                        </pic:spPr>
                      </pic:pic>
                    </a:graphicData>
                  </a:graphic>
                  <wp14:sizeRelH relativeFrom="margin">
                    <wp14:pctWidth>0</wp14:pctWidth>
                  </wp14:sizeRelH>
                  <wp14:sizeRelV relativeFrom="margin">
                    <wp14:pctHeight>0</wp14:pctHeight>
                  </wp14:sizeRelV>
                </wp:anchor>
              </w:drawing>
            </w:r>
            <w:r w:rsidRPr="001E3C44">
              <w:rPr>
                <w:b/>
                <w:color w:val="FFFFFF" w:themeColor="background1"/>
              </w:rPr>
              <w:t>Australian children’s</w:t>
            </w:r>
            <w:r w:rsidRPr="001E3C44">
              <w:rPr>
                <w:b/>
                <w:color w:val="FFFFFF" w:themeColor="background1"/>
              </w:rPr>
              <w:br/>
              <w:t>C drama</w:t>
            </w:r>
          </w:p>
        </w:tc>
        <w:tc>
          <w:tcPr>
            <w:tcW w:w="1776" w:type="dxa"/>
            <w:tcBorders>
              <w:left w:val="nil"/>
            </w:tcBorders>
            <w:shd w:val="clear" w:color="auto" w:fill="7FB8CB"/>
          </w:tcPr>
          <w:p w14:paraId="33C40798" w14:textId="77777777" w:rsidR="00A77EE0" w:rsidRPr="001E3C44" w:rsidRDefault="00A77EE0" w:rsidP="00A556F4">
            <w:pPr>
              <w:keepNext/>
              <w:keepLines/>
              <w:spacing w:after="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1E3C44">
              <w:rPr>
                <w:color w:val="FFFFFF" w:themeColor="background1"/>
              </w:rPr>
              <w:t>First</w:t>
            </w:r>
            <w:r w:rsidRPr="001E3C44">
              <w:rPr>
                <w:rFonts w:cs="Arial"/>
                <w:bCs/>
                <w:color w:val="FFFFFF" w:themeColor="background1"/>
                <w:szCs w:val="18"/>
              </w:rPr>
              <w:t>-</w:t>
            </w:r>
            <w:r w:rsidRPr="001E3C44">
              <w:rPr>
                <w:color w:val="FFFFFF" w:themeColor="background1"/>
              </w:rPr>
              <w:t>release</w:t>
            </w:r>
          </w:p>
        </w:tc>
        <w:tc>
          <w:tcPr>
            <w:tcW w:w="1542" w:type="dxa"/>
            <w:shd w:val="clear" w:color="auto" w:fill="D2E1E9"/>
          </w:tcPr>
          <w:p w14:paraId="02641822"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25</w:t>
            </w:r>
          </w:p>
        </w:tc>
        <w:tc>
          <w:tcPr>
            <w:tcW w:w="1248" w:type="dxa"/>
            <w:shd w:val="clear" w:color="auto" w:fill="D2E1E9"/>
          </w:tcPr>
          <w:p w14:paraId="54FE8686"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27</w:t>
            </w:r>
          </w:p>
        </w:tc>
        <w:tc>
          <w:tcPr>
            <w:tcW w:w="1248" w:type="dxa"/>
            <w:shd w:val="clear" w:color="auto" w:fill="D2E1E9"/>
          </w:tcPr>
          <w:p w14:paraId="437BA909"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32</w:t>
            </w:r>
          </w:p>
        </w:tc>
        <w:tc>
          <w:tcPr>
            <w:tcW w:w="1248" w:type="dxa"/>
            <w:shd w:val="clear" w:color="auto" w:fill="D2E1E9"/>
          </w:tcPr>
          <w:p w14:paraId="7A108D64"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27</w:t>
            </w:r>
          </w:p>
        </w:tc>
      </w:tr>
      <w:tr w:rsidR="00A77EE0" w:rsidRPr="001A3C79" w14:paraId="57BE7119" w14:textId="77777777" w:rsidTr="00C51AB7">
        <w:trPr>
          <w:trHeight w:val="122"/>
        </w:trPr>
        <w:tc>
          <w:tcPr>
            <w:cnfStyle w:val="001000000000" w:firstRow="0" w:lastRow="0" w:firstColumn="1" w:lastColumn="0" w:oddVBand="0" w:evenVBand="0" w:oddHBand="0" w:evenHBand="0" w:firstRowFirstColumn="0" w:firstRowLastColumn="0" w:lastRowFirstColumn="0" w:lastRowLastColumn="0"/>
            <w:tcW w:w="2232" w:type="dxa"/>
            <w:gridSpan w:val="2"/>
            <w:vMerge/>
            <w:tcBorders>
              <w:right w:val="nil"/>
            </w:tcBorders>
            <w:shd w:val="clear" w:color="auto" w:fill="7FB8CB"/>
          </w:tcPr>
          <w:p w14:paraId="5CB78091" w14:textId="77777777" w:rsidR="00A77EE0" w:rsidRPr="001A3C79" w:rsidRDefault="00A77EE0" w:rsidP="0043264B">
            <w:pPr>
              <w:keepNext/>
              <w:keepLines/>
              <w:spacing w:after="0"/>
              <w:rPr>
                <w:b/>
              </w:rPr>
            </w:pPr>
          </w:p>
        </w:tc>
        <w:tc>
          <w:tcPr>
            <w:tcW w:w="1776" w:type="dxa"/>
            <w:tcBorders>
              <w:left w:val="nil"/>
              <w:bottom w:val="single" w:sz="24" w:space="0" w:color="FFFFFF"/>
            </w:tcBorders>
            <w:shd w:val="clear" w:color="auto" w:fill="7FB8CB"/>
          </w:tcPr>
          <w:p w14:paraId="06CC2707" w14:textId="77777777" w:rsidR="00A77EE0" w:rsidRPr="001E3C44" w:rsidRDefault="00A77EE0" w:rsidP="00A556F4">
            <w:pPr>
              <w:keepNext/>
              <w:keepLines/>
              <w:spacing w:after="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1E3C44">
              <w:rPr>
                <w:color w:val="FFFFFF" w:themeColor="background1"/>
              </w:rPr>
              <w:t>Repeat</w:t>
            </w:r>
          </w:p>
        </w:tc>
        <w:tc>
          <w:tcPr>
            <w:tcW w:w="1542" w:type="dxa"/>
            <w:shd w:val="clear" w:color="auto" w:fill="D2E1E9"/>
          </w:tcPr>
          <w:p w14:paraId="6101DDAE"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8</w:t>
            </w:r>
          </w:p>
        </w:tc>
        <w:tc>
          <w:tcPr>
            <w:tcW w:w="1248" w:type="dxa"/>
            <w:shd w:val="clear" w:color="auto" w:fill="D2E1E9"/>
          </w:tcPr>
          <w:p w14:paraId="1FA24783"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97</w:t>
            </w:r>
          </w:p>
        </w:tc>
        <w:tc>
          <w:tcPr>
            <w:tcW w:w="1248" w:type="dxa"/>
            <w:shd w:val="clear" w:color="auto" w:fill="D2E1E9"/>
          </w:tcPr>
          <w:p w14:paraId="2F9E2443"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48</w:t>
            </w:r>
          </w:p>
        </w:tc>
        <w:tc>
          <w:tcPr>
            <w:tcW w:w="1248" w:type="dxa"/>
            <w:shd w:val="clear" w:color="auto" w:fill="D2E1E9"/>
          </w:tcPr>
          <w:p w14:paraId="60E1F69B"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75</w:t>
            </w:r>
          </w:p>
        </w:tc>
      </w:tr>
      <w:tr w:rsidR="00A77EE0" w:rsidRPr="001A3C79" w14:paraId="41420D27" w14:textId="77777777" w:rsidTr="00C51AB7">
        <w:trPr>
          <w:trHeight w:val="511"/>
        </w:trPr>
        <w:tc>
          <w:tcPr>
            <w:cnfStyle w:val="001000000000" w:firstRow="0" w:lastRow="0" w:firstColumn="1" w:lastColumn="0" w:oddVBand="0" w:evenVBand="0" w:oddHBand="0" w:evenHBand="0" w:firstRowFirstColumn="0" w:firstRowLastColumn="0" w:lastRowFirstColumn="0" w:lastRowLastColumn="0"/>
            <w:tcW w:w="936" w:type="dxa"/>
            <w:tcBorders>
              <w:right w:val="nil"/>
            </w:tcBorders>
            <w:shd w:val="clear" w:color="auto" w:fill="7FB8CB"/>
          </w:tcPr>
          <w:p w14:paraId="4005AF4A" w14:textId="77777777" w:rsidR="00A77EE0" w:rsidRPr="001A3C79" w:rsidRDefault="00A77EE0" w:rsidP="0043264B">
            <w:pPr>
              <w:keepNext/>
              <w:keepLines/>
              <w:spacing w:after="0"/>
              <w:rPr>
                <w:b/>
              </w:rPr>
            </w:pPr>
            <w:r w:rsidRPr="001A3C79">
              <w:rPr>
                <w:rFonts w:cs="Arial"/>
                <w:b/>
                <w:bCs/>
                <w:noProof/>
                <w:szCs w:val="18"/>
              </w:rPr>
              <w:drawing>
                <wp:anchor distT="0" distB="0" distL="114300" distR="114300" simplePos="0" relativeHeight="251658244" behindDoc="0" locked="0" layoutInCell="1" allowOverlap="1" wp14:anchorId="3F8E6248" wp14:editId="381AD2AD">
                  <wp:simplePos x="0" y="0"/>
                  <wp:positionH relativeFrom="margin">
                    <wp:posOffset>31750</wp:posOffset>
                  </wp:positionH>
                  <wp:positionV relativeFrom="margin">
                    <wp:posOffset>-13970</wp:posOffset>
                  </wp:positionV>
                  <wp:extent cx="453390" cy="402590"/>
                  <wp:effectExtent l="0" t="0" r="3810" b="0"/>
                  <wp:wrapNone/>
                  <wp:docPr id="89" name="Picture 89"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con-17.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53390" cy="402590"/>
                          </a:xfrm>
                          <a:prstGeom prst="rect">
                            <a:avLst/>
                          </a:prstGeom>
                        </pic:spPr>
                      </pic:pic>
                    </a:graphicData>
                  </a:graphic>
                  <wp14:sizeRelH relativeFrom="margin">
                    <wp14:pctWidth>0</wp14:pctWidth>
                  </wp14:sizeRelH>
                  <wp14:sizeRelV relativeFrom="margin">
                    <wp14:pctHeight>0</wp14:pctHeight>
                  </wp14:sizeRelV>
                </wp:anchor>
              </w:drawing>
            </w:r>
          </w:p>
        </w:tc>
        <w:tc>
          <w:tcPr>
            <w:tcW w:w="1296" w:type="dxa"/>
            <w:tcBorders>
              <w:left w:val="nil"/>
              <w:right w:val="nil"/>
            </w:tcBorders>
            <w:shd w:val="clear" w:color="auto" w:fill="7FB8CB"/>
          </w:tcPr>
          <w:p w14:paraId="3522703E" w14:textId="77777777" w:rsidR="00A77EE0" w:rsidRPr="001E3C44" w:rsidRDefault="00A77EE0" w:rsidP="001E3C44">
            <w:pPr>
              <w:keepNext/>
              <w:keepLines/>
              <w:spacing w:after="0"/>
              <w:cnfStyle w:val="000000000000" w:firstRow="0" w:lastRow="0" w:firstColumn="0" w:lastColumn="0" w:oddVBand="0" w:evenVBand="0" w:oddHBand="0" w:evenHBand="0" w:firstRowFirstColumn="0" w:firstRowLastColumn="0" w:lastRowFirstColumn="0" w:lastRowLastColumn="0"/>
              <w:rPr>
                <w:b/>
                <w:color w:val="FFFFFF" w:themeColor="background1"/>
              </w:rPr>
            </w:pPr>
            <w:r w:rsidRPr="001E3C44">
              <w:rPr>
                <w:b/>
                <w:color w:val="FFFFFF" w:themeColor="background1"/>
              </w:rPr>
              <w:t>Australian children’s</w:t>
            </w:r>
            <w:r w:rsidRPr="001E3C44">
              <w:rPr>
                <w:b/>
                <w:color w:val="FFFFFF" w:themeColor="background1"/>
              </w:rPr>
              <w:br/>
              <w:t>C programs</w:t>
            </w:r>
          </w:p>
        </w:tc>
        <w:tc>
          <w:tcPr>
            <w:tcW w:w="1776" w:type="dxa"/>
            <w:tcBorders>
              <w:left w:val="nil"/>
            </w:tcBorders>
            <w:shd w:val="clear" w:color="auto" w:fill="7FB8CB"/>
          </w:tcPr>
          <w:p w14:paraId="0538C382" w14:textId="77777777" w:rsidR="00A77EE0" w:rsidRPr="001E3C44" w:rsidRDefault="00A77EE0" w:rsidP="00A556F4">
            <w:pPr>
              <w:keepNext/>
              <w:keepLines/>
              <w:spacing w:after="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1E3C44">
              <w:rPr>
                <w:color w:val="FFFFFF" w:themeColor="background1"/>
              </w:rPr>
              <w:t>First</w:t>
            </w:r>
            <w:r w:rsidRPr="001E3C44">
              <w:rPr>
                <w:rFonts w:cs="Arial"/>
                <w:bCs/>
                <w:color w:val="FFFFFF" w:themeColor="background1"/>
                <w:szCs w:val="18"/>
              </w:rPr>
              <w:t>-</w:t>
            </w:r>
            <w:r w:rsidRPr="001E3C44">
              <w:rPr>
                <w:color w:val="FFFFFF" w:themeColor="background1"/>
              </w:rPr>
              <w:t>release including C drama</w:t>
            </w:r>
          </w:p>
        </w:tc>
        <w:tc>
          <w:tcPr>
            <w:tcW w:w="1542" w:type="dxa"/>
            <w:shd w:val="clear" w:color="auto" w:fill="D2E1E9"/>
          </w:tcPr>
          <w:p w14:paraId="6DB1028E"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130</w:t>
            </w:r>
          </w:p>
        </w:tc>
        <w:tc>
          <w:tcPr>
            <w:tcW w:w="1248" w:type="dxa"/>
            <w:shd w:val="clear" w:color="auto" w:fill="D2E1E9"/>
          </w:tcPr>
          <w:p w14:paraId="3ABBE17F"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130</w:t>
            </w:r>
          </w:p>
        </w:tc>
        <w:tc>
          <w:tcPr>
            <w:tcW w:w="1248" w:type="dxa"/>
            <w:shd w:val="clear" w:color="auto" w:fill="D2E1E9"/>
          </w:tcPr>
          <w:p w14:paraId="54C68BCB"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131</w:t>
            </w:r>
          </w:p>
        </w:tc>
        <w:tc>
          <w:tcPr>
            <w:tcW w:w="1248" w:type="dxa"/>
            <w:shd w:val="clear" w:color="auto" w:fill="D2E1E9"/>
          </w:tcPr>
          <w:p w14:paraId="5FEDCF99"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131</w:t>
            </w:r>
          </w:p>
        </w:tc>
      </w:tr>
      <w:tr w:rsidR="00A77EE0" w:rsidRPr="001A3C79" w14:paraId="1F5A7A8B" w14:textId="77777777" w:rsidTr="00C51AB7">
        <w:trPr>
          <w:trHeight w:val="565"/>
        </w:trPr>
        <w:tc>
          <w:tcPr>
            <w:cnfStyle w:val="001000000000" w:firstRow="0" w:lastRow="0" w:firstColumn="1" w:lastColumn="0" w:oddVBand="0" w:evenVBand="0" w:oddHBand="0" w:evenHBand="0" w:firstRowFirstColumn="0" w:firstRowLastColumn="0" w:lastRowFirstColumn="0" w:lastRowLastColumn="0"/>
            <w:tcW w:w="936" w:type="dxa"/>
            <w:tcBorders>
              <w:right w:val="nil"/>
            </w:tcBorders>
            <w:shd w:val="clear" w:color="auto" w:fill="7FB8CB"/>
          </w:tcPr>
          <w:p w14:paraId="1DFF7294" w14:textId="77777777" w:rsidR="00A77EE0" w:rsidRPr="001A3C79" w:rsidRDefault="00A77EE0" w:rsidP="0043264B">
            <w:pPr>
              <w:keepNext/>
              <w:keepLines/>
              <w:spacing w:after="0"/>
              <w:jc w:val="right"/>
              <w:rPr>
                <w:b/>
              </w:rPr>
            </w:pPr>
            <w:r w:rsidRPr="001A3C79">
              <w:rPr>
                <w:rFonts w:cs="Arial"/>
                <w:b/>
                <w:bCs/>
                <w:noProof/>
                <w:szCs w:val="18"/>
              </w:rPr>
              <w:drawing>
                <wp:anchor distT="0" distB="0" distL="114300" distR="114300" simplePos="0" relativeHeight="251658245" behindDoc="0" locked="0" layoutInCell="1" allowOverlap="1" wp14:anchorId="19428440" wp14:editId="781114BB">
                  <wp:simplePos x="0" y="0"/>
                  <wp:positionH relativeFrom="column">
                    <wp:posOffset>20955</wp:posOffset>
                  </wp:positionH>
                  <wp:positionV relativeFrom="paragraph">
                    <wp:posOffset>0</wp:posOffset>
                  </wp:positionV>
                  <wp:extent cx="427990" cy="370205"/>
                  <wp:effectExtent l="0" t="0" r="0" b="0"/>
                  <wp:wrapNone/>
                  <wp:docPr id="90" name="Picture 90"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on-2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27990" cy="370205"/>
                          </a:xfrm>
                          <a:prstGeom prst="rect">
                            <a:avLst/>
                          </a:prstGeom>
                        </pic:spPr>
                      </pic:pic>
                    </a:graphicData>
                  </a:graphic>
                  <wp14:sizeRelH relativeFrom="margin">
                    <wp14:pctWidth>0</wp14:pctWidth>
                  </wp14:sizeRelH>
                  <wp14:sizeRelV relativeFrom="margin">
                    <wp14:pctHeight>0</wp14:pctHeight>
                  </wp14:sizeRelV>
                </wp:anchor>
              </w:drawing>
            </w:r>
          </w:p>
        </w:tc>
        <w:tc>
          <w:tcPr>
            <w:tcW w:w="1296" w:type="dxa"/>
            <w:tcBorders>
              <w:left w:val="nil"/>
              <w:right w:val="nil"/>
            </w:tcBorders>
            <w:shd w:val="clear" w:color="auto" w:fill="7FB8CB"/>
          </w:tcPr>
          <w:p w14:paraId="6BDB5056" w14:textId="77777777" w:rsidR="00A77EE0" w:rsidRPr="001E3C44" w:rsidRDefault="00A77EE0" w:rsidP="001E3C44">
            <w:pPr>
              <w:keepNext/>
              <w:keepLines/>
              <w:spacing w:after="0"/>
              <w:cnfStyle w:val="000000000000" w:firstRow="0" w:lastRow="0" w:firstColumn="0" w:lastColumn="0" w:oddVBand="0" w:evenVBand="0" w:oddHBand="0" w:evenHBand="0" w:firstRowFirstColumn="0" w:firstRowLastColumn="0" w:lastRowFirstColumn="0" w:lastRowLastColumn="0"/>
              <w:rPr>
                <w:b/>
                <w:color w:val="FFFFFF" w:themeColor="background1"/>
              </w:rPr>
            </w:pPr>
            <w:r w:rsidRPr="001E3C44">
              <w:rPr>
                <w:b/>
                <w:color w:val="FFFFFF" w:themeColor="background1"/>
              </w:rPr>
              <w:t>Children’s</w:t>
            </w:r>
            <w:r w:rsidRPr="001E3C44">
              <w:rPr>
                <w:b/>
                <w:color w:val="FFFFFF" w:themeColor="background1"/>
              </w:rPr>
              <w:br/>
              <w:t>C programs</w:t>
            </w:r>
          </w:p>
        </w:tc>
        <w:tc>
          <w:tcPr>
            <w:tcW w:w="1776" w:type="dxa"/>
            <w:tcBorders>
              <w:left w:val="nil"/>
            </w:tcBorders>
            <w:shd w:val="clear" w:color="auto" w:fill="7FB8CB"/>
          </w:tcPr>
          <w:p w14:paraId="57A5D266" w14:textId="77777777" w:rsidR="00A77EE0" w:rsidRPr="001E3C44" w:rsidRDefault="00A77EE0" w:rsidP="00A556F4">
            <w:pPr>
              <w:keepNext/>
              <w:keepLines/>
              <w:spacing w:after="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1E3C44">
              <w:rPr>
                <w:color w:val="FFFFFF" w:themeColor="background1"/>
              </w:rPr>
              <w:t>All</w:t>
            </w:r>
          </w:p>
        </w:tc>
        <w:tc>
          <w:tcPr>
            <w:tcW w:w="1542" w:type="dxa"/>
            <w:shd w:val="clear" w:color="auto" w:fill="D2E1E9"/>
          </w:tcPr>
          <w:p w14:paraId="0F858746"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260</w:t>
            </w:r>
          </w:p>
        </w:tc>
        <w:tc>
          <w:tcPr>
            <w:tcW w:w="1248" w:type="dxa"/>
            <w:shd w:val="clear" w:color="auto" w:fill="D2E1E9"/>
          </w:tcPr>
          <w:p w14:paraId="10A33158"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261</w:t>
            </w:r>
          </w:p>
        </w:tc>
        <w:tc>
          <w:tcPr>
            <w:tcW w:w="1248" w:type="dxa"/>
            <w:shd w:val="clear" w:color="auto" w:fill="D2E1E9"/>
          </w:tcPr>
          <w:p w14:paraId="5FA8B730"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376</w:t>
            </w:r>
          </w:p>
        </w:tc>
        <w:tc>
          <w:tcPr>
            <w:tcW w:w="1248" w:type="dxa"/>
            <w:shd w:val="clear" w:color="auto" w:fill="D2E1E9"/>
          </w:tcPr>
          <w:p w14:paraId="66888B72"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261</w:t>
            </w:r>
          </w:p>
        </w:tc>
      </w:tr>
      <w:tr w:rsidR="00A77EE0" w:rsidRPr="001A3C79" w14:paraId="0A736D0F" w14:textId="77777777" w:rsidTr="00C51AB7">
        <w:trPr>
          <w:trHeight w:val="675"/>
        </w:trPr>
        <w:tc>
          <w:tcPr>
            <w:cnfStyle w:val="001000000000" w:firstRow="0" w:lastRow="0" w:firstColumn="1" w:lastColumn="0" w:oddVBand="0" w:evenVBand="0" w:oddHBand="0" w:evenHBand="0" w:firstRowFirstColumn="0" w:firstRowLastColumn="0" w:lastRowFirstColumn="0" w:lastRowLastColumn="0"/>
            <w:tcW w:w="936" w:type="dxa"/>
            <w:tcBorders>
              <w:right w:val="nil"/>
            </w:tcBorders>
            <w:shd w:val="clear" w:color="auto" w:fill="7FB8CB"/>
          </w:tcPr>
          <w:p w14:paraId="6D1BF013" w14:textId="77777777" w:rsidR="00A77EE0" w:rsidRPr="001A3C79" w:rsidRDefault="00A77EE0" w:rsidP="0043264B">
            <w:pPr>
              <w:keepNext/>
              <w:keepLines/>
              <w:spacing w:after="0"/>
              <w:jc w:val="right"/>
              <w:rPr>
                <w:b/>
              </w:rPr>
            </w:pPr>
            <w:r w:rsidRPr="001A3C79">
              <w:rPr>
                <w:rFonts w:cs="Arial"/>
                <w:b/>
                <w:bCs/>
                <w:noProof/>
                <w:szCs w:val="18"/>
              </w:rPr>
              <w:drawing>
                <wp:anchor distT="0" distB="0" distL="114300" distR="114300" simplePos="0" relativeHeight="251658246" behindDoc="0" locked="0" layoutInCell="1" allowOverlap="1" wp14:anchorId="2EB74E10" wp14:editId="42553AA0">
                  <wp:simplePos x="0" y="0"/>
                  <wp:positionH relativeFrom="column">
                    <wp:posOffset>40640</wp:posOffset>
                  </wp:positionH>
                  <wp:positionV relativeFrom="paragraph">
                    <wp:posOffset>7620</wp:posOffset>
                  </wp:positionV>
                  <wp:extent cx="424180" cy="391795"/>
                  <wp:effectExtent l="0" t="0" r="0" b="8255"/>
                  <wp:wrapNone/>
                  <wp:docPr id="96" name="Picture 96"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on-22.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24180" cy="391795"/>
                          </a:xfrm>
                          <a:prstGeom prst="rect">
                            <a:avLst/>
                          </a:prstGeom>
                        </pic:spPr>
                      </pic:pic>
                    </a:graphicData>
                  </a:graphic>
                  <wp14:sizeRelH relativeFrom="margin">
                    <wp14:pctWidth>0</wp14:pctWidth>
                  </wp14:sizeRelH>
                  <wp14:sizeRelV relativeFrom="margin">
                    <wp14:pctHeight>0</wp14:pctHeight>
                  </wp14:sizeRelV>
                </wp:anchor>
              </w:drawing>
            </w:r>
          </w:p>
        </w:tc>
        <w:tc>
          <w:tcPr>
            <w:tcW w:w="1296" w:type="dxa"/>
            <w:tcBorders>
              <w:left w:val="nil"/>
              <w:right w:val="nil"/>
            </w:tcBorders>
            <w:shd w:val="clear" w:color="auto" w:fill="7FB8CB"/>
          </w:tcPr>
          <w:p w14:paraId="63D5F0FA" w14:textId="77777777" w:rsidR="00A77EE0" w:rsidRPr="001E3C44" w:rsidRDefault="00A77EE0" w:rsidP="001E3C44">
            <w:pPr>
              <w:keepNext/>
              <w:keepLines/>
              <w:spacing w:after="0"/>
              <w:cnfStyle w:val="000000000000" w:firstRow="0" w:lastRow="0" w:firstColumn="0" w:lastColumn="0" w:oddVBand="0" w:evenVBand="0" w:oddHBand="0" w:evenHBand="0" w:firstRowFirstColumn="0" w:firstRowLastColumn="0" w:lastRowFirstColumn="0" w:lastRowLastColumn="0"/>
              <w:rPr>
                <w:b/>
                <w:color w:val="FFFFFF" w:themeColor="background1"/>
              </w:rPr>
            </w:pPr>
            <w:r w:rsidRPr="001E3C44">
              <w:rPr>
                <w:b/>
                <w:color w:val="FFFFFF" w:themeColor="background1"/>
              </w:rPr>
              <w:t>Australian preschool</w:t>
            </w:r>
            <w:r w:rsidRPr="001E3C44">
              <w:rPr>
                <w:b/>
                <w:color w:val="FFFFFF" w:themeColor="background1"/>
              </w:rPr>
              <w:br/>
              <w:t>P programs</w:t>
            </w:r>
          </w:p>
        </w:tc>
        <w:tc>
          <w:tcPr>
            <w:tcW w:w="1776" w:type="dxa"/>
            <w:tcBorders>
              <w:left w:val="nil"/>
            </w:tcBorders>
            <w:shd w:val="clear" w:color="auto" w:fill="7FB8CB"/>
          </w:tcPr>
          <w:p w14:paraId="218A8C33" w14:textId="77777777" w:rsidR="00A77EE0" w:rsidRPr="001E3C44" w:rsidRDefault="00A77EE0" w:rsidP="00A556F4">
            <w:pPr>
              <w:keepNext/>
              <w:keepLines/>
              <w:spacing w:after="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1E3C44">
              <w:rPr>
                <w:color w:val="FFFFFF" w:themeColor="background1"/>
              </w:rPr>
              <w:t>All</w:t>
            </w:r>
          </w:p>
        </w:tc>
        <w:tc>
          <w:tcPr>
            <w:tcW w:w="1542" w:type="dxa"/>
            <w:shd w:val="clear" w:color="auto" w:fill="D2E1E9"/>
          </w:tcPr>
          <w:p w14:paraId="5B315126"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130</w:t>
            </w:r>
          </w:p>
        </w:tc>
        <w:tc>
          <w:tcPr>
            <w:tcW w:w="1248" w:type="dxa"/>
            <w:shd w:val="clear" w:color="auto" w:fill="D2E1E9"/>
          </w:tcPr>
          <w:p w14:paraId="0E0309BB"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131</w:t>
            </w:r>
          </w:p>
        </w:tc>
        <w:tc>
          <w:tcPr>
            <w:tcW w:w="1248" w:type="dxa"/>
            <w:shd w:val="clear" w:color="auto" w:fill="D2E1E9"/>
          </w:tcPr>
          <w:p w14:paraId="25990621"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131</w:t>
            </w:r>
          </w:p>
        </w:tc>
        <w:tc>
          <w:tcPr>
            <w:tcW w:w="1248" w:type="dxa"/>
            <w:shd w:val="clear" w:color="auto" w:fill="D2E1E9"/>
          </w:tcPr>
          <w:p w14:paraId="7A8CE67E" w14:textId="77777777" w:rsidR="00A77EE0" w:rsidRPr="001A3C79" w:rsidRDefault="00A77EE0" w:rsidP="0063439E">
            <w:pPr>
              <w:keepNext/>
              <w:keepLines/>
              <w:spacing w:after="0"/>
              <w:cnfStyle w:val="000000000000" w:firstRow="0" w:lastRow="0" w:firstColumn="0" w:lastColumn="0" w:oddVBand="0" w:evenVBand="0" w:oddHBand="0" w:evenHBand="0" w:firstRowFirstColumn="0" w:firstRowLastColumn="0" w:lastRowFirstColumn="0" w:lastRowLastColumn="0"/>
            </w:pPr>
            <w:r w:rsidRPr="001A3C79">
              <w:t>131</w:t>
            </w:r>
          </w:p>
        </w:tc>
      </w:tr>
    </w:tbl>
    <w:p w14:paraId="092B808A" w14:textId="77777777" w:rsidR="00A77EE0" w:rsidRPr="001A3C79" w:rsidRDefault="00A77EE0" w:rsidP="00A77EE0">
      <w:pPr>
        <w:keepNext/>
        <w:keepLines/>
        <w:spacing w:before="80" w:after="0" w:line="240" w:lineRule="auto"/>
        <w:rPr>
          <w:rFonts w:cs="Arial"/>
          <w:i/>
          <w:sz w:val="16"/>
        </w:rPr>
      </w:pPr>
      <w:r w:rsidRPr="001A3C79">
        <w:rPr>
          <w:rFonts w:cs="Arial"/>
          <w:i/>
          <w:sz w:val="16"/>
        </w:rPr>
        <w:t>Note: Licensee requirements for each network are calculated by averaging across the following locations: Seven Network—five mainland state capital cities, Nine Network—Brisbane, Melbourne and Sydney, Network Ten —five mainland capital cities.</w:t>
      </w:r>
    </w:p>
    <w:p w14:paraId="64EEE86D" w14:textId="77777777" w:rsidR="00A77EE0" w:rsidRPr="001A3C79" w:rsidRDefault="00A77EE0" w:rsidP="00A77EE0">
      <w:pPr>
        <w:spacing w:before="80" w:after="0" w:line="240" w:lineRule="auto"/>
        <w:rPr>
          <w:rFonts w:cs="Arial"/>
          <w:i/>
          <w:sz w:val="16"/>
        </w:rPr>
      </w:pPr>
      <w:r w:rsidRPr="001A3C79">
        <w:rPr>
          <w:rFonts w:cs="Arial"/>
          <w:i/>
          <w:sz w:val="16"/>
        </w:rPr>
        <w:t>Source: ACMA.</w:t>
      </w:r>
    </w:p>
    <w:p w14:paraId="3C578393" w14:textId="77777777" w:rsidR="00A77EE0" w:rsidRPr="001A3C79" w:rsidRDefault="00A77EE0" w:rsidP="00A77EE0">
      <w:pPr>
        <w:rPr>
          <w:rFonts w:cs="Arial"/>
        </w:rPr>
      </w:pPr>
    </w:p>
    <w:p w14:paraId="045F806A" w14:textId="77777777" w:rsidR="00A77EE0" w:rsidRPr="001A3C79" w:rsidRDefault="00A77EE0" w:rsidP="00EA149D">
      <w:pPr>
        <w:pStyle w:val="Heading3"/>
      </w:pPr>
      <w:bookmarkStart w:id="658" w:name="_Toc399331816"/>
      <w:bookmarkStart w:id="659" w:name="_Toc399336997"/>
      <w:bookmarkStart w:id="660" w:name="_Toc402337602"/>
      <w:bookmarkStart w:id="661" w:name="_Toc462899621"/>
      <w:bookmarkStart w:id="662" w:name="_Toc433790369"/>
      <w:bookmarkStart w:id="663" w:name="_Toc463529116"/>
      <w:bookmarkStart w:id="664" w:name="_Toc465842942"/>
      <w:r w:rsidRPr="001A3C79">
        <w:t>Subscription television drama expenditure</w:t>
      </w:r>
      <w:bookmarkEnd w:id="658"/>
      <w:bookmarkEnd w:id="659"/>
      <w:bookmarkEnd w:id="660"/>
      <w:bookmarkEnd w:id="661"/>
      <w:bookmarkEnd w:id="662"/>
      <w:bookmarkEnd w:id="663"/>
      <w:bookmarkEnd w:id="664"/>
    </w:p>
    <w:p w14:paraId="5ECE0619" w14:textId="77777777" w:rsidR="00A77EE0" w:rsidRPr="001A3C79" w:rsidRDefault="00A77EE0" w:rsidP="00A77EE0">
      <w:pPr>
        <w:rPr>
          <w:rFonts w:cs="Arial"/>
          <w:szCs w:val="20"/>
        </w:rPr>
      </w:pPr>
      <w:r w:rsidRPr="001A3C79">
        <w:rPr>
          <w:rFonts w:cs="Arial"/>
          <w:szCs w:val="20"/>
        </w:rPr>
        <w:t>The new eligible drama expenditure scheme requires subscription television broadcasting licensees and channel providers that provide drama services to spend at least 10 per cent of their annual total program expenditure on eligible drama programs during a financial year.</w:t>
      </w:r>
      <w:r w:rsidRPr="001A3C79">
        <w:rPr>
          <w:rFonts w:cs="Arial"/>
          <w:szCs w:val="20"/>
          <w:vertAlign w:val="superscript"/>
        </w:rPr>
        <w:endnoteReference w:id="190"/>
      </w:r>
      <w:r w:rsidRPr="001A3C79">
        <w:rPr>
          <w:rFonts w:cs="Arial"/>
          <w:szCs w:val="20"/>
        </w:rPr>
        <w:t xml:space="preserve"> If the 10 per cent expenditure requirement is not met in the relevant financial year, the shortfall amount must be made up in the following year.</w:t>
      </w:r>
    </w:p>
    <w:p w14:paraId="20CCD1A3" w14:textId="77777777" w:rsidR="00A77EE0" w:rsidRPr="001A3C79" w:rsidRDefault="00A77EE0" w:rsidP="00A77EE0">
      <w:pPr>
        <w:rPr>
          <w:rFonts w:cs="Arial"/>
          <w:szCs w:val="20"/>
        </w:rPr>
      </w:pPr>
      <w:r w:rsidRPr="001A3C79">
        <w:rPr>
          <w:rFonts w:cs="Arial"/>
          <w:szCs w:val="20"/>
        </w:rPr>
        <w:t xml:space="preserve">To be eligible, a drama program must be an Australian or New Zealand production or co-production, and must not have been televised in Australia or New Zealand on a broadcasting service at any time before the expenditure on the program was incurred. </w:t>
      </w:r>
    </w:p>
    <w:p w14:paraId="6C932AE9" w14:textId="77777777" w:rsidR="00A77EE0" w:rsidRPr="001A3C79" w:rsidRDefault="00A77EE0" w:rsidP="00A77EE0">
      <w:pPr>
        <w:rPr>
          <w:rFonts w:cs="Arial"/>
          <w:szCs w:val="20"/>
        </w:rPr>
      </w:pPr>
      <w:r w:rsidRPr="001A3C79">
        <w:rPr>
          <w:rFonts w:cs="Arial"/>
          <w:szCs w:val="20"/>
        </w:rPr>
        <w:t>The BSA defines a subscription television drama service as a service devoted predominantly to drama programs; that is, more than 50 per cent of the programming consists of drama programs.</w:t>
      </w:r>
    </w:p>
    <w:p w14:paraId="64E21E89" w14:textId="77777777" w:rsidR="00A77EE0" w:rsidRPr="001A3C79" w:rsidRDefault="00A77EE0" w:rsidP="00A77EE0">
      <w:pPr>
        <w:rPr>
          <w:rFonts w:cs="Arial"/>
          <w:szCs w:val="20"/>
        </w:rPr>
      </w:pPr>
      <w:r w:rsidRPr="001A3C79">
        <w:rPr>
          <w:rFonts w:cs="Arial"/>
          <w:szCs w:val="20"/>
        </w:rPr>
        <w:t>For the 2014–15 compliance period</w:t>
      </w:r>
      <w:r w:rsidRPr="001A3C79">
        <w:rPr>
          <w:rFonts w:cs="Arial"/>
          <w:szCs w:val="20"/>
          <w:vertAlign w:val="superscript"/>
        </w:rPr>
        <w:endnoteReference w:id="191"/>
      </w:r>
      <w:r w:rsidRPr="001A3C79">
        <w:rPr>
          <w:rFonts w:cs="Arial"/>
          <w:szCs w:val="20"/>
        </w:rPr>
        <w:t>, six licensees and five channel providers supplied 29 eligible drama channels. All participants met their expenditure obligations for 2014–15, reporting an expenditure of $36.4 million (aggregated) on new eligible Australian drama programs. Of that expenditure, $18.1 million was nominated to acquit the expenditure shortfall for 2013–14. For 2015–16, licensees and channel providers must spend a minimum of $15.4 million (in total) on new eligible programs to acquit the remaining 2014–15 obligation.</w:t>
      </w:r>
    </w:p>
    <w:p w14:paraId="51BA4B34" w14:textId="77777777" w:rsidR="00A77EE0" w:rsidRPr="001A3C79" w:rsidRDefault="00A77EE0" w:rsidP="00A77EE0">
      <w:pPr>
        <w:rPr>
          <w:rFonts w:cs="Arial"/>
          <w:szCs w:val="20"/>
        </w:rPr>
      </w:pPr>
      <w:r w:rsidRPr="001A3C79">
        <w:rPr>
          <w:rFonts w:cs="Arial"/>
          <w:szCs w:val="20"/>
        </w:rPr>
        <w:t>Annual licensee and channel provider returns for 2015–16 fall due on 29 August 2016 and results were not available at the time of publication.</w:t>
      </w:r>
    </w:p>
    <w:p w14:paraId="72E3F722" w14:textId="77777777" w:rsidR="00A77EE0" w:rsidRPr="001A3C79" w:rsidRDefault="00A77EE0" w:rsidP="00FC5AFE">
      <w:pPr>
        <w:pStyle w:val="Heading3"/>
      </w:pPr>
      <w:bookmarkStart w:id="665" w:name="_Toc462899622"/>
      <w:bookmarkStart w:id="666" w:name="_Toc433790370"/>
      <w:bookmarkStart w:id="667" w:name="_Toc463529117"/>
      <w:bookmarkStart w:id="668" w:name="_Toc465842943"/>
      <w:r w:rsidRPr="001A3C79">
        <w:t>Captioning</w:t>
      </w:r>
      <w:bookmarkEnd w:id="665"/>
      <w:bookmarkEnd w:id="666"/>
      <w:bookmarkEnd w:id="667"/>
      <w:bookmarkEnd w:id="668"/>
    </w:p>
    <w:p w14:paraId="2E8CCD1D" w14:textId="77777777" w:rsidR="00A77EE0" w:rsidRPr="001A3C79" w:rsidRDefault="00A77EE0" w:rsidP="00A77EE0">
      <w:pPr>
        <w:keepNext/>
        <w:spacing w:after="80"/>
      </w:pPr>
      <w:r w:rsidRPr="001A3C79">
        <w:t xml:space="preserve">During 2014–15, television service providers reported a high level of compliance with annual captioning target requirements set out in the BSA: </w:t>
      </w:r>
    </w:p>
    <w:p w14:paraId="6AA58B74" w14:textId="77777777" w:rsidR="00A77EE0" w:rsidRPr="00A65C1C" w:rsidRDefault="00A77EE0" w:rsidP="008F68BF">
      <w:pPr>
        <w:pStyle w:val="ListBullet"/>
        <w:rPr>
          <w:rFonts w:eastAsia="Calibri"/>
        </w:rPr>
      </w:pPr>
      <w:r w:rsidRPr="00A65C1C">
        <w:rPr>
          <w:rFonts w:eastAsia="Calibri"/>
        </w:rPr>
        <w:t xml:space="preserve">Ninety-two out of 95 commercial and national television broadcasting services achieved between 99.75 per cent and 99.99 per cent captioning between </w:t>
      </w:r>
      <w:r w:rsidR="00315208">
        <w:t xml:space="preserve">6 </w:t>
      </w:r>
      <w:r w:rsidR="00D02106" w:rsidRPr="007E786E">
        <w:t xml:space="preserve">am </w:t>
      </w:r>
      <w:r w:rsidRPr="00A65C1C">
        <w:rPr>
          <w:rFonts w:eastAsia="Calibri"/>
        </w:rPr>
        <w:t xml:space="preserve">and midnight on their primary channels. </w:t>
      </w:r>
      <w:r w:rsidRPr="00A65C1C">
        <w:rPr>
          <w:rFonts w:eastAsia="Calibri"/>
        </w:rPr>
        <w:lastRenderedPageBreak/>
        <w:t xml:space="preserve">The shortfalls against the 100 per cent captioning target were small, averaging four hours per service across the whole year. </w:t>
      </w:r>
    </w:p>
    <w:p w14:paraId="6BE3CAA3" w14:textId="77777777" w:rsidR="00A77EE0" w:rsidRPr="00A65C1C" w:rsidRDefault="00A77EE0" w:rsidP="008F68BF">
      <w:pPr>
        <w:pStyle w:val="ListBullet"/>
        <w:rPr>
          <w:rFonts w:eastAsia="Calibri"/>
        </w:rPr>
      </w:pPr>
      <w:r w:rsidRPr="00A65C1C">
        <w:rPr>
          <w:rFonts w:eastAsia="Calibri"/>
        </w:rPr>
        <w:t>The remaining three services each exceeded their reduced captioning target of 90 per cent for the year. They had target reduction orders in place for 2014–15 on grounds of unjustifiable hardship.</w:t>
      </w:r>
    </w:p>
    <w:p w14:paraId="1CE1C5D4" w14:textId="77777777" w:rsidR="00A77EE0" w:rsidRPr="00A65C1C" w:rsidRDefault="00A77EE0" w:rsidP="008F68BF">
      <w:pPr>
        <w:pStyle w:val="ListBullet"/>
        <w:rPr>
          <w:rFonts w:eastAsia="Calibri"/>
        </w:rPr>
      </w:pPr>
      <w:r w:rsidRPr="00A65C1C">
        <w:rPr>
          <w:rFonts w:eastAsia="Calibri"/>
        </w:rPr>
        <w:t>A total of 588,853 hours of television programs was broadcast with a captioning service on the primary channels of commercial and national television broadcasting services (6</w:t>
      </w:r>
      <w:r w:rsidR="00315208">
        <w:rPr>
          <w:rFonts w:eastAsia="Calibri"/>
        </w:rPr>
        <w:t xml:space="preserve"> am</w:t>
      </w:r>
      <w:r w:rsidRPr="00A65C1C">
        <w:rPr>
          <w:rFonts w:eastAsia="Calibri"/>
        </w:rPr>
        <w:t xml:space="preserve"> to midnight). This was an increase of 15,501 hours of captioning compared to the same period in 2013–14, when the captioning target was 95 per cent.</w:t>
      </w:r>
    </w:p>
    <w:p w14:paraId="1C6F1E2D" w14:textId="77777777" w:rsidR="00A77EE0" w:rsidRPr="00A65C1C" w:rsidRDefault="00A77EE0" w:rsidP="008F68BF">
      <w:pPr>
        <w:pStyle w:val="ListBullet"/>
        <w:rPr>
          <w:rFonts w:eastAsia="Calibri"/>
        </w:rPr>
      </w:pPr>
      <w:r w:rsidRPr="00A65C1C">
        <w:rPr>
          <w:rFonts w:eastAsia="Calibri"/>
        </w:rPr>
        <w:t>Approximately 99.5 per cent of subscription television licensees (660 out of 663) met their annual captioning target requirements, while 67 per cent exceeded their captioning target.</w:t>
      </w:r>
    </w:p>
    <w:p w14:paraId="6DE554C0" w14:textId="77777777" w:rsidR="00A77EE0" w:rsidRPr="00A65C1C" w:rsidRDefault="00A77EE0" w:rsidP="008F68BF">
      <w:pPr>
        <w:pStyle w:val="ListBulletLast"/>
        <w:rPr>
          <w:rFonts w:eastAsia="Calibri"/>
        </w:rPr>
      </w:pPr>
      <w:r w:rsidRPr="00A65C1C">
        <w:rPr>
          <w:rFonts w:eastAsia="Calibri"/>
        </w:rPr>
        <w:t>A total of 2,530,004 hours of captioned content was broadcast on subscription television services in 2014–15. This was an increase of 449,452 hours compared to 2013–14.</w:t>
      </w:r>
    </w:p>
    <w:p w14:paraId="11F130A1" w14:textId="77777777" w:rsidR="00A77EE0" w:rsidRPr="001A3C79" w:rsidRDefault="00A77EE0" w:rsidP="00A77EE0">
      <w:r w:rsidRPr="001A3C79">
        <w:t xml:space="preserve">All of the television service providers that did not meet their captioning targets have taken appropriate steps to prevent similar issues recurring, including resolving technical issues, enhancing procedures and undertaking staff training. </w:t>
      </w:r>
    </w:p>
    <w:p w14:paraId="6CE35319" w14:textId="77777777" w:rsidR="00A77EE0" w:rsidRPr="001A3C79" w:rsidRDefault="00A77EE0" w:rsidP="00A77EE0">
      <w:r w:rsidRPr="001A3C79">
        <w:t xml:space="preserve">The ACMA did not take any enforcement action on these matters. This is consistent with the ACMA’s compliance and enforcement approach, which generally uses the minimum power or intervention necessary to achieve the desired result. </w:t>
      </w:r>
    </w:p>
    <w:p w14:paraId="67F7D247" w14:textId="77777777" w:rsidR="00A77EE0" w:rsidRPr="001A3C79" w:rsidRDefault="00A77EE0" w:rsidP="00A77EE0">
      <w:r w:rsidRPr="001A3C79">
        <w:t>Table 3.6 provides a summary of the self-reported breaches, excluding disregarded breaches; that is, breaches solely resulting from unforeseen technical difficulties were disregarded as provided by the captioning legislation.</w:t>
      </w:r>
    </w:p>
    <w:p w14:paraId="294AD2B9" w14:textId="77777777" w:rsidR="00A77EE0" w:rsidRPr="001A3C79" w:rsidRDefault="00A77EE0" w:rsidP="008F68BF">
      <w:pPr>
        <w:keepNext/>
        <w:spacing w:after="160"/>
        <w:ind w:left="1418" w:hanging="1418"/>
        <w:rPr>
          <w:b/>
          <w:bCs/>
          <w:noProof/>
          <w:color w:val="323232"/>
        </w:rPr>
      </w:pPr>
      <w:r w:rsidRPr="001A3C79">
        <w:rPr>
          <w:b/>
          <w:bCs/>
          <w:noProof/>
          <w:color w:val="323232"/>
        </w:rPr>
        <w:t>Table 3.6</w:t>
      </w:r>
      <w:r w:rsidRPr="001A3C79">
        <w:rPr>
          <w:b/>
          <w:bCs/>
          <w:noProof/>
          <w:color w:val="323232"/>
        </w:rPr>
        <w:tab/>
        <w:t xml:space="preserve">Breaches of captioning target requirements reported by television services, </w:t>
      </w:r>
      <w:r w:rsidRPr="001A3C79">
        <w:rPr>
          <w:b/>
          <w:bCs/>
          <w:noProof/>
          <w:color w:val="323232"/>
        </w:rPr>
        <w:br/>
        <w:t>2014–15, excluding disregarded breaches</w:t>
      </w:r>
    </w:p>
    <w:tbl>
      <w:tblPr>
        <w:tblStyle w:val="Commsreport2014-15TABLE2"/>
        <w:tblW w:w="8966" w:type="dxa"/>
        <w:tblLayout w:type="fixed"/>
        <w:tblCellMar>
          <w:top w:w="57" w:type="dxa"/>
          <w:left w:w="57" w:type="dxa"/>
          <w:bottom w:w="57" w:type="dxa"/>
          <w:right w:w="57" w:type="dxa"/>
        </w:tblCellMar>
        <w:tblLook w:val="04A0" w:firstRow="1" w:lastRow="0" w:firstColumn="1" w:lastColumn="0" w:noHBand="0" w:noVBand="1"/>
        <w:tblCaption w:val="Table 3.6: Breaches of caption target requirements reported by television services, 2014-15, excluding disregarded breaches"/>
      </w:tblPr>
      <w:tblGrid>
        <w:gridCol w:w="1493"/>
        <w:gridCol w:w="2595"/>
        <w:gridCol w:w="2439"/>
        <w:gridCol w:w="2439"/>
      </w:tblGrid>
      <w:tr w:rsidR="00A77EE0" w:rsidRPr="009573A6" w14:paraId="2F6C6C23" w14:textId="77777777" w:rsidTr="009573A6">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1493" w:type="dxa"/>
            <w:shd w:val="clear" w:color="auto" w:fill="007298"/>
            <w:vAlign w:val="top"/>
          </w:tcPr>
          <w:p w14:paraId="3682D062" w14:textId="77777777" w:rsidR="00A77EE0" w:rsidRPr="009573A6" w:rsidRDefault="00A77EE0" w:rsidP="009573A6">
            <w:pPr>
              <w:pStyle w:val="TableHeading"/>
              <w:rPr>
                <w:b/>
              </w:rPr>
            </w:pPr>
            <w:r w:rsidRPr="009573A6">
              <w:rPr>
                <w:b/>
              </w:rPr>
              <w:t>Sector</w:t>
            </w:r>
          </w:p>
        </w:tc>
        <w:tc>
          <w:tcPr>
            <w:tcW w:w="2595" w:type="dxa"/>
            <w:shd w:val="clear" w:color="auto" w:fill="007298"/>
            <w:vAlign w:val="top"/>
          </w:tcPr>
          <w:p w14:paraId="53811CE3" w14:textId="77777777" w:rsidR="00A77EE0" w:rsidRPr="009573A6" w:rsidRDefault="00A77EE0" w:rsidP="009573A6">
            <w:pPr>
              <w:pStyle w:val="TableHeading"/>
              <w:jc w:val="left"/>
              <w:cnfStyle w:val="100000000000" w:firstRow="1" w:lastRow="0" w:firstColumn="0" w:lastColumn="0" w:oddVBand="0" w:evenVBand="0" w:oddHBand="0" w:evenHBand="0" w:firstRowFirstColumn="0" w:firstRowLastColumn="0" w:lastRowFirstColumn="0" w:lastRowLastColumn="0"/>
              <w:rPr>
                <w:b/>
              </w:rPr>
            </w:pPr>
            <w:r w:rsidRPr="009573A6">
              <w:rPr>
                <w:b/>
              </w:rPr>
              <w:t>Captioning target</w:t>
            </w:r>
          </w:p>
        </w:tc>
        <w:tc>
          <w:tcPr>
            <w:tcW w:w="2439" w:type="dxa"/>
            <w:shd w:val="clear" w:color="auto" w:fill="007298"/>
            <w:vAlign w:val="top"/>
          </w:tcPr>
          <w:p w14:paraId="1B3E0FC7" w14:textId="77777777" w:rsidR="00A77EE0" w:rsidRPr="009573A6" w:rsidRDefault="00A77EE0" w:rsidP="009573A6">
            <w:pPr>
              <w:pStyle w:val="TableHeading"/>
              <w:jc w:val="left"/>
              <w:cnfStyle w:val="100000000000" w:firstRow="1" w:lastRow="0" w:firstColumn="0" w:lastColumn="0" w:oddVBand="0" w:evenVBand="0" w:oddHBand="0" w:evenHBand="0" w:firstRowFirstColumn="0" w:firstRowLastColumn="0" w:lastRowFirstColumn="0" w:lastRowLastColumn="0"/>
              <w:rPr>
                <w:b/>
              </w:rPr>
            </w:pPr>
            <w:r w:rsidRPr="009573A6">
              <w:rPr>
                <w:b/>
              </w:rPr>
              <w:t>Number of services in breach</w:t>
            </w:r>
          </w:p>
        </w:tc>
        <w:tc>
          <w:tcPr>
            <w:tcW w:w="2439" w:type="dxa"/>
            <w:shd w:val="clear" w:color="auto" w:fill="007298"/>
            <w:vAlign w:val="top"/>
          </w:tcPr>
          <w:p w14:paraId="36EFFA91" w14:textId="77777777" w:rsidR="00A77EE0" w:rsidRPr="009573A6" w:rsidRDefault="00A77EE0" w:rsidP="009573A6">
            <w:pPr>
              <w:pStyle w:val="TableHeading"/>
              <w:jc w:val="left"/>
              <w:cnfStyle w:val="100000000000" w:firstRow="1" w:lastRow="0" w:firstColumn="0" w:lastColumn="0" w:oddVBand="0" w:evenVBand="0" w:oddHBand="0" w:evenHBand="0" w:firstRowFirstColumn="0" w:firstRowLastColumn="0" w:lastRowFirstColumn="0" w:lastRowLastColumn="0"/>
              <w:rPr>
                <w:b/>
              </w:rPr>
            </w:pPr>
            <w:r w:rsidRPr="009573A6">
              <w:rPr>
                <w:b/>
              </w:rPr>
              <w:t>Causes of breaches</w:t>
            </w:r>
          </w:p>
        </w:tc>
      </w:tr>
      <w:tr w:rsidR="00A77EE0" w:rsidRPr="001A3C79" w14:paraId="50A3009C" w14:textId="77777777" w:rsidTr="0043264B">
        <w:trPr>
          <w:trHeight w:val="839"/>
        </w:trPr>
        <w:tc>
          <w:tcPr>
            <w:cnfStyle w:val="001000000000" w:firstRow="0" w:lastRow="0" w:firstColumn="1" w:lastColumn="0" w:oddVBand="0" w:evenVBand="0" w:oddHBand="0" w:evenHBand="0" w:firstRowFirstColumn="0" w:firstRowLastColumn="0" w:lastRowFirstColumn="0" w:lastRowLastColumn="0"/>
            <w:tcW w:w="1493" w:type="dxa"/>
            <w:shd w:val="clear" w:color="auto" w:fill="7FB8CB"/>
            <w:vAlign w:val="top"/>
          </w:tcPr>
          <w:p w14:paraId="6D7D3DEC" w14:textId="77777777" w:rsidR="00A77EE0" w:rsidRPr="00BE6BBB" w:rsidRDefault="00A77EE0" w:rsidP="0043264B">
            <w:pPr>
              <w:keepNext/>
              <w:spacing w:after="0"/>
              <w:rPr>
                <w:color w:val="FFFFFF" w:themeColor="background1"/>
              </w:rPr>
            </w:pPr>
            <w:r w:rsidRPr="00BE6BBB">
              <w:rPr>
                <w:color w:val="FFFFFF" w:themeColor="background1"/>
              </w:rPr>
              <w:t xml:space="preserve">Commercial and national television </w:t>
            </w:r>
          </w:p>
        </w:tc>
        <w:tc>
          <w:tcPr>
            <w:tcW w:w="2595" w:type="dxa"/>
            <w:shd w:val="clear" w:color="auto" w:fill="D2E1E9"/>
            <w:vAlign w:val="top"/>
          </w:tcPr>
          <w:p w14:paraId="78BD8450" w14:textId="77777777" w:rsidR="00A77EE0" w:rsidRPr="001A3C79" w:rsidRDefault="00A77EE0" w:rsidP="00315208">
            <w:pPr>
              <w:keepNext/>
              <w:spacing w:after="0"/>
              <w:jc w:val="left"/>
              <w:cnfStyle w:val="000000000000" w:firstRow="0" w:lastRow="0" w:firstColumn="0" w:lastColumn="0" w:oddVBand="0" w:evenVBand="0" w:oddHBand="0" w:evenHBand="0" w:firstRowFirstColumn="0" w:firstRowLastColumn="0" w:lastRowFirstColumn="0" w:lastRowLastColumn="0"/>
            </w:pPr>
            <w:r w:rsidRPr="001A3C79">
              <w:t>100% captioning from 6</w:t>
            </w:r>
            <w:r w:rsidR="00315208">
              <w:t xml:space="preserve"> </w:t>
            </w:r>
            <w:r w:rsidRPr="001A3C79">
              <w:t>am to midnight each day on primary channels, with exceptions*</w:t>
            </w:r>
          </w:p>
        </w:tc>
        <w:tc>
          <w:tcPr>
            <w:tcW w:w="2439" w:type="dxa"/>
            <w:shd w:val="clear" w:color="auto" w:fill="D2E1E9"/>
            <w:vAlign w:val="top"/>
          </w:tcPr>
          <w:p w14:paraId="1989DB63" w14:textId="77777777" w:rsidR="00A77EE0" w:rsidRPr="001A3C79" w:rsidRDefault="00A77EE0" w:rsidP="00A556F4">
            <w:pPr>
              <w:keepNext/>
              <w:spacing w:after="60"/>
              <w:jc w:val="left"/>
              <w:cnfStyle w:val="000000000000" w:firstRow="0" w:lastRow="0" w:firstColumn="0" w:lastColumn="0" w:oddVBand="0" w:evenVBand="0" w:oddHBand="0" w:evenHBand="0" w:firstRowFirstColumn="0" w:firstRowLastColumn="0" w:lastRowFirstColumn="0" w:lastRowLastColumn="0"/>
            </w:pPr>
            <w:r w:rsidRPr="001A3C79">
              <w:t>71 services</w:t>
            </w:r>
          </w:p>
          <w:p w14:paraId="58B23536" w14:textId="77777777" w:rsidR="00A77EE0" w:rsidRPr="001A3C79" w:rsidRDefault="00A77EE0" w:rsidP="0043264B">
            <w:pPr>
              <w:keepNext/>
              <w:spacing w:after="0"/>
              <w:jc w:val="left"/>
              <w:cnfStyle w:val="000000000000" w:firstRow="0" w:lastRow="0" w:firstColumn="0" w:lastColumn="0" w:oddVBand="0" w:evenVBand="0" w:oddHBand="0" w:evenHBand="0" w:firstRowFirstColumn="0" w:firstRowLastColumn="0" w:lastRowFirstColumn="0" w:lastRowLastColumn="0"/>
            </w:pPr>
            <w:r w:rsidRPr="001A3C79">
              <w:t>Both national broadcasters and 50 commercial television licensees were involved</w:t>
            </w:r>
          </w:p>
        </w:tc>
        <w:tc>
          <w:tcPr>
            <w:tcW w:w="2439" w:type="dxa"/>
            <w:shd w:val="clear" w:color="auto" w:fill="D2E1E9"/>
            <w:vAlign w:val="top"/>
          </w:tcPr>
          <w:p w14:paraId="47B04710" w14:textId="77777777" w:rsidR="00A77EE0" w:rsidRPr="001A3C79" w:rsidRDefault="00A77EE0" w:rsidP="0043264B">
            <w:pPr>
              <w:keepNext/>
              <w:spacing w:after="0"/>
              <w:jc w:val="left"/>
              <w:cnfStyle w:val="000000000000" w:firstRow="0" w:lastRow="0" w:firstColumn="0" w:lastColumn="0" w:oddVBand="0" w:evenVBand="0" w:oddHBand="0" w:evenHBand="0" w:firstRowFirstColumn="0" w:firstRowLastColumn="0" w:lastRowFirstColumn="0" w:lastRowLastColumn="0"/>
            </w:pPr>
            <w:r w:rsidRPr="001A3C79">
              <w:t>Largely caused by unforeseen technical difficulties, with some minor instances of human or procedural errors</w:t>
            </w:r>
          </w:p>
        </w:tc>
      </w:tr>
      <w:tr w:rsidR="00A77EE0" w:rsidRPr="001A3C79" w14:paraId="360669F8" w14:textId="77777777" w:rsidTr="0043264B">
        <w:trPr>
          <w:trHeight w:val="616"/>
        </w:trPr>
        <w:tc>
          <w:tcPr>
            <w:cnfStyle w:val="001000000000" w:firstRow="0" w:lastRow="0" w:firstColumn="1" w:lastColumn="0" w:oddVBand="0" w:evenVBand="0" w:oddHBand="0" w:evenHBand="0" w:firstRowFirstColumn="0" w:firstRowLastColumn="0" w:lastRowFirstColumn="0" w:lastRowLastColumn="0"/>
            <w:tcW w:w="1493" w:type="dxa"/>
            <w:shd w:val="clear" w:color="auto" w:fill="7FB8CB"/>
            <w:vAlign w:val="top"/>
          </w:tcPr>
          <w:p w14:paraId="185B4BAC" w14:textId="77777777" w:rsidR="00A77EE0" w:rsidRPr="00BE6BBB" w:rsidRDefault="00A77EE0" w:rsidP="0043264B">
            <w:pPr>
              <w:keepNext/>
              <w:spacing w:after="0"/>
              <w:rPr>
                <w:color w:val="FFFFFF" w:themeColor="background1"/>
              </w:rPr>
            </w:pPr>
            <w:r w:rsidRPr="00BE6BBB">
              <w:rPr>
                <w:color w:val="FFFFFF" w:themeColor="background1"/>
              </w:rPr>
              <w:t xml:space="preserve">Subscription television </w:t>
            </w:r>
          </w:p>
        </w:tc>
        <w:tc>
          <w:tcPr>
            <w:tcW w:w="2595" w:type="dxa"/>
            <w:shd w:val="clear" w:color="auto" w:fill="D2E1E9"/>
            <w:vAlign w:val="top"/>
          </w:tcPr>
          <w:p w14:paraId="0172C7A6" w14:textId="77777777" w:rsidR="00A77EE0" w:rsidRPr="001A3C79" w:rsidRDefault="00A77EE0" w:rsidP="0043264B">
            <w:pPr>
              <w:keepNext/>
              <w:spacing w:after="0"/>
              <w:jc w:val="left"/>
              <w:cnfStyle w:val="000000000000" w:firstRow="0" w:lastRow="0" w:firstColumn="0" w:lastColumn="0" w:oddVBand="0" w:evenVBand="0" w:oddHBand="0" w:evenHBand="0" w:firstRowFirstColumn="0" w:firstRowLastColumn="0" w:lastRowFirstColumn="0" w:lastRowLastColumn="0"/>
            </w:pPr>
            <w:r w:rsidRPr="001A3C79">
              <w:t>5–75% captioning across the year depending on service category, with exceptions*</w:t>
            </w:r>
          </w:p>
        </w:tc>
        <w:tc>
          <w:tcPr>
            <w:tcW w:w="2439" w:type="dxa"/>
            <w:shd w:val="clear" w:color="auto" w:fill="D2E1E9"/>
            <w:vAlign w:val="top"/>
          </w:tcPr>
          <w:p w14:paraId="2B61EDB1" w14:textId="77777777" w:rsidR="00A77EE0" w:rsidRPr="001A3C79" w:rsidRDefault="00A77EE0" w:rsidP="00A556F4">
            <w:pPr>
              <w:keepNext/>
              <w:spacing w:after="60"/>
              <w:jc w:val="left"/>
              <w:cnfStyle w:val="000000000000" w:firstRow="0" w:lastRow="0" w:firstColumn="0" w:lastColumn="0" w:oddVBand="0" w:evenVBand="0" w:oddHBand="0" w:evenHBand="0" w:firstRowFirstColumn="0" w:firstRowLastColumn="0" w:lastRowFirstColumn="0" w:lastRowLastColumn="0"/>
            </w:pPr>
            <w:r w:rsidRPr="001A3C79">
              <w:t>3 services</w:t>
            </w:r>
          </w:p>
          <w:p w14:paraId="66E87697" w14:textId="77777777" w:rsidR="00A77EE0" w:rsidRPr="001A3C79" w:rsidRDefault="00A77EE0" w:rsidP="0043264B">
            <w:pPr>
              <w:keepNext/>
              <w:spacing w:after="0"/>
              <w:jc w:val="left"/>
              <w:cnfStyle w:val="000000000000" w:firstRow="0" w:lastRow="0" w:firstColumn="0" w:lastColumn="0" w:oddVBand="0" w:evenVBand="0" w:oddHBand="0" w:evenHBand="0" w:firstRowFirstColumn="0" w:firstRowLastColumn="0" w:lastRowFirstColumn="0" w:lastRowLastColumn="0"/>
            </w:pPr>
            <w:r w:rsidRPr="001A3C79">
              <w:t xml:space="preserve">3 licensees (2 distinct channels) were involved </w:t>
            </w:r>
          </w:p>
        </w:tc>
        <w:tc>
          <w:tcPr>
            <w:tcW w:w="2439" w:type="dxa"/>
            <w:shd w:val="clear" w:color="auto" w:fill="D2E1E9"/>
            <w:vAlign w:val="top"/>
          </w:tcPr>
          <w:p w14:paraId="7F1A7BA5" w14:textId="77777777" w:rsidR="00A77EE0" w:rsidRPr="001A3C79" w:rsidRDefault="00A77EE0" w:rsidP="0043264B">
            <w:pPr>
              <w:keepNext/>
              <w:spacing w:after="0"/>
              <w:jc w:val="left"/>
              <w:cnfStyle w:val="000000000000" w:firstRow="0" w:lastRow="0" w:firstColumn="0" w:lastColumn="0" w:oddVBand="0" w:evenVBand="0" w:oddHBand="0" w:evenHBand="0" w:firstRowFirstColumn="0" w:firstRowLastColumn="0" w:lastRowFirstColumn="0" w:lastRowLastColumn="0"/>
            </w:pPr>
            <w:r w:rsidRPr="001A3C79">
              <w:t>Technical issues or procedural errors</w:t>
            </w:r>
          </w:p>
        </w:tc>
      </w:tr>
    </w:tbl>
    <w:p w14:paraId="2F1C20D8" w14:textId="77777777" w:rsidR="00A77EE0" w:rsidRPr="001A3C79" w:rsidRDefault="00A77EE0" w:rsidP="00A77EE0">
      <w:pPr>
        <w:spacing w:before="80" w:after="0" w:line="240" w:lineRule="auto"/>
        <w:rPr>
          <w:rFonts w:cs="Arial"/>
          <w:i/>
          <w:sz w:val="16"/>
        </w:rPr>
      </w:pPr>
      <w:r w:rsidRPr="001A3C79">
        <w:rPr>
          <w:rFonts w:cs="Arial"/>
          <w:i/>
          <w:sz w:val="16"/>
        </w:rPr>
        <w:t>*Captioning obligations do not apply to exempt programs, which include foreign programs (not wholly in English) and music programs that do not contain any human vocal content. In 2014–15, three commercial television broadcasters had a reduced captioning target of 90 per cent as a result of target reduction orders (unjustifiable hardship). Some subscription television services were exempt from the annual captioning target as a result of exemption orders (unjustifiable hardship) and nominations under section 130ZX of the BSA—a transitional measure that allows exemption of certain services if the licensee has met the annual captioning target for the threshold number of services.</w:t>
      </w:r>
    </w:p>
    <w:p w14:paraId="6524B876" w14:textId="77777777" w:rsidR="00A77EE0" w:rsidRPr="001A3C79" w:rsidRDefault="00A77EE0" w:rsidP="00A77EE0">
      <w:pPr>
        <w:spacing w:before="80" w:after="0" w:line="240" w:lineRule="auto"/>
        <w:rPr>
          <w:rFonts w:cs="Arial"/>
          <w:i/>
          <w:sz w:val="16"/>
        </w:rPr>
      </w:pPr>
      <w:r w:rsidRPr="001A3C79">
        <w:rPr>
          <w:rFonts w:cs="Arial"/>
          <w:i/>
          <w:sz w:val="16"/>
        </w:rPr>
        <w:t xml:space="preserve">Source: ACMA. </w:t>
      </w:r>
    </w:p>
    <w:p w14:paraId="4CC57756" w14:textId="77777777" w:rsidR="00A77EE0" w:rsidRPr="001A3C79" w:rsidRDefault="00A77EE0" w:rsidP="008F68BF">
      <w:pPr>
        <w:pStyle w:val="ACMASpaceaftertable"/>
      </w:pPr>
    </w:p>
    <w:p w14:paraId="4E7FEA5E" w14:textId="77777777" w:rsidR="00A77EE0" w:rsidRPr="001A3C79" w:rsidRDefault="00A77EE0" w:rsidP="000B343C">
      <w:pPr>
        <w:pStyle w:val="Bodysubheader0"/>
      </w:pPr>
      <w:r w:rsidRPr="001A3C79">
        <w:t>Exemption orders and target reduction orders</w:t>
      </w:r>
    </w:p>
    <w:p w14:paraId="1C4F06F8" w14:textId="77777777" w:rsidR="00A77EE0" w:rsidRPr="001A3C79" w:rsidRDefault="00A77EE0" w:rsidP="00861FB0">
      <w:pPr>
        <w:keepLines/>
      </w:pPr>
      <w:r w:rsidRPr="001A3C79">
        <w:t xml:space="preserve">In 2015–16, the ACMA approved 34 applications for exemption orders (for 34 separate subscription television services) and three applications for target reduction orders (for three separate commercial television services). During the year, the ACMA refused 15 applications for exemption orders and one application for a target reduction order (Table 3.7). </w:t>
      </w:r>
    </w:p>
    <w:p w14:paraId="1ECB2460" w14:textId="77777777" w:rsidR="00A77EE0" w:rsidRPr="001A3C79" w:rsidRDefault="00A77EE0" w:rsidP="0043264B">
      <w:pPr>
        <w:keepNext/>
        <w:spacing w:after="160"/>
        <w:rPr>
          <w:b/>
          <w:bCs/>
          <w:noProof/>
          <w:color w:val="323232"/>
        </w:rPr>
      </w:pPr>
      <w:r w:rsidRPr="001A3C79">
        <w:rPr>
          <w:b/>
          <w:bCs/>
          <w:noProof/>
          <w:color w:val="323232"/>
        </w:rPr>
        <w:lastRenderedPageBreak/>
        <w:t>Table 3.7</w:t>
      </w:r>
      <w:r w:rsidRPr="001A3C79">
        <w:rPr>
          <w:b/>
          <w:bCs/>
          <w:noProof/>
          <w:color w:val="323232"/>
        </w:rPr>
        <w:tab/>
        <w:t>Captioning exemption orders and target reduction orders</w:t>
      </w:r>
    </w:p>
    <w:tbl>
      <w:tblPr>
        <w:tblStyle w:val="Commsreport2014-15TABLE2"/>
        <w:tblW w:w="8945" w:type="dxa"/>
        <w:tblLayout w:type="fixed"/>
        <w:tblCellMar>
          <w:top w:w="57" w:type="dxa"/>
          <w:left w:w="57" w:type="dxa"/>
          <w:bottom w:w="57" w:type="dxa"/>
          <w:right w:w="57" w:type="dxa"/>
        </w:tblCellMar>
        <w:tblLook w:val="04A0" w:firstRow="1" w:lastRow="0" w:firstColumn="1" w:lastColumn="0" w:noHBand="0" w:noVBand="1"/>
        <w:tblCaption w:val="Table 3.7 Captioning exemption orders and target reduction orders"/>
      </w:tblPr>
      <w:tblGrid>
        <w:gridCol w:w="3957"/>
        <w:gridCol w:w="2494"/>
        <w:gridCol w:w="2494"/>
      </w:tblGrid>
      <w:tr w:rsidR="00A77EE0" w:rsidRPr="009573A6" w14:paraId="72F6F61A" w14:textId="77777777" w:rsidTr="009573A6">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3957" w:type="dxa"/>
            <w:shd w:val="clear" w:color="auto" w:fill="007298"/>
          </w:tcPr>
          <w:p w14:paraId="723F26E7" w14:textId="77777777" w:rsidR="00A77EE0" w:rsidRPr="009573A6" w:rsidRDefault="00A77EE0" w:rsidP="009573A6">
            <w:pPr>
              <w:pStyle w:val="TableHeading"/>
              <w:rPr>
                <w:b/>
              </w:rPr>
            </w:pPr>
            <w:r w:rsidRPr="009573A6">
              <w:rPr>
                <w:b/>
              </w:rPr>
              <w:t>Application type*</w:t>
            </w:r>
          </w:p>
        </w:tc>
        <w:tc>
          <w:tcPr>
            <w:tcW w:w="2494" w:type="dxa"/>
            <w:shd w:val="clear" w:color="auto" w:fill="007298"/>
          </w:tcPr>
          <w:p w14:paraId="7BC45650"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9573A6">
              <w:rPr>
                <w:b/>
              </w:rPr>
              <w:t>Approved</w:t>
            </w:r>
          </w:p>
        </w:tc>
        <w:tc>
          <w:tcPr>
            <w:tcW w:w="2494" w:type="dxa"/>
            <w:shd w:val="clear" w:color="auto" w:fill="007298"/>
          </w:tcPr>
          <w:p w14:paraId="36303891"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9573A6">
              <w:rPr>
                <w:b/>
              </w:rPr>
              <w:t>Refused</w:t>
            </w:r>
          </w:p>
        </w:tc>
      </w:tr>
      <w:tr w:rsidR="00A77EE0" w:rsidRPr="001A3C79" w14:paraId="348D057A" w14:textId="77777777" w:rsidTr="0043264B">
        <w:trPr>
          <w:trHeight w:val="23"/>
        </w:trPr>
        <w:tc>
          <w:tcPr>
            <w:cnfStyle w:val="001000000000" w:firstRow="0" w:lastRow="0" w:firstColumn="1" w:lastColumn="0" w:oddVBand="0" w:evenVBand="0" w:oddHBand="0" w:evenHBand="0" w:firstRowFirstColumn="0" w:firstRowLastColumn="0" w:lastRowFirstColumn="0" w:lastRowLastColumn="0"/>
            <w:tcW w:w="3957" w:type="dxa"/>
            <w:shd w:val="clear" w:color="auto" w:fill="7FB8CB"/>
          </w:tcPr>
          <w:p w14:paraId="074C4513" w14:textId="77777777" w:rsidR="00A77EE0" w:rsidRPr="00BE6BBB" w:rsidRDefault="00A77EE0" w:rsidP="0043264B">
            <w:pPr>
              <w:keepNext/>
              <w:spacing w:after="0"/>
              <w:rPr>
                <w:color w:val="FFFFFF" w:themeColor="background1"/>
              </w:rPr>
            </w:pPr>
            <w:r w:rsidRPr="00BE6BBB">
              <w:rPr>
                <w:color w:val="FFFFFF" w:themeColor="background1"/>
              </w:rPr>
              <w:t>Exemption order</w:t>
            </w:r>
          </w:p>
        </w:tc>
        <w:tc>
          <w:tcPr>
            <w:tcW w:w="2494" w:type="dxa"/>
            <w:shd w:val="clear" w:color="auto" w:fill="D2E1E9"/>
          </w:tcPr>
          <w:p w14:paraId="1402A6AC"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34</w:t>
            </w:r>
          </w:p>
        </w:tc>
        <w:tc>
          <w:tcPr>
            <w:tcW w:w="2494" w:type="dxa"/>
            <w:shd w:val="clear" w:color="auto" w:fill="D2E1E9"/>
          </w:tcPr>
          <w:p w14:paraId="44C0D3E0"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15</w:t>
            </w:r>
          </w:p>
        </w:tc>
      </w:tr>
      <w:tr w:rsidR="00A77EE0" w:rsidRPr="001A3C79" w14:paraId="6D6549DE" w14:textId="77777777" w:rsidTr="0043264B">
        <w:trPr>
          <w:trHeight w:val="23"/>
        </w:trPr>
        <w:tc>
          <w:tcPr>
            <w:cnfStyle w:val="001000000000" w:firstRow="0" w:lastRow="0" w:firstColumn="1" w:lastColumn="0" w:oddVBand="0" w:evenVBand="0" w:oddHBand="0" w:evenHBand="0" w:firstRowFirstColumn="0" w:firstRowLastColumn="0" w:lastRowFirstColumn="0" w:lastRowLastColumn="0"/>
            <w:tcW w:w="3957" w:type="dxa"/>
            <w:shd w:val="clear" w:color="auto" w:fill="7FB8CB"/>
          </w:tcPr>
          <w:p w14:paraId="2117EFA4" w14:textId="77777777" w:rsidR="00A77EE0" w:rsidRPr="00BE6BBB" w:rsidRDefault="00A77EE0" w:rsidP="0043264B">
            <w:pPr>
              <w:keepNext/>
              <w:spacing w:after="0"/>
              <w:rPr>
                <w:color w:val="FFFFFF" w:themeColor="background1"/>
              </w:rPr>
            </w:pPr>
            <w:r w:rsidRPr="00BE6BBB">
              <w:rPr>
                <w:color w:val="FFFFFF" w:themeColor="background1"/>
              </w:rPr>
              <w:t>Target reduction order</w:t>
            </w:r>
          </w:p>
        </w:tc>
        <w:tc>
          <w:tcPr>
            <w:tcW w:w="2494" w:type="dxa"/>
            <w:shd w:val="clear" w:color="auto" w:fill="D2E1E9"/>
          </w:tcPr>
          <w:p w14:paraId="2E5123A5"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3</w:t>
            </w:r>
          </w:p>
        </w:tc>
        <w:tc>
          <w:tcPr>
            <w:tcW w:w="2494" w:type="dxa"/>
            <w:shd w:val="clear" w:color="auto" w:fill="D2E1E9"/>
          </w:tcPr>
          <w:p w14:paraId="79D14C33"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1</w:t>
            </w:r>
          </w:p>
        </w:tc>
      </w:tr>
    </w:tbl>
    <w:p w14:paraId="61CFC7E7" w14:textId="77777777" w:rsidR="00A77EE0" w:rsidRPr="001A3C79" w:rsidRDefault="00A77EE0" w:rsidP="00A77EE0">
      <w:pPr>
        <w:spacing w:before="80" w:after="0" w:line="240" w:lineRule="auto"/>
        <w:rPr>
          <w:rFonts w:cs="Arial"/>
          <w:i/>
          <w:sz w:val="16"/>
        </w:rPr>
      </w:pPr>
      <w:r w:rsidRPr="001A3C79">
        <w:rPr>
          <w:rFonts w:cs="Arial"/>
          <w:i/>
          <w:sz w:val="16"/>
        </w:rPr>
        <w:t>*The ACMA has the power to make an exemption order or a target reduction order for a specified commercial, national or subscription television service if it is satisfied that refusing to do so would cause unjustifiable hardship to the broadcaster or licensee.</w:t>
      </w:r>
    </w:p>
    <w:p w14:paraId="7B34C54D" w14:textId="77777777" w:rsidR="00A77EE0" w:rsidRPr="001A3C79" w:rsidRDefault="00A77EE0" w:rsidP="00A77EE0">
      <w:pPr>
        <w:spacing w:before="80" w:after="0" w:line="240" w:lineRule="auto"/>
        <w:rPr>
          <w:rFonts w:cs="Arial"/>
          <w:i/>
          <w:sz w:val="16"/>
        </w:rPr>
      </w:pPr>
      <w:r w:rsidRPr="001A3C79">
        <w:rPr>
          <w:rFonts w:cs="Arial"/>
          <w:i/>
          <w:sz w:val="16"/>
        </w:rPr>
        <w:t>Source: ACMA.</w:t>
      </w:r>
    </w:p>
    <w:p w14:paraId="328219C1" w14:textId="77777777" w:rsidR="00A77EE0" w:rsidRPr="001A3C79" w:rsidRDefault="00A77EE0" w:rsidP="008F68BF">
      <w:pPr>
        <w:pStyle w:val="ACMASpaceaftertable"/>
      </w:pPr>
    </w:p>
    <w:p w14:paraId="4422C17A" w14:textId="77777777" w:rsidR="00A77EE0" w:rsidRPr="001A3C79" w:rsidRDefault="00A77EE0" w:rsidP="000B343C">
      <w:pPr>
        <w:pStyle w:val="BodySubHeader"/>
      </w:pPr>
      <w:r w:rsidRPr="001A3C79">
        <w:t xml:space="preserve">Review of captioning legislation </w:t>
      </w:r>
    </w:p>
    <w:p w14:paraId="0465404A" w14:textId="77777777" w:rsidR="00A77EE0" w:rsidRPr="001A3C79" w:rsidRDefault="00A77EE0" w:rsidP="00A77EE0">
      <w:pPr>
        <w:rPr>
          <w:rFonts w:eastAsia="Calibri"/>
        </w:rPr>
      </w:pPr>
      <w:r w:rsidRPr="001A3C79">
        <w:rPr>
          <w:rFonts w:eastAsia="Calibri"/>
        </w:rPr>
        <w:t>The ACMA is required, before 31 December 2016, to conduct a review of the captioning rules in the BSA. The ACMA released a consultation paper on 8 June 2016 seeking stakeholder submissions about the operation of the rules. The ACMA must provide a report to the minister before 30 June 2017.</w:t>
      </w:r>
    </w:p>
    <w:p w14:paraId="3B5FF7A1" w14:textId="77777777" w:rsidR="00A77EE0" w:rsidRPr="001A3C79" w:rsidRDefault="00A77EE0" w:rsidP="000B343C">
      <w:pPr>
        <w:pStyle w:val="Bodysubheader0"/>
        <w:rPr>
          <w:rFonts w:eastAsia="Calibri"/>
        </w:rPr>
      </w:pPr>
      <w:r w:rsidRPr="001A3C79">
        <w:t>Consumer use of captioning</w:t>
      </w:r>
    </w:p>
    <w:p w14:paraId="6BAB9D6C" w14:textId="77777777" w:rsidR="00A77EE0" w:rsidRPr="001A3C79" w:rsidRDefault="00A77EE0" w:rsidP="00A77EE0">
      <w:pPr>
        <w:rPr>
          <w:rFonts w:eastAsia="Calibri"/>
        </w:rPr>
      </w:pPr>
      <w:r w:rsidRPr="001A3C79">
        <w:rPr>
          <w:rFonts w:eastAsia="Calibri"/>
        </w:rPr>
        <w:t>ACMA research found that one in three Australians are regularly using captioning, with 52 per cent using it at least once a month. Thirty-five per cent cited the reason for using captioning was ‘to watch TV in a noisy environment’, while 29 per cent use it ‘to watch TV in a quiet environment’. Fifteen per cent of people use captioning due to a hearing impairment.</w:t>
      </w:r>
      <w:r w:rsidRPr="001A3C79">
        <w:rPr>
          <w:rFonts w:eastAsia="Calibri"/>
          <w:vertAlign w:val="superscript"/>
        </w:rPr>
        <w:endnoteReference w:id="192"/>
      </w:r>
      <w:bookmarkStart w:id="669" w:name="OLE_LINK1"/>
      <w:bookmarkStart w:id="670" w:name="OLE_LINK2"/>
      <w:bookmarkStart w:id="671" w:name="_Toc433790371"/>
      <w:bookmarkEnd w:id="669"/>
      <w:bookmarkEnd w:id="670"/>
    </w:p>
    <w:p w14:paraId="31C33272" w14:textId="77777777" w:rsidR="00A77EE0" w:rsidRPr="001A3C79" w:rsidDel="00B73730" w:rsidRDefault="00A77EE0" w:rsidP="000B343C">
      <w:pPr>
        <w:pStyle w:val="Heading3"/>
      </w:pPr>
      <w:bookmarkStart w:id="672" w:name="_Toc462899623"/>
      <w:bookmarkStart w:id="673" w:name="_Toc463529118"/>
      <w:bookmarkStart w:id="674" w:name="_Toc465842944"/>
      <w:r w:rsidRPr="001A3C79" w:rsidDel="00B73730">
        <w:t>Notification of changes in control</w:t>
      </w:r>
      <w:bookmarkEnd w:id="671"/>
      <w:bookmarkEnd w:id="672"/>
      <w:bookmarkEnd w:id="673"/>
      <w:bookmarkEnd w:id="674"/>
      <w:r w:rsidRPr="001A3C79">
        <w:t xml:space="preserve"> </w:t>
      </w:r>
    </w:p>
    <w:p w14:paraId="2872FCC8" w14:textId="77777777" w:rsidR="00A77EE0" w:rsidRPr="001A3C79" w:rsidDel="00B73730" w:rsidRDefault="00A77EE0" w:rsidP="00A77EE0">
      <w:r w:rsidRPr="001A3C79" w:rsidDel="00B73730">
        <w:t xml:space="preserve">Commercial television licensees, commercial radio licensees and publishers of associated newspapers must notify the ACMA of any changes in control within </w:t>
      </w:r>
      <w:r w:rsidRPr="001A3C79">
        <w:t>10</w:t>
      </w:r>
      <w:r w:rsidRPr="001A3C79" w:rsidDel="00B73730">
        <w:t xml:space="preserve"> business days of becoming aware of those changes (section 63 of the BSA). Persons who come into a position to exercise control of such licences and associated newspapers are also required to notify the ACMA within 10 business days of becoming aware of the change in control (section 64 of the BSA). </w:t>
      </w:r>
    </w:p>
    <w:p w14:paraId="5E58556D" w14:textId="77777777" w:rsidR="00A77EE0" w:rsidRPr="001A3C79" w:rsidDel="00B73730" w:rsidRDefault="00A77EE0" w:rsidP="00A77EE0">
      <w:r w:rsidRPr="001A3C79" w:rsidDel="00B73730">
        <w:t>During 201</w:t>
      </w:r>
      <w:r w:rsidRPr="001A3C79">
        <w:t>5</w:t>
      </w:r>
      <w:r w:rsidRPr="001A3C79" w:rsidDel="00B73730">
        <w:t>–1</w:t>
      </w:r>
      <w:r w:rsidRPr="001A3C79">
        <w:t>6</w:t>
      </w:r>
      <w:r w:rsidRPr="001A3C79" w:rsidDel="00B73730">
        <w:t>, no</w:t>
      </w:r>
      <w:r w:rsidRPr="001A3C79">
        <w:t xml:space="preserve"> formal warnings or </w:t>
      </w:r>
      <w:r w:rsidRPr="001A3C79" w:rsidDel="00B73730">
        <w:t>infringement notices were given for late notifications of changes of control</w:t>
      </w:r>
      <w:r w:rsidRPr="001A3C79">
        <w:t>, while there were eight</w:t>
      </w:r>
      <w:r w:rsidRPr="001A3C79" w:rsidDel="00B73730">
        <w:t xml:space="preserve"> events affecting the control of media operations. </w:t>
      </w:r>
    </w:p>
    <w:p w14:paraId="7DD22F74" w14:textId="77777777" w:rsidR="00A77EE0" w:rsidRPr="001A3C79" w:rsidRDefault="00A77EE0" w:rsidP="000B343C">
      <w:pPr>
        <w:pStyle w:val="Heading3"/>
      </w:pPr>
      <w:bookmarkStart w:id="675" w:name="_Toc462899624"/>
      <w:bookmarkStart w:id="676" w:name="_Toc433790372"/>
      <w:bookmarkStart w:id="677" w:name="_Toc463529119"/>
      <w:bookmarkStart w:id="678" w:name="_Toc465842945"/>
      <w:r w:rsidRPr="001A3C79">
        <w:t>Local information on regional television</w:t>
      </w:r>
      <w:bookmarkEnd w:id="675"/>
      <w:bookmarkEnd w:id="676"/>
      <w:bookmarkEnd w:id="677"/>
      <w:bookmarkEnd w:id="678"/>
    </w:p>
    <w:p w14:paraId="037374D3" w14:textId="77777777" w:rsidR="00A77EE0" w:rsidRPr="001A3C79" w:rsidRDefault="00A77EE0" w:rsidP="00A77EE0">
      <w:pPr>
        <w:spacing w:after="80"/>
      </w:pPr>
      <w:r w:rsidRPr="001A3C79">
        <w:t>The following regional commercial television broadcasting licensees in Queensland, New South Wales, Victoria and Tasmania must broadcast minimum amounts of material of local significance (local content) as a result of an additional licence condition:</w:t>
      </w:r>
    </w:p>
    <w:p w14:paraId="7F55638B" w14:textId="77777777" w:rsidR="00A77EE0" w:rsidRPr="00A65C1C" w:rsidRDefault="00A77EE0" w:rsidP="008F68BF">
      <w:pPr>
        <w:pStyle w:val="ListBullet"/>
      </w:pPr>
      <w:r w:rsidRPr="00A65C1C">
        <w:t xml:space="preserve">Seven Qld, Southern Cross and WIN TV in regional Queensland </w:t>
      </w:r>
    </w:p>
    <w:p w14:paraId="09D8C1BD" w14:textId="77777777" w:rsidR="00A77EE0" w:rsidRPr="00A65C1C" w:rsidRDefault="00A77EE0" w:rsidP="008F68BF">
      <w:pPr>
        <w:pStyle w:val="ListBullet"/>
      </w:pPr>
      <w:r w:rsidRPr="00A65C1C">
        <w:t>NBN Ltd, Prime Television and Southern Cross in northern New South Wales</w:t>
      </w:r>
    </w:p>
    <w:p w14:paraId="5B8D150C" w14:textId="77777777" w:rsidR="00A77EE0" w:rsidRPr="00A65C1C" w:rsidRDefault="00A77EE0" w:rsidP="008F68BF">
      <w:pPr>
        <w:pStyle w:val="ListBullet"/>
      </w:pPr>
      <w:r w:rsidRPr="00A65C1C">
        <w:t>Prime Television, Southern Cross and WIN TV in southern New South Wales</w:t>
      </w:r>
    </w:p>
    <w:p w14:paraId="4E6D5FB3" w14:textId="77777777" w:rsidR="00A77EE0" w:rsidRPr="00A65C1C" w:rsidRDefault="00A77EE0" w:rsidP="008F68BF">
      <w:pPr>
        <w:pStyle w:val="ListBullet"/>
      </w:pPr>
      <w:r w:rsidRPr="00A65C1C">
        <w:t>Prime Television, Southern Cross and WIN TV in regional Victoria</w:t>
      </w:r>
    </w:p>
    <w:p w14:paraId="54FD36E9" w14:textId="77777777" w:rsidR="00A77EE0" w:rsidRPr="00A65C1C" w:rsidRDefault="00A77EE0" w:rsidP="008F68BF">
      <w:pPr>
        <w:pStyle w:val="ListBulletLast"/>
      </w:pPr>
      <w:r w:rsidRPr="00A65C1C">
        <w:t>Southern Cross, WIN TV and Southern Cross/WIN joint venture in Tasmania.</w:t>
      </w:r>
    </w:p>
    <w:p w14:paraId="11305D2B" w14:textId="77777777" w:rsidR="00A77EE0" w:rsidRPr="001A3C79" w:rsidRDefault="00A77EE0" w:rsidP="00A77EE0">
      <w:r w:rsidRPr="001A3C79">
        <w:t>For the period 1 July 2015 to 30 June 2016, the ACMA did not receive any complaints about compliance under the local content additional licence condition.</w:t>
      </w:r>
    </w:p>
    <w:p w14:paraId="0772E9E8" w14:textId="77777777" w:rsidR="00A77EE0" w:rsidRPr="001A3C79" w:rsidRDefault="00A77EE0" w:rsidP="000B343C">
      <w:pPr>
        <w:pStyle w:val="Heading3"/>
      </w:pPr>
      <w:bookmarkStart w:id="679" w:name="_Toc462899625"/>
      <w:bookmarkStart w:id="680" w:name="_Toc433790373"/>
      <w:bookmarkStart w:id="681" w:name="_Toc463529120"/>
      <w:bookmarkStart w:id="682" w:name="_Toc465842946"/>
      <w:r w:rsidRPr="001A3C79">
        <w:t>Local content, information and presence on regional commercial radio</w:t>
      </w:r>
      <w:bookmarkEnd w:id="679"/>
      <w:bookmarkEnd w:id="680"/>
      <w:bookmarkEnd w:id="681"/>
      <w:bookmarkEnd w:id="682"/>
    </w:p>
    <w:p w14:paraId="5E840DFF" w14:textId="77777777" w:rsidR="00A77EE0" w:rsidRPr="001A3C79" w:rsidRDefault="00A77EE0" w:rsidP="00A77EE0">
      <w:r w:rsidRPr="001A3C79">
        <w:t>Regional commercial radio licensees are required to broadcast prescribed amounts of material of local significance (local content) each year.</w:t>
      </w:r>
      <w:r w:rsidRPr="001A3C79">
        <w:rPr>
          <w:szCs w:val="20"/>
          <w:vertAlign w:val="superscript"/>
        </w:rPr>
        <w:endnoteReference w:id="193"/>
      </w:r>
      <w:r w:rsidRPr="001A3C79">
        <w:t xml:space="preserve"> For the period 1 July 2015 to 30 June 2016, the ACMA did not receive any complaints about compliance with local content.</w:t>
      </w:r>
    </w:p>
    <w:p w14:paraId="0B19C9A1" w14:textId="77777777" w:rsidR="00A77EE0" w:rsidRPr="001A3C79" w:rsidRDefault="00A77EE0" w:rsidP="00394A3B">
      <w:pPr>
        <w:keepNext/>
        <w:spacing w:after="80"/>
      </w:pPr>
      <w:r w:rsidRPr="001A3C79">
        <w:lastRenderedPageBreak/>
        <w:t>Licensees are also required to comply with local content plans approved by the ACMA where there has been a change in ownership or control known as a ‘trigger event’.</w:t>
      </w:r>
      <w:r w:rsidRPr="001A3C79">
        <w:rPr>
          <w:szCs w:val="20"/>
          <w:vertAlign w:val="superscript"/>
        </w:rPr>
        <w:endnoteReference w:id="194"/>
      </w:r>
      <w:r w:rsidRPr="001A3C79">
        <w:t xml:space="preserve"> Approved local content plans require licensees to:</w:t>
      </w:r>
    </w:p>
    <w:p w14:paraId="7758DEBB" w14:textId="77777777" w:rsidR="00A77EE0" w:rsidRPr="00A65C1C" w:rsidRDefault="00A77EE0" w:rsidP="00394A3B">
      <w:pPr>
        <w:pStyle w:val="ListBullet"/>
        <w:keepNext/>
      </w:pPr>
      <w:r w:rsidRPr="00A65C1C">
        <w:t xml:space="preserve">broadcast </w:t>
      </w:r>
      <w:r w:rsidRPr="00F778AB">
        <w:t>specified</w:t>
      </w:r>
      <w:r w:rsidRPr="00A65C1C">
        <w:t xml:space="preserve"> amounts of local news and information (minimum service standards) </w:t>
      </w:r>
    </w:p>
    <w:p w14:paraId="2765A372" w14:textId="77777777" w:rsidR="00A77EE0" w:rsidRPr="00A65C1C" w:rsidRDefault="00A77EE0" w:rsidP="00F778AB">
      <w:pPr>
        <w:pStyle w:val="ListBulletLast"/>
      </w:pPr>
      <w:r w:rsidRPr="00A65C1C">
        <w:t>maintain existing levels of ‘local presence’</w:t>
      </w:r>
      <w:r w:rsidR="000A3298">
        <w:t xml:space="preserve"> </w:t>
      </w:r>
      <w:r w:rsidRPr="00A65C1C">
        <w:t>(that is, local staff and facilities) for 24 months from the date of the trigger event.</w:t>
      </w:r>
      <w:r w:rsidRPr="001A3C79">
        <w:rPr>
          <w:vertAlign w:val="superscript"/>
        </w:rPr>
        <w:endnoteReference w:id="195"/>
      </w:r>
      <w:r w:rsidRPr="00A65C1C">
        <w:rPr>
          <w:vertAlign w:val="superscript"/>
        </w:rPr>
        <w:t xml:space="preserve"> </w:t>
      </w:r>
    </w:p>
    <w:p w14:paraId="013C1B78" w14:textId="77777777" w:rsidR="00A77EE0" w:rsidRPr="001A3C79" w:rsidRDefault="00A77EE0" w:rsidP="00A77EE0">
      <w:r w:rsidRPr="001A3C79">
        <w:t>For the period 1 July 2015 to 30 June 2016, all 110 trigger event-affected licensees complied with their approved local content plans. The 24-month ‘local presence’ requirement also ceased for four regional commercial radio licences.</w:t>
      </w:r>
    </w:p>
    <w:p w14:paraId="79F66FE8" w14:textId="77777777" w:rsidR="00A77EE0" w:rsidRPr="001A3C79" w:rsidRDefault="00A77EE0" w:rsidP="00A77EE0">
      <w:r w:rsidRPr="001A3C79">
        <w:t>The ACMA conducted two investigations into the requirement for a licensee to take all reasonable steps to ensure compliance with a local content plan. The investigations related to two licences held by the same licensee. No findings were made as, in each case, the matters related to administrative errors made by the licensee. The licensee has since taken steps to improve its administrative process.</w:t>
      </w:r>
    </w:p>
    <w:p w14:paraId="7E3002A7" w14:textId="77777777" w:rsidR="00A77EE0" w:rsidRPr="001A3C79" w:rsidRDefault="00A77EE0" w:rsidP="00A77EE0">
      <w:pPr>
        <w:rPr>
          <w:rFonts w:cs="Arial"/>
        </w:rPr>
      </w:pPr>
      <w:r w:rsidRPr="001A3C79">
        <w:t>The ACMA did not receive any complaints about compliance with local presence obligations or minimum service standards.</w:t>
      </w:r>
    </w:p>
    <w:p w14:paraId="12E2B14A" w14:textId="77777777" w:rsidR="00A77EE0" w:rsidRPr="001A3C79" w:rsidRDefault="00A77EE0" w:rsidP="000B343C">
      <w:pPr>
        <w:pStyle w:val="Heading3"/>
      </w:pPr>
      <w:bookmarkStart w:id="683" w:name="_Toc462899626"/>
      <w:bookmarkStart w:id="684" w:name="_Toc433790374"/>
      <w:bookmarkStart w:id="685" w:name="_Toc463529121"/>
      <w:bookmarkStart w:id="686" w:name="_Toc465842947"/>
      <w:bookmarkStart w:id="687" w:name="_Toc433790375"/>
      <w:r w:rsidRPr="001A3C79">
        <w:t>Anti-siphoning provisions</w:t>
      </w:r>
      <w:bookmarkEnd w:id="683"/>
      <w:bookmarkEnd w:id="684"/>
      <w:bookmarkEnd w:id="685"/>
      <w:bookmarkEnd w:id="686"/>
    </w:p>
    <w:p w14:paraId="1DB817A9" w14:textId="77777777" w:rsidR="00A77EE0" w:rsidRPr="001A3C79" w:rsidRDefault="00A77EE0" w:rsidP="00A77EE0">
      <w:r w:rsidRPr="001A3C79">
        <w:t>The anti-siphoning scheme in the BSA restricts subscription television broadcasting licensees from acquiring anti-siphoning events in certain instances. The scheme also restricts the broadcast of anti-siphoning events by FTA broadcasters on their digital multi-channels.</w:t>
      </w:r>
    </w:p>
    <w:p w14:paraId="3A707594" w14:textId="77777777" w:rsidR="00A77EE0" w:rsidRPr="001A3C79" w:rsidRDefault="00A77EE0" w:rsidP="00A77EE0">
      <w:r w:rsidRPr="001A3C79">
        <w:t xml:space="preserve">During the reporting period, the ACMA did not commence any investigations into any commercial television licensee’s compliance with the licence condition restricting the broadcast of anti-siphoning events. </w:t>
      </w:r>
    </w:p>
    <w:p w14:paraId="075B77AD" w14:textId="77777777" w:rsidR="00A77EE0" w:rsidRPr="000B343C" w:rsidRDefault="00A77EE0" w:rsidP="000B343C">
      <w:pPr>
        <w:pStyle w:val="Heading3"/>
      </w:pPr>
      <w:bookmarkStart w:id="688" w:name="_Toc462899627"/>
      <w:bookmarkStart w:id="689" w:name="_Toc463529122"/>
      <w:bookmarkStart w:id="690" w:name="_Toc465842948"/>
      <w:r w:rsidRPr="000B343C">
        <w:t>Digital broadcasting</w:t>
      </w:r>
      <w:bookmarkEnd w:id="688"/>
      <w:bookmarkEnd w:id="689"/>
      <w:bookmarkEnd w:id="690"/>
      <w:r w:rsidRPr="000B343C">
        <w:t xml:space="preserve"> </w:t>
      </w:r>
    </w:p>
    <w:p w14:paraId="5B0AD135" w14:textId="77777777" w:rsidR="00A77EE0" w:rsidRPr="001A3C79" w:rsidRDefault="00A77EE0" w:rsidP="000B343C">
      <w:pPr>
        <w:pStyle w:val="Bodysubheader0"/>
      </w:pPr>
      <w:r w:rsidRPr="001A3C79">
        <w:t>Digital television</w:t>
      </w:r>
    </w:p>
    <w:p w14:paraId="4908C248" w14:textId="77777777" w:rsidR="00A77EE0" w:rsidRPr="001A3C79" w:rsidRDefault="00A77EE0" w:rsidP="00A77EE0">
      <w:r w:rsidRPr="001A3C79">
        <w:t xml:space="preserve">The ACMA seeks to ensure that all members of the community are getting the most from digital television. While issues of external interference (such as ducting, receiver overload or power line interference) may serve to trigger community complaints about reception, the experience of the ACMA over many years is that most poor TV reception across Australia is caused or exacerbated either by inadequate receive antenna systems (such as poorly maintained, broken or incorrectly installed antennas) or by viewers not taking advantage of the most appropriate transmission service for their area. </w:t>
      </w:r>
    </w:p>
    <w:p w14:paraId="701230CD" w14:textId="77777777" w:rsidR="00A77EE0" w:rsidRPr="001A3C79" w:rsidRDefault="00A77EE0" w:rsidP="00A77EE0">
      <w:r w:rsidRPr="001A3C79">
        <w:t xml:space="preserve">The ACMA has focused its strategies to inform and help affected viewers and, when required, to support broadcasters. The ACMA has also been working with industry to develop planning solutions to improve the reliability of television coverage into Apollo Bay, Victoria, and Springsure, Queensland. </w:t>
      </w:r>
    </w:p>
    <w:p w14:paraId="04E710DA" w14:textId="77777777" w:rsidR="00A77EE0" w:rsidRPr="001A3C79" w:rsidRDefault="00A77EE0" w:rsidP="00A77EE0">
      <w:pPr>
        <w:keepNext/>
        <w:spacing w:before="240" w:after="0"/>
        <w:rPr>
          <w:b/>
          <w:i/>
        </w:rPr>
      </w:pPr>
      <w:r w:rsidRPr="001A3C79">
        <w:rPr>
          <w:b/>
          <w:i/>
        </w:rPr>
        <w:t>Digital radio</w:t>
      </w:r>
    </w:p>
    <w:p w14:paraId="2F7E2FB9" w14:textId="77777777" w:rsidR="00A77EE0" w:rsidRPr="001A3C79" w:rsidRDefault="00A77EE0" w:rsidP="00A77EE0">
      <w:r w:rsidRPr="001A3C79">
        <w:t xml:space="preserve">Digital radio services, using DAB+ technology in VHF Band III spectrum, have been running on a permanent basis in the metropolitan areas of Adelaide, Brisbane, Melbourne, Perth and Sydney since July 2009. </w:t>
      </w:r>
    </w:p>
    <w:p w14:paraId="16F98C59" w14:textId="77777777" w:rsidR="00A77EE0" w:rsidRPr="001A3C79" w:rsidRDefault="00A77EE0" w:rsidP="00A77EE0">
      <w:r w:rsidRPr="001A3C79">
        <w:t>Trials of DAB+ are being conducted in Canberra and Darwin by the peak commercial radio body, Commercial Radio Australia. The trial licences were to expire on 30 June 2016 and have subsequently been extended to 30 June 2017.</w:t>
      </w:r>
    </w:p>
    <w:p w14:paraId="7E89F863" w14:textId="77777777" w:rsidR="00A77EE0" w:rsidRPr="001A3C79" w:rsidRDefault="00A77EE0" w:rsidP="00A77EE0">
      <w:r w:rsidRPr="001A3C79">
        <w:t>Following on from the recommendations of the 2015 report prepared by the Department of Communications on digital radio services in Australia, the ACMA established a joint government–industry Digital Radio Planning Committee.</w:t>
      </w:r>
      <w:r w:rsidRPr="001A3C79">
        <w:rPr>
          <w:vertAlign w:val="superscript"/>
        </w:rPr>
        <w:endnoteReference w:id="196"/>
      </w:r>
      <w:r w:rsidRPr="001A3C79">
        <w:t xml:space="preserve"> The committee has met four times since September 2015 and is providing a forum for the ACMA to work closely with the radio industry to facilitate the rollout of digital radio into regional areas of Australia.</w:t>
      </w:r>
    </w:p>
    <w:p w14:paraId="0E0AE7CD" w14:textId="77777777" w:rsidR="00A77EE0" w:rsidRPr="001A3C79" w:rsidRDefault="00A77EE0" w:rsidP="00A77EE0">
      <w:pPr>
        <w:spacing w:after="0"/>
        <w:rPr>
          <w:b/>
          <w:i/>
        </w:rPr>
      </w:pPr>
      <w:r w:rsidRPr="001A3C79">
        <w:rPr>
          <w:b/>
          <w:i/>
        </w:rPr>
        <w:lastRenderedPageBreak/>
        <w:t>AM to FM conversions in selected regional areas</w:t>
      </w:r>
    </w:p>
    <w:p w14:paraId="536B646F" w14:textId="77777777" w:rsidR="00A77EE0" w:rsidRPr="001A3C79" w:rsidRDefault="00A77EE0" w:rsidP="00A77EE0">
      <w:r w:rsidRPr="001A3C79">
        <w:t>The ACMA is coordinating the necessary planning and approvals to facilitate the conversion of the transmission of commercial radio services from the AM to the FM band in single licensee (solus) regional licence areas.</w:t>
      </w:r>
      <w:r w:rsidRPr="001A3C79">
        <w:rPr>
          <w:vertAlign w:val="superscript"/>
        </w:rPr>
        <w:endnoteReference w:id="197"/>
      </w:r>
      <w:r w:rsidRPr="001A3C79">
        <w:t xml:space="preserve"> The focus will be on areas where issues of equity with other FM incumbent commercial radio broadcasting licensees will not arise.</w:t>
      </w:r>
    </w:p>
    <w:p w14:paraId="59F8E2AB" w14:textId="77777777" w:rsidR="00A77EE0" w:rsidRPr="001A3C79" w:rsidRDefault="00A77EE0" w:rsidP="00A77EE0">
      <w:r w:rsidRPr="001A3C79">
        <w:t>CRA has requested that AM to FM conversions be allowed in solus regional licence areas. The Minister for Communications and the Arts agreed in principle, subject to certain caveats. The minister subsequently requested that the ACMA give priority to these AM to FM conversions, subject to the ACMA’s statutory broadcast planning considerations under Part 3 of the BSA.</w:t>
      </w:r>
    </w:p>
    <w:p w14:paraId="3C1CACFD" w14:textId="77777777" w:rsidR="00A77EE0" w:rsidRPr="001A3C79" w:rsidRDefault="00A77EE0" w:rsidP="00A77EE0">
      <w:pPr>
        <w:rPr>
          <w:rFonts w:cs="Arial"/>
          <w:b/>
          <w:bCs/>
          <w:szCs w:val="26"/>
        </w:rPr>
      </w:pPr>
      <w:r w:rsidRPr="001A3C79">
        <w:t>The AM to FM conversion in these regional areas has the potential to deliver a range of benefits, including improved audio quality, reduced signal interference and lower costs for regional broadcasters.</w:t>
      </w:r>
      <w:r w:rsidRPr="001A3C79">
        <w:rPr>
          <w:rFonts w:cs="Arial"/>
          <w:b/>
          <w:bCs/>
          <w:szCs w:val="26"/>
        </w:rPr>
        <w:t xml:space="preserve"> </w:t>
      </w:r>
    </w:p>
    <w:p w14:paraId="33252AD8" w14:textId="77777777" w:rsidR="00A77EE0" w:rsidRPr="001A3C79" w:rsidRDefault="00A77EE0" w:rsidP="00A77EE0">
      <w:pPr>
        <w:keepNext/>
        <w:spacing w:before="60" w:after="60"/>
        <w:outlineLvl w:val="2"/>
        <w:rPr>
          <w:rFonts w:cs="Arial"/>
          <w:b/>
          <w:bCs/>
          <w:szCs w:val="26"/>
        </w:rPr>
      </w:pPr>
      <w:bookmarkStart w:id="691" w:name="_Toc462899628"/>
      <w:bookmarkStart w:id="692" w:name="_Toc463529123"/>
      <w:r w:rsidRPr="001A3C79">
        <w:rPr>
          <w:rFonts w:cs="Arial"/>
          <w:b/>
          <w:bCs/>
          <w:szCs w:val="26"/>
        </w:rPr>
        <w:t>Broadcasting complaints and investigations</w:t>
      </w:r>
      <w:bookmarkEnd w:id="691"/>
      <w:bookmarkEnd w:id="692"/>
    </w:p>
    <w:p w14:paraId="33E97E81" w14:textId="77777777" w:rsidR="00A77EE0" w:rsidRPr="009C1BE9" w:rsidRDefault="00A77EE0" w:rsidP="00A77EE0">
      <w:r w:rsidRPr="009C1BE9">
        <w:t>The ACMA monitors the number and details of complaints it receives about possible breaches of the BSA, of licence conditions imposed by or under the BSA, of program standards made under the BSA, or of provisions of broadcasting codes of practice registered under section 123 of the BSA. It may investigate following a complaint or on its own motion.</w:t>
      </w:r>
    </w:p>
    <w:p w14:paraId="1FA6F322" w14:textId="77777777" w:rsidR="00A77EE0" w:rsidRPr="00BA0ECE" w:rsidRDefault="00A77EE0" w:rsidP="00A77EE0">
      <w:r w:rsidRPr="009C1BE9">
        <w:t>Since 17 October 2014, the ACMA has had a discretion as to whether to investigate complaints about broadcasting matters, having regard to the public interest. Since the introduction of this discretion, the ACMA has streamlined its investigation processes and leveraged off new IT systems to improve the quality and timeliness of outcomes, produce internal efficiencies and reduce the administrative burden on industry.</w:t>
      </w:r>
      <w:r w:rsidRPr="00BA0ECE">
        <w:t xml:space="preserve"> </w:t>
      </w:r>
    </w:p>
    <w:p w14:paraId="62CA11C7" w14:textId="77777777" w:rsidR="00A77EE0" w:rsidRPr="001A3C79" w:rsidRDefault="00A77EE0" w:rsidP="00A77EE0">
      <w:r w:rsidRPr="001A3C79">
        <w:t>When deciding whether to investigate a particular matter, the ACMA considers a range of factors including the nature and seriousness of the issue raised; the applicability of any relevant legislation, code of practice or standard; the potential to affect the community at large and its priority in relation to other matters of public interest.</w:t>
      </w:r>
    </w:p>
    <w:p w14:paraId="7D18E27F" w14:textId="77777777" w:rsidR="00A77EE0" w:rsidRPr="001A3C79" w:rsidRDefault="00A77EE0" w:rsidP="00A77EE0">
      <w:r w:rsidRPr="001A3C79">
        <w:t>From 1 July 2015 to 30 June 2016, the ACMA exercised its discretion to investigate 149 complaints and declined to investigate 65 complaints (multiple complaints may concern a single broadcast or matter). The ACMA has continued to reduce the average time taken to conduct broadcasting investigations from 2.6 months in 2014</w:t>
      </w:r>
      <w:r w:rsidRPr="001A3C79">
        <w:rPr>
          <w:rFonts w:cs="Arial"/>
        </w:rPr>
        <w:t>–</w:t>
      </w:r>
      <w:r w:rsidRPr="001A3C79">
        <w:t>15 to 1.6 months in 2015–16.</w:t>
      </w:r>
    </w:p>
    <w:p w14:paraId="3EB60EDC" w14:textId="77777777" w:rsidR="00A77EE0" w:rsidRPr="001A3C79" w:rsidRDefault="00A77EE0" w:rsidP="00A77EE0">
      <w:r w:rsidRPr="001A3C79">
        <w:t xml:space="preserve">There were 1,232 written complaints and enquiries made to the ACMA about broadcasting matters during 2015–16, an 18 per cent increase from 2014–15. There were 156 investigations completed in 2015–16 (Table 3.8). </w:t>
      </w:r>
    </w:p>
    <w:p w14:paraId="6964D6FA" w14:textId="77777777" w:rsidR="00A77EE0" w:rsidRPr="001A3C79" w:rsidRDefault="00A77EE0" w:rsidP="00A77EE0">
      <w:r w:rsidRPr="001A3C79">
        <w:t xml:space="preserve">Complaint trends and investigation outcomes indicate that compliance by industry with the legislative provisions, standards, conditions and codes of practice was high during the reporting period. The positive compliance outlook has also been supported by the ACMA’s </w:t>
      </w:r>
      <w:r w:rsidRPr="001A3C79">
        <w:rPr>
          <w:i/>
        </w:rPr>
        <w:t xml:space="preserve">Investigations concepts </w:t>
      </w:r>
      <w:r w:rsidRPr="001A3C79">
        <w:t xml:space="preserve">series and </w:t>
      </w:r>
      <w:r w:rsidRPr="001A3C79">
        <w:rPr>
          <w:i/>
        </w:rPr>
        <w:t>Privacy guidelines for broadcasters,</w:t>
      </w:r>
      <w:r w:rsidRPr="001A3C79">
        <w:t xml:space="preserve"> which have made the ACMA’s regulatory approach to broadcasting investigations clearer and more accessible for both broadcasters and the wider community. </w:t>
      </w:r>
    </w:p>
    <w:p w14:paraId="5C98127B" w14:textId="77777777" w:rsidR="00A77EE0" w:rsidRPr="001A3C79" w:rsidRDefault="00A77EE0" w:rsidP="008F68BF">
      <w:pPr>
        <w:keepNext/>
        <w:keepLines/>
        <w:spacing w:after="160"/>
        <w:rPr>
          <w:rFonts w:cs="Arial"/>
          <w:b/>
          <w:bCs/>
          <w:color w:val="323232"/>
        </w:rPr>
      </w:pPr>
      <w:r w:rsidRPr="001A3C79">
        <w:rPr>
          <w:rFonts w:cs="Arial"/>
          <w:b/>
          <w:bCs/>
          <w:color w:val="323232"/>
        </w:rPr>
        <w:lastRenderedPageBreak/>
        <w:t>Table 3.8</w:t>
      </w:r>
      <w:r w:rsidRPr="001A3C79">
        <w:rPr>
          <w:rFonts w:cs="Arial"/>
          <w:b/>
          <w:bCs/>
          <w:color w:val="323232"/>
        </w:rPr>
        <w:tab/>
        <w:t>ACMA broadcasting complaints and investigations, by financial year</w:t>
      </w:r>
    </w:p>
    <w:tbl>
      <w:tblPr>
        <w:tblW w:w="9433" w:type="dxa"/>
        <w:tblInd w:w="-3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57" w:type="dxa"/>
          <w:left w:w="57" w:type="dxa"/>
          <w:bottom w:w="57" w:type="dxa"/>
          <w:right w:w="57" w:type="dxa"/>
        </w:tblCellMar>
        <w:tblLook w:val="04A0" w:firstRow="1" w:lastRow="0" w:firstColumn="1" w:lastColumn="0" w:noHBand="0" w:noVBand="1"/>
        <w:tblCaption w:val="Table 3.8  ACMA broadcasting complaints and investigations, by financial year"/>
      </w:tblPr>
      <w:tblGrid>
        <w:gridCol w:w="977"/>
        <w:gridCol w:w="2336"/>
        <w:gridCol w:w="1020"/>
        <w:gridCol w:w="1020"/>
        <w:gridCol w:w="1020"/>
        <w:gridCol w:w="1020"/>
        <w:gridCol w:w="1020"/>
        <w:gridCol w:w="1020"/>
      </w:tblGrid>
      <w:tr w:rsidR="00A77EE0" w:rsidRPr="001A3C79" w14:paraId="4DF5DCAF" w14:textId="77777777" w:rsidTr="00C903C0">
        <w:trPr>
          <w:trHeight w:val="199"/>
        </w:trPr>
        <w:tc>
          <w:tcPr>
            <w:tcW w:w="977" w:type="dxa"/>
            <w:tcBorders>
              <w:bottom w:val="single" w:sz="24" w:space="0" w:color="FFFFFF"/>
            </w:tcBorders>
            <w:shd w:val="clear" w:color="auto" w:fill="auto"/>
            <w:vAlign w:val="center"/>
            <w:hideMark/>
          </w:tcPr>
          <w:p w14:paraId="5109D478" w14:textId="77777777" w:rsidR="00A77EE0" w:rsidRPr="001A3C79" w:rsidRDefault="00A77EE0" w:rsidP="00C903C0">
            <w:pPr>
              <w:keepNext/>
              <w:spacing w:after="0" w:line="240" w:lineRule="auto"/>
              <w:rPr>
                <w:rFonts w:cs="Arial"/>
                <w:color w:val="FFFFFF"/>
                <w:sz w:val="18"/>
                <w:szCs w:val="18"/>
              </w:rPr>
            </w:pPr>
            <w:r w:rsidRPr="001A3C79">
              <w:rPr>
                <w:rFonts w:cs="Arial"/>
                <w:color w:val="FFFFFF"/>
                <w:sz w:val="18"/>
                <w:szCs w:val="18"/>
              </w:rPr>
              <w:t> </w:t>
            </w:r>
          </w:p>
        </w:tc>
        <w:tc>
          <w:tcPr>
            <w:tcW w:w="2336" w:type="dxa"/>
            <w:tcBorders>
              <w:bottom w:val="single" w:sz="24" w:space="0" w:color="FFFFFF"/>
              <w:right w:val="single" w:sz="24" w:space="0" w:color="FFFFFF"/>
            </w:tcBorders>
            <w:shd w:val="clear" w:color="auto" w:fill="auto"/>
            <w:vAlign w:val="center"/>
            <w:hideMark/>
          </w:tcPr>
          <w:p w14:paraId="0128ECFE" w14:textId="77777777" w:rsidR="00A77EE0" w:rsidRPr="001A3C79" w:rsidRDefault="00A77EE0" w:rsidP="00C903C0">
            <w:pPr>
              <w:keepNext/>
              <w:spacing w:after="0" w:line="240" w:lineRule="auto"/>
              <w:jc w:val="right"/>
              <w:rPr>
                <w:rFonts w:cs="Arial"/>
                <w:color w:val="FFFFFF"/>
                <w:sz w:val="18"/>
                <w:szCs w:val="18"/>
              </w:rPr>
            </w:pPr>
            <w:r w:rsidRPr="001A3C79">
              <w:rPr>
                <w:rFonts w:cs="Arial"/>
                <w:color w:val="FFFFFF"/>
                <w:sz w:val="18"/>
                <w:szCs w:val="18"/>
              </w:rPr>
              <w:t> </w:t>
            </w:r>
          </w:p>
        </w:tc>
        <w:tc>
          <w:tcPr>
            <w:tcW w:w="1020" w:type="dxa"/>
            <w:tcBorders>
              <w:top w:val="single" w:sz="24" w:space="0" w:color="FFFFFF"/>
              <w:left w:val="single" w:sz="24" w:space="0" w:color="FFFFFF"/>
              <w:bottom w:val="single" w:sz="24" w:space="0" w:color="FFFFFF"/>
              <w:right w:val="single" w:sz="24" w:space="0" w:color="FFFFFF"/>
            </w:tcBorders>
            <w:shd w:val="clear" w:color="auto" w:fill="007298"/>
            <w:vAlign w:val="center"/>
            <w:hideMark/>
          </w:tcPr>
          <w:p w14:paraId="1A18873F" w14:textId="77777777" w:rsidR="00A77EE0" w:rsidRPr="001A3C79" w:rsidRDefault="00A77EE0" w:rsidP="0063439E">
            <w:pPr>
              <w:keepNext/>
              <w:spacing w:after="0" w:line="240" w:lineRule="auto"/>
              <w:jc w:val="right"/>
              <w:rPr>
                <w:rFonts w:cs="Arial"/>
                <w:b/>
                <w:bCs/>
                <w:color w:val="FFFFFF"/>
                <w:sz w:val="18"/>
                <w:szCs w:val="18"/>
              </w:rPr>
            </w:pPr>
            <w:r w:rsidRPr="001A3C79">
              <w:rPr>
                <w:rFonts w:cs="Arial"/>
                <w:b/>
                <w:bCs/>
                <w:color w:val="FFFFFF"/>
                <w:sz w:val="18"/>
                <w:szCs w:val="18"/>
              </w:rPr>
              <w:t>2010–11</w:t>
            </w:r>
          </w:p>
        </w:tc>
        <w:tc>
          <w:tcPr>
            <w:tcW w:w="1020" w:type="dxa"/>
            <w:tcBorders>
              <w:top w:val="single" w:sz="24" w:space="0" w:color="FFFFFF"/>
              <w:left w:val="single" w:sz="24" w:space="0" w:color="FFFFFF"/>
              <w:bottom w:val="single" w:sz="24" w:space="0" w:color="FFFFFF"/>
              <w:right w:val="single" w:sz="24" w:space="0" w:color="FFFFFF"/>
            </w:tcBorders>
            <w:shd w:val="clear" w:color="auto" w:fill="007298"/>
            <w:vAlign w:val="center"/>
            <w:hideMark/>
          </w:tcPr>
          <w:p w14:paraId="3A092D7E" w14:textId="77777777" w:rsidR="00A77EE0" w:rsidRPr="001A3C79" w:rsidRDefault="00A77EE0" w:rsidP="0063439E">
            <w:pPr>
              <w:keepNext/>
              <w:spacing w:after="0" w:line="240" w:lineRule="auto"/>
              <w:jc w:val="right"/>
              <w:rPr>
                <w:rFonts w:cs="Arial"/>
                <w:b/>
                <w:bCs/>
                <w:color w:val="FFFFFF"/>
                <w:sz w:val="18"/>
                <w:szCs w:val="18"/>
              </w:rPr>
            </w:pPr>
            <w:r w:rsidRPr="001A3C79">
              <w:rPr>
                <w:rFonts w:cs="Arial"/>
                <w:b/>
                <w:bCs/>
                <w:color w:val="FFFFFF"/>
                <w:sz w:val="18"/>
                <w:szCs w:val="18"/>
              </w:rPr>
              <w:t>2011–12</w:t>
            </w:r>
          </w:p>
        </w:tc>
        <w:tc>
          <w:tcPr>
            <w:tcW w:w="1020" w:type="dxa"/>
            <w:tcBorders>
              <w:top w:val="single" w:sz="24" w:space="0" w:color="FFFFFF"/>
              <w:left w:val="single" w:sz="24" w:space="0" w:color="FFFFFF"/>
              <w:bottom w:val="single" w:sz="24" w:space="0" w:color="FFFFFF"/>
              <w:right w:val="single" w:sz="24" w:space="0" w:color="FFFFFF"/>
            </w:tcBorders>
            <w:shd w:val="clear" w:color="auto" w:fill="007298"/>
            <w:vAlign w:val="center"/>
            <w:hideMark/>
          </w:tcPr>
          <w:p w14:paraId="0D230332" w14:textId="77777777" w:rsidR="00A77EE0" w:rsidRPr="001A3C79" w:rsidRDefault="00A77EE0" w:rsidP="0063439E">
            <w:pPr>
              <w:keepNext/>
              <w:spacing w:after="0" w:line="240" w:lineRule="auto"/>
              <w:jc w:val="right"/>
              <w:rPr>
                <w:rFonts w:cs="Arial"/>
                <w:b/>
                <w:bCs/>
                <w:color w:val="FFFFFF"/>
                <w:sz w:val="18"/>
                <w:szCs w:val="18"/>
              </w:rPr>
            </w:pPr>
            <w:r w:rsidRPr="001A3C79">
              <w:rPr>
                <w:rFonts w:cs="Arial"/>
                <w:b/>
                <w:bCs/>
                <w:color w:val="FFFFFF"/>
                <w:sz w:val="18"/>
                <w:szCs w:val="18"/>
              </w:rPr>
              <w:t>2012–13</w:t>
            </w:r>
          </w:p>
        </w:tc>
        <w:tc>
          <w:tcPr>
            <w:tcW w:w="1020" w:type="dxa"/>
            <w:tcBorders>
              <w:top w:val="single" w:sz="24" w:space="0" w:color="FFFFFF"/>
              <w:left w:val="single" w:sz="24" w:space="0" w:color="FFFFFF"/>
              <w:bottom w:val="single" w:sz="24" w:space="0" w:color="FFFFFF"/>
              <w:right w:val="single" w:sz="24" w:space="0" w:color="FFFFFF"/>
            </w:tcBorders>
            <w:shd w:val="clear" w:color="auto" w:fill="007298"/>
            <w:vAlign w:val="center"/>
            <w:hideMark/>
          </w:tcPr>
          <w:p w14:paraId="133E4AD1" w14:textId="77777777" w:rsidR="00A77EE0" w:rsidRPr="001A3C79" w:rsidRDefault="00A77EE0" w:rsidP="0063439E">
            <w:pPr>
              <w:keepNext/>
              <w:spacing w:after="0" w:line="240" w:lineRule="auto"/>
              <w:jc w:val="right"/>
              <w:rPr>
                <w:rFonts w:cs="Arial"/>
                <w:b/>
                <w:bCs/>
                <w:color w:val="FFFFFF"/>
                <w:sz w:val="18"/>
                <w:szCs w:val="18"/>
              </w:rPr>
            </w:pPr>
            <w:r w:rsidRPr="001A3C79">
              <w:rPr>
                <w:rFonts w:cs="Arial"/>
                <w:b/>
                <w:bCs/>
                <w:color w:val="FFFFFF"/>
                <w:sz w:val="18"/>
                <w:szCs w:val="18"/>
              </w:rPr>
              <w:t>2013–14</w:t>
            </w:r>
          </w:p>
        </w:tc>
        <w:tc>
          <w:tcPr>
            <w:tcW w:w="1020" w:type="dxa"/>
            <w:tcBorders>
              <w:top w:val="single" w:sz="24" w:space="0" w:color="FFFFFF"/>
              <w:left w:val="single" w:sz="24" w:space="0" w:color="FFFFFF"/>
              <w:bottom w:val="single" w:sz="24" w:space="0" w:color="FFFFFF"/>
              <w:right w:val="single" w:sz="24" w:space="0" w:color="FFFFFF"/>
            </w:tcBorders>
            <w:shd w:val="clear" w:color="auto" w:fill="007298"/>
            <w:vAlign w:val="center"/>
            <w:hideMark/>
          </w:tcPr>
          <w:p w14:paraId="57C8E980" w14:textId="77777777" w:rsidR="00A77EE0" w:rsidRPr="001A3C79" w:rsidRDefault="00A77EE0" w:rsidP="0063439E">
            <w:pPr>
              <w:keepNext/>
              <w:spacing w:after="0" w:line="240" w:lineRule="auto"/>
              <w:jc w:val="right"/>
              <w:rPr>
                <w:rFonts w:cs="Arial"/>
                <w:b/>
                <w:bCs/>
                <w:color w:val="FFFFFF"/>
                <w:sz w:val="18"/>
                <w:szCs w:val="18"/>
              </w:rPr>
            </w:pPr>
            <w:r w:rsidRPr="001A3C79">
              <w:rPr>
                <w:rFonts w:cs="Arial"/>
                <w:b/>
                <w:bCs/>
                <w:color w:val="FFFFFF"/>
                <w:sz w:val="18"/>
                <w:szCs w:val="18"/>
              </w:rPr>
              <w:t>2014–15</w:t>
            </w:r>
          </w:p>
        </w:tc>
        <w:tc>
          <w:tcPr>
            <w:tcW w:w="1020" w:type="dxa"/>
            <w:tcBorders>
              <w:top w:val="single" w:sz="24" w:space="0" w:color="FFFFFF"/>
              <w:left w:val="single" w:sz="24" w:space="0" w:color="FFFFFF"/>
              <w:bottom w:val="single" w:sz="24" w:space="0" w:color="FFFFFF"/>
              <w:right w:val="single" w:sz="24" w:space="0" w:color="FFFFFF"/>
            </w:tcBorders>
            <w:shd w:val="clear" w:color="auto" w:fill="007298"/>
            <w:vAlign w:val="center"/>
            <w:hideMark/>
          </w:tcPr>
          <w:p w14:paraId="51B2A878" w14:textId="77777777" w:rsidR="00A77EE0" w:rsidRPr="001A3C79" w:rsidRDefault="00A77EE0" w:rsidP="0063439E">
            <w:pPr>
              <w:keepNext/>
              <w:spacing w:after="0" w:line="240" w:lineRule="auto"/>
              <w:jc w:val="right"/>
              <w:rPr>
                <w:rFonts w:cs="Arial"/>
                <w:b/>
                <w:bCs/>
                <w:color w:val="FFFFFF"/>
                <w:sz w:val="18"/>
                <w:szCs w:val="18"/>
              </w:rPr>
            </w:pPr>
            <w:r w:rsidRPr="001A3C79">
              <w:rPr>
                <w:rFonts w:cs="Arial"/>
                <w:b/>
                <w:bCs/>
                <w:color w:val="FFFFFF"/>
                <w:sz w:val="18"/>
                <w:szCs w:val="18"/>
              </w:rPr>
              <w:t>2015–16</w:t>
            </w:r>
          </w:p>
        </w:tc>
      </w:tr>
      <w:tr w:rsidR="00A77EE0" w:rsidRPr="001A3C79" w14:paraId="1D291F47" w14:textId="77777777" w:rsidTr="00C903C0">
        <w:trPr>
          <w:trHeight w:val="388"/>
        </w:trPr>
        <w:tc>
          <w:tcPr>
            <w:tcW w:w="977" w:type="dxa"/>
            <w:tcBorders>
              <w:top w:val="single" w:sz="24" w:space="0" w:color="FFFFFF"/>
              <w:left w:val="single" w:sz="24" w:space="0" w:color="FFFFFF"/>
              <w:bottom w:val="single" w:sz="24" w:space="0" w:color="FFFFFF"/>
              <w:right w:val="nil"/>
            </w:tcBorders>
            <w:shd w:val="clear" w:color="auto" w:fill="7FB8CB"/>
            <w:noWrap/>
            <w:vAlign w:val="bottom"/>
            <w:hideMark/>
          </w:tcPr>
          <w:p w14:paraId="6C1FFE49" w14:textId="77777777" w:rsidR="00A77EE0" w:rsidRPr="001A3C79" w:rsidRDefault="00A77EE0" w:rsidP="00C903C0">
            <w:pPr>
              <w:keepNext/>
              <w:spacing w:after="0" w:line="240" w:lineRule="auto"/>
              <w:rPr>
                <w:rFonts w:cs="Arial"/>
                <w:color w:val="000000"/>
                <w:sz w:val="18"/>
                <w:szCs w:val="18"/>
              </w:rPr>
            </w:pPr>
            <w:r w:rsidRPr="001A3C79">
              <w:rPr>
                <w:rFonts w:cs="Arial"/>
                <w:b/>
                <w:noProof/>
                <w:sz w:val="18"/>
                <w:szCs w:val="18"/>
              </w:rPr>
              <w:drawing>
                <wp:anchor distT="0" distB="0" distL="114300" distR="114300" simplePos="0" relativeHeight="251658247" behindDoc="0" locked="0" layoutInCell="1" allowOverlap="1" wp14:anchorId="63E003A1" wp14:editId="23F815C0">
                  <wp:simplePos x="0" y="0"/>
                  <wp:positionH relativeFrom="column">
                    <wp:posOffset>83185</wp:posOffset>
                  </wp:positionH>
                  <wp:positionV relativeFrom="paragraph">
                    <wp:posOffset>-213995</wp:posOffset>
                  </wp:positionV>
                  <wp:extent cx="361950" cy="315595"/>
                  <wp:effectExtent l="0" t="0" r="0" b="8255"/>
                  <wp:wrapNone/>
                  <wp:docPr id="97" name="Picture 97"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 switchover-04.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61950" cy="315595"/>
                          </a:xfrm>
                          <a:prstGeom prst="rect">
                            <a:avLst/>
                          </a:prstGeom>
                        </pic:spPr>
                      </pic:pic>
                    </a:graphicData>
                  </a:graphic>
                  <wp14:sizeRelH relativeFrom="margin">
                    <wp14:pctWidth>0</wp14:pctWidth>
                  </wp14:sizeRelH>
                  <wp14:sizeRelV relativeFrom="margin">
                    <wp14:pctHeight>0</wp14:pctHeight>
                  </wp14:sizeRelV>
                </wp:anchor>
              </w:drawing>
            </w:r>
          </w:p>
        </w:tc>
        <w:tc>
          <w:tcPr>
            <w:tcW w:w="2336" w:type="dxa"/>
            <w:tcBorders>
              <w:top w:val="single" w:sz="24" w:space="0" w:color="FFFFFF"/>
              <w:left w:val="nil"/>
              <w:bottom w:val="single" w:sz="24" w:space="0" w:color="FFFFFF"/>
              <w:right w:val="single" w:sz="24" w:space="0" w:color="FFFFFF"/>
            </w:tcBorders>
            <w:shd w:val="clear" w:color="auto" w:fill="7FB8CB"/>
            <w:vAlign w:val="center"/>
            <w:hideMark/>
          </w:tcPr>
          <w:p w14:paraId="226B391F" w14:textId="77777777" w:rsidR="00A77EE0" w:rsidRPr="00BE6BBB" w:rsidRDefault="00A77EE0" w:rsidP="00C903C0">
            <w:pPr>
              <w:keepNext/>
              <w:spacing w:after="0" w:line="240" w:lineRule="auto"/>
              <w:rPr>
                <w:rFonts w:cs="Arial"/>
                <w:b/>
                <w:bCs/>
                <w:color w:val="FFFFFF" w:themeColor="background1"/>
                <w:sz w:val="18"/>
                <w:szCs w:val="18"/>
              </w:rPr>
            </w:pPr>
            <w:r w:rsidRPr="00BE6BBB">
              <w:rPr>
                <w:rFonts w:cs="Arial"/>
                <w:b/>
                <w:bCs/>
                <w:color w:val="FFFFFF" w:themeColor="background1"/>
                <w:sz w:val="18"/>
                <w:szCs w:val="18"/>
              </w:rPr>
              <w:t>Written complaints and enquiries received</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067B24D2"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1,512</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3D403580"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2,273</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63514597"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2,178</w:t>
            </w:r>
            <w:r w:rsidRPr="001A3C79">
              <w:rPr>
                <w:rFonts w:cs="Arial"/>
                <w:color w:val="000000"/>
                <w:sz w:val="18"/>
                <w:szCs w:val="18"/>
                <w:vertAlign w:val="superscript"/>
              </w:rPr>
              <w:t>†</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3FE7A6BE"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1,593</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34F4AEA6"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1,012</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29DCF82A"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1,232</w:t>
            </w:r>
          </w:p>
        </w:tc>
      </w:tr>
      <w:tr w:rsidR="00A77EE0" w:rsidRPr="001A3C79" w14:paraId="19E98690" w14:textId="77777777" w:rsidTr="00C903C0">
        <w:trPr>
          <w:trHeight w:val="496"/>
        </w:trPr>
        <w:tc>
          <w:tcPr>
            <w:tcW w:w="977" w:type="dxa"/>
            <w:tcBorders>
              <w:top w:val="single" w:sz="24" w:space="0" w:color="FFFFFF"/>
              <w:left w:val="single" w:sz="24" w:space="0" w:color="FFFFFF"/>
              <w:bottom w:val="single" w:sz="24" w:space="0" w:color="FFFFFF"/>
              <w:right w:val="nil"/>
            </w:tcBorders>
            <w:shd w:val="clear" w:color="auto" w:fill="7FB8CB"/>
            <w:noWrap/>
            <w:vAlign w:val="bottom"/>
            <w:hideMark/>
          </w:tcPr>
          <w:p w14:paraId="4DA1AD3A" w14:textId="77777777" w:rsidR="00A77EE0" w:rsidRPr="001A3C79" w:rsidRDefault="00A77EE0" w:rsidP="00C903C0">
            <w:pPr>
              <w:keepNext/>
              <w:spacing w:after="0" w:line="240" w:lineRule="auto"/>
              <w:rPr>
                <w:rFonts w:cs="Arial"/>
                <w:color w:val="000000"/>
                <w:sz w:val="18"/>
                <w:szCs w:val="18"/>
                <w:bdr w:val="single" w:sz="18" w:space="0" w:color="7FB8CB"/>
              </w:rPr>
            </w:pPr>
            <w:r w:rsidRPr="001A3C79">
              <w:rPr>
                <w:rFonts w:cs="Arial"/>
                <w:b/>
                <w:noProof/>
                <w:sz w:val="18"/>
                <w:szCs w:val="18"/>
              </w:rPr>
              <w:drawing>
                <wp:anchor distT="0" distB="0" distL="114300" distR="114300" simplePos="0" relativeHeight="251658248" behindDoc="0" locked="0" layoutInCell="1" allowOverlap="1" wp14:anchorId="7F672D8E" wp14:editId="344B9361">
                  <wp:simplePos x="0" y="0"/>
                  <wp:positionH relativeFrom="column">
                    <wp:posOffset>83185</wp:posOffset>
                  </wp:positionH>
                  <wp:positionV relativeFrom="paragraph">
                    <wp:posOffset>-34925</wp:posOffset>
                  </wp:positionV>
                  <wp:extent cx="285115" cy="390525"/>
                  <wp:effectExtent l="0" t="0" r="635" b="9525"/>
                  <wp:wrapNone/>
                  <wp:docPr id="20" name="Picture 20"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con-18.png"/>
                          <pic:cNvPicPr/>
                        </pic:nvPicPr>
                        <pic:blipFill>
                          <a:blip r:embed="rId115">
                            <a:extLst>
                              <a:ext uri="{28A0092B-C50C-407E-A947-70E740481C1C}">
                                <a14:useLocalDpi xmlns:a14="http://schemas.microsoft.com/office/drawing/2010/main" val="0"/>
                              </a:ext>
                            </a:extLst>
                          </a:blip>
                          <a:stretch>
                            <a:fillRect/>
                          </a:stretch>
                        </pic:blipFill>
                        <pic:spPr>
                          <a:xfrm>
                            <a:off x="0" y="0"/>
                            <a:ext cx="285115" cy="390525"/>
                          </a:xfrm>
                          <a:prstGeom prst="rect">
                            <a:avLst/>
                          </a:prstGeom>
                        </pic:spPr>
                      </pic:pic>
                    </a:graphicData>
                  </a:graphic>
                  <wp14:sizeRelH relativeFrom="margin">
                    <wp14:pctWidth>0</wp14:pctWidth>
                  </wp14:sizeRelH>
                  <wp14:sizeRelV relativeFrom="margin">
                    <wp14:pctHeight>0</wp14:pctHeight>
                  </wp14:sizeRelV>
                </wp:anchor>
              </w:drawing>
            </w:r>
          </w:p>
        </w:tc>
        <w:tc>
          <w:tcPr>
            <w:tcW w:w="2336" w:type="dxa"/>
            <w:tcBorders>
              <w:top w:val="single" w:sz="24" w:space="0" w:color="FFFFFF"/>
              <w:left w:val="nil"/>
              <w:bottom w:val="single" w:sz="24" w:space="0" w:color="FFFFFF"/>
              <w:right w:val="single" w:sz="24" w:space="0" w:color="FFFFFF"/>
            </w:tcBorders>
            <w:shd w:val="clear" w:color="auto" w:fill="7FB8CB"/>
            <w:vAlign w:val="center"/>
            <w:hideMark/>
          </w:tcPr>
          <w:p w14:paraId="4E7F5A05" w14:textId="77777777" w:rsidR="00A77EE0" w:rsidRPr="00BE6BBB" w:rsidRDefault="00A77EE0" w:rsidP="00C903C0">
            <w:pPr>
              <w:keepNext/>
              <w:spacing w:after="0" w:line="240" w:lineRule="auto"/>
              <w:rPr>
                <w:rFonts w:cs="Arial"/>
                <w:b/>
                <w:bCs/>
                <w:color w:val="FFFFFF" w:themeColor="background1"/>
                <w:sz w:val="18"/>
                <w:szCs w:val="18"/>
              </w:rPr>
            </w:pPr>
            <w:r w:rsidRPr="00BE6BBB">
              <w:rPr>
                <w:rFonts w:cs="Arial"/>
                <w:b/>
                <w:bCs/>
                <w:color w:val="FFFFFF" w:themeColor="background1"/>
                <w:sz w:val="18"/>
                <w:szCs w:val="18"/>
              </w:rPr>
              <w:t>Investigations completed</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06AD4464"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197</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40256A3F"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231</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7669DC62"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212</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56389236"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180</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534E1023"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145</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74CDE57B"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156</w:t>
            </w:r>
            <w:r w:rsidRPr="001A3C79">
              <w:rPr>
                <w:rFonts w:cs="Arial"/>
                <w:color w:val="000000"/>
                <w:sz w:val="18"/>
                <w:szCs w:val="18"/>
                <w:vertAlign w:val="superscript"/>
              </w:rPr>
              <w:t>†</w:t>
            </w:r>
          </w:p>
        </w:tc>
      </w:tr>
      <w:tr w:rsidR="00A77EE0" w:rsidRPr="001A3C79" w14:paraId="204A1BA1" w14:textId="77777777" w:rsidTr="00C903C0">
        <w:trPr>
          <w:trHeight w:val="548"/>
        </w:trPr>
        <w:tc>
          <w:tcPr>
            <w:tcW w:w="977" w:type="dxa"/>
            <w:tcBorders>
              <w:top w:val="single" w:sz="24" w:space="0" w:color="FFFFFF"/>
              <w:left w:val="single" w:sz="24" w:space="0" w:color="FFFFFF"/>
              <w:bottom w:val="single" w:sz="24" w:space="0" w:color="FFFFFF"/>
              <w:right w:val="nil"/>
            </w:tcBorders>
            <w:shd w:val="clear" w:color="auto" w:fill="7FB8CB"/>
            <w:vAlign w:val="center"/>
            <w:hideMark/>
          </w:tcPr>
          <w:p w14:paraId="2EDC04ED" w14:textId="77777777" w:rsidR="00A77EE0" w:rsidRPr="001A3C79" w:rsidRDefault="00A77EE0" w:rsidP="00C903C0">
            <w:pPr>
              <w:keepNext/>
              <w:spacing w:after="0" w:line="240" w:lineRule="auto"/>
              <w:rPr>
                <w:rFonts w:cs="Arial"/>
                <w:b/>
                <w:bCs/>
                <w:color w:val="FFFFFF"/>
                <w:sz w:val="18"/>
                <w:szCs w:val="18"/>
              </w:rPr>
            </w:pPr>
            <w:r w:rsidRPr="001A3C79">
              <w:rPr>
                <w:rFonts w:cs="Arial"/>
                <w:b/>
                <w:bCs/>
                <w:color w:val="FFFFFF"/>
                <w:sz w:val="18"/>
                <w:szCs w:val="18"/>
              </w:rPr>
              <w:t> </w:t>
            </w:r>
            <w:r w:rsidRPr="001A3C79">
              <w:rPr>
                <w:rFonts w:cs="Arial"/>
                <w:b/>
                <w:noProof/>
                <w:sz w:val="18"/>
                <w:szCs w:val="18"/>
              </w:rPr>
              <w:drawing>
                <wp:inline distT="0" distB="0" distL="0" distR="0" wp14:anchorId="5261AE34" wp14:editId="0864E30D">
                  <wp:extent cx="348903" cy="338537"/>
                  <wp:effectExtent l="0" t="0" r="0" b="4445"/>
                  <wp:docPr id="98" name="Picture 98"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gital switchover-14.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60771" cy="350052"/>
                          </a:xfrm>
                          <a:prstGeom prst="rect">
                            <a:avLst/>
                          </a:prstGeom>
                        </pic:spPr>
                      </pic:pic>
                    </a:graphicData>
                  </a:graphic>
                </wp:inline>
              </w:drawing>
            </w:r>
          </w:p>
        </w:tc>
        <w:tc>
          <w:tcPr>
            <w:tcW w:w="2336" w:type="dxa"/>
            <w:tcBorders>
              <w:top w:val="single" w:sz="24" w:space="0" w:color="FFFFFF"/>
              <w:left w:val="nil"/>
              <w:bottom w:val="single" w:sz="24" w:space="0" w:color="FFFFFF"/>
              <w:right w:val="single" w:sz="24" w:space="0" w:color="FFFFFF"/>
            </w:tcBorders>
            <w:shd w:val="clear" w:color="auto" w:fill="7FB8CB"/>
            <w:vAlign w:val="center"/>
            <w:hideMark/>
          </w:tcPr>
          <w:p w14:paraId="49B5BDEE" w14:textId="77777777" w:rsidR="00A77EE0" w:rsidRPr="00BE6BBB" w:rsidRDefault="00A77EE0" w:rsidP="00C903C0">
            <w:pPr>
              <w:keepNext/>
              <w:spacing w:after="0" w:line="240" w:lineRule="auto"/>
              <w:rPr>
                <w:rFonts w:cs="Arial"/>
                <w:b/>
                <w:bCs/>
                <w:color w:val="FFFFFF" w:themeColor="background1"/>
                <w:sz w:val="18"/>
                <w:szCs w:val="18"/>
              </w:rPr>
            </w:pPr>
            <w:r w:rsidRPr="00BE6BBB">
              <w:rPr>
                <w:rFonts w:cs="Arial"/>
                <w:b/>
                <w:bCs/>
                <w:color w:val="FFFFFF" w:themeColor="background1"/>
                <w:sz w:val="18"/>
                <w:szCs w:val="18"/>
              </w:rPr>
              <w:t>Investigations resulting in a breach finding*</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5C443863"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72</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40342181"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71</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2AF62F27"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67</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417BA41D"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45</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3F53C82C"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35</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0C331F72"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35</w:t>
            </w:r>
          </w:p>
        </w:tc>
      </w:tr>
      <w:tr w:rsidR="00A77EE0" w:rsidRPr="001A3C79" w14:paraId="5CBC4F23" w14:textId="77777777" w:rsidTr="00C903C0">
        <w:trPr>
          <w:trHeight w:val="501"/>
        </w:trPr>
        <w:tc>
          <w:tcPr>
            <w:tcW w:w="977" w:type="dxa"/>
            <w:tcBorders>
              <w:top w:val="single" w:sz="24" w:space="0" w:color="FFFFFF"/>
              <w:left w:val="single" w:sz="24" w:space="0" w:color="FFFFFF"/>
              <w:bottom w:val="single" w:sz="24" w:space="0" w:color="FFFFFF"/>
              <w:right w:val="nil"/>
            </w:tcBorders>
            <w:shd w:val="clear" w:color="auto" w:fill="7FB8CB"/>
            <w:noWrap/>
            <w:vAlign w:val="bottom"/>
            <w:hideMark/>
          </w:tcPr>
          <w:p w14:paraId="5612A057" w14:textId="77777777" w:rsidR="00A77EE0" w:rsidRPr="001A3C79" w:rsidRDefault="00A77EE0" w:rsidP="00C903C0">
            <w:pPr>
              <w:keepNext/>
              <w:spacing w:after="0" w:line="240" w:lineRule="auto"/>
              <w:rPr>
                <w:rFonts w:cs="Arial"/>
                <w:color w:val="000000"/>
                <w:sz w:val="18"/>
                <w:szCs w:val="18"/>
              </w:rPr>
            </w:pPr>
            <w:r w:rsidRPr="001A3C79">
              <w:rPr>
                <w:rFonts w:cs="Arial"/>
                <w:b/>
                <w:noProof/>
                <w:sz w:val="18"/>
                <w:szCs w:val="18"/>
              </w:rPr>
              <w:drawing>
                <wp:anchor distT="0" distB="0" distL="114300" distR="114300" simplePos="0" relativeHeight="251658249" behindDoc="0" locked="0" layoutInCell="1" allowOverlap="1" wp14:anchorId="21671B41" wp14:editId="0B8D4291">
                  <wp:simplePos x="0" y="0"/>
                  <wp:positionH relativeFrom="column">
                    <wp:posOffset>35560</wp:posOffset>
                  </wp:positionH>
                  <wp:positionV relativeFrom="paragraph">
                    <wp:posOffset>-220980</wp:posOffset>
                  </wp:positionV>
                  <wp:extent cx="370840" cy="334010"/>
                  <wp:effectExtent l="0" t="0" r="0" b="8890"/>
                  <wp:wrapNone/>
                  <wp:docPr id="99" name="Picture 99" descr="icon,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gital switchover-13.png"/>
                          <pic:cNvPicPr/>
                        </pic:nvPicPr>
                        <pic:blipFill>
                          <a:blip r:embed="rId117">
                            <a:extLst>
                              <a:ext uri="{28A0092B-C50C-407E-A947-70E740481C1C}">
                                <a14:useLocalDpi xmlns:a14="http://schemas.microsoft.com/office/drawing/2010/main" val="0"/>
                              </a:ext>
                            </a:extLst>
                          </a:blip>
                          <a:stretch>
                            <a:fillRect/>
                          </a:stretch>
                        </pic:blipFill>
                        <pic:spPr>
                          <a:xfrm>
                            <a:off x="0" y="0"/>
                            <a:ext cx="370840" cy="334010"/>
                          </a:xfrm>
                          <a:prstGeom prst="rect">
                            <a:avLst/>
                          </a:prstGeom>
                        </pic:spPr>
                      </pic:pic>
                    </a:graphicData>
                  </a:graphic>
                  <wp14:sizeRelH relativeFrom="margin">
                    <wp14:pctWidth>0</wp14:pctWidth>
                  </wp14:sizeRelH>
                  <wp14:sizeRelV relativeFrom="margin">
                    <wp14:pctHeight>0</wp14:pctHeight>
                  </wp14:sizeRelV>
                </wp:anchor>
              </w:drawing>
            </w:r>
          </w:p>
        </w:tc>
        <w:tc>
          <w:tcPr>
            <w:tcW w:w="2336" w:type="dxa"/>
            <w:tcBorders>
              <w:top w:val="single" w:sz="24" w:space="0" w:color="FFFFFF"/>
              <w:left w:val="nil"/>
              <w:bottom w:val="single" w:sz="24" w:space="0" w:color="FFFFFF"/>
              <w:right w:val="single" w:sz="24" w:space="0" w:color="FFFFFF"/>
            </w:tcBorders>
            <w:shd w:val="clear" w:color="auto" w:fill="7FB8CB"/>
            <w:vAlign w:val="center"/>
            <w:hideMark/>
          </w:tcPr>
          <w:p w14:paraId="239E13EE" w14:textId="77777777" w:rsidR="00A77EE0" w:rsidRPr="00BE6BBB" w:rsidRDefault="00A77EE0" w:rsidP="00C903C0">
            <w:pPr>
              <w:keepNext/>
              <w:spacing w:after="0" w:line="240" w:lineRule="auto"/>
              <w:rPr>
                <w:rFonts w:cs="Arial"/>
                <w:b/>
                <w:bCs/>
                <w:color w:val="FFFFFF" w:themeColor="background1"/>
                <w:sz w:val="18"/>
                <w:szCs w:val="18"/>
              </w:rPr>
            </w:pPr>
            <w:r w:rsidRPr="00BE6BBB">
              <w:rPr>
                <w:rFonts w:cs="Arial"/>
                <w:b/>
                <w:bCs/>
                <w:color w:val="FFFFFF" w:themeColor="background1"/>
                <w:sz w:val="18"/>
                <w:szCs w:val="18"/>
              </w:rPr>
              <w:t>Investigations resulting in a non-breach finding*</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026F61A3"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115</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06016B55"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155</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7F7F496F"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135</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513128F1"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132</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65FC7965"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100</w:t>
            </w:r>
          </w:p>
        </w:tc>
        <w:tc>
          <w:tcPr>
            <w:tcW w:w="1020" w:type="dxa"/>
            <w:tcBorders>
              <w:top w:val="single" w:sz="24" w:space="0" w:color="FFFFFF"/>
              <w:left w:val="single" w:sz="24" w:space="0" w:color="FFFFFF"/>
              <w:bottom w:val="single" w:sz="24" w:space="0" w:color="FFFFFF"/>
              <w:right w:val="single" w:sz="24" w:space="0" w:color="FFFFFF"/>
            </w:tcBorders>
            <w:shd w:val="clear" w:color="auto" w:fill="D2E1E9"/>
            <w:vAlign w:val="center"/>
            <w:hideMark/>
          </w:tcPr>
          <w:p w14:paraId="21C9FB59" w14:textId="77777777" w:rsidR="00A77EE0" w:rsidRPr="001A3C79" w:rsidRDefault="00A77EE0" w:rsidP="0063439E">
            <w:pPr>
              <w:keepNext/>
              <w:spacing w:after="0" w:line="240" w:lineRule="auto"/>
              <w:jc w:val="right"/>
              <w:rPr>
                <w:rFonts w:cs="Arial"/>
                <w:color w:val="000000"/>
                <w:sz w:val="18"/>
                <w:szCs w:val="18"/>
              </w:rPr>
            </w:pPr>
            <w:r w:rsidRPr="001A3C79">
              <w:rPr>
                <w:rFonts w:cs="Arial"/>
                <w:color w:val="000000"/>
                <w:sz w:val="18"/>
                <w:szCs w:val="18"/>
              </w:rPr>
              <w:t>109</w:t>
            </w:r>
          </w:p>
        </w:tc>
      </w:tr>
    </w:tbl>
    <w:p w14:paraId="3F34C855" w14:textId="77777777" w:rsidR="00861FB0" w:rsidRPr="00861FB0" w:rsidRDefault="00861FB0" w:rsidP="00861FB0">
      <w:pPr>
        <w:pStyle w:val="ACMANotes"/>
      </w:pPr>
      <w:r w:rsidRPr="00861FB0">
        <w:t>*Investigations against a code of practice, licence condition, standard and/or provision of the Broadcasting Services Act 1992.</w:t>
      </w:r>
    </w:p>
    <w:p w14:paraId="66F63DD1" w14:textId="77777777" w:rsidR="00861FB0" w:rsidRPr="00861FB0" w:rsidRDefault="00861FB0" w:rsidP="00861FB0">
      <w:pPr>
        <w:pStyle w:val="ACMANotes"/>
      </w:pPr>
      <w:r w:rsidRPr="00861FB0">
        <w:rPr>
          <w:vertAlign w:val="superscript"/>
        </w:rPr>
        <w:t>†</w:t>
      </w:r>
      <w:r w:rsidRPr="00861FB0">
        <w:t>Five investigations resulted in no findings and seven investigations were concluded.</w:t>
      </w:r>
    </w:p>
    <w:p w14:paraId="0FAE6C12" w14:textId="77777777" w:rsidR="00861FB0" w:rsidRPr="00861FB0" w:rsidRDefault="00861FB0" w:rsidP="00861FB0">
      <w:pPr>
        <w:pStyle w:val="ACMANotes"/>
      </w:pPr>
      <w:r w:rsidRPr="00861FB0">
        <w:t>Note: Sum of categories does not equal total number of investigations completed due to exclusion of completed investigations with no finding; for example, where the complaint is withdrawn.</w:t>
      </w:r>
    </w:p>
    <w:p w14:paraId="3174ACA8" w14:textId="77777777" w:rsidR="00861FB0" w:rsidRDefault="00861FB0" w:rsidP="00861FB0">
      <w:pPr>
        <w:pStyle w:val="ACMANotes"/>
      </w:pPr>
      <w:r w:rsidRPr="00861FB0">
        <w:t>Source: Broadcasting complaints to the ACMA.</w:t>
      </w:r>
    </w:p>
    <w:p w14:paraId="641072C2" w14:textId="77777777" w:rsidR="00861FB0" w:rsidRPr="00861FB0" w:rsidRDefault="00861FB0" w:rsidP="00861FB0">
      <w:pPr>
        <w:pStyle w:val="ACMASpaceaftertable"/>
      </w:pPr>
    </w:p>
    <w:p w14:paraId="660F727D" w14:textId="77777777" w:rsidR="00A77EE0" w:rsidRPr="00EA74FE" w:rsidRDefault="00A77EE0" w:rsidP="009D7639">
      <w:pPr>
        <w:pStyle w:val="Heading2"/>
        <w:numPr>
          <w:ilvl w:val="1"/>
          <w:numId w:val="12"/>
        </w:numPr>
        <w:ind w:hanging="792"/>
      </w:pPr>
      <w:bookmarkStart w:id="693" w:name="_Toc462899629"/>
      <w:bookmarkStart w:id="694" w:name="_Toc463529124"/>
      <w:bookmarkStart w:id="695" w:name="_Toc465842949"/>
      <w:r w:rsidRPr="00EA74FE">
        <w:t>Online content investigations</w:t>
      </w:r>
      <w:bookmarkEnd w:id="693"/>
      <w:bookmarkEnd w:id="694"/>
      <w:bookmarkEnd w:id="695"/>
    </w:p>
    <w:p w14:paraId="79A80278" w14:textId="77777777" w:rsidR="00A77EE0" w:rsidRPr="001A3C79" w:rsidRDefault="00A77EE0" w:rsidP="00A77EE0">
      <w:r w:rsidRPr="001A3C79">
        <w:t>The Online Content Scheme, established under schedules 5 and 7 to the BSA, dovetails with industry codes of practice. In 2014</w:t>
      </w:r>
      <w:r w:rsidRPr="001A3C79">
        <w:rPr>
          <w:rFonts w:cs="Arial"/>
        </w:rPr>
        <w:t>–</w:t>
      </w:r>
      <w:r w:rsidRPr="001A3C79">
        <w:t>15, the ACMA investigated valid complaints about online content, where the complainant considers that the content may be prohibited. On 1 July 2015, these responsibilities transferred to the Office of the Children’s eSafety Commissioner. Information about online content complaints and investigations is included in the Office’s 12-month report.</w:t>
      </w:r>
      <w:r w:rsidRPr="001A3C79">
        <w:rPr>
          <w:vertAlign w:val="superscript"/>
        </w:rPr>
        <w:endnoteReference w:id="198"/>
      </w:r>
    </w:p>
    <w:p w14:paraId="3D73A65C" w14:textId="77777777" w:rsidR="00A77EE0" w:rsidRPr="001A3C79" w:rsidRDefault="00A77EE0" w:rsidP="00CD4141">
      <w:pPr>
        <w:pStyle w:val="Heading3"/>
      </w:pPr>
      <w:bookmarkStart w:id="696" w:name="_Toc462899630"/>
      <w:bookmarkStart w:id="697" w:name="_Toc463529125"/>
      <w:bookmarkStart w:id="698" w:name="_Toc465842950"/>
      <w:r w:rsidRPr="001A3C79">
        <w:t>Interactive gambling</w:t>
      </w:r>
      <w:bookmarkEnd w:id="696"/>
      <w:bookmarkEnd w:id="697"/>
      <w:bookmarkEnd w:id="698"/>
    </w:p>
    <w:p w14:paraId="18C1FF80" w14:textId="77777777" w:rsidR="00A77EE0" w:rsidRPr="001A3C79" w:rsidRDefault="00A77EE0" w:rsidP="00A77EE0">
      <w:r w:rsidRPr="001A3C79">
        <w:t xml:space="preserve">The </w:t>
      </w:r>
      <w:r w:rsidRPr="001A3C79">
        <w:rPr>
          <w:i/>
        </w:rPr>
        <w:t>Interactive Gambling Act 2001</w:t>
      </w:r>
      <w:r w:rsidRPr="001A3C79">
        <w:t xml:space="preserve"> (the IGA) prohibits certain internet gambling content, as well as the advertising of such content. IGA complaints received and actioned by the ACMA in the reporting period are outlined in Table 3.9. Under the IGA, the ACMA must not investigate Australian-hosted content but must refer complaints to an Australian police force, if it is warranted to do so. The ACMA received a total of 198 complaints and enquiries during 2015–16. </w:t>
      </w:r>
    </w:p>
    <w:p w14:paraId="65739070" w14:textId="77777777" w:rsidR="00A77EE0" w:rsidRPr="001A3C79" w:rsidRDefault="00A77EE0" w:rsidP="00CD4141">
      <w:pPr>
        <w:keepNext/>
        <w:spacing w:after="160"/>
        <w:rPr>
          <w:b/>
          <w:bCs/>
          <w:color w:val="323232"/>
          <w:szCs w:val="20"/>
        </w:rPr>
      </w:pPr>
      <w:r w:rsidRPr="001A3C79">
        <w:rPr>
          <w:b/>
          <w:bCs/>
          <w:color w:val="323232"/>
          <w:szCs w:val="20"/>
        </w:rPr>
        <w:t>Table 3.9</w:t>
      </w:r>
      <w:r w:rsidRPr="001A3C79">
        <w:rPr>
          <w:b/>
          <w:bCs/>
          <w:noProof/>
          <w:color w:val="323232"/>
          <w:szCs w:val="20"/>
        </w:rPr>
        <w:tab/>
      </w:r>
      <w:r w:rsidRPr="001A3C79">
        <w:rPr>
          <w:b/>
          <w:bCs/>
          <w:color w:val="323232"/>
          <w:szCs w:val="20"/>
        </w:rPr>
        <w:t>Interactive gambling</w:t>
      </w:r>
    </w:p>
    <w:tbl>
      <w:tblPr>
        <w:tblStyle w:val="Commsreport2014-15TABLE2"/>
        <w:tblW w:w="9429" w:type="dxa"/>
        <w:tblLayout w:type="fixed"/>
        <w:tblCellMar>
          <w:top w:w="57" w:type="dxa"/>
          <w:left w:w="57" w:type="dxa"/>
          <w:bottom w:w="57" w:type="dxa"/>
          <w:right w:w="57" w:type="dxa"/>
        </w:tblCellMar>
        <w:tblLook w:val="04A0" w:firstRow="1" w:lastRow="0" w:firstColumn="1" w:lastColumn="0" w:noHBand="0" w:noVBand="1"/>
        <w:tblCaption w:val="Table 3.9 Interactive gambling"/>
      </w:tblPr>
      <w:tblGrid>
        <w:gridCol w:w="963"/>
        <w:gridCol w:w="6038"/>
        <w:gridCol w:w="1214"/>
        <w:gridCol w:w="1214"/>
      </w:tblGrid>
      <w:tr w:rsidR="00A77EE0" w:rsidRPr="009573A6" w14:paraId="3FFFA523" w14:textId="77777777" w:rsidTr="009573A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63" w:type="dxa"/>
            <w:tcBorders>
              <w:right w:val="nil"/>
            </w:tcBorders>
            <w:shd w:val="clear" w:color="auto" w:fill="007298"/>
          </w:tcPr>
          <w:p w14:paraId="1D7908B5" w14:textId="77777777" w:rsidR="00A77EE0" w:rsidRPr="009573A6" w:rsidRDefault="00A77EE0" w:rsidP="009573A6">
            <w:pPr>
              <w:pStyle w:val="TableHeading"/>
              <w:rPr>
                <w:b/>
              </w:rPr>
            </w:pPr>
            <w:r w:rsidRPr="009573A6">
              <w:rPr>
                <w:noProof/>
              </w:rPr>
              <w:drawing>
                <wp:inline distT="0" distB="0" distL="0" distR="0" wp14:anchorId="295E4692" wp14:editId="5AB6ED28">
                  <wp:extent cx="427488" cy="324000"/>
                  <wp:effectExtent l="0" t="0" r="0" b="0"/>
                  <wp:docPr id="100" name="Picture 100"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pter 3_Interactive gambling.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7488" cy="324000"/>
                          </a:xfrm>
                          <a:prstGeom prst="rect">
                            <a:avLst/>
                          </a:prstGeom>
                        </pic:spPr>
                      </pic:pic>
                    </a:graphicData>
                  </a:graphic>
                </wp:inline>
              </w:drawing>
            </w:r>
          </w:p>
        </w:tc>
        <w:tc>
          <w:tcPr>
            <w:tcW w:w="6038" w:type="dxa"/>
            <w:tcBorders>
              <w:left w:val="nil"/>
            </w:tcBorders>
            <w:shd w:val="clear" w:color="auto" w:fill="007298"/>
          </w:tcPr>
          <w:p w14:paraId="474FD06F" w14:textId="77777777" w:rsidR="00A77EE0" w:rsidRPr="009573A6" w:rsidRDefault="00A77EE0" w:rsidP="009573A6">
            <w:pPr>
              <w:pStyle w:val="TableHeading"/>
              <w:jc w:val="left"/>
              <w:cnfStyle w:val="100000000000" w:firstRow="1" w:lastRow="0" w:firstColumn="0" w:lastColumn="0" w:oddVBand="0" w:evenVBand="0" w:oddHBand="0" w:evenHBand="0" w:firstRowFirstColumn="0" w:firstRowLastColumn="0" w:lastRowFirstColumn="0" w:lastRowLastColumn="0"/>
              <w:rPr>
                <w:b/>
              </w:rPr>
            </w:pPr>
            <w:r w:rsidRPr="009573A6">
              <w:rPr>
                <w:b/>
              </w:rPr>
              <w:t>Interactive gambling</w:t>
            </w:r>
          </w:p>
        </w:tc>
        <w:tc>
          <w:tcPr>
            <w:tcW w:w="1214" w:type="dxa"/>
            <w:shd w:val="clear" w:color="auto" w:fill="007298"/>
          </w:tcPr>
          <w:p w14:paraId="5BFC1381"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9573A6">
              <w:rPr>
                <w:b/>
              </w:rPr>
              <w:t>2014–15</w:t>
            </w:r>
          </w:p>
        </w:tc>
        <w:tc>
          <w:tcPr>
            <w:tcW w:w="1214" w:type="dxa"/>
            <w:shd w:val="clear" w:color="auto" w:fill="007298"/>
          </w:tcPr>
          <w:p w14:paraId="70852C41" w14:textId="77777777" w:rsidR="00A77EE0" w:rsidRPr="009573A6" w:rsidRDefault="00A77EE0" w:rsidP="009573A6">
            <w:pPr>
              <w:pStyle w:val="TableHeading"/>
              <w:cnfStyle w:val="100000000000" w:firstRow="1" w:lastRow="0" w:firstColumn="0" w:lastColumn="0" w:oddVBand="0" w:evenVBand="0" w:oddHBand="0" w:evenHBand="0" w:firstRowFirstColumn="0" w:firstRowLastColumn="0" w:lastRowFirstColumn="0" w:lastRowLastColumn="0"/>
              <w:rPr>
                <w:b/>
              </w:rPr>
            </w:pPr>
            <w:r w:rsidRPr="009573A6">
              <w:rPr>
                <w:b/>
              </w:rPr>
              <w:t>2015–16</w:t>
            </w:r>
          </w:p>
        </w:tc>
      </w:tr>
      <w:tr w:rsidR="00A77EE0" w:rsidRPr="001A3C79" w14:paraId="5C6237AF" w14:textId="77777777" w:rsidTr="00C903C0">
        <w:trPr>
          <w:trHeight w:val="125"/>
        </w:trPr>
        <w:tc>
          <w:tcPr>
            <w:cnfStyle w:val="001000000000" w:firstRow="0" w:lastRow="0" w:firstColumn="1" w:lastColumn="0" w:oddVBand="0" w:evenVBand="0" w:oddHBand="0" w:evenHBand="0" w:firstRowFirstColumn="0" w:firstRowLastColumn="0" w:lastRowFirstColumn="0" w:lastRowLastColumn="0"/>
            <w:tcW w:w="7001" w:type="dxa"/>
            <w:gridSpan w:val="2"/>
            <w:shd w:val="clear" w:color="auto" w:fill="7FB8CB"/>
          </w:tcPr>
          <w:p w14:paraId="4D6EFC5E" w14:textId="77777777" w:rsidR="00A77EE0" w:rsidRPr="00BE6BBB" w:rsidRDefault="00A77EE0" w:rsidP="00C903C0">
            <w:pPr>
              <w:keepNext/>
              <w:spacing w:after="0"/>
              <w:rPr>
                <w:b/>
                <w:color w:val="FFFFFF" w:themeColor="background1"/>
              </w:rPr>
            </w:pPr>
            <w:r w:rsidRPr="00BE6BBB">
              <w:rPr>
                <w:b/>
                <w:color w:val="FFFFFF" w:themeColor="background1"/>
              </w:rPr>
              <w:t xml:space="preserve">Complaints and general enquiries </w:t>
            </w:r>
          </w:p>
        </w:tc>
        <w:tc>
          <w:tcPr>
            <w:tcW w:w="1214" w:type="dxa"/>
            <w:shd w:val="clear" w:color="auto" w:fill="D2E1E9"/>
          </w:tcPr>
          <w:p w14:paraId="35D47505"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rPr>
                <w:b/>
              </w:rPr>
            </w:pPr>
            <w:r w:rsidRPr="001A3C79">
              <w:rPr>
                <w:b/>
              </w:rPr>
              <w:t>178</w:t>
            </w:r>
          </w:p>
        </w:tc>
        <w:tc>
          <w:tcPr>
            <w:tcW w:w="1214" w:type="dxa"/>
            <w:shd w:val="clear" w:color="auto" w:fill="D2E1E9"/>
          </w:tcPr>
          <w:p w14:paraId="329A169C"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rPr>
                <w:b/>
              </w:rPr>
            </w:pPr>
            <w:r w:rsidRPr="001A3C79">
              <w:rPr>
                <w:b/>
              </w:rPr>
              <w:t>198</w:t>
            </w:r>
          </w:p>
        </w:tc>
      </w:tr>
      <w:tr w:rsidR="00A77EE0" w:rsidRPr="001A3C79" w14:paraId="6237E596" w14:textId="77777777" w:rsidTr="00C903C0">
        <w:trPr>
          <w:trHeight w:val="31"/>
        </w:trPr>
        <w:tc>
          <w:tcPr>
            <w:cnfStyle w:val="001000000000" w:firstRow="0" w:lastRow="0" w:firstColumn="1" w:lastColumn="0" w:oddVBand="0" w:evenVBand="0" w:oddHBand="0" w:evenHBand="0" w:firstRowFirstColumn="0" w:firstRowLastColumn="0" w:lastRowFirstColumn="0" w:lastRowLastColumn="0"/>
            <w:tcW w:w="7001" w:type="dxa"/>
            <w:gridSpan w:val="2"/>
            <w:shd w:val="clear" w:color="auto" w:fill="7FB8CB"/>
          </w:tcPr>
          <w:p w14:paraId="3EFF2CAF" w14:textId="77777777" w:rsidR="00A77EE0" w:rsidRPr="00BE6BBB" w:rsidRDefault="00A77EE0" w:rsidP="00C903C0">
            <w:pPr>
              <w:keepNext/>
              <w:spacing w:after="0"/>
              <w:rPr>
                <w:color w:val="FFFFFF" w:themeColor="background1"/>
              </w:rPr>
            </w:pPr>
            <w:r w:rsidRPr="00BE6BBB">
              <w:rPr>
                <w:color w:val="FFFFFF" w:themeColor="background1"/>
              </w:rPr>
              <w:t>Investigations of overseas-hosted gambling content</w:t>
            </w:r>
          </w:p>
        </w:tc>
        <w:tc>
          <w:tcPr>
            <w:tcW w:w="1214" w:type="dxa"/>
            <w:shd w:val="clear" w:color="auto" w:fill="D2E1E9"/>
          </w:tcPr>
          <w:p w14:paraId="5E6215EE"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12</w:t>
            </w:r>
          </w:p>
        </w:tc>
        <w:tc>
          <w:tcPr>
            <w:tcW w:w="1214" w:type="dxa"/>
            <w:shd w:val="clear" w:color="auto" w:fill="D2E1E9"/>
          </w:tcPr>
          <w:p w14:paraId="73F03BED"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13</w:t>
            </w:r>
          </w:p>
        </w:tc>
      </w:tr>
      <w:tr w:rsidR="00A77EE0" w:rsidRPr="001A3C79" w14:paraId="5E0BF71C" w14:textId="77777777" w:rsidTr="00C903C0">
        <w:trPr>
          <w:trHeight w:val="362"/>
        </w:trPr>
        <w:tc>
          <w:tcPr>
            <w:cnfStyle w:val="001000000000" w:firstRow="0" w:lastRow="0" w:firstColumn="1" w:lastColumn="0" w:oddVBand="0" w:evenVBand="0" w:oddHBand="0" w:evenHBand="0" w:firstRowFirstColumn="0" w:firstRowLastColumn="0" w:lastRowFirstColumn="0" w:lastRowLastColumn="0"/>
            <w:tcW w:w="7001" w:type="dxa"/>
            <w:gridSpan w:val="2"/>
            <w:shd w:val="clear" w:color="auto" w:fill="7FB8CB"/>
          </w:tcPr>
          <w:p w14:paraId="156F9A50" w14:textId="77777777" w:rsidR="00A77EE0" w:rsidRPr="00BE6BBB" w:rsidRDefault="00A77EE0" w:rsidP="00C903C0">
            <w:pPr>
              <w:keepNext/>
              <w:spacing w:after="0"/>
              <w:rPr>
                <w:color w:val="FFFFFF" w:themeColor="background1"/>
              </w:rPr>
            </w:pPr>
            <w:r w:rsidRPr="00BE6BBB">
              <w:rPr>
                <w:color w:val="FFFFFF" w:themeColor="background1"/>
              </w:rPr>
              <w:t>Prohibited internet gambling content found to be in breach of the IGA, notified to accredited filter providers and the AFP</w:t>
            </w:r>
          </w:p>
        </w:tc>
        <w:tc>
          <w:tcPr>
            <w:tcW w:w="1214" w:type="dxa"/>
            <w:shd w:val="clear" w:color="auto" w:fill="D2E1E9"/>
          </w:tcPr>
          <w:p w14:paraId="757FBB56"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9</w:t>
            </w:r>
          </w:p>
        </w:tc>
        <w:tc>
          <w:tcPr>
            <w:tcW w:w="1214" w:type="dxa"/>
            <w:shd w:val="clear" w:color="auto" w:fill="D2E1E9"/>
          </w:tcPr>
          <w:p w14:paraId="4042CF00"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9</w:t>
            </w:r>
          </w:p>
        </w:tc>
      </w:tr>
      <w:tr w:rsidR="00A77EE0" w:rsidRPr="001A3C79" w14:paraId="6D81525D" w14:textId="77777777" w:rsidTr="00C903C0">
        <w:trPr>
          <w:trHeight w:val="45"/>
        </w:trPr>
        <w:tc>
          <w:tcPr>
            <w:cnfStyle w:val="001000000000" w:firstRow="0" w:lastRow="0" w:firstColumn="1" w:lastColumn="0" w:oddVBand="0" w:evenVBand="0" w:oddHBand="0" w:evenHBand="0" w:firstRowFirstColumn="0" w:firstRowLastColumn="0" w:lastRowFirstColumn="0" w:lastRowLastColumn="0"/>
            <w:tcW w:w="7001" w:type="dxa"/>
            <w:gridSpan w:val="2"/>
            <w:shd w:val="clear" w:color="auto" w:fill="7FB8CB"/>
          </w:tcPr>
          <w:p w14:paraId="0C13CB49" w14:textId="77777777" w:rsidR="00A77EE0" w:rsidRPr="00BE6BBB" w:rsidRDefault="00A77EE0" w:rsidP="00C903C0">
            <w:pPr>
              <w:keepNext/>
              <w:spacing w:after="0"/>
              <w:rPr>
                <w:color w:val="FFFFFF" w:themeColor="background1"/>
              </w:rPr>
            </w:pPr>
            <w:r w:rsidRPr="00BE6BBB">
              <w:rPr>
                <w:color w:val="FFFFFF" w:themeColor="background1"/>
              </w:rPr>
              <w:t>Assessments of Australian-hosted gambling content</w:t>
            </w:r>
          </w:p>
        </w:tc>
        <w:tc>
          <w:tcPr>
            <w:tcW w:w="1214" w:type="dxa"/>
            <w:shd w:val="clear" w:color="auto" w:fill="D2E1E9"/>
          </w:tcPr>
          <w:p w14:paraId="6E6A6863"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14</w:t>
            </w:r>
          </w:p>
        </w:tc>
        <w:tc>
          <w:tcPr>
            <w:tcW w:w="1214" w:type="dxa"/>
            <w:shd w:val="clear" w:color="auto" w:fill="D2E1E9"/>
          </w:tcPr>
          <w:p w14:paraId="03339900"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15</w:t>
            </w:r>
          </w:p>
        </w:tc>
      </w:tr>
      <w:tr w:rsidR="00A77EE0" w:rsidRPr="001A3C79" w14:paraId="5EF00354" w14:textId="77777777" w:rsidTr="00C903C0">
        <w:trPr>
          <w:trHeight w:val="148"/>
        </w:trPr>
        <w:tc>
          <w:tcPr>
            <w:cnfStyle w:val="001000000000" w:firstRow="0" w:lastRow="0" w:firstColumn="1" w:lastColumn="0" w:oddVBand="0" w:evenVBand="0" w:oddHBand="0" w:evenHBand="0" w:firstRowFirstColumn="0" w:firstRowLastColumn="0" w:lastRowFirstColumn="0" w:lastRowLastColumn="0"/>
            <w:tcW w:w="7001" w:type="dxa"/>
            <w:gridSpan w:val="2"/>
            <w:shd w:val="clear" w:color="auto" w:fill="7FB8CB"/>
          </w:tcPr>
          <w:p w14:paraId="1541B0ED" w14:textId="77777777" w:rsidR="00A77EE0" w:rsidRPr="00BE6BBB" w:rsidRDefault="00A77EE0" w:rsidP="00C903C0">
            <w:pPr>
              <w:keepNext/>
              <w:spacing w:after="0"/>
              <w:rPr>
                <w:color w:val="FFFFFF" w:themeColor="background1"/>
              </w:rPr>
            </w:pPr>
            <w:r w:rsidRPr="00BE6BBB">
              <w:rPr>
                <w:color w:val="FFFFFF" w:themeColor="background1"/>
              </w:rPr>
              <w:t>Potential prohibited content referred to the AFP</w:t>
            </w:r>
          </w:p>
        </w:tc>
        <w:tc>
          <w:tcPr>
            <w:tcW w:w="1214" w:type="dxa"/>
            <w:shd w:val="clear" w:color="auto" w:fill="D2E1E9"/>
          </w:tcPr>
          <w:p w14:paraId="142D3750"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5</w:t>
            </w:r>
          </w:p>
        </w:tc>
        <w:tc>
          <w:tcPr>
            <w:tcW w:w="1214" w:type="dxa"/>
            <w:shd w:val="clear" w:color="auto" w:fill="D2E1E9"/>
          </w:tcPr>
          <w:p w14:paraId="25AFA8EB"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9</w:t>
            </w:r>
          </w:p>
        </w:tc>
      </w:tr>
      <w:tr w:rsidR="00A77EE0" w:rsidRPr="001A3C79" w14:paraId="7EC7F609" w14:textId="77777777" w:rsidTr="00C903C0">
        <w:trPr>
          <w:trHeight w:val="55"/>
        </w:trPr>
        <w:tc>
          <w:tcPr>
            <w:cnfStyle w:val="001000000000" w:firstRow="0" w:lastRow="0" w:firstColumn="1" w:lastColumn="0" w:oddVBand="0" w:evenVBand="0" w:oddHBand="0" w:evenHBand="0" w:firstRowFirstColumn="0" w:firstRowLastColumn="0" w:lastRowFirstColumn="0" w:lastRowLastColumn="0"/>
            <w:tcW w:w="7001" w:type="dxa"/>
            <w:gridSpan w:val="2"/>
            <w:shd w:val="clear" w:color="auto" w:fill="7FB8CB"/>
          </w:tcPr>
          <w:p w14:paraId="38BCA40E" w14:textId="77777777" w:rsidR="00A77EE0" w:rsidRPr="00BE6BBB" w:rsidRDefault="00A77EE0" w:rsidP="00C903C0">
            <w:pPr>
              <w:keepNext/>
              <w:spacing w:after="0"/>
              <w:rPr>
                <w:color w:val="FFFFFF" w:themeColor="background1"/>
              </w:rPr>
            </w:pPr>
            <w:r w:rsidRPr="00BE6BBB">
              <w:rPr>
                <w:color w:val="FFFFFF" w:themeColor="background1"/>
              </w:rPr>
              <w:t>Investigations into the broadcast of interactive gambling advertisements*</w:t>
            </w:r>
          </w:p>
        </w:tc>
        <w:tc>
          <w:tcPr>
            <w:tcW w:w="1214" w:type="dxa"/>
            <w:shd w:val="clear" w:color="auto" w:fill="D2E1E9"/>
          </w:tcPr>
          <w:p w14:paraId="37EE6E33"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0</w:t>
            </w:r>
          </w:p>
        </w:tc>
        <w:tc>
          <w:tcPr>
            <w:tcW w:w="1214" w:type="dxa"/>
            <w:shd w:val="clear" w:color="auto" w:fill="D2E1E9"/>
          </w:tcPr>
          <w:p w14:paraId="51066E72" w14:textId="77777777" w:rsidR="00A77EE0" w:rsidRPr="001A3C79" w:rsidRDefault="00A77EE0" w:rsidP="0063439E">
            <w:pPr>
              <w:keepNext/>
              <w:spacing w:after="0"/>
              <w:cnfStyle w:val="000000000000" w:firstRow="0" w:lastRow="0" w:firstColumn="0" w:lastColumn="0" w:oddVBand="0" w:evenVBand="0" w:oddHBand="0" w:evenHBand="0" w:firstRowFirstColumn="0" w:firstRowLastColumn="0" w:lastRowFirstColumn="0" w:lastRowLastColumn="0"/>
            </w:pPr>
            <w:r w:rsidRPr="001A3C79">
              <w:t>0</w:t>
            </w:r>
          </w:p>
        </w:tc>
      </w:tr>
    </w:tbl>
    <w:p w14:paraId="5836A351" w14:textId="77777777" w:rsidR="00216F0E" w:rsidRPr="001A3C79" w:rsidRDefault="00A77EE0" w:rsidP="00A77EE0">
      <w:pPr>
        <w:rPr>
          <w:rFonts w:cs="Arial"/>
          <w:i/>
          <w:sz w:val="16"/>
          <w:szCs w:val="16"/>
        </w:rPr>
      </w:pPr>
      <w:r w:rsidRPr="001A3C79">
        <w:rPr>
          <w:rFonts w:cs="Arial"/>
          <w:i/>
          <w:sz w:val="16"/>
          <w:szCs w:val="16"/>
        </w:rPr>
        <w:t>* Under the IGA, the ACMA only investigates interactive gambling advertisements broadcast on television or radio. The Department of Communications and the Arts takes responsibility for all other advertising, such as online or in print.</w:t>
      </w:r>
    </w:p>
    <w:bookmarkEnd w:id="687"/>
    <w:p w14:paraId="43243191" w14:textId="77777777" w:rsidR="00F00958" w:rsidRPr="00531CD0" w:rsidRDefault="00F00958" w:rsidP="00A77EE0">
      <w:pPr>
        <w:pStyle w:val="Heading2"/>
        <w:rPr>
          <w:i/>
          <w:sz w:val="16"/>
        </w:rPr>
      </w:pPr>
    </w:p>
    <w:p w14:paraId="5E8E6B07" w14:textId="77777777" w:rsidR="00CF02AF" w:rsidRPr="00531CD0" w:rsidRDefault="00CF02AF" w:rsidP="00531CD0">
      <w:pPr>
        <w:pStyle w:val="ACMASpaceaftertable"/>
        <w:rPr>
          <w:i/>
        </w:rPr>
        <w:sectPr w:rsidR="00CF02AF" w:rsidRPr="00531CD0" w:rsidSect="00604073">
          <w:headerReference w:type="even" r:id="rId119"/>
          <w:headerReference w:type="default" r:id="rId120"/>
          <w:endnotePr>
            <w:numFmt w:val="decimal"/>
            <w:numRestart w:val="eachSect"/>
          </w:endnotePr>
          <w:pgSz w:w="11907" w:h="16839" w:code="9"/>
          <w:pgMar w:top="1945" w:right="1134" w:bottom="1134" w:left="1134" w:header="709" w:footer="119" w:gutter="284"/>
          <w:cols w:space="708"/>
          <w:docGrid w:linePitch="360"/>
        </w:sectPr>
      </w:pPr>
    </w:p>
    <w:p w14:paraId="18ACE634" w14:textId="77777777" w:rsidR="000B52D7" w:rsidRPr="0032755E" w:rsidRDefault="000B52D7" w:rsidP="009D7639">
      <w:pPr>
        <w:pStyle w:val="Heading1"/>
        <w:numPr>
          <w:ilvl w:val="0"/>
          <w:numId w:val="12"/>
        </w:numPr>
        <w:ind w:left="851" w:hanging="851"/>
      </w:pPr>
      <w:bookmarkStart w:id="699" w:name="_Toc465842951"/>
      <w:bookmarkStart w:id="700" w:name="_Toc462899655"/>
      <w:bookmarkStart w:id="701" w:name="_Toc463529150"/>
      <w:r w:rsidRPr="0032755E">
        <w:lastRenderedPageBreak/>
        <w:t>National interest issues</w:t>
      </w:r>
      <w:bookmarkEnd w:id="699"/>
      <w:r w:rsidRPr="0032755E">
        <w:t xml:space="preserve"> </w:t>
      </w:r>
    </w:p>
    <w:p w14:paraId="3C0819A1" w14:textId="77777777" w:rsidR="000B52D7" w:rsidRPr="00C84C1E" w:rsidRDefault="000B52D7" w:rsidP="009D7639">
      <w:pPr>
        <w:pStyle w:val="Heading2"/>
        <w:numPr>
          <w:ilvl w:val="1"/>
          <w:numId w:val="12"/>
        </w:numPr>
        <w:ind w:hanging="792"/>
      </w:pPr>
      <w:bookmarkStart w:id="702" w:name="_Toc462909469"/>
      <w:bookmarkStart w:id="703" w:name="_Toc465842952"/>
      <w:r w:rsidRPr="00C84C1E">
        <w:t>Overview</w:t>
      </w:r>
      <w:bookmarkEnd w:id="702"/>
      <w:bookmarkEnd w:id="703"/>
    </w:p>
    <w:p w14:paraId="1DCC0CEF" w14:textId="77777777" w:rsidR="000B52D7" w:rsidRPr="0032755E" w:rsidRDefault="000B52D7" w:rsidP="000B52D7">
      <w:r w:rsidRPr="0032755E">
        <w:t xml:space="preserve">This chapter </w:t>
      </w:r>
      <w:r w:rsidRPr="0032755E">
        <w:rPr>
          <w:rFonts w:cstheme="minorBidi"/>
        </w:rPr>
        <w:t xml:space="preserve">addresses regulatory requirements to report </w:t>
      </w:r>
      <w:r w:rsidRPr="0032755E">
        <w:t xml:space="preserve">on the performance of the emergency call service, national interest issues and cooperation with law enforcement agencies. </w:t>
      </w:r>
      <w:r w:rsidRPr="00216939">
        <w:t>It</w:t>
      </w:r>
      <w:r w:rsidRPr="0032755E">
        <w:t xml:space="preserve"> includes information about the communications industry</w:t>
      </w:r>
      <w:r>
        <w:t>’s</w:t>
      </w:r>
      <w:r w:rsidRPr="0032755E">
        <w:t xml:space="preserve"> support for law enforcement and national security agencies through the maintenance of communications interception capabilities and the authorised disclosure of information. </w:t>
      </w:r>
    </w:p>
    <w:p w14:paraId="3818DF54" w14:textId="77777777" w:rsidR="000B52D7" w:rsidRPr="0032755E" w:rsidRDefault="000B52D7" w:rsidP="000B52D7">
      <w:pPr>
        <w:spacing w:after="80"/>
      </w:pPr>
      <w:r w:rsidRPr="0032755E">
        <w:t>In summary:</w:t>
      </w:r>
    </w:p>
    <w:p w14:paraId="2D3C5D54" w14:textId="77777777" w:rsidR="000B52D7" w:rsidRPr="0032755E" w:rsidRDefault="000B52D7" w:rsidP="000B52D7">
      <w:pPr>
        <w:pStyle w:val="ListBullet"/>
      </w:pPr>
      <w:r w:rsidRPr="0032755E">
        <w:t>Telstra’s performance exceeded the performance benchmarks for the time taken to answer each emergency service call, although performance times were slightly lower than previous years</w:t>
      </w:r>
      <w:r>
        <w:t>.</w:t>
      </w:r>
    </w:p>
    <w:p w14:paraId="7FD521C0" w14:textId="77777777" w:rsidR="000B52D7" w:rsidRPr="0032755E" w:rsidRDefault="000B52D7" w:rsidP="000B52D7">
      <w:pPr>
        <w:pStyle w:val="ListBullet"/>
      </w:pPr>
      <w:r>
        <w:rPr>
          <w:snapToGrid w:val="0"/>
        </w:rPr>
        <w:t>I</w:t>
      </w:r>
      <w:r w:rsidRPr="0032755E">
        <w:rPr>
          <w:snapToGrid w:val="0"/>
        </w:rPr>
        <w:t>n</w:t>
      </w:r>
      <w:r w:rsidRPr="0032755E">
        <w:t xml:space="preserve"> 2015–16, 68.7 per cent of emergency calls (5,740,709 calls) were made from mobile phones, </w:t>
      </w:r>
      <w:r>
        <w:t>up</w:t>
      </w:r>
      <w:r w:rsidRPr="0032755E">
        <w:t xml:space="preserve"> from 66.9 per cent (5,606,275 calls) in the previous 12</w:t>
      </w:r>
      <w:r>
        <w:t>-</w:t>
      </w:r>
      <w:r w:rsidRPr="0032755E">
        <w:t>month period</w:t>
      </w:r>
      <w:r>
        <w:t>.</w:t>
      </w:r>
    </w:p>
    <w:p w14:paraId="2E7CB278" w14:textId="77777777" w:rsidR="000B52D7" w:rsidRPr="0032755E" w:rsidRDefault="000B52D7" w:rsidP="000B52D7">
      <w:pPr>
        <w:pStyle w:val="ListBullet"/>
      </w:pPr>
      <w:r>
        <w:rPr>
          <w:snapToGrid w:val="0"/>
        </w:rPr>
        <w:t>C</w:t>
      </w:r>
      <w:r w:rsidRPr="0032755E">
        <w:rPr>
          <w:snapToGrid w:val="0"/>
        </w:rPr>
        <w:t>alls</w:t>
      </w:r>
      <w:r w:rsidRPr="0032755E">
        <w:t xml:space="preserve"> from fixed-line telephones represented 32.7 per cent of emergency calls, while 2.4 per cent were made from public payphones. </w:t>
      </w:r>
    </w:p>
    <w:p w14:paraId="00D778D8" w14:textId="77777777" w:rsidR="000B52D7" w:rsidRPr="0032755E" w:rsidRDefault="000B52D7" w:rsidP="000B52D7">
      <w:pPr>
        <w:pStyle w:val="ListBullet"/>
      </w:pPr>
      <w:r>
        <w:t>T</w:t>
      </w:r>
      <w:r w:rsidRPr="0032755E">
        <w:t>here was a very small decrease (0.32 per cent) in the number of calls (26,649) made to the emergency service numbers Triple Zero and 112</w:t>
      </w:r>
      <w:r>
        <w:t>.</w:t>
      </w:r>
    </w:p>
    <w:p w14:paraId="6543A260" w14:textId="77777777" w:rsidR="000B52D7" w:rsidRPr="0032755E" w:rsidRDefault="000B52D7" w:rsidP="000B52D7">
      <w:pPr>
        <w:pStyle w:val="ListBullet"/>
      </w:pPr>
      <w:r>
        <w:rPr>
          <w:snapToGrid w:val="0"/>
        </w:rPr>
        <w:t>D</w:t>
      </w:r>
      <w:r w:rsidRPr="0032755E">
        <w:rPr>
          <w:snapToGrid w:val="0"/>
        </w:rPr>
        <w:t>uring</w:t>
      </w:r>
      <w:r w:rsidRPr="0032755E">
        <w:t xml:space="preserve"> 2015−16, all emergency service organisations </w:t>
      </w:r>
      <w:r>
        <w:t>(</w:t>
      </w:r>
      <w:r w:rsidRPr="0032755E">
        <w:t>police, fire and ambulance) throughout Australia implemented the functionality to automatically receive cell tower (or better) location information during a Triple Zero call.</w:t>
      </w:r>
    </w:p>
    <w:p w14:paraId="6EB927A5" w14:textId="77777777" w:rsidR="000B52D7" w:rsidRPr="0032755E" w:rsidRDefault="000B52D7" w:rsidP="000B52D7">
      <w:pPr>
        <w:pStyle w:val="ListBullet"/>
      </w:pPr>
      <w:r>
        <w:t>T</w:t>
      </w:r>
      <w:r w:rsidRPr="0032755E">
        <w:t xml:space="preserve">he number of carriage services reported </w:t>
      </w:r>
      <w:r>
        <w:t xml:space="preserve">as </w:t>
      </w:r>
      <w:r w:rsidRPr="0032755E">
        <w:t>suspended by CSPs</w:t>
      </w:r>
      <w:r w:rsidRPr="0032755E" w:rsidDel="00311544">
        <w:t xml:space="preserve"> </w:t>
      </w:r>
      <w:r w:rsidRPr="0032755E">
        <w:t xml:space="preserve">decreased by </w:t>
      </w:r>
      <w:r w:rsidRPr="0032755E">
        <w:rPr>
          <w:snapToGrid w:val="0"/>
        </w:rPr>
        <w:t>three,</w:t>
      </w:r>
      <w:r>
        <w:t xml:space="preserve"> </w:t>
      </w:r>
      <w:r w:rsidRPr="0032755E">
        <w:t>falling from 31</w:t>
      </w:r>
      <w:r w:rsidR="003617D6">
        <w:t> </w:t>
      </w:r>
      <w:r>
        <w:t xml:space="preserve">in </w:t>
      </w:r>
      <w:r w:rsidRPr="0032755E">
        <w:rPr>
          <w:snapToGrid w:val="0"/>
        </w:rPr>
        <w:t>2014–15</w:t>
      </w:r>
      <w:r>
        <w:rPr>
          <w:snapToGrid w:val="0"/>
        </w:rPr>
        <w:t xml:space="preserve"> </w:t>
      </w:r>
      <w:r>
        <w:t xml:space="preserve">to 28 </w:t>
      </w:r>
      <w:r w:rsidRPr="0032755E">
        <w:t xml:space="preserve">in </w:t>
      </w:r>
      <w:r w:rsidRPr="0032755E">
        <w:rPr>
          <w:snapToGrid w:val="0"/>
        </w:rPr>
        <w:t>2015–16</w:t>
      </w:r>
      <w:r>
        <w:t>.</w:t>
      </w:r>
    </w:p>
    <w:p w14:paraId="5032EA63" w14:textId="77777777" w:rsidR="000B52D7" w:rsidRPr="0032755E" w:rsidRDefault="000B52D7" w:rsidP="000B52D7">
      <w:pPr>
        <w:pStyle w:val="ListBullet"/>
      </w:pPr>
      <w:r>
        <w:t>T</w:t>
      </w:r>
      <w:r w:rsidRPr="0032755E">
        <w:t>he cost to industry of providing interception capabilities decreased by 1.3 per cent from $22.9 million to $22.6 million</w:t>
      </w:r>
      <w:r>
        <w:t>.</w:t>
      </w:r>
    </w:p>
    <w:p w14:paraId="4C56C523" w14:textId="77777777" w:rsidR="000B52D7" w:rsidRDefault="000B52D7" w:rsidP="009C1BE9">
      <w:pPr>
        <w:pStyle w:val="ListBullet"/>
      </w:pPr>
      <w:r>
        <w:t>T</w:t>
      </w:r>
      <w:r w:rsidRPr="0032755E">
        <w:t>he number of disclosures made by CSPs and carriers reported under section 308 of the Telecommunications</w:t>
      </w:r>
      <w:r>
        <w:t xml:space="preserve"> </w:t>
      </w:r>
      <w:r w:rsidRPr="0032755E">
        <w:t>Act</w:t>
      </w:r>
      <w:r>
        <w:t xml:space="preserve"> </w:t>
      </w:r>
      <w:r w:rsidRPr="0032755E">
        <w:t>also decreased, dropping by 19 per cent in the year to June 2016</w:t>
      </w:r>
      <w:r>
        <w:t>.</w:t>
      </w:r>
    </w:p>
    <w:p w14:paraId="37D59C24" w14:textId="77777777" w:rsidR="000B52D7" w:rsidRPr="0032755E" w:rsidRDefault="000B52D7" w:rsidP="000B52D7">
      <w:pPr>
        <w:pStyle w:val="ListBulletLast"/>
      </w:pPr>
      <w:r>
        <w:t>Anticipated capital costs of complying with new data retention obligations have been estimated by providers to be $69 million for the 2015−16 year.</w:t>
      </w:r>
    </w:p>
    <w:p w14:paraId="18D3F569" w14:textId="77777777" w:rsidR="000B52D7" w:rsidRPr="0032755E" w:rsidRDefault="000B52D7" w:rsidP="00CE08E9">
      <w:pPr>
        <w:pStyle w:val="Heading2"/>
        <w:numPr>
          <w:ilvl w:val="1"/>
          <w:numId w:val="12"/>
        </w:numPr>
        <w:ind w:hanging="792"/>
      </w:pPr>
      <w:bookmarkStart w:id="704" w:name="_Toc462909470"/>
      <w:bookmarkStart w:id="705" w:name="_Toc465842953"/>
      <w:r w:rsidRPr="0032755E">
        <w:t>Emergency call service</w:t>
      </w:r>
      <w:bookmarkEnd w:id="704"/>
      <w:bookmarkEnd w:id="705"/>
      <w:r w:rsidRPr="0032755E">
        <w:t xml:space="preserve"> </w:t>
      </w:r>
    </w:p>
    <w:p w14:paraId="167A78F1" w14:textId="77777777" w:rsidR="000B52D7" w:rsidRPr="0032755E" w:rsidRDefault="000B52D7" w:rsidP="000B52D7">
      <w:pPr>
        <w:rPr>
          <w:rFonts w:cstheme="minorBidi"/>
          <w:szCs w:val="22"/>
        </w:rPr>
      </w:pPr>
      <w:r w:rsidRPr="0032755E">
        <w:rPr>
          <w:rFonts w:cstheme="minorBidi"/>
          <w:szCs w:val="22"/>
        </w:rPr>
        <w:t>Under the Telecommunications (Emergency Call Service) Determination 2009 (the Emergency Call Service Determination), CSPs are required to provide free access to the emergency call service from standard telephone and mobile services. The emergency call service is an operator-assisted service that connects callers to an emergency service organisation (ESO)—police, fire or ambulance—in life-threatening or time-critical situations.</w:t>
      </w:r>
    </w:p>
    <w:p w14:paraId="737E6713" w14:textId="77777777" w:rsidR="000B52D7" w:rsidRPr="0032755E" w:rsidRDefault="000B52D7" w:rsidP="000B52D7">
      <w:pPr>
        <w:spacing w:after="80"/>
        <w:rPr>
          <w:rFonts w:cstheme="minorBidi"/>
          <w:szCs w:val="22"/>
        </w:rPr>
      </w:pPr>
      <w:r w:rsidRPr="0032755E">
        <w:rPr>
          <w:rFonts w:cstheme="minorBidi"/>
          <w:szCs w:val="22"/>
        </w:rPr>
        <w:t>The emergency call service is provided by the emergency call persons (ECPs), who are:</w:t>
      </w:r>
    </w:p>
    <w:p w14:paraId="53454694" w14:textId="77777777" w:rsidR="000B52D7" w:rsidRPr="0032755E" w:rsidRDefault="000B52D7" w:rsidP="000B52D7">
      <w:pPr>
        <w:pStyle w:val="ListBullet"/>
      </w:pPr>
      <w:r w:rsidRPr="0032755E">
        <w:t>Telstra—for calls made to the primary emergency service number (Triple Zero) and to the international emergency number 112 from mobile phones</w:t>
      </w:r>
    </w:p>
    <w:p w14:paraId="23B16D37" w14:textId="77777777" w:rsidR="000B52D7" w:rsidRPr="0032755E" w:rsidRDefault="000B52D7" w:rsidP="000B52D7">
      <w:pPr>
        <w:pStyle w:val="ListBulletLast"/>
      </w:pPr>
      <w:r w:rsidRPr="0032755E">
        <w:t xml:space="preserve">Australian Communication Exchange (ACE)—for calls made to the 106 text service for people who are </w:t>
      </w:r>
      <w:r>
        <w:t>d</w:t>
      </w:r>
      <w:r w:rsidRPr="0032755E">
        <w:t>eaf or have a hearing or speech impairment.</w:t>
      </w:r>
    </w:p>
    <w:p w14:paraId="68B79B76" w14:textId="77777777" w:rsidR="000B52D7" w:rsidRPr="0032755E" w:rsidRDefault="000B52D7" w:rsidP="000B52D7">
      <w:pPr>
        <w:rPr>
          <w:rFonts w:cstheme="minorBidi"/>
          <w:szCs w:val="22"/>
        </w:rPr>
      </w:pPr>
      <w:r w:rsidRPr="0032755E">
        <w:rPr>
          <w:rFonts w:cstheme="minorBidi"/>
          <w:szCs w:val="22"/>
        </w:rPr>
        <w:t>This section outlines the volume and type of calls to the emergency call service, along with the performance of the ECPs in answering emergency calls.</w:t>
      </w:r>
    </w:p>
    <w:p w14:paraId="66D3FED1" w14:textId="77777777" w:rsidR="000B52D7" w:rsidRPr="0032755E" w:rsidRDefault="000B52D7" w:rsidP="00D770DE">
      <w:pPr>
        <w:pStyle w:val="Heading3"/>
      </w:pPr>
      <w:bookmarkStart w:id="706" w:name="_Toc462909471"/>
      <w:bookmarkStart w:id="707" w:name="_Toc465842954"/>
      <w:r w:rsidRPr="0032755E">
        <w:lastRenderedPageBreak/>
        <w:t xml:space="preserve">Emergency call </w:t>
      </w:r>
      <w:r w:rsidRPr="00D770DE">
        <w:t>service</w:t>
      </w:r>
      <w:r w:rsidRPr="0032755E">
        <w:t>—Triple Zero and 112</w:t>
      </w:r>
      <w:bookmarkEnd w:id="706"/>
      <w:bookmarkEnd w:id="707"/>
    </w:p>
    <w:p w14:paraId="6DE388EA" w14:textId="77777777" w:rsidR="000B52D7" w:rsidRPr="0032755E" w:rsidRDefault="000B52D7" w:rsidP="00D770DE">
      <w:pPr>
        <w:keepLines/>
      </w:pPr>
      <w:r w:rsidRPr="0032755E">
        <w:t xml:space="preserve">When dialling </w:t>
      </w:r>
      <w:r w:rsidRPr="0032755E" w:rsidDel="00805C7A">
        <w:t>Triple Zero</w:t>
      </w:r>
      <w:r w:rsidRPr="0032755E">
        <w:t>,</w:t>
      </w:r>
      <w:r w:rsidRPr="0032755E" w:rsidDel="00805C7A">
        <w:t xml:space="preserve"> a</w:t>
      </w:r>
      <w:r w:rsidRPr="0032755E">
        <w:t xml:space="preserve"> recorded voice announcement (RVA) </w:t>
      </w:r>
      <w:r w:rsidRPr="0032755E" w:rsidDel="00805C7A">
        <w:t>provide</w:t>
      </w:r>
      <w:r w:rsidRPr="0032755E">
        <w:t>s</w:t>
      </w:r>
      <w:r w:rsidRPr="0032755E" w:rsidDel="00805C7A">
        <w:t xml:space="preserve"> </w:t>
      </w:r>
      <w:r w:rsidRPr="0032755E">
        <w:t xml:space="preserve">callers who have inadvertently dialled Triple Zero with the opportunity to hang up before the call is connected to the ECP. </w:t>
      </w:r>
      <w:r w:rsidRPr="0032755E" w:rsidDel="00805C7A">
        <w:t xml:space="preserve">In </w:t>
      </w:r>
      <w:r w:rsidRPr="0032755E">
        <w:t>2015–16</w:t>
      </w:r>
      <w:r w:rsidRPr="0032755E" w:rsidDel="00805C7A">
        <w:t xml:space="preserve">, </w:t>
      </w:r>
      <w:r w:rsidRPr="0032755E">
        <w:t xml:space="preserve">3.6 </w:t>
      </w:r>
      <w:r w:rsidRPr="0032755E" w:rsidDel="00805C7A">
        <w:t xml:space="preserve">per cent of calls to Triple Zero were from callers who hung up </w:t>
      </w:r>
      <w:r w:rsidRPr="0032755E">
        <w:t xml:space="preserve">after hearing </w:t>
      </w:r>
      <w:r w:rsidRPr="0032755E" w:rsidDel="00805C7A">
        <w:t>the RVA</w:t>
      </w:r>
      <w:r w:rsidRPr="0032755E">
        <w:t xml:space="preserve"> before connection to the ECP, leaving</w:t>
      </w:r>
      <w:r w:rsidRPr="0032755E" w:rsidDel="00805C7A">
        <w:t xml:space="preserve"> 96</w:t>
      </w:r>
      <w:r w:rsidRPr="0032755E">
        <w:t>.4</w:t>
      </w:r>
      <w:r w:rsidRPr="0032755E" w:rsidDel="00805C7A">
        <w:t xml:space="preserve"> per cent of calls </w:t>
      </w:r>
      <w:r w:rsidRPr="0032755E">
        <w:t xml:space="preserve">to be </w:t>
      </w:r>
      <w:r w:rsidRPr="0032755E" w:rsidDel="00805C7A">
        <w:t>connected to the ECP.</w:t>
      </w:r>
    </w:p>
    <w:p w14:paraId="4D0875EA" w14:textId="77777777" w:rsidR="000B52D7" w:rsidRPr="0032755E" w:rsidRDefault="000B52D7" w:rsidP="000B52D7">
      <w:r w:rsidRPr="0032755E" w:rsidDel="00805C7A">
        <w:t>ECP data shows the</w:t>
      </w:r>
      <w:r w:rsidRPr="0032755E">
        <w:t xml:space="preserve"> </w:t>
      </w:r>
      <w:r w:rsidRPr="0032755E" w:rsidDel="00805C7A">
        <w:t>number of calls to the Triple Zero and 112 emergency service numbers</w:t>
      </w:r>
      <w:r w:rsidRPr="0032755E">
        <w:t xml:space="preserve"> fell by 26,649 (0.32 per cent) to 8,350,745 calls in 2015–16</w:t>
      </w:r>
      <w:r w:rsidRPr="0032755E" w:rsidDel="00805C7A">
        <w:t xml:space="preserve"> (Table </w:t>
      </w:r>
      <w:r w:rsidRPr="0032755E">
        <w:t>4</w:t>
      </w:r>
      <w:r w:rsidRPr="0032755E" w:rsidDel="00805C7A">
        <w:t>.1).</w:t>
      </w:r>
      <w:r w:rsidRPr="0032755E">
        <w:t xml:space="preserve"> There has been a steady decline in the number of emergency calls made over the past five years. The ECP has attributed this decline to the increased promotion of the appropriate use of the Triple Zero and 112 services and alternative numbers, such as 132 500, the State Emergency Service number.</w:t>
      </w:r>
    </w:p>
    <w:p w14:paraId="58A0640E" w14:textId="77777777" w:rsidR="000B52D7" w:rsidRPr="0032755E" w:rsidRDefault="000B52D7" w:rsidP="000B52D7">
      <w:r w:rsidRPr="0032755E">
        <w:t xml:space="preserve">In 2015–16, 68.7 per cent of emergency calls (5,740,709) were made from mobile phones (Table 4.1). Calls from fixed-line telephones represented 32.7 per cent of emergency calls, while 2.4 per cent were made from public payphones. </w:t>
      </w:r>
    </w:p>
    <w:p w14:paraId="1C2B42F5" w14:textId="77777777" w:rsidR="000B52D7" w:rsidRPr="0032755E" w:rsidRDefault="000B52D7" w:rsidP="000B52D7">
      <w:pPr>
        <w:pStyle w:val="Heading3"/>
      </w:pPr>
      <w:bookmarkStart w:id="708" w:name="_Toc462909472"/>
      <w:bookmarkStart w:id="709" w:name="_Toc465842955"/>
      <w:r w:rsidRPr="0032755E">
        <w:t>Telstra’s performance in answering emergency calls</w:t>
      </w:r>
      <w:bookmarkEnd w:id="708"/>
      <w:bookmarkEnd w:id="709"/>
    </w:p>
    <w:p w14:paraId="42B46AA0" w14:textId="77777777" w:rsidR="000B52D7" w:rsidRPr="0032755E" w:rsidRDefault="000B52D7" w:rsidP="000B52D7">
      <w:pPr>
        <w:spacing w:after="80"/>
        <w:rPr>
          <w:rFonts w:cstheme="minorBidi"/>
        </w:rPr>
      </w:pPr>
      <w:r w:rsidRPr="0032755E">
        <w:rPr>
          <w:rFonts w:cstheme="minorBidi"/>
        </w:rPr>
        <w:t>Section 32 of the Emergency Call Service Determination sets out performance criteria for the ECPs answering of calls to Triple Zero and 112, as follows:</w:t>
      </w:r>
    </w:p>
    <w:p w14:paraId="1E6B49C1" w14:textId="77777777" w:rsidR="000B52D7" w:rsidRPr="00656305" w:rsidRDefault="000B52D7" w:rsidP="000B52D7">
      <w:pPr>
        <w:pStyle w:val="ListBullet"/>
      </w:pPr>
      <w:r w:rsidRPr="00656305">
        <w:t xml:space="preserve">85 per cent of </w:t>
      </w:r>
      <w:r w:rsidRPr="00656305" w:rsidDel="00436294">
        <w:t xml:space="preserve">emergency </w:t>
      </w:r>
      <w:r w:rsidRPr="00656305">
        <w:t>calls answered within five seconds</w:t>
      </w:r>
    </w:p>
    <w:p w14:paraId="14F92B7C" w14:textId="77777777" w:rsidR="000B52D7" w:rsidRPr="00656305" w:rsidRDefault="000B52D7" w:rsidP="000B52D7">
      <w:pPr>
        <w:pStyle w:val="ListBulletLast"/>
      </w:pPr>
      <w:r w:rsidRPr="00656305">
        <w:t xml:space="preserve">95 per cent of </w:t>
      </w:r>
      <w:r w:rsidRPr="00656305" w:rsidDel="00436294">
        <w:t xml:space="preserve">emergency </w:t>
      </w:r>
      <w:r w:rsidRPr="00656305">
        <w:t>calls answered within 10 seconds.</w:t>
      </w:r>
    </w:p>
    <w:p w14:paraId="3605FAA1" w14:textId="77777777" w:rsidR="000B52D7" w:rsidRPr="0032755E" w:rsidRDefault="000B52D7" w:rsidP="000B52D7">
      <w:pPr>
        <w:rPr>
          <w:rFonts w:cstheme="minorBidi"/>
        </w:rPr>
      </w:pPr>
      <w:r w:rsidRPr="0032755E">
        <w:rPr>
          <w:rFonts w:cstheme="minorBidi"/>
        </w:rPr>
        <w:t>As in previous years, Telstra performed well above the regulatory requirement in the reporting period (Table 4</w:t>
      </w:r>
      <w:r w:rsidRPr="0032755E" w:rsidDel="00890F76">
        <w:rPr>
          <w:rFonts w:cstheme="minorBidi"/>
        </w:rPr>
        <w:t>.1).</w:t>
      </w:r>
    </w:p>
    <w:p w14:paraId="1E6CD060" w14:textId="77777777" w:rsidR="000B52D7" w:rsidRPr="0032755E" w:rsidRDefault="000B52D7" w:rsidP="000B52D7">
      <w:pPr>
        <w:pStyle w:val="Heading3"/>
      </w:pPr>
      <w:bookmarkStart w:id="710" w:name="_Toc462909473"/>
      <w:bookmarkStart w:id="711" w:name="_Toc465842956"/>
      <w:r w:rsidRPr="0032755E">
        <w:t>Calls connected to emergency service organisations</w:t>
      </w:r>
      <w:bookmarkEnd w:id="710"/>
      <w:bookmarkEnd w:id="711"/>
    </w:p>
    <w:p w14:paraId="4F82BD34" w14:textId="77777777" w:rsidR="000B52D7" w:rsidRPr="0032755E" w:rsidRDefault="000B52D7" w:rsidP="000B52D7">
      <w:r w:rsidRPr="0032755E">
        <w:t xml:space="preserve">The ECP for Triple Zero and 112 transfers emergency calls to the relevant state or territory </w:t>
      </w:r>
      <w:r w:rsidRPr="0032755E" w:rsidDel="00436294">
        <w:t xml:space="preserve">emergency service answering point </w:t>
      </w:r>
      <w:r w:rsidRPr="0032755E">
        <w:t>that is responsible for arranging the dispatch of an emergency response. In 2015–16, 6,178,484 calls were transferred to an ESO, an increase of 4.9 per cent on the previous year (Table 4.1).</w:t>
      </w:r>
    </w:p>
    <w:p w14:paraId="65A154EC" w14:textId="77777777" w:rsidR="000B52D7" w:rsidRPr="0032755E" w:rsidRDefault="000B52D7" w:rsidP="000B52D7">
      <w:r w:rsidRPr="0032755E" w:rsidDel="00805C7A">
        <w:t>Calls identified by the ECP as being non-emergency calls are not connected to an ESO. Non-emergency calls include misdials, automatically generated calls from incorrectly programmed fax machines or modems, callers reporting matters that are not emergencies, and hoax and malicious calls.</w:t>
      </w:r>
    </w:p>
    <w:p w14:paraId="7943C430" w14:textId="77777777" w:rsidR="003D0687" w:rsidRPr="00AA0C44" w:rsidRDefault="003D0687" w:rsidP="003D0687">
      <w:r w:rsidRPr="00AA0C44">
        <w:t xml:space="preserve">The proportion of ECP-answered calls </w:t>
      </w:r>
      <w:r>
        <w:t xml:space="preserve">that were </w:t>
      </w:r>
      <w:r w:rsidRPr="00AA0C44">
        <w:t xml:space="preserve">transferred to an ESO increased from 61.5 per cent in 2011–12 to 77.2 per cent in 2015–16. </w:t>
      </w:r>
      <w:r>
        <w:t xml:space="preserve">In the year </w:t>
      </w:r>
      <w:r w:rsidRPr="00AA0C44">
        <w:t>2015–16</w:t>
      </w:r>
      <w:r>
        <w:t>, the proportion of calls requiring transfer to an ESO</w:t>
      </w:r>
      <w:r w:rsidRPr="00AA0C44">
        <w:t xml:space="preserve"> </w:t>
      </w:r>
      <w:r>
        <w:t>rose by</w:t>
      </w:r>
      <w:r w:rsidRPr="00AA0C44">
        <w:t xml:space="preserve"> </w:t>
      </w:r>
      <w:r>
        <w:t>5.4 per cent</w:t>
      </w:r>
      <w:r w:rsidRPr="00AA0C44">
        <w:t xml:space="preserve"> </w:t>
      </w:r>
      <w:r>
        <w:t>over</w:t>
      </w:r>
      <w:r w:rsidRPr="00AA0C44">
        <w:t xml:space="preserve"> the previous year (Table 4.1). This ongoing improvement reflects the efforts of the ECP in managing the number of non-emergency calls made to the Triple Zero service.</w:t>
      </w:r>
    </w:p>
    <w:p w14:paraId="37CA5934" w14:textId="77777777" w:rsidR="000B52D7" w:rsidRPr="0032755E" w:rsidRDefault="000B52D7" w:rsidP="000B52D7">
      <w:r w:rsidRPr="0032755E" w:rsidDel="00805C7A">
        <w:t xml:space="preserve">The ACMA is continuing to monitor the results of an escalated warning process that was introduced in July 2009, and is managed by Telstra (as the ECP for Triple Zero and 112) and the three mobile network </w:t>
      </w:r>
      <w:r w:rsidRPr="0032755E">
        <w:t>carriers</w:t>
      </w:r>
      <w:r w:rsidRPr="0032755E" w:rsidDel="00805C7A">
        <w:t xml:space="preserve">. </w:t>
      </w:r>
      <w:r w:rsidRPr="0032755E">
        <w:t>This process</w:t>
      </w:r>
      <w:r w:rsidRPr="0032755E" w:rsidDel="00805C7A">
        <w:t xml:space="preserve"> can lead to a mobile handset being blocked from making most calls if it is used to make repeated non-emergency calls to Triple Zero. </w:t>
      </w:r>
      <w:r w:rsidRPr="0032755E">
        <w:t xml:space="preserve">Experience is showing that the risk of account suspension and police referral is acting as a significant deterrent. </w:t>
      </w:r>
      <w:r w:rsidRPr="0032755E" w:rsidDel="00805C7A">
        <w:t xml:space="preserve">On average, </w:t>
      </w:r>
      <w:r w:rsidRPr="0032755E">
        <w:t>99</w:t>
      </w:r>
      <w:r w:rsidRPr="0032755E" w:rsidDel="00805C7A">
        <w:t xml:space="preserve"> per cent of callers making repeated non-emergency calls are deterred from further misuse after receiving a warning from the</w:t>
      </w:r>
      <w:r w:rsidR="003617D6">
        <w:t> </w:t>
      </w:r>
      <w:r w:rsidRPr="0032755E" w:rsidDel="00805C7A">
        <w:t xml:space="preserve">ECP. </w:t>
      </w:r>
    </w:p>
    <w:p w14:paraId="68CCEBCA" w14:textId="77777777" w:rsidR="000B52D7" w:rsidRPr="006E0730" w:rsidRDefault="000B52D7" w:rsidP="00A556F4">
      <w:pPr>
        <w:keepNext/>
        <w:keepLines/>
        <w:spacing w:after="160"/>
        <w:ind w:left="1136" w:hanging="1136"/>
      </w:pPr>
      <w:r w:rsidRPr="006E0730">
        <w:rPr>
          <w:b/>
          <w:bCs/>
          <w:color w:val="323232"/>
          <w:szCs w:val="20"/>
        </w:rPr>
        <w:lastRenderedPageBreak/>
        <w:t>Table 4.</w:t>
      </w:r>
      <w:r w:rsidR="00311186" w:rsidRPr="009C1BE9">
        <w:rPr>
          <w:b/>
          <w:bCs/>
          <w:color w:val="323232"/>
          <w:szCs w:val="20"/>
        </w:rPr>
        <w:fldChar w:fldCharType="begin"/>
      </w:r>
      <w:r w:rsidR="00311186" w:rsidRPr="006E0730">
        <w:rPr>
          <w:b/>
          <w:bCs/>
          <w:color w:val="323232"/>
          <w:szCs w:val="20"/>
        </w:rPr>
        <w:instrText xml:space="preserve"> SEQ Table \r 1\* ARABIC </w:instrText>
      </w:r>
      <w:r w:rsidR="00311186" w:rsidRPr="009C1BE9">
        <w:rPr>
          <w:b/>
          <w:bCs/>
          <w:color w:val="323232"/>
          <w:szCs w:val="20"/>
        </w:rPr>
        <w:fldChar w:fldCharType="separate"/>
      </w:r>
      <w:r w:rsidR="00625DDF">
        <w:rPr>
          <w:b/>
          <w:bCs/>
          <w:noProof/>
          <w:color w:val="323232"/>
          <w:szCs w:val="20"/>
        </w:rPr>
        <w:t>1</w:t>
      </w:r>
      <w:r w:rsidR="00311186" w:rsidRPr="009C1BE9">
        <w:rPr>
          <w:b/>
          <w:bCs/>
          <w:color w:val="323232"/>
          <w:szCs w:val="20"/>
        </w:rPr>
        <w:fldChar w:fldCharType="end"/>
      </w:r>
      <w:r w:rsidRPr="006E0730">
        <w:rPr>
          <w:b/>
          <w:bCs/>
          <w:color w:val="323232"/>
          <w:szCs w:val="20"/>
        </w:rPr>
        <w:tab/>
        <w:t xml:space="preserve">Call volumes to emergency call service numbers Triple Zero and 112, </w:t>
      </w:r>
      <w:r w:rsidR="009329F7">
        <w:rPr>
          <w:b/>
          <w:bCs/>
          <w:color w:val="323232"/>
          <w:szCs w:val="20"/>
        </w:rPr>
        <w:br/>
      </w:r>
      <w:r w:rsidRPr="006E0730">
        <w:rPr>
          <w:b/>
          <w:bCs/>
          <w:color w:val="323232"/>
          <w:szCs w:val="20"/>
        </w:rPr>
        <w:t>and call answering times</w:t>
      </w:r>
    </w:p>
    <w:tbl>
      <w:tblPr>
        <w:tblW w:w="94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57" w:type="dxa"/>
          <w:left w:w="57" w:type="dxa"/>
          <w:bottom w:w="57" w:type="dxa"/>
          <w:right w:w="57" w:type="dxa"/>
        </w:tblCellMar>
        <w:tblLook w:val="01E0" w:firstRow="1" w:lastRow="1" w:firstColumn="1" w:lastColumn="1" w:noHBand="0" w:noVBand="0"/>
        <w:tblCaption w:val="Table 4.1 Call volumes to emergency call service numbers Triple Zero and 112, and call answering times"/>
      </w:tblPr>
      <w:tblGrid>
        <w:gridCol w:w="3167"/>
        <w:gridCol w:w="1252"/>
        <w:gridCol w:w="1252"/>
        <w:gridCol w:w="1253"/>
        <w:gridCol w:w="1253"/>
        <w:gridCol w:w="1253"/>
      </w:tblGrid>
      <w:tr w:rsidR="000B52D7" w:rsidRPr="006A24FC" w14:paraId="7AEDBB0C" w14:textId="77777777" w:rsidTr="00A556F4">
        <w:trPr>
          <w:trHeight w:val="233"/>
        </w:trPr>
        <w:tc>
          <w:tcPr>
            <w:tcW w:w="3167" w:type="dxa"/>
            <w:shd w:val="clear" w:color="auto" w:fill="auto"/>
            <w:tcMar>
              <w:top w:w="34" w:type="dxa"/>
              <w:left w:w="113" w:type="dxa"/>
            </w:tcMar>
          </w:tcPr>
          <w:p w14:paraId="187EA4AA" w14:textId="77777777" w:rsidR="000B52D7" w:rsidRPr="0032755E" w:rsidRDefault="000B52D7" w:rsidP="00A556F4">
            <w:pPr>
              <w:keepNext/>
              <w:keepLines/>
              <w:spacing w:after="0" w:line="240" w:lineRule="auto"/>
              <w:rPr>
                <w:rFonts w:cstheme="minorBidi"/>
              </w:rPr>
            </w:pPr>
          </w:p>
        </w:tc>
        <w:tc>
          <w:tcPr>
            <w:tcW w:w="1252" w:type="dxa"/>
            <w:shd w:val="clear" w:color="auto" w:fill="007298"/>
          </w:tcPr>
          <w:p w14:paraId="4D7FC009" w14:textId="77777777" w:rsidR="000B52D7" w:rsidRPr="0032755E" w:rsidRDefault="000B52D7" w:rsidP="009329F7">
            <w:pPr>
              <w:keepNext/>
              <w:keepLines/>
              <w:spacing w:after="0" w:line="240" w:lineRule="auto"/>
              <w:jc w:val="right"/>
              <w:rPr>
                <w:rFonts w:cstheme="minorBidi"/>
                <w:b/>
                <w:color w:val="FFFFFF" w:themeColor="background1"/>
                <w:sz w:val="18"/>
                <w:szCs w:val="22"/>
              </w:rPr>
            </w:pPr>
            <w:r w:rsidRPr="0032755E">
              <w:rPr>
                <w:rFonts w:cstheme="minorBidi"/>
                <w:b/>
                <w:color w:val="FFFFFF" w:themeColor="background1"/>
                <w:sz w:val="18"/>
                <w:szCs w:val="22"/>
              </w:rPr>
              <w:t>2011–12</w:t>
            </w:r>
          </w:p>
        </w:tc>
        <w:tc>
          <w:tcPr>
            <w:tcW w:w="1252" w:type="dxa"/>
            <w:shd w:val="clear" w:color="auto" w:fill="007298"/>
          </w:tcPr>
          <w:p w14:paraId="38F6EE8A" w14:textId="77777777" w:rsidR="000B52D7" w:rsidRPr="0032755E" w:rsidRDefault="000B52D7" w:rsidP="009329F7">
            <w:pPr>
              <w:keepNext/>
              <w:keepLines/>
              <w:spacing w:after="0" w:line="240" w:lineRule="auto"/>
              <w:jc w:val="right"/>
              <w:rPr>
                <w:rFonts w:cstheme="minorBidi"/>
                <w:b/>
                <w:color w:val="FFFFFF" w:themeColor="background1"/>
                <w:sz w:val="18"/>
                <w:szCs w:val="22"/>
              </w:rPr>
            </w:pPr>
            <w:r w:rsidRPr="0032755E">
              <w:rPr>
                <w:rFonts w:cstheme="minorBidi"/>
                <w:b/>
                <w:color w:val="FFFFFF" w:themeColor="background1"/>
                <w:sz w:val="18"/>
                <w:szCs w:val="22"/>
              </w:rPr>
              <w:t>2012–13</w:t>
            </w:r>
          </w:p>
        </w:tc>
        <w:tc>
          <w:tcPr>
            <w:tcW w:w="1253" w:type="dxa"/>
            <w:shd w:val="clear" w:color="auto" w:fill="007298"/>
          </w:tcPr>
          <w:p w14:paraId="7429F2BB" w14:textId="77777777" w:rsidR="000B52D7" w:rsidRPr="0032755E" w:rsidRDefault="000B52D7" w:rsidP="009329F7">
            <w:pPr>
              <w:keepNext/>
              <w:keepLines/>
              <w:spacing w:after="0" w:line="240" w:lineRule="auto"/>
              <w:jc w:val="right"/>
              <w:rPr>
                <w:rFonts w:cstheme="minorBidi"/>
                <w:b/>
                <w:color w:val="FFFFFF" w:themeColor="background1"/>
                <w:sz w:val="18"/>
                <w:szCs w:val="22"/>
              </w:rPr>
            </w:pPr>
            <w:r w:rsidRPr="0032755E">
              <w:rPr>
                <w:rFonts w:cstheme="minorBidi"/>
                <w:b/>
                <w:color w:val="FFFFFF" w:themeColor="background1"/>
                <w:sz w:val="18"/>
                <w:szCs w:val="22"/>
              </w:rPr>
              <w:t>2013–14</w:t>
            </w:r>
          </w:p>
        </w:tc>
        <w:tc>
          <w:tcPr>
            <w:tcW w:w="1253" w:type="dxa"/>
            <w:shd w:val="clear" w:color="auto" w:fill="007298"/>
          </w:tcPr>
          <w:p w14:paraId="0851DE88" w14:textId="77777777" w:rsidR="000B52D7" w:rsidRPr="0032755E" w:rsidRDefault="000B52D7" w:rsidP="009329F7">
            <w:pPr>
              <w:keepNext/>
              <w:keepLines/>
              <w:spacing w:after="0" w:line="240" w:lineRule="auto"/>
              <w:jc w:val="right"/>
              <w:rPr>
                <w:rFonts w:cstheme="minorBidi"/>
                <w:b/>
                <w:color w:val="FFFFFF" w:themeColor="background1"/>
                <w:sz w:val="18"/>
                <w:szCs w:val="22"/>
              </w:rPr>
            </w:pPr>
            <w:r w:rsidRPr="0032755E">
              <w:rPr>
                <w:rFonts w:cstheme="minorBidi"/>
                <w:b/>
                <w:color w:val="FFFFFF" w:themeColor="background1"/>
                <w:sz w:val="18"/>
                <w:szCs w:val="22"/>
              </w:rPr>
              <w:t>2014</w:t>
            </w:r>
            <w:r>
              <w:rPr>
                <w:rFonts w:cs="Arial"/>
                <w:b/>
                <w:color w:val="FFFFFF" w:themeColor="background1"/>
                <w:sz w:val="18"/>
                <w:szCs w:val="22"/>
              </w:rPr>
              <w:t>–</w:t>
            </w:r>
            <w:r w:rsidRPr="0032755E">
              <w:rPr>
                <w:rFonts w:cstheme="minorBidi"/>
                <w:b/>
                <w:color w:val="FFFFFF" w:themeColor="background1"/>
                <w:sz w:val="18"/>
                <w:szCs w:val="22"/>
              </w:rPr>
              <w:t>15</w:t>
            </w:r>
          </w:p>
        </w:tc>
        <w:tc>
          <w:tcPr>
            <w:tcW w:w="1253" w:type="dxa"/>
            <w:shd w:val="clear" w:color="auto" w:fill="007298"/>
          </w:tcPr>
          <w:p w14:paraId="47D2BEC7" w14:textId="77777777" w:rsidR="000B52D7" w:rsidRPr="0032755E" w:rsidRDefault="000B52D7" w:rsidP="009329F7">
            <w:pPr>
              <w:keepNext/>
              <w:keepLines/>
              <w:spacing w:after="0" w:line="240" w:lineRule="auto"/>
              <w:jc w:val="right"/>
              <w:rPr>
                <w:rFonts w:cstheme="minorBidi"/>
                <w:b/>
                <w:color w:val="FFFFFF" w:themeColor="background1"/>
                <w:sz w:val="18"/>
                <w:szCs w:val="22"/>
              </w:rPr>
            </w:pPr>
            <w:r w:rsidRPr="0032755E">
              <w:rPr>
                <w:rFonts w:cstheme="minorBidi"/>
                <w:b/>
                <w:color w:val="FFFFFF" w:themeColor="background1"/>
                <w:sz w:val="18"/>
                <w:szCs w:val="22"/>
              </w:rPr>
              <w:t>2015</w:t>
            </w:r>
            <w:r>
              <w:rPr>
                <w:rFonts w:cs="Arial"/>
                <w:b/>
                <w:color w:val="FFFFFF" w:themeColor="background1"/>
                <w:sz w:val="18"/>
                <w:szCs w:val="22"/>
              </w:rPr>
              <w:t>–</w:t>
            </w:r>
            <w:r w:rsidRPr="0032755E">
              <w:rPr>
                <w:rFonts w:cstheme="minorBidi"/>
                <w:b/>
                <w:color w:val="FFFFFF" w:themeColor="background1"/>
                <w:sz w:val="18"/>
                <w:szCs w:val="22"/>
              </w:rPr>
              <w:t>16</w:t>
            </w:r>
          </w:p>
        </w:tc>
      </w:tr>
      <w:tr w:rsidR="000B52D7" w:rsidRPr="006A24FC" w14:paraId="7917ECF3" w14:textId="77777777" w:rsidTr="00C903C0">
        <w:trPr>
          <w:trHeight w:val="185"/>
        </w:trPr>
        <w:tc>
          <w:tcPr>
            <w:tcW w:w="3167" w:type="dxa"/>
            <w:shd w:val="clear" w:color="auto" w:fill="7FB8CB"/>
            <w:tcMar>
              <w:left w:w="113" w:type="dxa"/>
            </w:tcMar>
            <w:vAlign w:val="center"/>
          </w:tcPr>
          <w:p w14:paraId="0D2DA4A3" w14:textId="77777777" w:rsidR="000B52D7" w:rsidRPr="00BE6BBB" w:rsidRDefault="000B52D7" w:rsidP="00A556F4">
            <w:pPr>
              <w:keepNext/>
              <w:keepLines/>
              <w:spacing w:after="0" w:line="240" w:lineRule="auto"/>
              <w:rPr>
                <w:rFonts w:cstheme="minorBidi"/>
                <w:color w:val="FFFFFF" w:themeColor="background1"/>
                <w:sz w:val="18"/>
                <w:szCs w:val="22"/>
                <w:lang w:eastAsia="en-US"/>
              </w:rPr>
            </w:pPr>
            <w:r w:rsidRPr="00BE6BBB">
              <w:rPr>
                <w:rFonts w:cstheme="minorBidi"/>
                <w:color w:val="FFFFFF" w:themeColor="background1"/>
                <w:sz w:val="18"/>
                <w:szCs w:val="22"/>
                <w:lang w:eastAsia="en-US"/>
              </w:rPr>
              <w:t>Calls offered from mobile phones (%)</w:t>
            </w:r>
          </w:p>
        </w:tc>
        <w:tc>
          <w:tcPr>
            <w:tcW w:w="1252" w:type="dxa"/>
            <w:shd w:val="clear" w:color="auto" w:fill="D2E1E9"/>
            <w:vAlign w:val="center"/>
          </w:tcPr>
          <w:p w14:paraId="2B11BCA2"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67.3</w:t>
            </w:r>
          </w:p>
        </w:tc>
        <w:tc>
          <w:tcPr>
            <w:tcW w:w="1252" w:type="dxa"/>
            <w:shd w:val="clear" w:color="auto" w:fill="D2E1E9"/>
            <w:vAlign w:val="center"/>
          </w:tcPr>
          <w:p w14:paraId="627E6E43"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66.9</w:t>
            </w:r>
          </w:p>
        </w:tc>
        <w:tc>
          <w:tcPr>
            <w:tcW w:w="1253" w:type="dxa"/>
            <w:shd w:val="clear" w:color="auto" w:fill="D2E1E9"/>
            <w:vAlign w:val="center"/>
          </w:tcPr>
          <w:p w14:paraId="2758F142"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66.5</w:t>
            </w:r>
          </w:p>
        </w:tc>
        <w:tc>
          <w:tcPr>
            <w:tcW w:w="1253" w:type="dxa"/>
            <w:shd w:val="clear" w:color="auto" w:fill="D2E1E9"/>
            <w:vAlign w:val="center"/>
          </w:tcPr>
          <w:p w14:paraId="1A2C408E"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66.9</w:t>
            </w:r>
          </w:p>
        </w:tc>
        <w:tc>
          <w:tcPr>
            <w:tcW w:w="1253" w:type="dxa"/>
            <w:shd w:val="clear" w:color="auto" w:fill="D2E1E9"/>
            <w:vAlign w:val="center"/>
          </w:tcPr>
          <w:p w14:paraId="2EB53751"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68.7</w:t>
            </w:r>
          </w:p>
        </w:tc>
      </w:tr>
      <w:tr w:rsidR="000B52D7" w:rsidRPr="006A24FC" w14:paraId="36ABCA81" w14:textId="77777777" w:rsidTr="00C903C0">
        <w:trPr>
          <w:trHeight w:val="23"/>
        </w:trPr>
        <w:tc>
          <w:tcPr>
            <w:tcW w:w="3167" w:type="dxa"/>
            <w:shd w:val="clear" w:color="auto" w:fill="7FB8CB"/>
            <w:tcMar>
              <w:left w:w="113" w:type="dxa"/>
            </w:tcMar>
            <w:vAlign w:val="center"/>
          </w:tcPr>
          <w:p w14:paraId="25EA0DE8" w14:textId="77777777" w:rsidR="000B52D7" w:rsidRPr="00BE6BBB" w:rsidRDefault="000B52D7" w:rsidP="00A556F4">
            <w:pPr>
              <w:keepNext/>
              <w:keepLines/>
              <w:spacing w:after="0" w:line="240" w:lineRule="auto"/>
              <w:rPr>
                <w:rFonts w:cstheme="minorBidi"/>
                <w:color w:val="FFFFFF" w:themeColor="background1"/>
                <w:spacing w:val="-28"/>
                <w:sz w:val="18"/>
                <w:szCs w:val="22"/>
                <w:lang w:eastAsia="en-US"/>
              </w:rPr>
            </w:pPr>
            <w:r w:rsidRPr="00BE6BBB">
              <w:rPr>
                <w:rFonts w:cstheme="minorBidi"/>
                <w:color w:val="FFFFFF" w:themeColor="background1"/>
                <w:sz w:val="18"/>
                <w:szCs w:val="22"/>
                <w:lang w:eastAsia="en-US"/>
              </w:rPr>
              <w:t>Calls answered (%)</w:t>
            </w:r>
          </w:p>
        </w:tc>
        <w:tc>
          <w:tcPr>
            <w:tcW w:w="1252" w:type="dxa"/>
            <w:shd w:val="clear" w:color="auto" w:fill="D2E1E9"/>
            <w:vAlign w:val="center"/>
          </w:tcPr>
          <w:p w14:paraId="1F2438DA"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96.0</w:t>
            </w:r>
          </w:p>
        </w:tc>
        <w:tc>
          <w:tcPr>
            <w:tcW w:w="1252" w:type="dxa"/>
            <w:shd w:val="clear" w:color="auto" w:fill="D2E1E9"/>
            <w:vAlign w:val="center"/>
          </w:tcPr>
          <w:p w14:paraId="4BA5C62E"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96.0</w:t>
            </w:r>
          </w:p>
        </w:tc>
        <w:tc>
          <w:tcPr>
            <w:tcW w:w="1253" w:type="dxa"/>
            <w:shd w:val="clear" w:color="auto" w:fill="D2E1E9"/>
            <w:vAlign w:val="center"/>
          </w:tcPr>
          <w:p w14:paraId="31B0BB63"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96.0</w:t>
            </w:r>
          </w:p>
        </w:tc>
        <w:tc>
          <w:tcPr>
            <w:tcW w:w="1253" w:type="dxa"/>
            <w:shd w:val="clear" w:color="auto" w:fill="D2E1E9"/>
            <w:vAlign w:val="center"/>
          </w:tcPr>
          <w:p w14:paraId="64119549"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96.0</w:t>
            </w:r>
          </w:p>
        </w:tc>
        <w:tc>
          <w:tcPr>
            <w:tcW w:w="1253" w:type="dxa"/>
            <w:shd w:val="clear" w:color="auto" w:fill="D2E1E9"/>
            <w:vAlign w:val="center"/>
          </w:tcPr>
          <w:p w14:paraId="119906EF"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96.0</w:t>
            </w:r>
          </w:p>
        </w:tc>
      </w:tr>
      <w:tr w:rsidR="000B52D7" w:rsidRPr="006A24FC" w14:paraId="0252BEE4" w14:textId="77777777" w:rsidTr="00A556F4">
        <w:trPr>
          <w:trHeight w:val="348"/>
        </w:trPr>
        <w:tc>
          <w:tcPr>
            <w:tcW w:w="3167" w:type="dxa"/>
            <w:shd w:val="clear" w:color="auto" w:fill="7FB8CB"/>
            <w:tcMar>
              <w:left w:w="113" w:type="dxa"/>
            </w:tcMar>
            <w:vAlign w:val="center"/>
          </w:tcPr>
          <w:p w14:paraId="77847BDF" w14:textId="77777777" w:rsidR="000B52D7" w:rsidRPr="00BE6BBB" w:rsidRDefault="000B52D7" w:rsidP="00A556F4">
            <w:pPr>
              <w:keepNext/>
              <w:keepLines/>
              <w:spacing w:after="0" w:line="240" w:lineRule="auto"/>
              <w:rPr>
                <w:rFonts w:cstheme="minorBidi"/>
                <w:color w:val="FFFFFF" w:themeColor="background1"/>
                <w:sz w:val="18"/>
                <w:szCs w:val="22"/>
                <w:lang w:eastAsia="en-US"/>
              </w:rPr>
            </w:pPr>
            <w:r w:rsidRPr="00BE6BBB">
              <w:rPr>
                <w:rFonts w:cstheme="minorBidi"/>
                <w:color w:val="FFFFFF" w:themeColor="background1"/>
                <w:sz w:val="18"/>
                <w:szCs w:val="22"/>
                <w:lang w:eastAsia="en-US"/>
              </w:rPr>
              <w:t>Of calls answered, those that wait five seconds or fewer (%)</w:t>
            </w:r>
          </w:p>
        </w:tc>
        <w:tc>
          <w:tcPr>
            <w:tcW w:w="1252" w:type="dxa"/>
            <w:shd w:val="clear" w:color="auto" w:fill="D2E1E9"/>
            <w:vAlign w:val="center"/>
          </w:tcPr>
          <w:p w14:paraId="3090FF04"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95.8</w:t>
            </w:r>
          </w:p>
        </w:tc>
        <w:tc>
          <w:tcPr>
            <w:tcW w:w="1252" w:type="dxa"/>
            <w:shd w:val="clear" w:color="auto" w:fill="D2E1E9"/>
            <w:vAlign w:val="center"/>
          </w:tcPr>
          <w:p w14:paraId="45941099"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95.8</w:t>
            </w:r>
          </w:p>
        </w:tc>
        <w:tc>
          <w:tcPr>
            <w:tcW w:w="1253" w:type="dxa"/>
            <w:shd w:val="clear" w:color="auto" w:fill="D2E1E9"/>
            <w:vAlign w:val="center"/>
          </w:tcPr>
          <w:p w14:paraId="5C4D96BF"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95.4</w:t>
            </w:r>
          </w:p>
        </w:tc>
        <w:tc>
          <w:tcPr>
            <w:tcW w:w="1253" w:type="dxa"/>
            <w:shd w:val="clear" w:color="auto" w:fill="D2E1E9"/>
            <w:vAlign w:val="center"/>
          </w:tcPr>
          <w:p w14:paraId="279CFD12"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97.3</w:t>
            </w:r>
          </w:p>
        </w:tc>
        <w:tc>
          <w:tcPr>
            <w:tcW w:w="1253" w:type="dxa"/>
            <w:shd w:val="clear" w:color="auto" w:fill="D2E1E9"/>
            <w:vAlign w:val="center"/>
          </w:tcPr>
          <w:p w14:paraId="4CA573A7"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94.9</w:t>
            </w:r>
          </w:p>
        </w:tc>
      </w:tr>
      <w:tr w:rsidR="000B52D7" w:rsidRPr="006A24FC" w14:paraId="0D660F5D" w14:textId="77777777" w:rsidTr="00C903C0">
        <w:trPr>
          <w:trHeight w:val="118"/>
        </w:trPr>
        <w:tc>
          <w:tcPr>
            <w:tcW w:w="3167" w:type="dxa"/>
            <w:shd w:val="clear" w:color="auto" w:fill="7FB8CB"/>
            <w:tcMar>
              <w:left w:w="113" w:type="dxa"/>
            </w:tcMar>
            <w:vAlign w:val="center"/>
          </w:tcPr>
          <w:p w14:paraId="3B71CF8D" w14:textId="77777777" w:rsidR="000B52D7" w:rsidRPr="00BE6BBB" w:rsidRDefault="000B52D7" w:rsidP="00A556F4">
            <w:pPr>
              <w:keepNext/>
              <w:keepLines/>
              <w:spacing w:after="0" w:line="240" w:lineRule="auto"/>
              <w:rPr>
                <w:rFonts w:cstheme="minorBidi"/>
                <w:color w:val="FFFFFF" w:themeColor="background1"/>
                <w:sz w:val="18"/>
                <w:szCs w:val="22"/>
                <w:lang w:eastAsia="en-US"/>
              </w:rPr>
            </w:pPr>
            <w:r w:rsidRPr="00BE6BBB">
              <w:rPr>
                <w:rFonts w:cstheme="minorBidi"/>
                <w:color w:val="FFFFFF" w:themeColor="background1"/>
                <w:sz w:val="18"/>
                <w:szCs w:val="22"/>
                <w:lang w:eastAsia="en-US"/>
              </w:rPr>
              <w:t>Of calls answered, those that wait 10</w:t>
            </w:r>
            <w:r w:rsidR="00C903C0" w:rsidRPr="00BE6BBB">
              <w:rPr>
                <w:rFonts w:cstheme="minorBidi"/>
                <w:color w:val="FFFFFF" w:themeColor="background1"/>
                <w:sz w:val="18"/>
                <w:szCs w:val="22"/>
                <w:lang w:eastAsia="en-US"/>
              </w:rPr>
              <w:t> </w:t>
            </w:r>
            <w:r w:rsidRPr="00BE6BBB">
              <w:rPr>
                <w:rFonts w:cstheme="minorBidi"/>
                <w:color w:val="FFFFFF" w:themeColor="background1"/>
                <w:sz w:val="18"/>
                <w:szCs w:val="22"/>
                <w:lang w:eastAsia="en-US"/>
              </w:rPr>
              <w:t>seconds or fewer (%)</w:t>
            </w:r>
          </w:p>
        </w:tc>
        <w:tc>
          <w:tcPr>
            <w:tcW w:w="1252" w:type="dxa"/>
            <w:shd w:val="clear" w:color="auto" w:fill="D2E1E9"/>
            <w:vAlign w:val="center"/>
          </w:tcPr>
          <w:p w14:paraId="183419D6"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98.9</w:t>
            </w:r>
          </w:p>
        </w:tc>
        <w:tc>
          <w:tcPr>
            <w:tcW w:w="1252" w:type="dxa"/>
            <w:shd w:val="clear" w:color="auto" w:fill="D2E1E9"/>
            <w:vAlign w:val="center"/>
          </w:tcPr>
          <w:p w14:paraId="21CFE768"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99.1</w:t>
            </w:r>
          </w:p>
        </w:tc>
        <w:tc>
          <w:tcPr>
            <w:tcW w:w="1253" w:type="dxa"/>
            <w:shd w:val="clear" w:color="auto" w:fill="D2E1E9"/>
            <w:vAlign w:val="center"/>
          </w:tcPr>
          <w:p w14:paraId="3FED5141"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99.3</w:t>
            </w:r>
          </w:p>
        </w:tc>
        <w:tc>
          <w:tcPr>
            <w:tcW w:w="1253" w:type="dxa"/>
            <w:shd w:val="clear" w:color="auto" w:fill="D2E1E9"/>
            <w:vAlign w:val="center"/>
          </w:tcPr>
          <w:p w14:paraId="0E53079A"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98.7</w:t>
            </w:r>
          </w:p>
        </w:tc>
        <w:tc>
          <w:tcPr>
            <w:tcW w:w="1253" w:type="dxa"/>
            <w:shd w:val="clear" w:color="auto" w:fill="D2E1E9"/>
            <w:vAlign w:val="center"/>
          </w:tcPr>
          <w:p w14:paraId="22576262"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98.4</w:t>
            </w:r>
          </w:p>
        </w:tc>
      </w:tr>
      <w:tr w:rsidR="000B52D7" w:rsidRPr="006A24FC" w14:paraId="23A1370C" w14:textId="77777777" w:rsidTr="00A556F4">
        <w:trPr>
          <w:trHeight w:val="152"/>
        </w:trPr>
        <w:tc>
          <w:tcPr>
            <w:tcW w:w="3167" w:type="dxa"/>
            <w:shd w:val="clear" w:color="auto" w:fill="7FB8CB"/>
            <w:tcMar>
              <w:left w:w="113" w:type="dxa"/>
            </w:tcMar>
            <w:vAlign w:val="center"/>
          </w:tcPr>
          <w:p w14:paraId="1F681A62" w14:textId="77777777" w:rsidR="000B52D7" w:rsidRPr="00BE6BBB" w:rsidRDefault="000B52D7" w:rsidP="00A556F4">
            <w:pPr>
              <w:keepNext/>
              <w:keepLines/>
              <w:spacing w:after="0" w:line="240" w:lineRule="auto"/>
              <w:rPr>
                <w:rFonts w:cstheme="minorBidi"/>
                <w:b/>
                <w:color w:val="FFFFFF" w:themeColor="background1"/>
                <w:sz w:val="18"/>
                <w:szCs w:val="22"/>
                <w:lang w:eastAsia="en-US"/>
              </w:rPr>
            </w:pPr>
            <w:r w:rsidRPr="00BE6BBB">
              <w:rPr>
                <w:rFonts w:cstheme="minorBidi"/>
                <w:b/>
                <w:color w:val="FFFFFF" w:themeColor="background1"/>
                <w:sz w:val="18"/>
                <w:szCs w:val="22"/>
                <w:lang w:eastAsia="en-US"/>
              </w:rPr>
              <w:t>Total number of calls offered</w:t>
            </w:r>
          </w:p>
        </w:tc>
        <w:tc>
          <w:tcPr>
            <w:tcW w:w="1252" w:type="dxa"/>
            <w:shd w:val="clear" w:color="auto" w:fill="7FB8CB"/>
            <w:vAlign w:val="center"/>
          </w:tcPr>
          <w:p w14:paraId="77C8F2E5" w14:textId="77777777" w:rsidR="000B52D7" w:rsidRPr="00BE6BBB" w:rsidRDefault="000B52D7" w:rsidP="009329F7">
            <w:pPr>
              <w:keepNext/>
              <w:keepLines/>
              <w:spacing w:after="0" w:line="240" w:lineRule="auto"/>
              <w:jc w:val="right"/>
              <w:rPr>
                <w:rFonts w:cstheme="minorBidi"/>
                <w:b/>
                <w:color w:val="FFFFFF" w:themeColor="background1"/>
                <w:sz w:val="18"/>
                <w:szCs w:val="22"/>
                <w:lang w:eastAsia="en-US"/>
              </w:rPr>
            </w:pPr>
            <w:r w:rsidRPr="00BE6BBB">
              <w:rPr>
                <w:rFonts w:cstheme="minorBidi"/>
                <w:b/>
                <w:color w:val="FFFFFF" w:themeColor="background1"/>
                <w:sz w:val="18"/>
                <w:szCs w:val="22"/>
                <w:lang w:eastAsia="en-US"/>
              </w:rPr>
              <w:t>9,429,595</w:t>
            </w:r>
          </w:p>
        </w:tc>
        <w:tc>
          <w:tcPr>
            <w:tcW w:w="1252" w:type="dxa"/>
            <w:shd w:val="clear" w:color="auto" w:fill="7FB8CB"/>
            <w:vAlign w:val="center"/>
          </w:tcPr>
          <w:p w14:paraId="731B3E77" w14:textId="77777777" w:rsidR="000B52D7" w:rsidRPr="00BE6BBB" w:rsidRDefault="000B52D7" w:rsidP="009329F7">
            <w:pPr>
              <w:keepNext/>
              <w:keepLines/>
              <w:spacing w:after="0" w:line="240" w:lineRule="auto"/>
              <w:jc w:val="right"/>
              <w:rPr>
                <w:rFonts w:cstheme="minorBidi"/>
                <w:b/>
                <w:color w:val="FFFFFF" w:themeColor="background1"/>
                <w:sz w:val="18"/>
                <w:szCs w:val="22"/>
                <w:lang w:eastAsia="en-US"/>
              </w:rPr>
            </w:pPr>
            <w:r w:rsidRPr="00BE6BBB">
              <w:rPr>
                <w:rFonts w:cstheme="minorBidi"/>
                <w:b/>
                <w:color w:val="FFFFFF" w:themeColor="background1"/>
                <w:sz w:val="18"/>
                <w:szCs w:val="22"/>
                <w:lang w:eastAsia="en-US"/>
              </w:rPr>
              <w:t>8,854,728</w:t>
            </w:r>
          </w:p>
        </w:tc>
        <w:tc>
          <w:tcPr>
            <w:tcW w:w="1253" w:type="dxa"/>
            <w:shd w:val="clear" w:color="auto" w:fill="7FB8CB"/>
            <w:vAlign w:val="center"/>
          </w:tcPr>
          <w:p w14:paraId="77383E0F" w14:textId="77777777" w:rsidR="000B52D7" w:rsidRPr="00BE6BBB" w:rsidRDefault="000B52D7" w:rsidP="009329F7">
            <w:pPr>
              <w:keepNext/>
              <w:keepLines/>
              <w:spacing w:after="0" w:line="240" w:lineRule="auto"/>
              <w:jc w:val="right"/>
              <w:rPr>
                <w:rFonts w:cstheme="minorBidi"/>
                <w:b/>
                <w:color w:val="FFFFFF" w:themeColor="background1"/>
                <w:sz w:val="18"/>
                <w:szCs w:val="22"/>
                <w:lang w:eastAsia="en-US"/>
              </w:rPr>
            </w:pPr>
            <w:r w:rsidRPr="00BE6BBB">
              <w:rPr>
                <w:rFonts w:cstheme="minorBidi"/>
                <w:b/>
                <w:color w:val="FFFFFF" w:themeColor="background1"/>
                <w:sz w:val="18"/>
                <w:szCs w:val="22"/>
                <w:lang w:eastAsia="en-US"/>
              </w:rPr>
              <w:t>8,481,470</w:t>
            </w:r>
          </w:p>
        </w:tc>
        <w:tc>
          <w:tcPr>
            <w:tcW w:w="1253" w:type="dxa"/>
            <w:shd w:val="clear" w:color="auto" w:fill="7FB8CB"/>
            <w:vAlign w:val="center"/>
          </w:tcPr>
          <w:p w14:paraId="43B1B5C4" w14:textId="77777777" w:rsidR="000B52D7" w:rsidRPr="00BE6BBB" w:rsidRDefault="000B52D7" w:rsidP="009329F7">
            <w:pPr>
              <w:keepNext/>
              <w:keepLines/>
              <w:spacing w:after="0" w:line="240" w:lineRule="auto"/>
              <w:jc w:val="right"/>
              <w:rPr>
                <w:rFonts w:cstheme="minorBidi"/>
                <w:b/>
                <w:color w:val="FFFFFF" w:themeColor="background1"/>
                <w:sz w:val="18"/>
                <w:szCs w:val="22"/>
                <w:lang w:eastAsia="en-US"/>
              </w:rPr>
            </w:pPr>
            <w:r w:rsidRPr="00BE6BBB">
              <w:rPr>
                <w:rFonts w:cstheme="minorBidi"/>
                <w:b/>
                <w:color w:val="FFFFFF" w:themeColor="background1"/>
                <w:sz w:val="18"/>
                <w:szCs w:val="22"/>
                <w:lang w:eastAsia="en-US"/>
              </w:rPr>
              <w:t>8,377,394</w:t>
            </w:r>
          </w:p>
        </w:tc>
        <w:tc>
          <w:tcPr>
            <w:tcW w:w="1253" w:type="dxa"/>
            <w:shd w:val="clear" w:color="auto" w:fill="7FB8CB"/>
            <w:vAlign w:val="center"/>
          </w:tcPr>
          <w:p w14:paraId="139704D6" w14:textId="77777777" w:rsidR="000B52D7" w:rsidRPr="00BE6BBB" w:rsidRDefault="000B52D7" w:rsidP="009329F7">
            <w:pPr>
              <w:keepNext/>
              <w:keepLines/>
              <w:spacing w:after="0" w:line="240" w:lineRule="auto"/>
              <w:jc w:val="right"/>
              <w:rPr>
                <w:rFonts w:cstheme="minorBidi"/>
                <w:b/>
                <w:color w:val="FFFFFF" w:themeColor="background1"/>
                <w:sz w:val="18"/>
                <w:szCs w:val="22"/>
                <w:lang w:eastAsia="en-US"/>
              </w:rPr>
            </w:pPr>
            <w:r w:rsidRPr="00BE6BBB">
              <w:rPr>
                <w:rFonts w:cstheme="minorBidi"/>
                <w:b/>
                <w:color w:val="FFFFFF" w:themeColor="background1"/>
                <w:sz w:val="18"/>
                <w:szCs w:val="22"/>
                <w:lang w:eastAsia="en-US"/>
              </w:rPr>
              <w:t>8,350,745</w:t>
            </w:r>
          </w:p>
        </w:tc>
      </w:tr>
      <w:tr w:rsidR="000B52D7" w:rsidRPr="006A24FC" w14:paraId="1A0B903B" w14:textId="77777777" w:rsidTr="00A556F4">
        <w:trPr>
          <w:trHeight w:val="342"/>
        </w:trPr>
        <w:tc>
          <w:tcPr>
            <w:tcW w:w="3167" w:type="dxa"/>
            <w:shd w:val="clear" w:color="auto" w:fill="7FB8CB"/>
            <w:tcMar>
              <w:left w:w="113" w:type="dxa"/>
            </w:tcMar>
            <w:vAlign w:val="center"/>
          </w:tcPr>
          <w:p w14:paraId="7AC98EC3" w14:textId="77777777" w:rsidR="000B52D7" w:rsidRPr="00BE6BBB" w:rsidRDefault="000B52D7" w:rsidP="00A556F4">
            <w:pPr>
              <w:keepNext/>
              <w:keepLines/>
              <w:spacing w:after="0" w:line="240" w:lineRule="auto"/>
              <w:rPr>
                <w:rFonts w:cstheme="minorBidi"/>
                <w:color w:val="FFFFFF" w:themeColor="background1"/>
                <w:spacing w:val="-28"/>
                <w:sz w:val="18"/>
                <w:szCs w:val="22"/>
                <w:lang w:eastAsia="en-US"/>
              </w:rPr>
            </w:pPr>
            <w:r w:rsidRPr="00BE6BBB">
              <w:rPr>
                <w:rFonts w:cstheme="minorBidi"/>
                <w:color w:val="FFFFFF" w:themeColor="background1"/>
                <w:sz w:val="18"/>
                <w:szCs w:val="22"/>
                <w:lang w:eastAsia="en-US"/>
              </w:rPr>
              <w:t xml:space="preserve">Answered calls transferred to </w:t>
            </w:r>
            <w:r w:rsidRPr="00BE6BBB">
              <w:rPr>
                <w:rFonts w:cstheme="minorBidi"/>
                <w:color w:val="FFFFFF" w:themeColor="background1"/>
                <w:sz w:val="18"/>
                <w:szCs w:val="22"/>
                <w:lang w:eastAsia="en-US"/>
              </w:rPr>
              <w:br/>
              <w:t>an ESO (%)</w:t>
            </w:r>
          </w:p>
        </w:tc>
        <w:tc>
          <w:tcPr>
            <w:tcW w:w="1252" w:type="dxa"/>
            <w:shd w:val="clear" w:color="auto" w:fill="D2E1E9"/>
            <w:vAlign w:val="center"/>
          </w:tcPr>
          <w:p w14:paraId="2176D304"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61.5</w:t>
            </w:r>
          </w:p>
        </w:tc>
        <w:tc>
          <w:tcPr>
            <w:tcW w:w="1252" w:type="dxa"/>
            <w:shd w:val="clear" w:color="auto" w:fill="D2E1E9"/>
            <w:vAlign w:val="center"/>
          </w:tcPr>
          <w:p w14:paraId="668A03D0"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rPr>
              <w:t>67.5</w:t>
            </w:r>
          </w:p>
        </w:tc>
        <w:tc>
          <w:tcPr>
            <w:tcW w:w="1253" w:type="dxa"/>
            <w:shd w:val="clear" w:color="auto" w:fill="D2E1E9"/>
            <w:vAlign w:val="center"/>
          </w:tcPr>
          <w:p w14:paraId="57C127B7"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70.6</w:t>
            </w:r>
          </w:p>
        </w:tc>
        <w:tc>
          <w:tcPr>
            <w:tcW w:w="1253" w:type="dxa"/>
            <w:shd w:val="clear" w:color="auto" w:fill="D2E1E9"/>
            <w:vAlign w:val="center"/>
          </w:tcPr>
          <w:p w14:paraId="281D7990"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73.2</w:t>
            </w:r>
          </w:p>
        </w:tc>
        <w:tc>
          <w:tcPr>
            <w:tcW w:w="1253" w:type="dxa"/>
            <w:shd w:val="clear" w:color="auto" w:fill="D2E1E9"/>
            <w:vAlign w:val="center"/>
          </w:tcPr>
          <w:p w14:paraId="0DCD5A3D" w14:textId="77777777" w:rsidR="000B52D7" w:rsidRPr="0032755E" w:rsidRDefault="000B52D7" w:rsidP="009329F7">
            <w:pPr>
              <w:keepNext/>
              <w:keepLines/>
              <w:spacing w:after="0" w:line="240" w:lineRule="auto"/>
              <w:jc w:val="right"/>
              <w:rPr>
                <w:rFonts w:cstheme="minorBidi"/>
                <w:sz w:val="18"/>
                <w:szCs w:val="22"/>
                <w:lang w:eastAsia="en-US"/>
              </w:rPr>
            </w:pPr>
            <w:r w:rsidRPr="0032755E">
              <w:rPr>
                <w:rFonts w:cstheme="minorBidi"/>
                <w:sz w:val="18"/>
                <w:szCs w:val="22"/>
                <w:lang w:eastAsia="en-US"/>
              </w:rPr>
              <w:t>77.2</w:t>
            </w:r>
          </w:p>
        </w:tc>
      </w:tr>
      <w:tr w:rsidR="000B52D7" w:rsidRPr="006A24FC" w14:paraId="463F3603" w14:textId="77777777" w:rsidTr="00C903C0">
        <w:trPr>
          <w:trHeight w:val="84"/>
        </w:trPr>
        <w:tc>
          <w:tcPr>
            <w:tcW w:w="3167" w:type="dxa"/>
            <w:shd w:val="clear" w:color="auto" w:fill="7FB8CB"/>
            <w:tcMar>
              <w:left w:w="113" w:type="dxa"/>
            </w:tcMar>
            <w:vAlign w:val="center"/>
          </w:tcPr>
          <w:p w14:paraId="48A8F881" w14:textId="77777777" w:rsidR="000B52D7" w:rsidRPr="00BE6BBB" w:rsidRDefault="000B52D7" w:rsidP="00A556F4">
            <w:pPr>
              <w:keepNext/>
              <w:keepLines/>
              <w:spacing w:after="0" w:line="240" w:lineRule="auto"/>
              <w:rPr>
                <w:rFonts w:cstheme="minorBidi"/>
                <w:color w:val="FFFFFF" w:themeColor="background1"/>
                <w:sz w:val="18"/>
                <w:szCs w:val="22"/>
                <w:lang w:eastAsia="en-US"/>
              </w:rPr>
            </w:pPr>
            <w:r w:rsidRPr="00BE6BBB">
              <w:rPr>
                <w:rFonts w:cstheme="minorBidi"/>
                <w:b/>
                <w:color w:val="FFFFFF" w:themeColor="background1"/>
                <w:sz w:val="18"/>
                <w:szCs w:val="22"/>
                <w:lang w:eastAsia="en-US"/>
              </w:rPr>
              <w:t>Calls transferred to an ESO</w:t>
            </w:r>
          </w:p>
        </w:tc>
        <w:tc>
          <w:tcPr>
            <w:tcW w:w="1252" w:type="dxa"/>
            <w:shd w:val="clear" w:color="auto" w:fill="7FB8CB"/>
            <w:vAlign w:val="center"/>
          </w:tcPr>
          <w:p w14:paraId="15525B3C" w14:textId="77777777" w:rsidR="000B52D7" w:rsidRPr="00BE6BBB" w:rsidRDefault="000B52D7" w:rsidP="009329F7">
            <w:pPr>
              <w:keepNext/>
              <w:keepLines/>
              <w:spacing w:after="0" w:line="240" w:lineRule="auto"/>
              <w:jc w:val="right"/>
              <w:rPr>
                <w:rFonts w:cstheme="minorBidi"/>
                <w:color w:val="FFFFFF" w:themeColor="background1"/>
                <w:sz w:val="18"/>
                <w:szCs w:val="22"/>
                <w:lang w:eastAsia="en-US"/>
              </w:rPr>
            </w:pPr>
            <w:r w:rsidRPr="00BE6BBB">
              <w:rPr>
                <w:rFonts w:cstheme="minorBidi"/>
                <w:b/>
                <w:color w:val="FFFFFF" w:themeColor="background1"/>
                <w:sz w:val="18"/>
                <w:szCs w:val="22"/>
                <w:lang w:eastAsia="en-US"/>
              </w:rPr>
              <w:t>5,561,072</w:t>
            </w:r>
          </w:p>
        </w:tc>
        <w:tc>
          <w:tcPr>
            <w:tcW w:w="1252" w:type="dxa"/>
            <w:shd w:val="clear" w:color="auto" w:fill="7FB8CB"/>
            <w:vAlign w:val="center"/>
          </w:tcPr>
          <w:p w14:paraId="1382D5A1" w14:textId="77777777" w:rsidR="000B52D7" w:rsidRPr="00BE6BBB" w:rsidRDefault="000B52D7" w:rsidP="009329F7">
            <w:pPr>
              <w:keepNext/>
              <w:keepLines/>
              <w:spacing w:after="0" w:line="240" w:lineRule="auto"/>
              <w:jc w:val="right"/>
              <w:rPr>
                <w:rFonts w:cstheme="minorBidi"/>
                <w:color w:val="FFFFFF" w:themeColor="background1"/>
                <w:sz w:val="18"/>
                <w:szCs w:val="22"/>
              </w:rPr>
            </w:pPr>
            <w:r w:rsidRPr="00BE6BBB">
              <w:rPr>
                <w:rFonts w:cstheme="minorBidi"/>
                <w:b/>
                <w:color w:val="FFFFFF" w:themeColor="background1"/>
                <w:sz w:val="18"/>
                <w:szCs w:val="22"/>
                <w:lang w:eastAsia="en-US"/>
              </w:rPr>
              <w:t>5,727,411</w:t>
            </w:r>
          </w:p>
        </w:tc>
        <w:tc>
          <w:tcPr>
            <w:tcW w:w="1253" w:type="dxa"/>
            <w:shd w:val="clear" w:color="auto" w:fill="7FB8CB"/>
            <w:vAlign w:val="center"/>
          </w:tcPr>
          <w:p w14:paraId="1D4A4A3F" w14:textId="77777777" w:rsidR="000B52D7" w:rsidRPr="00BE6BBB" w:rsidRDefault="000B52D7" w:rsidP="009329F7">
            <w:pPr>
              <w:keepNext/>
              <w:keepLines/>
              <w:spacing w:after="0" w:line="240" w:lineRule="auto"/>
              <w:jc w:val="right"/>
              <w:rPr>
                <w:rFonts w:cstheme="minorBidi"/>
                <w:color w:val="FFFFFF" w:themeColor="background1"/>
                <w:sz w:val="18"/>
                <w:szCs w:val="22"/>
                <w:lang w:eastAsia="en-US"/>
              </w:rPr>
            </w:pPr>
            <w:r w:rsidRPr="00BE6BBB">
              <w:rPr>
                <w:rFonts w:cstheme="minorBidi"/>
                <w:b/>
                <w:color w:val="FFFFFF" w:themeColor="background1"/>
                <w:sz w:val="18"/>
                <w:szCs w:val="22"/>
                <w:lang w:eastAsia="en-US"/>
              </w:rPr>
              <w:t>5,738,061</w:t>
            </w:r>
          </w:p>
        </w:tc>
        <w:tc>
          <w:tcPr>
            <w:tcW w:w="1253" w:type="dxa"/>
            <w:shd w:val="clear" w:color="auto" w:fill="7FB8CB"/>
            <w:vAlign w:val="center"/>
          </w:tcPr>
          <w:p w14:paraId="460F14AC" w14:textId="77777777" w:rsidR="000B52D7" w:rsidRPr="00BE6BBB" w:rsidRDefault="000B52D7" w:rsidP="009329F7">
            <w:pPr>
              <w:keepNext/>
              <w:keepLines/>
              <w:spacing w:after="0" w:line="240" w:lineRule="auto"/>
              <w:jc w:val="right"/>
              <w:rPr>
                <w:rFonts w:cstheme="minorBidi"/>
                <w:color w:val="FFFFFF" w:themeColor="background1"/>
                <w:sz w:val="18"/>
                <w:szCs w:val="22"/>
                <w:lang w:eastAsia="en-US"/>
              </w:rPr>
            </w:pPr>
            <w:r w:rsidRPr="00BE6BBB">
              <w:rPr>
                <w:rFonts w:cstheme="minorBidi"/>
                <w:b/>
                <w:color w:val="FFFFFF" w:themeColor="background1"/>
                <w:sz w:val="18"/>
                <w:szCs w:val="22"/>
                <w:lang w:eastAsia="en-US"/>
              </w:rPr>
              <w:t>5,888,050</w:t>
            </w:r>
          </w:p>
        </w:tc>
        <w:tc>
          <w:tcPr>
            <w:tcW w:w="1253" w:type="dxa"/>
            <w:shd w:val="clear" w:color="auto" w:fill="7FB8CB"/>
            <w:vAlign w:val="center"/>
          </w:tcPr>
          <w:p w14:paraId="4B98F6C1" w14:textId="77777777" w:rsidR="000B52D7" w:rsidRPr="00BE6BBB" w:rsidRDefault="000B52D7" w:rsidP="009329F7">
            <w:pPr>
              <w:keepNext/>
              <w:keepLines/>
              <w:spacing w:after="0" w:line="240" w:lineRule="auto"/>
              <w:jc w:val="right"/>
              <w:rPr>
                <w:rFonts w:cstheme="minorBidi"/>
                <w:b/>
                <w:color w:val="FFFFFF" w:themeColor="background1"/>
                <w:sz w:val="18"/>
                <w:szCs w:val="22"/>
                <w:lang w:eastAsia="en-US"/>
              </w:rPr>
            </w:pPr>
            <w:r w:rsidRPr="00BE6BBB">
              <w:rPr>
                <w:rFonts w:cstheme="minorBidi"/>
                <w:b/>
                <w:color w:val="FFFFFF" w:themeColor="background1"/>
                <w:sz w:val="18"/>
                <w:szCs w:val="22"/>
                <w:lang w:eastAsia="en-US"/>
              </w:rPr>
              <w:t>6,178,484</w:t>
            </w:r>
          </w:p>
        </w:tc>
      </w:tr>
    </w:tbl>
    <w:p w14:paraId="0207DA26" w14:textId="77777777" w:rsidR="000B52D7" w:rsidRPr="0032755E" w:rsidRDefault="000B52D7" w:rsidP="00A556F4">
      <w:pPr>
        <w:keepNext/>
        <w:keepLines/>
        <w:spacing w:before="80" w:after="0" w:line="240" w:lineRule="auto"/>
        <w:rPr>
          <w:i/>
          <w:sz w:val="16"/>
        </w:rPr>
      </w:pPr>
      <w:r w:rsidRPr="0032755E">
        <w:rPr>
          <w:i/>
          <w:sz w:val="16"/>
        </w:rPr>
        <w:t xml:space="preserve">Note: The term ‘calls offered’ refers to the number of calls received by the ECP after the RVA. </w:t>
      </w:r>
    </w:p>
    <w:p w14:paraId="02489B1B" w14:textId="77777777" w:rsidR="000B52D7" w:rsidRPr="0032755E" w:rsidRDefault="000B52D7" w:rsidP="00A556F4">
      <w:pPr>
        <w:keepNext/>
        <w:keepLines/>
        <w:spacing w:before="80" w:after="0" w:line="240" w:lineRule="auto"/>
        <w:rPr>
          <w:i/>
          <w:sz w:val="16"/>
        </w:rPr>
      </w:pPr>
      <w:r w:rsidRPr="0032755E">
        <w:rPr>
          <w:i/>
          <w:sz w:val="16"/>
        </w:rPr>
        <w:t>The RVA gives people who have inadvertently or otherwise dialled Triple Zero the opportunity to hang up before being connected to the ECP. Calls answered refers to the percentage of these calls that were answered.</w:t>
      </w:r>
    </w:p>
    <w:p w14:paraId="3673103C" w14:textId="77777777" w:rsidR="000B52D7" w:rsidRDefault="000B52D7" w:rsidP="00A556F4">
      <w:pPr>
        <w:keepNext/>
        <w:keepLines/>
        <w:spacing w:before="80" w:after="0" w:line="240" w:lineRule="auto"/>
        <w:rPr>
          <w:i/>
          <w:sz w:val="16"/>
        </w:rPr>
      </w:pPr>
      <w:r w:rsidRPr="0032755E">
        <w:rPr>
          <w:i/>
          <w:sz w:val="16"/>
        </w:rPr>
        <w:t xml:space="preserve">Source: </w:t>
      </w:r>
      <w:r>
        <w:rPr>
          <w:i/>
          <w:sz w:val="16"/>
        </w:rPr>
        <w:t>ECP (Telstra).</w:t>
      </w:r>
    </w:p>
    <w:p w14:paraId="7742ABD3" w14:textId="77777777" w:rsidR="000B52D7" w:rsidRPr="0032755E" w:rsidRDefault="000B52D7" w:rsidP="000B52D7">
      <w:pPr>
        <w:pStyle w:val="ACMASpaceaftertable"/>
      </w:pPr>
    </w:p>
    <w:p w14:paraId="53C6B4A3" w14:textId="77777777" w:rsidR="000B52D7" w:rsidRPr="0032755E" w:rsidRDefault="000B52D7" w:rsidP="000B52D7">
      <w:pPr>
        <w:pStyle w:val="Heading3"/>
      </w:pPr>
      <w:bookmarkStart w:id="712" w:name="_Toc462909474"/>
      <w:bookmarkStart w:id="713" w:name="_Toc465842957"/>
      <w:r w:rsidRPr="0032755E">
        <w:t>Improved mobile location for emergency service organisations</w:t>
      </w:r>
      <w:bookmarkEnd w:id="712"/>
      <w:bookmarkEnd w:id="713"/>
    </w:p>
    <w:p w14:paraId="090CBC24" w14:textId="77777777" w:rsidR="000B52D7" w:rsidRPr="0032755E" w:rsidRDefault="000B52D7" w:rsidP="000B52D7">
      <w:r w:rsidRPr="0032755E">
        <w:t xml:space="preserve">In May 2016, all </w:t>
      </w:r>
      <w:r>
        <w:t>ESOs</w:t>
      </w:r>
      <w:r w:rsidRPr="0032755E">
        <w:t xml:space="preserve"> (police, fire and ambulance) throughout Australia had implemented the functionality to automatically receive cell tower (or better) location information during a Triple Zero call. </w:t>
      </w:r>
    </w:p>
    <w:p w14:paraId="489A6C45" w14:textId="77777777" w:rsidR="000B52D7" w:rsidRPr="0032755E" w:rsidRDefault="000B52D7" w:rsidP="000B52D7">
      <w:r w:rsidRPr="0032755E">
        <w:t xml:space="preserve">Improved mobile caller location information assists </w:t>
      </w:r>
      <w:r>
        <w:t>ESOs</w:t>
      </w:r>
      <w:r w:rsidRPr="0032755E">
        <w:t xml:space="preserve"> to better locate callers and provide assistance as quickly as possible. In most situations, callers are aware of their location but some callers may be unaware of their location or unable to pass on information because they are stressed, disoriented or unfamiliar with the area. </w:t>
      </w:r>
    </w:p>
    <w:p w14:paraId="67387FEF" w14:textId="77777777" w:rsidR="000B52D7" w:rsidRPr="0032755E" w:rsidRDefault="000B52D7" w:rsidP="000B52D7">
      <w:pPr>
        <w:rPr>
          <w:b/>
        </w:rPr>
      </w:pPr>
      <w:r w:rsidRPr="0032755E">
        <w:t>The ACMA has facilitated this important public safety initiative, and recognises the significant contributions made by the mobile carriers and the ECP for Triple Zero in ensuring its successful delivery.</w:t>
      </w:r>
      <w:r>
        <w:t xml:space="preserve"> </w:t>
      </w:r>
    </w:p>
    <w:p w14:paraId="7D90F11A" w14:textId="77777777" w:rsidR="000B52D7" w:rsidRPr="0032755E" w:rsidRDefault="000B52D7" w:rsidP="000B52D7">
      <w:pPr>
        <w:pStyle w:val="Heading3"/>
      </w:pPr>
      <w:bookmarkStart w:id="714" w:name="_Toc462909475"/>
      <w:bookmarkStart w:id="715" w:name="_Toc465842958"/>
      <w:r w:rsidRPr="0032755E">
        <w:t>Enquiries and complaints about the Triple Zero service</w:t>
      </w:r>
      <w:bookmarkEnd w:id="714"/>
      <w:bookmarkEnd w:id="715"/>
    </w:p>
    <w:p w14:paraId="3C7E6742" w14:textId="77777777" w:rsidR="000B52D7" w:rsidRPr="0032755E" w:rsidRDefault="000B52D7" w:rsidP="000B52D7">
      <w:r w:rsidRPr="0032755E">
        <w:t xml:space="preserve">During the reporting period, the ACMA received two complaints and enquiries about the Triple Zero service. All of these related to the handling of calls by the ESOs (and not to Telstra as the ECP for Triple Zero and 112) and were referred to the relevant organisation for a response. No formal investigations were undertaken by the ACMA. </w:t>
      </w:r>
    </w:p>
    <w:p w14:paraId="584C2FB5" w14:textId="77777777" w:rsidR="000B52D7" w:rsidRPr="0032755E" w:rsidRDefault="000B52D7" w:rsidP="000B52D7">
      <w:pPr>
        <w:pStyle w:val="Heading3"/>
      </w:pPr>
      <w:bookmarkStart w:id="716" w:name="_Toc462909476"/>
      <w:bookmarkStart w:id="717" w:name="_Toc465842959"/>
      <w:r w:rsidRPr="0032755E">
        <w:t>Emergency call service—NRS</w:t>
      </w:r>
      <w:bookmarkEnd w:id="716"/>
      <w:bookmarkEnd w:id="717"/>
      <w:r w:rsidRPr="0032755E">
        <w:t xml:space="preserve"> </w:t>
      </w:r>
    </w:p>
    <w:p w14:paraId="7DCF1FB2" w14:textId="77777777" w:rsidR="000B52D7" w:rsidRPr="0032755E" w:rsidRDefault="000B52D7" w:rsidP="000B52D7">
      <w:r w:rsidRPr="0032755E" w:rsidDel="00D7079F">
        <w:t xml:space="preserve">The relay service provider for the National Relay Service (NRS) is specified as an ECP in the Emergency Call Persons Determination. </w:t>
      </w:r>
      <w:r w:rsidRPr="0032755E">
        <w:t xml:space="preserve">ACE is currently contracted by the Commonwealth as the NRS </w:t>
      </w:r>
      <w:r w:rsidRPr="0032755E" w:rsidDel="00D7079F">
        <w:t xml:space="preserve">relay service </w:t>
      </w:r>
      <w:r w:rsidRPr="0032755E">
        <w:t>provider and operates a text emergency service on the 106 number in this capacity. The 106 text emergency service is available for users with a teletypewriter (TTY). There were 100 genuine calls to ESOs via the 106 text emergency service in 2015–16, compared to 123 in 2014</w:t>
      </w:r>
      <w:r>
        <w:rPr>
          <w:rFonts w:cs="Arial"/>
        </w:rPr>
        <w:t>–</w:t>
      </w:r>
      <w:r w:rsidRPr="0032755E">
        <w:t>15, 155 in 2013–14 and 199 in 2012–13.</w:t>
      </w:r>
    </w:p>
    <w:p w14:paraId="0DFFF3EA" w14:textId="77777777" w:rsidR="000B52D7" w:rsidRPr="0032755E" w:rsidRDefault="000B52D7" w:rsidP="000B52D7">
      <w:r w:rsidRPr="0032755E">
        <w:t xml:space="preserve">As shown in Figure 4.1, a significant number of genuine calls were also relayed by the NRS to ESOs via the Triple Zero emergency services number. In these circumstances, TTY users contacted the NRS via normal access numbers and requested the call be relayed to Triple Zero, rather than dialling the 106 text emergency service number from their TTY. Calls to Triple Zero can also be relayed through the NRS for its internet relay and Speak and Listen (speech-to-speech relay) callers, as these users are unable to access the 106 number through these services. </w:t>
      </w:r>
    </w:p>
    <w:p w14:paraId="2F3D226A" w14:textId="77777777" w:rsidR="000B52D7" w:rsidRPr="0032755E" w:rsidRDefault="000B52D7" w:rsidP="000B52D7">
      <w:r w:rsidRPr="0032755E">
        <w:lastRenderedPageBreak/>
        <w:t xml:space="preserve">A total of 605 calls were made to Triple Zero using SMS relay (web browser), video relay and captioned relay in 2015–16, compared to 332 calls </w:t>
      </w:r>
      <w:r w:rsidR="006A1545">
        <w:t>using</w:t>
      </w:r>
      <w:r w:rsidRPr="0032755E">
        <w:t xml:space="preserve"> these three services in 2014</w:t>
      </w:r>
      <w:r>
        <w:rPr>
          <w:rFonts w:cs="Arial"/>
        </w:rPr>
        <w:t>–</w:t>
      </w:r>
      <w:r w:rsidRPr="0032755E">
        <w:t xml:space="preserve">15 and 206 calls in </w:t>
      </w:r>
      <w:r w:rsidR="00531D12">
        <w:br/>
      </w:r>
      <w:r w:rsidRPr="0032755E">
        <w:t>2013–14. This represents an 82 per cent increase in the use of this technology, with the use of the captioned relay alone increasing by more than five times in the year to June 2016.</w:t>
      </w:r>
    </w:p>
    <w:p w14:paraId="575DFE25" w14:textId="77777777" w:rsidR="000B52D7" w:rsidRPr="0032755E" w:rsidRDefault="000B52D7" w:rsidP="000B52D7">
      <w:r w:rsidRPr="0032755E">
        <w:t xml:space="preserve">The NRS launched a new app in December 2014 allowing </w:t>
      </w:r>
      <w:r>
        <w:t>i</w:t>
      </w:r>
      <w:r w:rsidRPr="0032755E">
        <w:t>nternet relay and Speak and Listen users to make calls via the app rather than using an internet browser. The app also allows the caller to insert the location into the call using the GPS function of the device. There were 145 calls made via the app between in 2015</w:t>
      </w:r>
      <w:r>
        <w:rPr>
          <w:rFonts w:cs="Arial"/>
        </w:rPr>
        <w:t>–</w:t>
      </w:r>
      <w:r w:rsidRPr="0032755E">
        <w:t xml:space="preserve">16, a four-fold increase </w:t>
      </w:r>
      <w:r>
        <w:t>on</w:t>
      </w:r>
      <w:r w:rsidRPr="0032755E">
        <w:t xml:space="preserve"> the previous year’s figure.</w:t>
      </w:r>
    </w:p>
    <w:p w14:paraId="4BEBAFC7" w14:textId="77777777" w:rsidR="000B52D7" w:rsidRPr="0032755E" w:rsidRDefault="000B52D7" w:rsidP="000B52D7">
      <w:r w:rsidRPr="0032755E">
        <w:t>A total of 1</w:t>
      </w:r>
      <w:r>
        <w:t>,</w:t>
      </w:r>
      <w:r w:rsidRPr="0032755E">
        <w:t xml:space="preserve">113 genuine emergency calls were made via the NRS across all modes (SMS relay, </w:t>
      </w:r>
      <w:r>
        <w:t>i</w:t>
      </w:r>
      <w:r w:rsidRPr="0032755E">
        <w:t xml:space="preserve">nternet relay, </w:t>
      </w:r>
      <w:r>
        <w:t>c</w:t>
      </w:r>
      <w:r w:rsidRPr="0032755E">
        <w:t xml:space="preserve">aptioned relay, </w:t>
      </w:r>
      <w:r>
        <w:t>v</w:t>
      </w:r>
      <w:r w:rsidRPr="0032755E">
        <w:t>ideo relay, Speak and Listen</w:t>
      </w:r>
      <w:r>
        <w:t>,</w:t>
      </w:r>
      <w:r w:rsidRPr="0032755E">
        <w:t xml:space="preserve"> and TTY) compared with 660 calls in 2014–15, 559</w:t>
      </w:r>
      <w:r w:rsidR="003617D6">
        <w:t> </w:t>
      </w:r>
      <w:r>
        <w:t>in</w:t>
      </w:r>
      <w:r w:rsidRPr="0032755E">
        <w:t xml:space="preserve"> 2013–14 and 475 </w:t>
      </w:r>
      <w:r>
        <w:t>in</w:t>
      </w:r>
      <w:r w:rsidRPr="0032755E">
        <w:t xml:space="preserve"> 2012–13. </w:t>
      </w:r>
    </w:p>
    <w:p w14:paraId="2BC33312" w14:textId="77777777" w:rsidR="000B52D7" w:rsidRPr="0032755E" w:rsidRDefault="000B52D7" w:rsidP="006D0323">
      <w:pPr>
        <w:keepNext/>
        <w:spacing w:after="160"/>
        <w:ind w:left="1021" w:hanging="1021"/>
        <w:rPr>
          <w:b/>
          <w:color w:val="323232"/>
        </w:rPr>
      </w:pPr>
      <w:r w:rsidRPr="0032755E">
        <w:rPr>
          <w:b/>
          <w:color w:val="323232"/>
        </w:rPr>
        <w:t>Figure 4.</w:t>
      </w:r>
      <w:r w:rsidRPr="0032755E">
        <w:rPr>
          <w:b/>
          <w:color w:val="323232"/>
        </w:rPr>
        <w:fldChar w:fldCharType="begin"/>
      </w:r>
      <w:r w:rsidRPr="0032755E">
        <w:rPr>
          <w:b/>
          <w:color w:val="323232"/>
        </w:rPr>
        <w:instrText xml:space="preserve"> SEQ Figure \r 1\* ARABIC </w:instrText>
      </w:r>
      <w:r w:rsidRPr="0032755E">
        <w:rPr>
          <w:b/>
          <w:color w:val="323232"/>
        </w:rPr>
        <w:fldChar w:fldCharType="separate"/>
      </w:r>
      <w:r w:rsidR="00625DDF">
        <w:rPr>
          <w:b/>
          <w:noProof/>
          <w:color w:val="323232"/>
        </w:rPr>
        <w:t>1</w:t>
      </w:r>
      <w:r w:rsidRPr="0032755E">
        <w:rPr>
          <w:b/>
          <w:color w:val="323232"/>
        </w:rPr>
        <w:fldChar w:fldCharType="end"/>
      </w:r>
      <w:r w:rsidR="00435B01">
        <w:rPr>
          <w:b/>
          <w:color w:val="323232"/>
        </w:rPr>
        <w:tab/>
      </w:r>
      <w:r w:rsidRPr="0032755E">
        <w:rPr>
          <w:b/>
          <w:color w:val="323232"/>
        </w:rPr>
        <w:t>Genuine emergency calls via the NRS</w:t>
      </w:r>
    </w:p>
    <w:p w14:paraId="7A8B01D7" w14:textId="77777777" w:rsidR="000B52D7" w:rsidRPr="00216939" w:rsidRDefault="00417AC5" w:rsidP="000B52D7">
      <w:pPr>
        <w:spacing w:after="0"/>
        <w:ind w:left="1021" w:hanging="1021"/>
        <w:rPr>
          <w:b/>
          <w:bCs/>
          <w:color w:val="323232"/>
        </w:rPr>
      </w:pPr>
      <w:r w:rsidRPr="00604073">
        <w:rPr>
          <w:b/>
          <w:bCs/>
          <w:noProof/>
          <w:color w:val="323232"/>
        </w:rPr>
        <w:drawing>
          <wp:inline distT="0" distB="0" distL="0" distR="0" wp14:anchorId="6D62EE2D" wp14:editId="075819CE">
            <wp:extent cx="5940425" cy="5276850"/>
            <wp:effectExtent l="0" t="0" r="0" b="0"/>
            <wp:docPr id="143" name="Picture 143" descr="Data for Figure 4.1 is in the .ods file for Chapter 4 on the landing page ‘Communications report 2015-16’, available from the ACMA website." title="Figure 4.1  Genuine emergency calls via the N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Figure 4.1_Figure 4.1.png"/>
                    <pic:cNvPicPr/>
                  </pic:nvPicPr>
                  <pic:blipFill>
                    <a:blip r:embed="rId121">
                      <a:extLst>
                        <a:ext uri="{28A0092B-C50C-407E-A947-70E740481C1C}">
                          <a14:useLocalDpi xmlns:a14="http://schemas.microsoft.com/office/drawing/2010/main" val="0"/>
                        </a:ext>
                      </a:extLst>
                    </a:blip>
                    <a:stretch>
                      <a:fillRect/>
                    </a:stretch>
                  </pic:blipFill>
                  <pic:spPr>
                    <a:xfrm>
                      <a:off x="0" y="0"/>
                      <a:ext cx="5940425" cy="5276850"/>
                    </a:xfrm>
                    <a:prstGeom prst="rect">
                      <a:avLst/>
                    </a:prstGeom>
                  </pic:spPr>
                </pic:pic>
              </a:graphicData>
            </a:graphic>
          </wp:inline>
        </w:drawing>
      </w:r>
    </w:p>
    <w:p w14:paraId="41D2A02C" w14:textId="77777777" w:rsidR="000B52D7" w:rsidRPr="0032755E" w:rsidRDefault="000B52D7" w:rsidP="000B52D7">
      <w:pPr>
        <w:pStyle w:val="ACMANotes"/>
      </w:pPr>
      <w:r w:rsidRPr="0032755E">
        <w:t>n/a=not available.</w:t>
      </w:r>
    </w:p>
    <w:p w14:paraId="4857969E" w14:textId="77777777" w:rsidR="000B52D7" w:rsidRPr="0032755E" w:rsidRDefault="000B52D7" w:rsidP="000B52D7">
      <w:pPr>
        <w:pStyle w:val="ACMANotes"/>
      </w:pPr>
      <w:r w:rsidRPr="0032755E">
        <w:t xml:space="preserve">Base: Number of calls. </w:t>
      </w:r>
    </w:p>
    <w:p w14:paraId="633A150C" w14:textId="77777777" w:rsidR="000B52D7" w:rsidRPr="0032755E" w:rsidRDefault="000B52D7" w:rsidP="00C903C0">
      <w:pPr>
        <w:pStyle w:val="ACMANotes"/>
        <w:spacing w:after="240"/>
      </w:pPr>
      <w:r w:rsidRPr="0032755E">
        <w:t>Source: NRS service provider (ACE).</w:t>
      </w:r>
    </w:p>
    <w:p w14:paraId="46464B8B" w14:textId="77777777" w:rsidR="000B52D7" w:rsidRPr="0032755E" w:rsidRDefault="000B52D7" w:rsidP="00190B12">
      <w:pPr>
        <w:pStyle w:val="Heading2"/>
        <w:numPr>
          <w:ilvl w:val="1"/>
          <w:numId w:val="12"/>
        </w:numPr>
        <w:ind w:hanging="792"/>
      </w:pPr>
      <w:bookmarkStart w:id="718" w:name="_Toc462909477"/>
      <w:bookmarkStart w:id="719" w:name="_Toc465842960"/>
      <w:r w:rsidRPr="0032755E">
        <w:lastRenderedPageBreak/>
        <w:t>Supporting law enforcement and national security agencies</w:t>
      </w:r>
      <w:bookmarkEnd w:id="718"/>
      <w:bookmarkEnd w:id="719"/>
    </w:p>
    <w:p w14:paraId="11CCF9B4" w14:textId="77777777" w:rsidR="000B52D7" w:rsidRPr="0032755E" w:rsidRDefault="000B52D7" w:rsidP="000B52D7">
      <w:pPr>
        <w:spacing w:after="80"/>
      </w:pPr>
      <w:r w:rsidRPr="0032755E">
        <w:t xml:space="preserve">The telecommunications industry, including </w:t>
      </w:r>
      <w:r>
        <w:t>ISPs</w:t>
      </w:r>
      <w:r w:rsidRPr="0032755E">
        <w:t>, is obliged to provide reasonably necessary assistance to law enforcement and national security agencies under section 313 of the Telecommunications Act</w:t>
      </w:r>
      <w:r w:rsidRPr="0032755E">
        <w:rPr>
          <w:i/>
        </w:rPr>
        <w:t>.</w:t>
      </w:r>
      <w:r w:rsidRPr="0032755E">
        <w:t xml:space="preserve"> This assistance can take many forms, but most commonly involves providing information </w:t>
      </w:r>
      <w:r>
        <w:t>about</w:t>
      </w:r>
      <w:r w:rsidRPr="0032755E">
        <w:t xml:space="preserve"> consumers of telecommunications services and their communications for the purposes of:</w:t>
      </w:r>
    </w:p>
    <w:p w14:paraId="7F941892" w14:textId="77777777" w:rsidR="000B52D7" w:rsidRPr="0032755E" w:rsidRDefault="000B52D7" w:rsidP="000B52D7">
      <w:pPr>
        <w:pStyle w:val="ListBullet"/>
      </w:pPr>
      <w:r w:rsidRPr="0032755E">
        <w:t>enforcing the criminal law</w:t>
      </w:r>
    </w:p>
    <w:p w14:paraId="6F7FA35B" w14:textId="77777777" w:rsidR="000B52D7" w:rsidRPr="0032755E" w:rsidRDefault="000B52D7" w:rsidP="000B52D7">
      <w:pPr>
        <w:pStyle w:val="ListBullet"/>
      </w:pPr>
      <w:r w:rsidRPr="0032755E">
        <w:t>enforcing laws that impose a pecuniary penalty</w:t>
      </w:r>
    </w:p>
    <w:p w14:paraId="0EAABFE4" w14:textId="77777777" w:rsidR="000B52D7" w:rsidRPr="0032755E" w:rsidRDefault="000B52D7" w:rsidP="000B52D7">
      <w:pPr>
        <w:pStyle w:val="ListBullet"/>
      </w:pPr>
      <w:r w:rsidRPr="0032755E">
        <w:t>assisting the enforcement of the criminal laws in force in a foreign country</w:t>
      </w:r>
    </w:p>
    <w:p w14:paraId="47903B9C" w14:textId="77777777" w:rsidR="000B52D7" w:rsidRPr="0032755E" w:rsidRDefault="000B52D7" w:rsidP="000B52D7">
      <w:pPr>
        <w:pStyle w:val="ListBullet"/>
      </w:pPr>
      <w:r w:rsidRPr="0032755E">
        <w:t>protecting the public revenue</w:t>
      </w:r>
    </w:p>
    <w:p w14:paraId="034BA8D7" w14:textId="77777777" w:rsidR="000B52D7" w:rsidRPr="0032755E" w:rsidRDefault="000B52D7" w:rsidP="000B52D7">
      <w:pPr>
        <w:pStyle w:val="ListBulletLast"/>
      </w:pPr>
      <w:r w:rsidRPr="0032755E">
        <w:t>safeguarding national security.</w:t>
      </w:r>
    </w:p>
    <w:p w14:paraId="0898F96E" w14:textId="77777777" w:rsidR="000B52D7" w:rsidRPr="0032755E" w:rsidRDefault="000B52D7" w:rsidP="000B52D7">
      <w:r w:rsidRPr="0032755E">
        <w:t xml:space="preserve">During the reporting period, the Attorney-General’s Department (AGD) did not refer any carriers or CSPs to the ACMA for enforcement action for refusing to provide an agency with such assistance. </w:t>
      </w:r>
    </w:p>
    <w:p w14:paraId="6FA5A2B7" w14:textId="77777777" w:rsidR="000B52D7" w:rsidRPr="0032755E" w:rsidRDefault="000B52D7" w:rsidP="000B52D7">
      <w:pPr>
        <w:pStyle w:val="Heading3"/>
      </w:pPr>
      <w:bookmarkStart w:id="720" w:name="_Toc462909478"/>
      <w:bookmarkStart w:id="721" w:name="_Toc465842961"/>
      <w:r w:rsidRPr="0032755E">
        <w:t>Disclosure of customer information</w:t>
      </w:r>
      <w:bookmarkEnd w:id="720"/>
      <w:bookmarkEnd w:id="721"/>
    </w:p>
    <w:p w14:paraId="40602854" w14:textId="77777777" w:rsidR="000B52D7" w:rsidRPr="0032755E" w:rsidRDefault="000B52D7" w:rsidP="000B52D7">
      <w:pPr>
        <w:spacing w:after="80"/>
      </w:pPr>
      <w:r w:rsidRPr="0032755E">
        <w:t>Customer information provided to telecommunications carriers, CSPs and telecommunications contractors is protected under Part 13 of the Telecommunications Act. Carriers, CSPs and telecommunications contractors are prohibited from disclosing information to other parties except in certain limited and restricted circumstances. Those circumstances include:</w:t>
      </w:r>
    </w:p>
    <w:p w14:paraId="43F7F1C3" w14:textId="77777777" w:rsidR="000B52D7" w:rsidRPr="0032755E" w:rsidRDefault="000B52D7" w:rsidP="000B52D7">
      <w:pPr>
        <w:pStyle w:val="ListBullet"/>
      </w:pPr>
      <w:r w:rsidRPr="0032755E">
        <w:t>where it is required or authorised by a warrant or under law</w:t>
      </w:r>
    </w:p>
    <w:p w14:paraId="1A02981D" w14:textId="77777777" w:rsidR="000B52D7" w:rsidRPr="0032755E" w:rsidRDefault="000B52D7" w:rsidP="000B52D7">
      <w:pPr>
        <w:pStyle w:val="ListBullet"/>
      </w:pPr>
      <w:r w:rsidRPr="0032755E">
        <w:t>disclosure to the ACMA, Australian Competition and Consumer Commission (ACCC), TIO or the Children’s eSafety Commissioner where the disclosure may assist those agencies to carry out their functions or powers or</w:t>
      </w:r>
      <w:r>
        <w:t>,</w:t>
      </w:r>
      <w:r w:rsidRPr="0032755E">
        <w:t xml:space="preserve"> in the case of the TIO, assist in the consideration of a complaint</w:t>
      </w:r>
    </w:p>
    <w:p w14:paraId="709254F1" w14:textId="77777777" w:rsidR="000B52D7" w:rsidRPr="0032755E" w:rsidRDefault="000B52D7" w:rsidP="000B52D7">
      <w:pPr>
        <w:pStyle w:val="ListBullet"/>
      </w:pPr>
      <w:r w:rsidRPr="0032755E">
        <w:t>an imminent threat to a person’s life or health</w:t>
      </w:r>
    </w:p>
    <w:p w14:paraId="38D19B89" w14:textId="77777777" w:rsidR="000B52D7" w:rsidRPr="0032755E" w:rsidRDefault="000B52D7" w:rsidP="000B52D7">
      <w:pPr>
        <w:pStyle w:val="ListBulletLast"/>
      </w:pPr>
      <w:r w:rsidRPr="0032755E">
        <w:t>satisfying the business needs of other carriers and CSPs, where the customer is or was a customer of a carrier or CSP.</w:t>
      </w:r>
    </w:p>
    <w:p w14:paraId="5C48A585" w14:textId="77777777" w:rsidR="000B52D7" w:rsidRPr="0032755E" w:rsidRDefault="000B52D7" w:rsidP="000B52D7">
      <w:r w:rsidRPr="0032755E">
        <w:t>Carriers and CSPs are required to report to the ACMA on any disclosures that are authorised under either Part 13 of the Telecommunications Act or Chapter 4 of the TIA Act.</w:t>
      </w:r>
    </w:p>
    <w:p w14:paraId="6A02B57B" w14:textId="77777777" w:rsidR="000B52D7" w:rsidRPr="0032755E" w:rsidRDefault="000B52D7" w:rsidP="000B52D7">
      <w:pPr>
        <w:spacing w:before="160"/>
      </w:pPr>
      <w:r w:rsidRPr="0032755E">
        <w:t>During 2015–16, the number of disclosures, as reported to the ACMA under section 308 of the Telecommunications Act, was 667,792, a decrease of 157,049 (19 per cent) from 2014–15. Of these, 81 per cent were covered by an authorisation in force to access existing information or documents for the enforcement of the criminal law under section 178 of the TIA Act.</w:t>
      </w:r>
    </w:p>
    <w:p w14:paraId="04F92B8B" w14:textId="77777777" w:rsidR="000B52D7" w:rsidRPr="0032755E" w:rsidRDefault="000B52D7" w:rsidP="000B52D7">
      <w:r w:rsidRPr="0032755E">
        <w:t>Carrier and CSP data also indicates that approximately 10 per cent of all disclosures were made with the knowledge or consent of the person concerned under section 289 of the Telecommunications Act. The number and reason for disclosures made during 2015–16, as reported to the ACMA under section 308 of the Telecommunications Act, are in Table</w:t>
      </w:r>
      <w:r>
        <w:t> </w:t>
      </w:r>
      <w:r w:rsidRPr="0032755E">
        <w:t>4.2.</w:t>
      </w:r>
    </w:p>
    <w:p w14:paraId="660830A3" w14:textId="77777777" w:rsidR="000B52D7" w:rsidRPr="006E0730" w:rsidRDefault="000B52D7" w:rsidP="006D0323">
      <w:pPr>
        <w:keepNext/>
        <w:spacing w:after="160"/>
        <w:ind w:left="1136" w:hanging="1136"/>
      </w:pPr>
      <w:r w:rsidRPr="006E0730">
        <w:rPr>
          <w:b/>
          <w:bCs/>
          <w:color w:val="323232"/>
          <w:szCs w:val="20"/>
        </w:rPr>
        <w:lastRenderedPageBreak/>
        <w:t>Table 4.</w:t>
      </w:r>
      <w:r w:rsidR="00311186" w:rsidRPr="009C1BE9">
        <w:rPr>
          <w:b/>
          <w:bCs/>
          <w:color w:val="323232"/>
          <w:szCs w:val="20"/>
        </w:rPr>
        <w:fldChar w:fldCharType="begin"/>
      </w:r>
      <w:r w:rsidR="00311186" w:rsidRPr="006E0730">
        <w:rPr>
          <w:b/>
          <w:bCs/>
          <w:color w:val="323232"/>
          <w:szCs w:val="20"/>
        </w:rPr>
        <w:instrText xml:space="preserve"> SEQ Table \* ARABIC </w:instrText>
      </w:r>
      <w:r w:rsidR="00311186" w:rsidRPr="009C1BE9">
        <w:rPr>
          <w:b/>
          <w:bCs/>
          <w:color w:val="323232"/>
          <w:szCs w:val="20"/>
        </w:rPr>
        <w:fldChar w:fldCharType="separate"/>
      </w:r>
      <w:r w:rsidR="00625DDF">
        <w:rPr>
          <w:b/>
          <w:bCs/>
          <w:noProof/>
          <w:color w:val="323232"/>
          <w:szCs w:val="20"/>
        </w:rPr>
        <w:t>2</w:t>
      </w:r>
      <w:r w:rsidR="00311186" w:rsidRPr="009C1BE9">
        <w:rPr>
          <w:b/>
          <w:bCs/>
          <w:color w:val="323232"/>
          <w:szCs w:val="20"/>
        </w:rPr>
        <w:fldChar w:fldCharType="end"/>
      </w:r>
      <w:r w:rsidRPr="006E0730">
        <w:rPr>
          <w:b/>
          <w:bCs/>
          <w:color w:val="323232"/>
          <w:szCs w:val="20"/>
        </w:rPr>
        <w:tab/>
        <w:t xml:space="preserve">Disclosures </w:t>
      </w:r>
    </w:p>
    <w:tbl>
      <w:tblPr>
        <w:tblW w:w="9429" w:type="dxa"/>
        <w:tblBorders>
          <w:top w:val="single" w:sz="24" w:space="0" w:color="FFFFFF" w:themeColor="background1"/>
          <w:left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57" w:type="dxa"/>
          <w:left w:w="57" w:type="dxa"/>
          <w:bottom w:w="57" w:type="dxa"/>
          <w:right w:w="57" w:type="dxa"/>
        </w:tblCellMar>
        <w:tblLook w:val="01E0" w:firstRow="1" w:lastRow="1" w:firstColumn="1" w:lastColumn="1" w:noHBand="0" w:noVBand="0"/>
        <w:tblCaption w:val="Table 4.2 Disclosures "/>
      </w:tblPr>
      <w:tblGrid>
        <w:gridCol w:w="1437"/>
        <w:gridCol w:w="4349"/>
        <w:gridCol w:w="1432"/>
        <w:gridCol w:w="1058"/>
        <w:gridCol w:w="1153"/>
      </w:tblGrid>
      <w:tr w:rsidR="000B52D7" w:rsidRPr="009D336C" w14:paraId="3F56D5A9" w14:textId="77777777" w:rsidTr="00C77AB5">
        <w:trPr>
          <w:trHeight w:val="167"/>
        </w:trPr>
        <w:tc>
          <w:tcPr>
            <w:tcW w:w="5786" w:type="dxa"/>
            <w:gridSpan w:val="2"/>
            <w:vMerge w:val="restart"/>
            <w:shd w:val="clear" w:color="auto" w:fill="007298"/>
            <w:tcMar>
              <w:top w:w="34" w:type="dxa"/>
              <w:left w:w="113" w:type="dxa"/>
            </w:tcMar>
          </w:tcPr>
          <w:p w14:paraId="633EBF72" w14:textId="77777777" w:rsidR="000B52D7" w:rsidRPr="0032755E" w:rsidRDefault="000B52D7" w:rsidP="00C77AB5">
            <w:pPr>
              <w:keepNext/>
              <w:keepLines/>
              <w:spacing w:after="0" w:line="240" w:lineRule="auto"/>
              <w:rPr>
                <w:rFonts w:cstheme="minorBidi"/>
                <w:b/>
                <w:color w:val="FFFFFF" w:themeColor="background1"/>
                <w:sz w:val="18"/>
                <w:szCs w:val="22"/>
              </w:rPr>
            </w:pPr>
            <w:r w:rsidRPr="0032755E">
              <w:rPr>
                <w:rFonts w:cstheme="minorBidi"/>
                <w:b/>
                <w:color w:val="FFFFFF" w:themeColor="background1"/>
                <w:sz w:val="18"/>
                <w:szCs w:val="22"/>
              </w:rPr>
              <w:t>Reason for disclosure</w:t>
            </w:r>
          </w:p>
        </w:tc>
        <w:tc>
          <w:tcPr>
            <w:tcW w:w="1432" w:type="dxa"/>
            <w:vMerge w:val="restart"/>
            <w:shd w:val="clear" w:color="auto" w:fill="007298"/>
          </w:tcPr>
          <w:p w14:paraId="79435745" w14:textId="77777777" w:rsidR="000B52D7" w:rsidRPr="0032755E" w:rsidRDefault="000B52D7" w:rsidP="009329F7">
            <w:pPr>
              <w:keepNext/>
              <w:keepLines/>
              <w:spacing w:after="0" w:line="240" w:lineRule="auto"/>
              <w:jc w:val="right"/>
              <w:rPr>
                <w:rFonts w:cstheme="minorBidi"/>
                <w:b/>
                <w:color w:val="FFFFFF" w:themeColor="background1"/>
                <w:sz w:val="18"/>
                <w:szCs w:val="22"/>
              </w:rPr>
            </w:pPr>
            <w:r w:rsidRPr="0032755E">
              <w:rPr>
                <w:rFonts w:cstheme="minorBidi"/>
                <w:b/>
                <w:color w:val="FFFFFF" w:themeColor="background1"/>
                <w:sz w:val="18"/>
                <w:szCs w:val="22"/>
              </w:rPr>
              <w:t>(Sub)section</w:t>
            </w:r>
          </w:p>
        </w:tc>
        <w:tc>
          <w:tcPr>
            <w:tcW w:w="2211" w:type="dxa"/>
            <w:gridSpan w:val="2"/>
            <w:shd w:val="clear" w:color="auto" w:fill="007298"/>
          </w:tcPr>
          <w:p w14:paraId="2777F09F" w14:textId="77777777" w:rsidR="000B52D7" w:rsidRPr="0032755E" w:rsidRDefault="000B52D7" w:rsidP="00A556F4">
            <w:pPr>
              <w:keepNext/>
              <w:keepLines/>
              <w:spacing w:after="0" w:line="240" w:lineRule="auto"/>
              <w:rPr>
                <w:rFonts w:cstheme="minorBidi"/>
                <w:b/>
                <w:color w:val="FFFFFF" w:themeColor="background1"/>
                <w:sz w:val="18"/>
                <w:szCs w:val="22"/>
              </w:rPr>
            </w:pPr>
            <w:r w:rsidRPr="0032755E">
              <w:rPr>
                <w:rFonts w:cstheme="minorBidi"/>
                <w:b/>
                <w:color w:val="FFFFFF" w:themeColor="background1"/>
                <w:sz w:val="18"/>
                <w:szCs w:val="22"/>
              </w:rPr>
              <w:t>Number of disclosures</w:t>
            </w:r>
          </w:p>
        </w:tc>
      </w:tr>
      <w:tr w:rsidR="000B52D7" w:rsidRPr="009D336C" w14:paraId="0B904CDC" w14:textId="77777777" w:rsidTr="00C77AB5">
        <w:trPr>
          <w:trHeight w:val="87"/>
        </w:trPr>
        <w:tc>
          <w:tcPr>
            <w:tcW w:w="5786" w:type="dxa"/>
            <w:gridSpan w:val="2"/>
            <w:vMerge/>
            <w:tcBorders>
              <w:bottom w:val="single" w:sz="24" w:space="0" w:color="FFFFFF" w:themeColor="background1"/>
            </w:tcBorders>
            <w:shd w:val="clear" w:color="auto" w:fill="007298"/>
            <w:tcMar>
              <w:top w:w="34" w:type="dxa"/>
              <w:left w:w="113" w:type="dxa"/>
            </w:tcMar>
          </w:tcPr>
          <w:p w14:paraId="014F7C54" w14:textId="77777777" w:rsidR="000B52D7" w:rsidRPr="0032755E" w:rsidRDefault="000B52D7" w:rsidP="00C77AB5">
            <w:pPr>
              <w:keepNext/>
              <w:keepLines/>
              <w:spacing w:after="0" w:line="240" w:lineRule="auto"/>
              <w:rPr>
                <w:rFonts w:cstheme="minorBidi"/>
                <w:b/>
                <w:color w:val="FFFFFF" w:themeColor="background1"/>
                <w:sz w:val="18"/>
                <w:szCs w:val="22"/>
              </w:rPr>
            </w:pPr>
          </w:p>
        </w:tc>
        <w:tc>
          <w:tcPr>
            <w:tcW w:w="1432" w:type="dxa"/>
            <w:vMerge/>
            <w:tcBorders>
              <w:bottom w:val="single" w:sz="24" w:space="0" w:color="FFFFFF" w:themeColor="background1"/>
            </w:tcBorders>
            <w:shd w:val="clear" w:color="auto" w:fill="007298"/>
          </w:tcPr>
          <w:p w14:paraId="61616460" w14:textId="77777777" w:rsidR="000B52D7" w:rsidRPr="0032755E" w:rsidRDefault="000B52D7" w:rsidP="00C77AB5">
            <w:pPr>
              <w:keepNext/>
              <w:keepLines/>
              <w:spacing w:after="0" w:line="240" w:lineRule="auto"/>
              <w:jc w:val="right"/>
              <w:rPr>
                <w:rFonts w:cstheme="minorBidi"/>
                <w:b/>
                <w:color w:val="FFFFFF" w:themeColor="background1"/>
                <w:sz w:val="18"/>
                <w:szCs w:val="22"/>
              </w:rPr>
            </w:pPr>
          </w:p>
        </w:tc>
        <w:tc>
          <w:tcPr>
            <w:tcW w:w="1058" w:type="dxa"/>
            <w:tcBorders>
              <w:bottom w:val="single" w:sz="24" w:space="0" w:color="FFFFFF" w:themeColor="background1"/>
            </w:tcBorders>
            <w:shd w:val="clear" w:color="auto" w:fill="007298"/>
          </w:tcPr>
          <w:p w14:paraId="7054AA1D" w14:textId="77777777" w:rsidR="000B52D7" w:rsidRPr="0032755E" w:rsidRDefault="000B52D7" w:rsidP="009329F7">
            <w:pPr>
              <w:keepNext/>
              <w:keepLines/>
              <w:spacing w:after="0" w:line="240" w:lineRule="auto"/>
              <w:jc w:val="right"/>
              <w:rPr>
                <w:rFonts w:cstheme="minorBidi"/>
                <w:b/>
                <w:color w:val="FFFFFF" w:themeColor="background1"/>
                <w:sz w:val="18"/>
                <w:szCs w:val="22"/>
              </w:rPr>
            </w:pPr>
            <w:r w:rsidRPr="0032755E">
              <w:rPr>
                <w:rFonts w:cstheme="minorBidi"/>
                <w:b/>
                <w:color w:val="FFFFFF" w:themeColor="background1"/>
                <w:sz w:val="18"/>
                <w:szCs w:val="22"/>
              </w:rPr>
              <w:t>2014–15</w:t>
            </w:r>
          </w:p>
        </w:tc>
        <w:tc>
          <w:tcPr>
            <w:tcW w:w="1153" w:type="dxa"/>
            <w:shd w:val="clear" w:color="auto" w:fill="007298"/>
          </w:tcPr>
          <w:p w14:paraId="7B0F0DC6" w14:textId="77777777" w:rsidR="000B52D7" w:rsidRPr="0032755E" w:rsidRDefault="000B52D7" w:rsidP="009329F7">
            <w:pPr>
              <w:keepNext/>
              <w:keepLines/>
              <w:spacing w:after="0" w:line="240" w:lineRule="auto"/>
              <w:jc w:val="right"/>
              <w:rPr>
                <w:rFonts w:cstheme="minorBidi"/>
                <w:b/>
                <w:color w:val="FFFFFF" w:themeColor="background1"/>
                <w:sz w:val="18"/>
                <w:szCs w:val="22"/>
              </w:rPr>
            </w:pPr>
            <w:r w:rsidRPr="0032755E">
              <w:rPr>
                <w:rFonts w:cstheme="minorBidi"/>
                <w:b/>
                <w:color w:val="FFFFFF" w:themeColor="background1"/>
                <w:sz w:val="18"/>
                <w:szCs w:val="22"/>
              </w:rPr>
              <w:t>2015–16</w:t>
            </w:r>
          </w:p>
        </w:tc>
      </w:tr>
      <w:tr w:rsidR="000B52D7" w:rsidRPr="009D336C" w14:paraId="609EB729" w14:textId="77777777" w:rsidTr="00C77AB5">
        <w:trPr>
          <w:trHeight w:val="121"/>
        </w:trPr>
        <w:tc>
          <w:tcPr>
            <w:tcW w:w="5786" w:type="dxa"/>
            <w:gridSpan w:val="2"/>
            <w:tcBorders>
              <w:bottom w:val="single" w:sz="24" w:space="0" w:color="FFFFFF" w:themeColor="background1"/>
              <w:right w:val="nil"/>
            </w:tcBorders>
            <w:shd w:val="clear" w:color="auto" w:fill="7FB8CB"/>
            <w:tcMar>
              <w:left w:w="113" w:type="dxa"/>
            </w:tcMar>
            <w:vAlign w:val="center"/>
          </w:tcPr>
          <w:p w14:paraId="39E14500" w14:textId="77777777" w:rsidR="000B52D7" w:rsidRPr="00BE6BBB" w:rsidRDefault="000B52D7" w:rsidP="00C77AB5">
            <w:pPr>
              <w:keepNext/>
              <w:keepLines/>
              <w:spacing w:after="0" w:line="240" w:lineRule="auto"/>
              <w:rPr>
                <w:rFonts w:cstheme="minorBidi"/>
                <w:b/>
                <w:color w:val="FFFFFF" w:themeColor="background1"/>
                <w:sz w:val="18"/>
                <w:szCs w:val="22"/>
              </w:rPr>
            </w:pPr>
            <w:r w:rsidRPr="00BE6BBB">
              <w:rPr>
                <w:rFonts w:cstheme="minorBidi"/>
                <w:b/>
                <w:color w:val="FFFFFF" w:themeColor="background1"/>
                <w:sz w:val="18"/>
                <w:szCs w:val="22"/>
              </w:rPr>
              <w:t xml:space="preserve">Under Part 13 of the </w:t>
            </w:r>
            <w:r w:rsidRPr="00BE6BBB">
              <w:rPr>
                <w:rFonts w:cstheme="minorBidi"/>
                <w:b/>
                <w:i/>
                <w:color w:val="FFFFFF" w:themeColor="background1"/>
                <w:sz w:val="18"/>
                <w:szCs w:val="22"/>
              </w:rPr>
              <w:t>Telecommunications Act 1997</w:t>
            </w:r>
          </w:p>
        </w:tc>
        <w:tc>
          <w:tcPr>
            <w:tcW w:w="1432" w:type="dxa"/>
            <w:tcBorders>
              <w:left w:val="nil"/>
              <w:bottom w:val="single" w:sz="24" w:space="0" w:color="FFFFFF" w:themeColor="background1"/>
              <w:right w:val="nil"/>
            </w:tcBorders>
            <w:shd w:val="clear" w:color="auto" w:fill="7FB8CB"/>
            <w:vAlign w:val="center"/>
          </w:tcPr>
          <w:p w14:paraId="1220E9DE" w14:textId="77777777" w:rsidR="000B52D7" w:rsidRPr="0032755E" w:rsidRDefault="000B52D7" w:rsidP="00C77AB5">
            <w:pPr>
              <w:keepNext/>
              <w:keepLines/>
              <w:spacing w:after="0" w:line="240" w:lineRule="auto"/>
              <w:jc w:val="right"/>
              <w:rPr>
                <w:rFonts w:cstheme="minorBidi"/>
                <w:color w:val="FFFFFF" w:themeColor="background1"/>
                <w:sz w:val="18"/>
                <w:szCs w:val="22"/>
              </w:rPr>
            </w:pPr>
          </w:p>
        </w:tc>
        <w:tc>
          <w:tcPr>
            <w:tcW w:w="1058" w:type="dxa"/>
            <w:tcBorders>
              <w:left w:val="nil"/>
              <w:bottom w:val="single" w:sz="24" w:space="0" w:color="FFFFFF" w:themeColor="background1"/>
              <w:right w:val="nil"/>
            </w:tcBorders>
            <w:shd w:val="clear" w:color="auto" w:fill="7FB8CB"/>
          </w:tcPr>
          <w:p w14:paraId="13B8AD76" w14:textId="77777777" w:rsidR="000B52D7" w:rsidRPr="0032755E" w:rsidRDefault="000B52D7" w:rsidP="009329F7">
            <w:pPr>
              <w:keepNext/>
              <w:keepLines/>
              <w:spacing w:after="0" w:line="240" w:lineRule="auto"/>
              <w:jc w:val="right"/>
              <w:rPr>
                <w:rFonts w:cstheme="minorBidi"/>
                <w:color w:val="FFFFFF" w:themeColor="background1"/>
                <w:sz w:val="18"/>
                <w:szCs w:val="22"/>
              </w:rPr>
            </w:pPr>
          </w:p>
        </w:tc>
        <w:tc>
          <w:tcPr>
            <w:tcW w:w="1153" w:type="dxa"/>
            <w:tcBorders>
              <w:left w:val="nil"/>
            </w:tcBorders>
            <w:shd w:val="clear" w:color="auto" w:fill="7FB8CB"/>
          </w:tcPr>
          <w:p w14:paraId="2EE34A1B" w14:textId="77777777" w:rsidR="000B52D7" w:rsidRPr="0032755E" w:rsidRDefault="000B52D7" w:rsidP="009329F7">
            <w:pPr>
              <w:keepNext/>
              <w:keepLines/>
              <w:spacing w:after="0" w:line="240" w:lineRule="auto"/>
              <w:jc w:val="right"/>
              <w:rPr>
                <w:rFonts w:cstheme="minorBidi"/>
                <w:color w:val="FFFFFF" w:themeColor="background1"/>
                <w:sz w:val="18"/>
                <w:szCs w:val="22"/>
              </w:rPr>
            </w:pPr>
          </w:p>
        </w:tc>
      </w:tr>
      <w:tr w:rsidR="000B52D7" w:rsidRPr="009D336C" w14:paraId="0BEB3245" w14:textId="77777777" w:rsidTr="00C77AB5">
        <w:trPr>
          <w:trHeight w:val="27"/>
        </w:trPr>
        <w:tc>
          <w:tcPr>
            <w:tcW w:w="5786" w:type="dxa"/>
            <w:gridSpan w:val="2"/>
            <w:tcBorders>
              <w:top w:val="single" w:sz="24" w:space="0" w:color="FFFFFF" w:themeColor="background1"/>
            </w:tcBorders>
            <w:shd w:val="clear" w:color="auto" w:fill="7FB8CB"/>
            <w:tcMar>
              <w:left w:w="113" w:type="dxa"/>
            </w:tcMar>
            <w:vAlign w:val="center"/>
          </w:tcPr>
          <w:p w14:paraId="43E5996E"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Authorised by or under law</w:t>
            </w:r>
          </w:p>
        </w:tc>
        <w:tc>
          <w:tcPr>
            <w:tcW w:w="1432" w:type="dxa"/>
            <w:tcBorders>
              <w:top w:val="single" w:sz="24" w:space="0" w:color="FFFFFF" w:themeColor="background1"/>
            </w:tcBorders>
            <w:shd w:val="clear" w:color="auto" w:fill="D2E1E9"/>
            <w:vAlign w:val="center"/>
          </w:tcPr>
          <w:p w14:paraId="5A3BDC43"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280</w:t>
            </w:r>
          </w:p>
        </w:tc>
        <w:tc>
          <w:tcPr>
            <w:tcW w:w="1058" w:type="dxa"/>
            <w:shd w:val="clear" w:color="auto" w:fill="D2E1E9"/>
            <w:vAlign w:val="center"/>
          </w:tcPr>
          <w:p w14:paraId="457DE53C"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13,106</w:t>
            </w:r>
          </w:p>
        </w:tc>
        <w:tc>
          <w:tcPr>
            <w:tcW w:w="1153" w:type="dxa"/>
            <w:shd w:val="clear" w:color="auto" w:fill="D2E1E9"/>
            <w:vAlign w:val="center"/>
          </w:tcPr>
          <w:p w14:paraId="09D0020C"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13,334</w:t>
            </w:r>
          </w:p>
        </w:tc>
      </w:tr>
      <w:tr w:rsidR="000B52D7" w:rsidRPr="009D336C" w14:paraId="39B54292" w14:textId="77777777" w:rsidTr="00C77AB5">
        <w:trPr>
          <w:trHeight w:val="62"/>
        </w:trPr>
        <w:tc>
          <w:tcPr>
            <w:tcW w:w="5786" w:type="dxa"/>
            <w:gridSpan w:val="2"/>
            <w:shd w:val="clear" w:color="auto" w:fill="7FB8CB"/>
            <w:tcMar>
              <w:left w:w="113" w:type="dxa"/>
            </w:tcMar>
            <w:vAlign w:val="center"/>
          </w:tcPr>
          <w:p w14:paraId="58F4457A"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Made as a witness under summons</w:t>
            </w:r>
          </w:p>
        </w:tc>
        <w:tc>
          <w:tcPr>
            <w:tcW w:w="1432" w:type="dxa"/>
            <w:shd w:val="clear" w:color="auto" w:fill="D2E1E9"/>
            <w:vAlign w:val="center"/>
          </w:tcPr>
          <w:p w14:paraId="2E1A2CF1"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281</w:t>
            </w:r>
          </w:p>
        </w:tc>
        <w:tc>
          <w:tcPr>
            <w:tcW w:w="1058" w:type="dxa"/>
            <w:shd w:val="clear" w:color="auto" w:fill="D2E1E9"/>
            <w:vAlign w:val="center"/>
          </w:tcPr>
          <w:p w14:paraId="3D3AE84D"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484</w:t>
            </w:r>
          </w:p>
        </w:tc>
        <w:tc>
          <w:tcPr>
            <w:tcW w:w="1153" w:type="dxa"/>
            <w:shd w:val="clear" w:color="auto" w:fill="D2E1E9"/>
            <w:vAlign w:val="center"/>
          </w:tcPr>
          <w:p w14:paraId="17EEA825"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276</w:t>
            </w:r>
          </w:p>
        </w:tc>
      </w:tr>
      <w:tr w:rsidR="000B52D7" w:rsidRPr="009D336C" w14:paraId="501B51C0" w14:textId="77777777" w:rsidTr="00C77AB5">
        <w:trPr>
          <w:trHeight w:val="23"/>
        </w:trPr>
        <w:tc>
          <w:tcPr>
            <w:tcW w:w="5786" w:type="dxa"/>
            <w:gridSpan w:val="2"/>
            <w:shd w:val="clear" w:color="auto" w:fill="7FB8CB"/>
            <w:tcMar>
              <w:left w:w="113" w:type="dxa"/>
            </w:tcMar>
            <w:vAlign w:val="center"/>
          </w:tcPr>
          <w:p w14:paraId="79C7BE8A"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To assist the ACMA</w:t>
            </w:r>
          </w:p>
        </w:tc>
        <w:tc>
          <w:tcPr>
            <w:tcW w:w="1432" w:type="dxa"/>
            <w:shd w:val="clear" w:color="auto" w:fill="D2E1E9"/>
            <w:vAlign w:val="center"/>
          </w:tcPr>
          <w:p w14:paraId="7EE5BCB9"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284(1)</w:t>
            </w:r>
          </w:p>
        </w:tc>
        <w:tc>
          <w:tcPr>
            <w:tcW w:w="1058" w:type="dxa"/>
            <w:shd w:val="clear" w:color="auto" w:fill="D2E1E9"/>
            <w:vAlign w:val="center"/>
          </w:tcPr>
          <w:p w14:paraId="4E860A81"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1,268</w:t>
            </w:r>
          </w:p>
        </w:tc>
        <w:tc>
          <w:tcPr>
            <w:tcW w:w="1153" w:type="dxa"/>
            <w:shd w:val="clear" w:color="auto" w:fill="D2E1E9"/>
            <w:vAlign w:val="center"/>
          </w:tcPr>
          <w:p w14:paraId="074DD61A"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366</w:t>
            </w:r>
          </w:p>
        </w:tc>
      </w:tr>
      <w:tr w:rsidR="000B52D7" w:rsidRPr="009D336C" w14:paraId="1758B4F3" w14:textId="77777777" w:rsidTr="00C77AB5">
        <w:trPr>
          <w:trHeight w:val="23"/>
        </w:trPr>
        <w:tc>
          <w:tcPr>
            <w:tcW w:w="5786" w:type="dxa"/>
            <w:gridSpan w:val="2"/>
            <w:shd w:val="clear" w:color="auto" w:fill="7FB8CB"/>
            <w:tcMar>
              <w:left w:w="113" w:type="dxa"/>
            </w:tcMar>
            <w:vAlign w:val="center"/>
          </w:tcPr>
          <w:p w14:paraId="431C1654"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To assist the Children’s eSafety Commissioner</w:t>
            </w:r>
          </w:p>
        </w:tc>
        <w:tc>
          <w:tcPr>
            <w:tcW w:w="1432" w:type="dxa"/>
            <w:shd w:val="clear" w:color="auto" w:fill="D2E1E9"/>
            <w:vAlign w:val="center"/>
          </w:tcPr>
          <w:p w14:paraId="27917DB7"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284(1A)</w:t>
            </w:r>
          </w:p>
        </w:tc>
        <w:tc>
          <w:tcPr>
            <w:tcW w:w="1058" w:type="dxa"/>
            <w:shd w:val="clear" w:color="auto" w:fill="D2E1E9"/>
            <w:vAlign w:val="center"/>
          </w:tcPr>
          <w:p w14:paraId="1390B039" w14:textId="77777777" w:rsidR="000B52D7" w:rsidRPr="0032755E" w:rsidRDefault="000B52D7" w:rsidP="009329F7">
            <w:pPr>
              <w:keepNext/>
              <w:keepLines/>
              <w:spacing w:after="0" w:line="240" w:lineRule="auto"/>
              <w:jc w:val="right"/>
              <w:rPr>
                <w:rFonts w:cstheme="minorBidi"/>
                <w:sz w:val="18"/>
                <w:szCs w:val="22"/>
              </w:rPr>
            </w:pPr>
            <w:r>
              <w:rPr>
                <w:rFonts w:cstheme="minorBidi"/>
                <w:sz w:val="18"/>
                <w:szCs w:val="22"/>
              </w:rPr>
              <w:t>n/a</w:t>
            </w:r>
          </w:p>
        </w:tc>
        <w:tc>
          <w:tcPr>
            <w:tcW w:w="1153" w:type="dxa"/>
            <w:shd w:val="clear" w:color="auto" w:fill="D2E1E9"/>
            <w:vAlign w:val="center"/>
          </w:tcPr>
          <w:p w14:paraId="30C52CE9"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0</w:t>
            </w:r>
          </w:p>
        </w:tc>
      </w:tr>
      <w:tr w:rsidR="000B52D7" w:rsidRPr="009D336C" w14:paraId="6AA4F835" w14:textId="77777777" w:rsidTr="00C77AB5">
        <w:trPr>
          <w:trHeight w:val="23"/>
        </w:trPr>
        <w:tc>
          <w:tcPr>
            <w:tcW w:w="5786" w:type="dxa"/>
            <w:gridSpan w:val="2"/>
            <w:shd w:val="clear" w:color="auto" w:fill="7FB8CB"/>
            <w:tcMar>
              <w:left w:w="113" w:type="dxa"/>
            </w:tcMar>
            <w:vAlign w:val="center"/>
          </w:tcPr>
          <w:p w14:paraId="41227AA3"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To assist the ACCC</w:t>
            </w:r>
          </w:p>
        </w:tc>
        <w:tc>
          <w:tcPr>
            <w:tcW w:w="1432" w:type="dxa"/>
            <w:shd w:val="clear" w:color="auto" w:fill="D2E1E9"/>
            <w:vAlign w:val="center"/>
          </w:tcPr>
          <w:p w14:paraId="62C78712"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284(2)</w:t>
            </w:r>
          </w:p>
        </w:tc>
        <w:tc>
          <w:tcPr>
            <w:tcW w:w="1058" w:type="dxa"/>
            <w:shd w:val="clear" w:color="auto" w:fill="D2E1E9"/>
            <w:vAlign w:val="center"/>
          </w:tcPr>
          <w:p w14:paraId="1B959ECC"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11</w:t>
            </w:r>
          </w:p>
        </w:tc>
        <w:tc>
          <w:tcPr>
            <w:tcW w:w="1153" w:type="dxa"/>
            <w:shd w:val="clear" w:color="auto" w:fill="D2E1E9"/>
            <w:vAlign w:val="center"/>
          </w:tcPr>
          <w:p w14:paraId="55F9C91B"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14</w:t>
            </w:r>
          </w:p>
        </w:tc>
      </w:tr>
      <w:tr w:rsidR="000B52D7" w:rsidRPr="009D336C" w14:paraId="077C66C1" w14:textId="77777777" w:rsidTr="00C77AB5">
        <w:trPr>
          <w:trHeight w:val="130"/>
        </w:trPr>
        <w:tc>
          <w:tcPr>
            <w:tcW w:w="5786" w:type="dxa"/>
            <w:gridSpan w:val="2"/>
            <w:shd w:val="clear" w:color="auto" w:fill="7FB8CB"/>
            <w:tcMar>
              <w:left w:w="113" w:type="dxa"/>
            </w:tcMar>
            <w:vAlign w:val="center"/>
          </w:tcPr>
          <w:p w14:paraId="55D2FC91"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To assist the TIO</w:t>
            </w:r>
          </w:p>
        </w:tc>
        <w:tc>
          <w:tcPr>
            <w:tcW w:w="1432" w:type="dxa"/>
            <w:shd w:val="clear" w:color="auto" w:fill="D2E1E9"/>
            <w:vAlign w:val="center"/>
          </w:tcPr>
          <w:p w14:paraId="1A30356C"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284(3)</w:t>
            </w:r>
          </w:p>
        </w:tc>
        <w:tc>
          <w:tcPr>
            <w:tcW w:w="1058" w:type="dxa"/>
            <w:shd w:val="clear" w:color="auto" w:fill="D2E1E9"/>
            <w:vAlign w:val="center"/>
          </w:tcPr>
          <w:p w14:paraId="467E358B"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8,749</w:t>
            </w:r>
          </w:p>
        </w:tc>
        <w:tc>
          <w:tcPr>
            <w:tcW w:w="1153" w:type="dxa"/>
            <w:shd w:val="clear" w:color="auto" w:fill="D2E1E9"/>
            <w:vAlign w:val="center"/>
          </w:tcPr>
          <w:p w14:paraId="72D8F002"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7,774</w:t>
            </w:r>
          </w:p>
        </w:tc>
      </w:tr>
      <w:tr w:rsidR="000B52D7" w:rsidRPr="009D336C" w14:paraId="5F84C059" w14:textId="77777777" w:rsidTr="00C77AB5">
        <w:trPr>
          <w:trHeight w:val="23"/>
        </w:trPr>
        <w:tc>
          <w:tcPr>
            <w:tcW w:w="5786" w:type="dxa"/>
            <w:gridSpan w:val="2"/>
            <w:shd w:val="clear" w:color="auto" w:fill="7FB8CB"/>
            <w:tcMar>
              <w:left w:w="113" w:type="dxa"/>
            </w:tcMar>
            <w:vAlign w:val="center"/>
          </w:tcPr>
          <w:p w14:paraId="4A7EAE7D"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Calls to emergency service number</w:t>
            </w:r>
          </w:p>
        </w:tc>
        <w:tc>
          <w:tcPr>
            <w:tcW w:w="1432" w:type="dxa"/>
            <w:shd w:val="clear" w:color="auto" w:fill="D2E1E9"/>
            <w:vAlign w:val="center"/>
          </w:tcPr>
          <w:p w14:paraId="78F8C9F9"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286</w:t>
            </w:r>
          </w:p>
        </w:tc>
        <w:tc>
          <w:tcPr>
            <w:tcW w:w="1058" w:type="dxa"/>
            <w:shd w:val="clear" w:color="auto" w:fill="D2E1E9"/>
            <w:vAlign w:val="center"/>
          </w:tcPr>
          <w:p w14:paraId="7B694A1E"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10,073</w:t>
            </w:r>
          </w:p>
        </w:tc>
        <w:tc>
          <w:tcPr>
            <w:tcW w:w="1153" w:type="dxa"/>
            <w:shd w:val="clear" w:color="auto" w:fill="D2E1E9"/>
            <w:vAlign w:val="center"/>
          </w:tcPr>
          <w:p w14:paraId="114D5A10"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8,062</w:t>
            </w:r>
          </w:p>
        </w:tc>
      </w:tr>
      <w:tr w:rsidR="000B52D7" w:rsidRPr="009D336C" w14:paraId="0002D079" w14:textId="77777777" w:rsidTr="00C77AB5">
        <w:trPr>
          <w:trHeight w:val="23"/>
        </w:trPr>
        <w:tc>
          <w:tcPr>
            <w:tcW w:w="5786" w:type="dxa"/>
            <w:gridSpan w:val="2"/>
            <w:shd w:val="clear" w:color="auto" w:fill="7FB8CB"/>
            <w:tcMar>
              <w:left w:w="113" w:type="dxa"/>
            </w:tcMar>
            <w:vAlign w:val="center"/>
          </w:tcPr>
          <w:p w14:paraId="02D3FA71"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To avert a threat to a person’s life or health</w:t>
            </w:r>
          </w:p>
        </w:tc>
        <w:tc>
          <w:tcPr>
            <w:tcW w:w="1432" w:type="dxa"/>
            <w:shd w:val="clear" w:color="auto" w:fill="D2E1E9"/>
            <w:vAlign w:val="center"/>
          </w:tcPr>
          <w:p w14:paraId="193B67F1"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287</w:t>
            </w:r>
          </w:p>
        </w:tc>
        <w:tc>
          <w:tcPr>
            <w:tcW w:w="1058" w:type="dxa"/>
            <w:shd w:val="clear" w:color="auto" w:fill="D2E1E9"/>
            <w:vAlign w:val="center"/>
          </w:tcPr>
          <w:p w14:paraId="170F4672"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14,500</w:t>
            </w:r>
          </w:p>
        </w:tc>
        <w:tc>
          <w:tcPr>
            <w:tcW w:w="1153" w:type="dxa"/>
            <w:shd w:val="clear" w:color="auto" w:fill="D2E1E9"/>
            <w:vAlign w:val="center"/>
          </w:tcPr>
          <w:p w14:paraId="400E4F3E"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11,381</w:t>
            </w:r>
          </w:p>
        </w:tc>
      </w:tr>
      <w:tr w:rsidR="000B52D7" w:rsidRPr="009D336C" w14:paraId="772358C9" w14:textId="77777777" w:rsidTr="00C77AB5">
        <w:trPr>
          <w:trHeight w:val="23"/>
        </w:trPr>
        <w:tc>
          <w:tcPr>
            <w:tcW w:w="5786" w:type="dxa"/>
            <w:gridSpan w:val="2"/>
            <w:shd w:val="clear" w:color="auto" w:fill="7FB8CB"/>
            <w:tcMar>
              <w:left w:w="113" w:type="dxa"/>
            </w:tcMar>
            <w:vAlign w:val="center"/>
          </w:tcPr>
          <w:p w14:paraId="0704685C"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Communications for maritime purposes</w:t>
            </w:r>
          </w:p>
        </w:tc>
        <w:tc>
          <w:tcPr>
            <w:tcW w:w="1432" w:type="dxa"/>
            <w:shd w:val="clear" w:color="auto" w:fill="D2E1E9"/>
            <w:vAlign w:val="center"/>
          </w:tcPr>
          <w:p w14:paraId="4F243FF4"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288</w:t>
            </w:r>
          </w:p>
        </w:tc>
        <w:tc>
          <w:tcPr>
            <w:tcW w:w="1058" w:type="dxa"/>
            <w:shd w:val="clear" w:color="auto" w:fill="D2E1E9"/>
            <w:vAlign w:val="center"/>
          </w:tcPr>
          <w:p w14:paraId="3CB65399"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0</w:t>
            </w:r>
          </w:p>
        </w:tc>
        <w:tc>
          <w:tcPr>
            <w:tcW w:w="1153" w:type="dxa"/>
            <w:shd w:val="clear" w:color="auto" w:fill="D2E1E9"/>
            <w:vAlign w:val="center"/>
          </w:tcPr>
          <w:p w14:paraId="39B1DACA"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0</w:t>
            </w:r>
          </w:p>
        </w:tc>
      </w:tr>
      <w:tr w:rsidR="000B52D7" w:rsidRPr="009D336C" w14:paraId="5A16B887" w14:textId="77777777" w:rsidTr="00C77AB5">
        <w:trPr>
          <w:trHeight w:val="23"/>
        </w:trPr>
        <w:tc>
          <w:tcPr>
            <w:tcW w:w="5786" w:type="dxa"/>
            <w:gridSpan w:val="2"/>
            <w:shd w:val="clear" w:color="auto" w:fill="7FB8CB"/>
            <w:tcMar>
              <w:left w:w="113" w:type="dxa"/>
            </w:tcMar>
            <w:vAlign w:val="center"/>
          </w:tcPr>
          <w:p w14:paraId="22121C52"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With the knowledge or consent of the person concerned</w:t>
            </w:r>
          </w:p>
        </w:tc>
        <w:tc>
          <w:tcPr>
            <w:tcW w:w="1432" w:type="dxa"/>
            <w:shd w:val="clear" w:color="auto" w:fill="D2E1E9"/>
            <w:vAlign w:val="center"/>
          </w:tcPr>
          <w:p w14:paraId="2BD52EA9"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289</w:t>
            </w:r>
          </w:p>
        </w:tc>
        <w:tc>
          <w:tcPr>
            <w:tcW w:w="1058" w:type="dxa"/>
            <w:shd w:val="clear" w:color="auto" w:fill="D2E1E9"/>
            <w:vAlign w:val="center"/>
          </w:tcPr>
          <w:p w14:paraId="2C6BDE11"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171,926</w:t>
            </w:r>
          </w:p>
        </w:tc>
        <w:tc>
          <w:tcPr>
            <w:tcW w:w="1153" w:type="dxa"/>
            <w:shd w:val="clear" w:color="auto" w:fill="D2E1E9"/>
            <w:vAlign w:val="center"/>
          </w:tcPr>
          <w:p w14:paraId="4132EF64"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66,629</w:t>
            </w:r>
          </w:p>
        </w:tc>
      </w:tr>
      <w:tr w:rsidR="000B52D7" w:rsidRPr="009D336C" w14:paraId="48AFB9A2" w14:textId="77777777" w:rsidTr="00C77AB5">
        <w:trPr>
          <w:trHeight w:val="58"/>
        </w:trPr>
        <w:tc>
          <w:tcPr>
            <w:tcW w:w="5786" w:type="dxa"/>
            <w:gridSpan w:val="2"/>
            <w:shd w:val="clear" w:color="auto" w:fill="7FB8CB"/>
            <w:tcMar>
              <w:left w:w="113" w:type="dxa"/>
            </w:tcMar>
            <w:vAlign w:val="center"/>
          </w:tcPr>
          <w:p w14:paraId="34B1EDC8"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In circumstances prescribed in the Telecommunications Regulations 2001</w:t>
            </w:r>
          </w:p>
        </w:tc>
        <w:tc>
          <w:tcPr>
            <w:tcW w:w="1432" w:type="dxa"/>
            <w:shd w:val="clear" w:color="auto" w:fill="D2E1E9"/>
            <w:vAlign w:val="center"/>
          </w:tcPr>
          <w:p w14:paraId="28FBEA39"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292</w:t>
            </w:r>
          </w:p>
        </w:tc>
        <w:tc>
          <w:tcPr>
            <w:tcW w:w="1058" w:type="dxa"/>
            <w:shd w:val="clear" w:color="auto" w:fill="D2E1E9"/>
            <w:vAlign w:val="center"/>
          </w:tcPr>
          <w:p w14:paraId="63555B01"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0</w:t>
            </w:r>
          </w:p>
        </w:tc>
        <w:tc>
          <w:tcPr>
            <w:tcW w:w="1153" w:type="dxa"/>
            <w:shd w:val="clear" w:color="auto" w:fill="D2E1E9"/>
            <w:vAlign w:val="center"/>
          </w:tcPr>
          <w:p w14:paraId="5C912E72"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0</w:t>
            </w:r>
          </w:p>
        </w:tc>
      </w:tr>
      <w:tr w:rsidR="000B52D7" w:rsidRPr="009D336C" w14:paraId="6528C4BB" w14:textId="77777777" w:rsidTr="00C77AB5">
        <w:trPr>
          <w:trHeight w:val="38"/>
        </w:trPr>
        <w:tc>
          <w:tcPr>
            <w:tcW w:w="5786" w:type="dxa"/>
            <w:gridSpan w:val="2"/>
            <w:shd w:val="clear" w:color="auto" w:fill="7FB8CB"/>
            <w:tcMar>
              <w:left w:w="113" w:type="dxa"/>
            </w:tcMar>
            <w:vAlign w:val="center"/>
          </w:tcPr>
          <w:p w14:paraId="18715D1C" w14:textId="77777777" w:rsidR="000B52D7" w:rsidRPr="00BE6BBB" w:rsidRDefault="000B52D7" w:rsidP="00C77AB5">
            <w:pPr>
              <w:keepNext/>
              <w:keepLines/>
              <w:spacing w:after="0" w:line="240" w:lineRule="auto"/>
              <w:rPr>
                <w:rFonts w:cstheme="minorBidi"/>
                <w:b/>
                <w:color w:val="FFFFFF" w:themeColor="background1"/>
                <w:sz w:val="18"/>
                <w:szCs w:val="22"/>
              </w:rPr>
            </w:pPr>
            <w:r w:rsidRPr="00BE6BBB">
              <w:rPr>
                <w:rFonts w:cstheme="minorBidi"/>
                <w:color w:val="FFFFFF" w:themeColor="background1"/>
                <w:sz w:val="18"/>
                <w:szCs w:val="22"/>
              </w:rPr>
              <w:t xml:space="preserve">Connected with an exempt disclosure </w:t>
            </w:r>
          </w:p>
        </w:tc>
        <w:tc>
          <w:tcPr>
            <w:tcW w:w="1432" w:type="dxa"/>
            <w:shd w:val="clear" w:color="auto" w:fill="D2E1E9"/>
            <w:vAlign w:val="center"/>
          </w:tcPr>
          <w:p w14:paraId="500DCC2B" w14:textId="77777777" w:rsidR="000B52D7" w:rsidRPr="0032755E" w:rsidRDefault="000B52D7" w:rsidP="009329F7">
            <w:pPr>
              <w:keepNext/>
              <w:keepLines/>
              <w:spacing w:after="0" w:line="240" w:lineRule="auto"/>
              <w:jc w:val="right"/>
              <w:rPr>
                <w:rFonts w:cstheme="minorBidi"/>
                <w:i/>
                <w:sz w:val="18"/>
                <w:szCs w:val="22"/>
              </w:rPr>
            </w:pPr>
            <w:r w:rsidRPr="0032755E">
              <w:rPr>
                <w:rFonts w:cstheme="minorBidi"/>
                <w:sz w:val="18"/>
                <w:szCs w:val="22"/>
              </w:rPr>
              <w:t>293</w:t>
            </w:r>
          </w:p>
        </w:tc>
        <w:tc>
          <w:tcPr>
            <w:tcW w:w="1058" w:type="dxa"/>
            <w:shd w:val="clear" w:color="auto" w:fill="D2E1E9"/>
            <w:vAlign w:val="center"/>
          </w:tcPr>
          <w:p w14:paraId="3C5E7506" w14:textId="77777777" w:rsidR="000B52D7" w:rsidRPr="0032755E" w:rsidRDefault="000B52D7" w:rsidP="009329F7">
            <w:pPr>
              <w:keepNext/>
              <w:keepLines/>
              <w:spacing w:after="0" w:line="240" w:lineRule="auto"/>
              <w:jc w:val="right"/>
              <w:rPr>
                <w:rFonts w:cstheme="minorBidi"/>
                <w:b/>
                <w:i/>
                <w:sz w:val="18"/>
                <w:szCs w:val="22"/>
              </w:rPr>
            </w:pPr>
            <w:r w:rsidRPr="0032755E">
              <w:rPr>
                <w:rFonts w:cstheme="minorBidi"/>
                <w:sz w:val="18"/>
                <w:szCs w:val="22"/>
              </w:rPr>
              <w:t>6</w:t>
            </w:r>
          </w:p>
        </w:tc>
        <w:tc>
          <w:tcPr>
            <w:tcW w:w="1153" w:type="dxa"/>
            <w:shd w:val="clear" w:color="auto" w:fill="D2E1E9"/>
            <w:vAlign w:val="center"/>
          </w:tcPr>
          <w:p w14:paraId="0EBC3422" w14:textId="77777777" w:rsidR="000B52D7" w:rsidRPr="0032755E" w:rsidRDefault="000B52D7" w:rsidP="009329F7">
            <w:pPr>
              <w:keepNext/>
              <w:keepLines/>
              <w:spacing w:after="0" w:line="240" w:lineRule="auto"/>
              <w:jc w:val="right"/>
              <w:rPr>
                <w:rFonts w:cstheme="minorBidi"/>
                <w:b/>
                <w:i/>
                <w:sz w:val="18"/>
                <w:szCs w:val="22"/>
              </w:rPr>
            </w:pPr>
            <w:r w:rsidRPr="0032755E">
              <w:rPr>
                <w:rFonts w:cstheme="minorBidi"/>
                <w:sz w:val="18"/>
                <w:szCs w:val="22"/>
              </w:rPr>
              <w:t>6</w:t>
            </w:r>
          </w:p>
        </w:tc>
      </w:tr>
      <w:tr w:rsidR="000B52D7" w:rsidRPr="009D336C" w14:paraId="22B1572B" w14:textId="77777777" w:rsidTr="00C77AB5">
        <w:trPr>
          <w:trHeight w:val="23"/>
        </w:trPr>
        <w:tc>
          <w:tcPr>
            <w:tcW w:w="5786" w:type="dxa"/>
            <w:gridSpan w:val="2"/>
            <w:tcBorders>
              <w:bottom w:val="single" w:sz="24" w:space="0" w:color="FFFFFF" w:themeColor="background1"/>
            </w:tcBorders>
            <w:shd w:val="clear" w:color="auto" w:fill="7FB8CB"/>
            <w:tcMar>
              <w:left w:w="113" w:type="dxa"/>
            </w:tcMar>
            <w:vAlign w:val="center"/>
          </w:tcPr>
          <w:p w14:paraId="6810259A" w14:textId="77777777" w:rsidR="000B52D7" w:rsidRPr="00BE6BBB" w:rsidRDefault="000B52D7" w:rsidP="00C77AB5">
            <w:pPr>
              <w:keepNext/>
              <w:keepLines/>
              <w:spacing w:after="0" w:line="240" w:lineRule="auto"/>
              <w:rPr>
                <w:rFonts w:cstheme="minorBidi"/>
                <w:b/>
                <w:i/>
                <w:color w:val="FFFFFF" w:themeColor="background1"/>
                <w:sz w:val="18"/>
                <w:szCs w:val="22"/>
              </w:rPr>
            </w:pPr>
            <w:r w:rsidRPr="00BE6BBB">
              <w:rPr>
                <w:rFonts w:cstheme="minorBidi"/>
                <w:b/>
                <w:i/>
                <w:color w:val="FFFFFF" w:themeColor="background1"/>
                <w:sz w:val="18"/>
                <w:szCs w:val="22"/>
              </w:rPr>
              <w:t>Subtotal</w:t>
            </w:r>
          </w:p>
        </w:tc>
        <w:tc>
          <w:tcPr>
            <w:tcW w:w="1432" w:type="dxa"/>
            <w:tcBorders>
              <w:bottom w:val="single" w:sz="24" w:space="0" w:color="FFFFFF" w:themeColor="background1"/>
            </w:tcBorders>
            <w:shd w:val="clear" w:color="auto" w:fill="D2E1E9"/>
            <w:vAlign w:val="center"/>
          </w:tcPr>
          <w:p w14:paraId="4E7F85D2" w14:textId="77777777" w:rsidR="000B52D7" w:rsidRPr="0032755E" w:rsidRDefault="000B52D7" w:rsidP="00C77AB5">
            <w:pPr>
              <w:keepNext/>
              <w:keepLines/>
              <w:spacing w:after="0" w:line="240" w:lineRule="auto"/>
              <w:rPr>
                <w:rFonts w:cstheme="minorBidi"/>
                <w:color w:val="FFFFFF" w:themeColor="background1"/>
                <w:sz w:val="18"/>
                <w:szCs w:val="22"/>
              </w:rPr>
            </w:pPr>
          </w:p>
        </w:tc>
        <w:tc>
          <w:tcPr>
            <w:tcW w:w="1058" w:type="dxa"/>
            <w:shd w:val="clear" w:color="auto" w:fill="D2E1E9"/>
            <w:vAlign w:val="center"/>
          </w:tcPr>
          <w:p w14:paraId="0D3DB351" w14:textId="77777777" w:rsidR="000B52D7" w:rsidRPr="0032755E" w:rsidRDefault="000B52D7" w:rsidP="009329F7">
            <w:pPr>
              <w:keepNext/>
              <w:keepLines/>
              <w:spacing w:after="0" w:line="240" w:lineRule="auto"/>
              <w:jc w:val="right"/>
              <w:rPr>
                <w:rFonts w:cstheme="minorBidi"/>
                <w:color w:val="FFFFFF" w:themeColor="background1"/>
                <w:sz w:val="18"/>
                <w:szCs w:val="22"/>
              </w:rPr>
            </w:pPr>
            <w:r w:rsidRPr="0032755E">
              <w:rPr>
                <w:rFonts w:cstheme="minorBidi"/>
                <w:b/>
                <w:i/>
                <w:sz w:val="18"/>
                <w:szCs w:val="22"/>
              </w:rPr>
              <w:t>220,123</w:t>
            </w:r>
          </w:p>
        </w:tc>
        <w:tc>
          <w:tcPr>
            <w:tcW w:w="1153" w:type="dxa"/>
            <w:shd w:val="clear" w:color="auto" w:fill="D2E1E9"/>
            <w:vAlign w:val="center"/>
          </w:tcPr>
          <w:p w14:paraId="1314DEBB" w14:textId="77777777" w:rsidR="000B52D7" w:rsidRPr="0032755E" w:rsidRDefault="000B52D7" w:rsidP="009329F7">
            <w:pPr>
              <w:keepNext/>
              <w:keepLines/>
              <w:spacing w:after="0" w:line="240" w:lineRule="auto"/>
              <w:jc w:val="right"/>
              <w:rPr>
                <w:rFonts w:cstheme="minorBidi"/>
                <w:color w:val="FFFFFF" w:themeColor="background1"/>
                <w:sz w:val="18"/>
                <w:szCs w:val="22"/>
              </w:rPr>
            </w:pPr>
            <w:r w:rsidRPr="0032755E">
              <w:rPr>
                <w:rFonts w:cstheme="minorBidi"/>
                <w:b/>
                <w:i/>
                <w:sz w:val="18"/>
                <w:szCs w:val="22"/>
              </w:rPr>
              <w:t>107,842</w:t>
            </w:r>
          </w:p>
        </w:tc>
      </w:tr>
      <w:tr w:rsidR="000B52D7" w:rsidRPr="009D336C" w14:paraId="609E7B57" w14:textId="77777777" w:rsidTr="00C77AB5">
        <w:trPr>
          <w:trHeight w:val="23"/>
        </w:trPr>
        <w:tc>
          <w:tcPr>
            <w:tcW w:w="9429" w:type="dxa"/>
            <w:gridSpan w:val="5"/>
            <w:tcBorders>
              <w:bottom w:val="single" w:sz="24" w:space="0" w:color="FFFFFF" w:themeColor="background1"/>
            </w:tcBorders>
            <w:shd w:val="clear" w:color="auto" w:fill="7FB8CB"/>
            <w:tcMar>
              <w:left w:w="113" w:type="dxa"/>
            </w:tcMar>
            <w:vAlign w:val="center"/>
          </w:tcPr>
          <w:p w14:paraId="0869DF0C"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b/>
                <w:color w:val="FFFFFF" w:themeColor="background1"/>
                <w:sz w:val="18"/>
                <w:szCs w:val="22"/>
              </w:rPr>
              <w:t>Under the</w:t>
            </w:r>
            <w:r w:rsidRPr="00BE6BBB">
              <w:rPr>
                <w:rFonts w:cstheme="minorBidi"/>
                <w:b/>
                <w:i/>
                <w:color w:val="FFFFFF" w:themeColor="background1"/>
                <w:sz w:val="18"/>
                <w:szCs w:val="22"/>
              </w:rPr>
              <w:t xml:space="preserve"> Telecommunications (Interception and Access) Act 1979</w:t>
            </w:r>
          </w:p>
        </w:tc>
      </w:tr>
      <w:tr w:rsidR="000B52D7" w:rsidRPr="009D336C" w14:paraId="33B21A7B" w14:textId="77777777" w:rsidTr="000B0D2B">
        <w:trPr>
          <w:trHeight w:val="27"/>
        </w:trPr>
        <w:tc>
          <w:tcPr>
            <w:tcW w:w="5786" w:type="dxa"/>
            <w:gridSpan w:val="2"/>
            <w:tcBorders>
              <w:bottom w:val="single" w:sz="24" w:space="0" w:color="FFFFFF" w:themeColor="background1"/>
              <w:right w:val="single" w:sz="24" w:space="0" w:color="FFFFFF" w:themeColor="background1"/>
            </w:tcBorders>
            <w:shd w:val="clear" w:color="auto" w:fill="7FB8CB"/>
            <w:tcMar>
              <w:left w:w="113" w:type="dxa"/>
            </w:tcMar>
            <w:vAlign w:val="center"/>
          </w:tcPr>
          <w:p w14:paraId="3AEEAA59" w14:textId="77777777" w:rsidR="000B52D7" w:rsidRPr="00BE6BBB" w:rsidRDefault="000B52D7" w:rsidP="00C77AB5">
            <w:pPr>
              <w:keepNext/>
              <w:keepLines/>
              <w:spacing w:after="0" w:line="240" w:lineRule="auto"/>
              <w:rPr>
                <w:b/>
                <w:color w:val="FFFFFF" w:themeColor="background1"/>
                <w:sz w:val="18"/>
              </w:rPr>
            </w:pPr>
            <w:r w:rsidRPr="00BE6BBB">
              <w:rPr>
                <w:rFonts w:cstheme="minorBidi"/>
                <w:color w:val="FFFFFF" w:themeColor="background1"/>
                <w:sz w:val="18"/>
                <w:szCs w:val="22"/>
              </w:rPr>
              <w:t>Voluntary disclosures</w:t>
            </w:r>
          </w:p>
        </w:tc>
        <w:tc>
          <w:tcPr>
            <w:tcW w:w="1432" w:type="dxa"/>
            <w:tcBorders>
              <w:left w:val="single" w:sz="24" w:space="0" w:color="FFFFFF" w:themeColor="background1"/>
              <w:bottom w:val="single" w:sz="24" w:space="0" w:color="FFFFFF" w:themeColor="background1"/>
              <w:right w:val="single" w:sz="24" w:space="0" w:color="FFFFFF" w:themeColor="background1"/>
            </w:tcBorders>
            <w:shd w:val="clear" w:color="auto" w:fill="D2E1E9"/>
            <w:vAlign w:val="center"/>
          </w:tcPr>
          <w:p w14:paraId="7109E7D4"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177</w:t>
            </w:r>
          </w:p>
        </w:tc>
        <w:tc>
          <w:tcPr>
            <w:tcW w:w="1058" w:type="dxa"/>
            <w:tcBorders>
              <w:left w:val="single" w:sz="24" w:space="0" w:color="FFFFFF" w:themeColor="background1"/>
              <w:bottom w:val="single" w:sz="24" w:space="0" w:color="FFFFFF" w:themeColor="background1"/>
              <w:right w:val="single" w:sz="24" w:space="0" w:color="FFFFFF" w:themeColor="background1"/>
            </w:tcBorders>
            <w:shd w:val="clear" w:color="auto" w:fill="D2E1E9"/>
            <w:vAlign w:val="center"/>
          </w:tcPr>
          <w:p w14:paraId="240FA581"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437</w:t>
            </w:r>
          </w:p>
        </w:tc>
        <w:tc>
          <w:tcPr>
            <w:tcW w:w="1153" w:type="dxa"/>
            <w:tcBorders>
              <w:left w:val="single" w:sz="24" w:space="0" w:color="FFFFFF" w:themeColor="background1"/>
              <w:bottom w:val="single" w:sz="24" w:space="0" w:color="FFFFFF" w:themeColor="background1"/>
            </w:tcBorders>
            <w:shd w:val="clear" w:color="auto" w:fill="D2E1E9"/>
            <w:vAlign w:val="center"/>
          </w:tcPr>
          <w:p w14:paraId="074D1883"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43</w:t>
            </w:r>
          </w:p>
        </w:tc>
      </w:tr>
      <w:tr w:rsidR="000B52D7" w:rsidRPr="009D336C" w14:paraId="482B7A8E" w14:textId="77777777" w:rsidTr="00C77AB5">
        <w:trPr>
          <w:trHeight w:val="216"/>
        </w:trPr>
        <w:tc>
          <w:tcPr>
            <w:tcW w:w="1437" w:type="dxa"/>
            <w:vMerge w:val="restart"/>
            <w:tcBorders>
              <w:top w:val="single" w:sz="24" w:space="0" w:color="FFFFFF" w:themeColor="background1"/>
            </w:tcBorders>
            <w:shd w:val="clear" w:color="auto" w:fill="7FB8CB"/>
            <w:tcMar>
              <w:left w:w="113" w:type="dxa"/>
            </w:tcMar>
            <w:vAlign w:val="center"/>
          </w:tcPr>
          <w:p w14:paraId="52AE9FB3"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Authorisations for access to existing information or documents</w:t>
            </w:r>
          </w:p>
        </w:tc>
        <w:tc>
          <w:tcPr>
            <w:tcW w:w="4349" w:type="dxa"/>
            <w:tcBorders>
              <w:top w:val="single" w:sz="24" w:space="0" w:color="FFFFFF" w:themeColor="background1"/>
            </w:tcBorders>
            <w:shd w:val="clear" w:color="auto" w:fill="7FB8CB"/>
            <w:vAlign w:val="center"/>
          </w:tcPr>
          <w:p w14:paraId="103166A7"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Enforcement of the criminal law</w:t>
            </w:r>
          </w:p>
        </w:tc>
        <w:tc>
          <w:tcPr>
            <w:tcW w:w="1432" w:type="dxa"/>
            <w:shd w:val="clear" w:color="auto" w:fill="D2E1E9"/>
            <w:vAlign w:val="center"/>
          </w:tcPr>
          <w:p w14:paraId="523BD93A"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178</w:t>
            </w:r>
          </w:p>
        </w:tc>
        <w:tc>
          <w:tcPr>
            <w:tcW w:w="1058" w:type="dxa"/>
            <w:shd w:val="clear" w:color="auto" w:fill="D2E1E9"/>
            <w:vAlign w:val="center"/>
          </w:tcPr>
          <w:p w14:paraId="5D0967A0" w14:textId="77777777" w:rsidR="000B52D7" w:rsidRPr="0032755E" w:rsidRDefault="000B52D7" w:rsidP="009329F7">
            <w:pPr>
              <w:keepNext/>
              <w:keepLines/>
              <w:tabs>
                <w:tab w:val="right" w:pos="838"/>
              </w:tabs>
              <w:spacing w:after="0" w:line="240" w:lineRule="auto"/>
              <w:jc w:val="right"/>
              <w:rPr>
                <w:rFonts w:cstheme="minorBidi"/>
                <w:sz w:val="18"/>
                <w:szCs w:val="22"/>
              </w:rPr>
            </w:pPr>
            <w:r w:rsidRPr="0032755E">
              <w:rPr>
                <w:rFonts w:cstheme="minorBidi"/>
                <w:sz w:val="18"/>
                <w:szCs w:val="22"/>
              </w:rPr>
              <w:t>584,029</w:t>
            </w:r>
          </w:p>
        </w:tc>
        <w:tc>
          <w:tcPr>
            <w:tcW w:w="1153" w:type="dxa"/>
            <w:shd w:val="clear" w:color="auto" w:fill="D2E1E9"/>
            <w:vAlign w:val="center"/>
          </w:tcPr>
          <w:p w14:paraId="4CD951FF" w14:textId="77777777" w:rsidR="000B52D7" w:rsidRPr="0032755E" w:rsidRDefault="000B52D7" w:rsidP="009329F7">
            <w:pPr>
              <w:keepNext/>
              <w:keepLines/>
              <w:tabs>
                <w:tab w:val="right" w:pos="838"/>
              </w:tabs>
              <w:spacing w:after="0" w:line="240" w:lineRule="auto"/>
              <w:jc w:val="right"/>
              <w:rPr>
                <w:rFonts w:cstheme="minorBidi"/>
                <w:sz w:val="18"/>
                <w:szCs w:val="22"/>
              </w:rPr>
            </w:pPr>
            <w:r w:rsidRPr="0032755E">
              <w:rPr>
                <w:rFonts w:cstheme="minorBidi"/>
                <w:sz w:val="18"/>
                <w:szCs w:val="22"/>
              </w:rPr>
              <w:t>541,318</w:t>
            </w:r>
          </w:p>
        </w:tc>
      </w:tr>
      <w:tr w:rsidR="000B52D7" w:rsidRPr="009D336C" w14:paraId="363E2323" w14:textId="77777777" w:rsidTr="00C77AB5">
        <w:trPr>
          <w:trHeight w:val="250"/>
        </w:trPr>
        <w:tc>
          <w:tcPr>
            <w:tcW w:w="1437" w:type="dxa"/>
            <w:vMerge/>
            <w:shd w:val="clear" w:color="auto" w:fill="7FB8CB"/>
            <w:tcMar>
              <w:left w:w="113" w:type="dxa"/>
            </w:tcMar>
            <w:vAlign w:val="center"/>
          </w:tcPr>
          <w:p w14:paraId="47096809" w14:textId="77777777" w:rsidR="000B52D7" w:rsidRPr="00BE6BBB" w:rsidRDefault="000B52D7" w:rsidP="00C77AB5">
            <w:pPr>
              <w:keepNext/>
              <w:keepLines/>
              <w:spacing w:after="0" w:line="240" w:lineRule="auto"/>
              <w:rPr>
                <w:rFonts w:cstheme="minorBidi"/>
                <w:color w:val="FFFFFF" w:themeColor="background1"/>
                <w:sz w:val="18"/>
                <w:szCs w:val="22"/>
              </w:rPr>
            </w:pPr>
          </w:p>
        </w:tc>
        <w:tc>
          <w:tcPr>
            <w:tcW w:w="4349" w:type="dxa"/>
            <w:shd w:val="clear" w:color="auto" w:fill="7FB8CB"/>
            <w:vAlign w:val="center"/>
          </w:tcPr>
          <w:p w14:paraId="4EE901ED"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Locating missing persons</w:t>
            </w:r>
          </w:p>
        </w:tc>
        <w:tc>
          <w:tcPr>
            <w:tcW w:w="1432" w:type="dxa"/>
            <w:shd w:val="clear" w:color="auto" w:fill="D2E1E9"/>
            <w:vAlign w:val="center"/>
          </w:tcPr>
          <w:p w14:paraId="5BFBC713"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178A</w:t>
            </w:r>
          </w:p>
        </w:tc>
        <w:tc>
          <w:tcPr>
            <w:tcW w:w="1058" w:type="dxa"/>
            <w:shd w:val="clear" w:color="auto" w:fill="D2E1E9"/>
            <w:vAlign w:val="center"/>
          </w:tcPr>
          <w:p w14:paraId="651105E8"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4,195</w:t>
            </w:r>
          </w:p>
        </w:tc>
        <w:tc>
          <w:tcPr>
            <w:tcW w:w="1153" w:type="dxa"/>
            <w:shd w:val="clear" w:color="auto" w:fill="D2E1E9"/>
            <w:vAlign w:val="center"/>
          </w:tcPr>
          <w:p w14:paraId="591C8599"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4,229</w:t>
            </w:r>
          </w:p>
        </w:tc>
      </w:tr>
      <w:tr w:rsidR="000B52D7" w:rsidRPr="009D336C" w14:paraId="6C7440B2" w14:textId="77777777" w:rsidTr="00C77AB5">
        <w:trPr>
          <w:trHeight w:val="256"/>
        </w:trPr>
        <w:tc>
          <w:tcPr>
            <w:tcW w:w="1437" w:type="dxa"/>
            <w:vMerge/>
            <w:shd w:val="clear" w:color="auto" w:fill="7FB8CB"/>
            <w:tcMar>
              <w:left w:w="113" w:type="dxa"/>
            </w:tcMar>
            <w:vAlign w:val="center"/>
          </w:tcPr>
          <w:p w14:paraId="08D6C66B" w14:textId="77777777" w:rsidR="000B52D7" w:rsidRPr="00BE6BBB" w:rsidRDefault="000B52D7" w:rsidP="00C77AB5">
            <w:pPr>
              <w:keepNext/>
              <w:keepLines/>
              <w:spacing w:after="0" w:line="240" w:lineRule="auto"/>
              <w:rPr>
                <w:rFonts w:cstheme="minorBidi"/>
                <w:color w:val="FFFFFF" w:themeColor="background1"/>
                <w:sz w:val="18"/>
                <w:szCs w:val="22"/>
              </w:rPr>
            </w:pPr>
          </w:p>
        </w:tc>
        <w:tc>
          <w:tcPr>
            <w:tcW w:w="4349" w:type="dxa"/>
            <w:shd w:val="clear" w:color="auto" w:fill="7FB8CB"/>
            <w:vAlign w:val="center"/>
          </w:tcPr>
          <w:p w14:paraId="32869C09"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Enforcement of a law imposing pecuniary penalty or protection of the public revenue</w:t>
            </w:r>
          </w:p>
        </w:tc>
        <w:tc>
          <w:tcPr>
            <w:tcW w:w="1432" w:type="dxa"/>
            <w:shd w:val="clear" w:color="auto" w:fill="D2E1E9"/>
            <w:vAlign w:val="center"/>
          </w:tcPr>
          <w:p w14:paraId="711CE2B4"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179</w:t>
            </w:r>
          </w:p>
        </w:tc>
        <w:tc>
          <w:tcPr>
            <w:tcW w:w="1058" w:type="dxa"/>
            <w:shd w:val="clear" w:color="auto" w:fill="D2E1E9"/>
            <w:vAlign w:val="center"/>
          </w:tcPr>
          <w:p w14:paraId="7C3200A2"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7,206</w:t>
            </w:r>
          </w:p>
        </w:tc>
        <w:tc>
          <w:tcPr>
            <w:tcW w:w="1153" w:type="dxa"/>
            <w:shd w:val="clear" w:color="auto" w:fill="D2E1E9"/>
            <w:vAlign w:val="center"/>
          </w:tcPr>
          <w:p w14:paraId="254F40C3"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2,929</w:t>
            </w:r>
          </w:p>
        </w:tc>
      </w:tr>
      <w:tr w:rsidR="000B52D7" w:rsidRPr="009D336C" w14:paraId="38C22EF3" w14:textId="77777777" w:rsidTr="00C77AB5">
        <w:trPr>
          <w:trHeight w:val="236"/>
        </w:trPr>
        <w:tc>
          <w:tcPr>
            <w:tcW w:w="5786" w:type="dxa"/>
            <w:gridSpan w:val="2"/>
            <w:shd w:val="clear" w:color="auto" w:fill="7FB8CB"/>
            <w:tcMar>
              <w:left w:w="113" w:type="dxa"/>
            </w:tcMar>
            <w:vAlign w:val="center"/>
          </w:tcPr>
          <w:p w14:paraId="42E2CDEC"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 xml:space="preserve">Authorisations for access to prospective information or documents </w:t>
            </w:r>
          </w:p>
        </w:tc>
        <w:tc>
          <w:tcPr>
            <w:tcW w:w="1432" w:type="dxa"/>
            <w:shd w:val="clear" w:color="auto" w:fill="D2E1E9"/>
            <w:vAlign w:val="center"/>
          </w:tcPr>
          <w:p w14:paraId="1202A7E3"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180</w:t>
            </w:r>
          </w:p>
        </w:tc>
        <w:tc>
          <w:tcPr>
            <w:tcW w:w="1058" w:type="dxa"/>
            <w:shd w:val="clear" w:color="auto" w:fill="D2E1E9"/>
            <w:vAlign w:val="center"/>
          </w:tcPr>
          <w:p w14:paraId="0AEF5814"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8,784</w:t>
            </w:r>
          </w:p>
        </w:tc>
        <w:tc>
          <w:tcPr>
            <w:tcW w:w="1153" w:type="dxa"/>
            <w:shd w:val="clear" w:color="auto" w:fill="D2E1E9"/>
            <w:vAlign w:val="center"/>
          </w:tcPr>
          <w:p w14:paraId="1B12BBFA"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11,427</w:t>
            </w:r>
          </w:p>
        </w:tc>
      </w:tr>
      <w:tr w:rsidR="000B52D7" w:rsidRPr="009D336C" w14:paraId="123E2D62" w14:textId="77777777" w:rsidTr="00C77AB5">
        <w:trPr>
          <w:trHeight w:val="242"/>
        </w:trPr>
        <w:tc>
          <w:tcPr>
            <w:tcW w:w="1437" w:type="dxa"/>
            <w:vMerge w:val="restart"/>
            <w:shd w:val="clear" w:color="auto" w:fill="7FB8CB"/>
            <w:tcMar>
              <w:left w:w="113" w:type="dxa"/>
            </w:tcMar>
            <w:vAlign w:val="center"/>
          </w:tcPr>
          <w:p w14:paraId="0C9004E9"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Enforcement of the criminal law of a foreign country</w:t>
            </w:r>
          </w:p>
        </w:tc>
        <w:tc>
          <w:tcPr>
            <w:tcW w:w="4349" w:type="dxa"/>
            <w:shd w:val="clear" w:color="auto" w:fill="7FB8CB"/>
            <w:vAlign w:val="center"/>
          </w:tcPr>
          <w:p w14:paraId="0C190FF3"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Existing information</w:t>
            </w:r>
          </w:p>
        </w:tc>
        <w:tc>
          <w:tcPr>
            <w:tcW w:w="1432" w:type="dxa"/>
            <w:shd w:val="clear" w:color="auto" w:fill="D2E1E9"/>
            <w:vAlign w:val="center"/>
          </w:tcPr>
          <w:p w14:paraId="3885A4AF"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180A</w:t>
            </w:r>
          </w:p>
        </w:tc>
        <w:tc>
          <w:tcPr>
            <w:tcW w:w="1058" w:type="dxa"/>
            <w:shd w:val="clear" w:color="auto" w:fill="D2E1E9"/>
            <w:vAlign w:val="center"/>
          </w:tcPr>
          <w:p w14:paraId="7A0BAB62"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52</w:t>
            </w:r>
          </w:p>
        </w:tc>
        <w:tc>
          <w:tcPr>
            <w:tcW w:w="1153" w:type="dxa"/>
            <w:shd w:val="clear" w:color="auto" w:fill="D2E1E9"/>
            <w:vAlign w:val="center"/>
          </w:tcPr>
          <w:p w14:paraId="2CBAB854"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4</w:t>
            </w:r>
          </w:p>
        </w:tc>
      </w:tr>
      <w:tr w:rsidR="000B52D7" w:rsidRPr="009D336C" w14:paraId="181721BC" w14:textId="77777777" w:rsidTr="00A556F4">
        <w:trPr>
          <w:trHeight w:val="389"/>
        </w:trPr>
        <w:tc>
          <w:tcPr>
            <w:tcW w:w="1437" w:type="dxa"/>
            <w:vMerge/>
            <w:shd w:val="clear" w:color="auto" w:fill="7FB8CB"/>
            <w:tcMar>
              <w:left w:w="113" w:type="dxa"/>
            </w:tcMar>
            <w:vAlign w:val="center"/>
          </w:tcPr>
          <w:p w14:paraId="765FCB49" w14:textId="77777777" w:rsidR="000B52D7" w:rsidRPr="00BE6BBB" w:rsidRDefault="000B52D7" w:rsidP="00C77AB5">
            <w:pPr>
              <w:keepNext/>
              <w:keepLines/>
              <w:spacing w:after="0" w:line="240" w:lineRule="auto"/>
              <w:rPr>
                <w:rFonts w:cstheme="minorBidi"/>
                <w:color w:val="FFFFFF" w:themeColor="background1"/>
                <w:sz w:val="18"/>
                <w:szCs w:val="22"/>
              </w:rPr>
            </w:pPr>
          </w:p>
        </w:tc>
        <w:tc>
          <w:tcPr>
            <w:tcW w:w="4349" w:type="dxa"/>
            <w:shd w:val="clear" w:color="auto" w:fill="7FB8CB"/>
            <w:vAlign w:val="center"/>
          </w:tcPr>
          <w:p w14:paraId="5406A2AF" w14:textId="77777777" w:rsidR="000B52D7" w:rsidRPr="00BE6BBB" w:rsidRDefault="000B52D7" w:rsidP="00C77AB5">
            <w:pPr>
              <w:keepNext/>
              <w:keepLines/>
              <w:spacing w:after="0" w:line="240" w:lineRule="auto"/>
              <w:rPr>
                <w:rFonts w:cstheme="minorBidi"/>
                <w:color w:val="FFFFFF" w:themeColor="background1"/>
                <w:sz w:val="18"/>
                <w:szCs w:val="22"/>
              </w:rPr>
            </w:pPr>
            <w:r w:rsidRPr="00BE6BBB">
              <w:rPr>
                <w:rFonts w:cstheme="minorBidi"/>
                <w:color w:val="FFFFFF" w:themeColor="background1"/>
                <w:sz w:val="18"/>
                <w:szCs w:val="22"/>
              </w:rPr>
              <w:t>Prospective information</w:t>
            </w:r>
          </w:p>
        </w:tc>
        <w:tc>
          <w:tcPr>
            <w:tcW w:w="1432" w:type="dxa"/>
            <w:tcBorders>
              <w:bottom w:val="single" w:sz="24" w:space="0" w:color="FFFFFF" w:themeColor="background1"/>
            </w:tcBorders>
            <w:shd w:val="clear" w:color="auto" w:fill="D2E1E9"/>
            <w:vAlign w:val="center"/>
          </w:tcPr>
          <w:p w14:paraId="1D9BF475"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180B</w:t>
            </w:r>
          </w:p>
        </w:tc>
        <w:tc>
          <w:tcPr>
            <w:tcW w:w="1058" w:type="dxa"/>
            <w:tcBorders>
              <w:bottom w:val="single" w:sz="24" w:space="0" w:color="FFFFFF" w:themeColor="background1"/>
            </w:tcBorders>
            <w:shd w:val="clear" w:color="auto" w:fill="D2E1E9"/>
            <w:vAlign w:val="center"/>
          </w:tcPr>
          <w:p w14:paraId="02FE0107"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15</w:t>
            </w:r>
          </w:p>
        </w:tc>
        <w:tc>
          <w:tcPr>
            <w:tcW w:w="1153" w:type="dxa"/>
            <w:tcBorders>
              <w:bottom w:val="single" w:sz="24" w:space="0" w:color="FFFFFF" w:themeColor="background1"/>
            </w:tcBorders>
            <w:shd w:val="clear" w:color="auto" w:fill="D2E1E9"/>
            <w:vAlign w:val="center"/>
          </w:tcPr>
          <w:p w14:paraId="657A18D2" w14:textId="77777777" w:rsidR="000B52D7" w:rsidRPr="0032755E" w:rsidRDefault="000B52D7" w:rsidP="009329F7">
            <w:pPr>
              <w:keepNext/>
              <w:keepLines/>
              <w:spacing w:after="0" w:line="240" w:lineRule="auto"/>
              <w:jc w:val="right"/>
              <w:rPr>
                <w:rFonts w:cstheme="minorBidi"/>
                <w:sz w:val="18"/>
                <w:szCs w:val="22"/>
              </w:rPr>
            </w:pPr>
            <w:r w:rsidRPr="0032755E">
              <w:rPr>
                <w:rFonts w:cstheme="minorBidi"/>
                <w:sz w:val="18"/>
                <w:szCs w:val="22"/>
              </w:rPr>
              <w:t>0</w:t>
            </w:r>
          </w:p>
        </w:tc>
      </w:tr>
      <w:tr w:rsidR="000B52D7" w:rsidRPr="009D336C" w14:paraId="62452B5E" w14:textId="77777777" w:rsidTr="00A556F4">
        <w:trPr>
          <w:trHeight w:val="228"/>
        </w:trPr>
        <w:tc>
          <w:tcPr>
            <w:tcW w:w="5786" w:type="dxa"/>
            <w:gridSpan w:val="2"/>
            <w:shd w:val="clear" w:color="auto" w:fill="7FB8CB"/>
            <w:tcMar>
              <w:left w:w="113" w:type="dxa"/>
            </w:tcMar>
            <w:vAlign w:val="center"/>
          </w:tcPr>
          <w:p w14:paraId="4A75F3ED" w14:textId="77777777" w:rsidR="000B52D7" w:rsidRPr="00BE6BBB" w:rsidRDefault="000B52D7" w:rsidP="00C77AB5">
            <w:pPr>
              <w:keepNext/>
              <w:keepLines/>
              <w:spacing w:after="0" w:line="240" w:lineRule="auto"/>
              <w:rPr>
                <w:rFonts w:cstheme="minorBidi"/>
                <w:b/>
                <w:i/>
                <w:color w:val="FFFFFF" w:themeColor="background1"/>
                <w:sz w:val="18"/>
                <w:szCs w:val="22"/>
              </w:rPr>
            </w:pPr>
            <w:r w:rsidRPr="00BE6BBB">
              <w:rPr>
                <w:rFonts w:cstheme="minorBidi"/>
                <w:b/>
                <w:i/>
                <w:color w:val="FFFFFF" w:themeColor="background1"/>
                <w:sz w:val="18"/>
                <w:szCs w:val="22"/>
              </w:rPr>
              <w:t>Subtotal</w:t>
            </w:r>
          </w:p>
        </w:tc>
        <w:tc>
          <w:tcPr>
            <w:tcW w:w="1432" w:type="dxa"/>
            <w:tcBorders>
              <w:bottom w:val="single" w:sz="24" w:space="0" w:color="FFFFFF" w:themeColor="background1"/>
            </w:tcBorders>
            <w:shd w:val="clear" w:color="auto" w:fill="D2E1E9"/>
            <w:vAlign w:val="center"/>
          </w:tcPr>
          <w:p w14:paraId="2A1BA1A4" w14:textId="77777777" w:rsidR="000B52D7" w:rsidRPr="0032755E" w:rsidRDefault="000B52D7" w:rsidP="00C77AB5">
            <w:pPr>
              <w:keepNext/>
              <w:keepLines/>
              <w:spacing w:after="0" w:line="240" w:lineRule="auto"/>
              <w:rPr>
                <w:rFonts w:cstheme="minorBidi"/>
                <w:color w:val="FFFFFF" w:themeColor="background1"/>
                <w:sz w:val="18"/>
                <w:szCs w:val="22"/>
              </w:rPr>
            </w:pPr>
          </w:p>
        </w:tc>
        <w:tc>
          <w:tcPr>
            <w:tcW w:w="1058" w:type="dxa"/>
            <w:tcBorders>
              <w:bottom w:val="single" w:sz="24" w:space="0" w:color="FFFFFF" w:themeColor="background1"/>
            </w:tcBorders>
            <w:shd w:val="clear" w:color="auto" w:fill="D2E1E9"/>
            <w:vAlign w:val="center"/>
          </w:tcPr>
          <w:p w14:paraId="0114E28E" w14:textId="77777777" w:rsidR="000B52D7" w:rsidRPr="0032755E" w:rsidRDefault="000B52D7" w:rsidP="009329F7">
            <w:pPr>
              <w:keepNext/>
              <w:keepLines/>
              <w:spacing w:after="0" w:line="240" w:lineRule="auto"/>
              <w:jc w:val="right"/>
              <w:rPr>
                <w:rFonts w:cstheme="minorBidi"/>
                <w:b/>
                <w:sz w:val="18"/>
                <w:szCs w:val="22"/>
              </w:rPr>
            </w:pPr>
            <w:r w:rsidRPr="0032755E">
              <w:rPr>
                <w:rFonts w:cstheme="minorBidi"/>
                <w:b/>
                <w:i/>
                <w:sz w:val="18"/>
                <w:szCs w:val="22"/>
              </w:rPr>
              <w:t>604,718</w:t>
            </w:r>
          </w:p>
        </w:tc>
        <w:tc>
          <w:tcPr>
            <w:tcW w:w="1153" w:type="dxa"/>
            <w:tcBorders>
              <w:bottom w:val="single" w:sz="24" w:space="0" w:color="FFFFFF" w:themeColor="background1"/>
            </w:tcBorders>
            <w:shd w:val="clear" w:color="auto" w:fill="D2E1E9"/>
            <w:vAlign w:val="center"/>
          </w:tcPr>
          <w:p w14:paraId="19440A20" w14:textId="77777777" w:rsidR="000B52D7" w:rsidRPr="0032755E" w:rsidRDefault="000B52D7" w:rsidP="009329F7">
            <w:pPr>
              <w:keepNext/>
              <w:keepLines/>
              <w:spacing w:after="0" w:line="240" w:lineRule="auto"/>
              <w:jc w:val="right"/>
              <w:rPr>
                <w:rFonts w:cstheme="minorBidi"/>
                <w:b/>
                <w:sz w:val="18"/>
                <w:szCs w:val="22"/>
              </w:rPr>
            </w:pPr>
            <w:r w:rsidRPr="0032755E">
              <w:rPr>
                <w:rFonts w:cstheme="minorBidi"/>
                <w:b/>
                <w:i/>
                <w:sz w:val="18"/>
                <w:szCs w:val="22"/>
              </w:rPr>
              <w:t>559,950</w:t>
            </w:r>
          </w:p>
        </w:tc>
      </w:tr>
      <w:tr w:rsidR="000B52D7" w:rsidRPr="009D336C" w14:paraId="2F27CB80" w14:textId="77777777" w:rsidTr="00751DC0">
        <w:trPr>
          <w:trHeight w:val="120"/>
        </w:trPr>
        <w:tc>
          <w:tcPr>
            <w:tcW w:w="5786" w:type="dxa"/>
            <w:gridSpan w:val="2"/>
            <w:shd w:val="clear" w:color="auto" w:fill="7FB8CB"/>
            <w:tcMar>
              <w:left w:w="113" w:type="dxa"/>
            </w:tcMar>
            <w:vAlign w:val="center"/>
          </w:tcPr>
          <w:p w14:paraId="129D8DE7" w14:textId="77777777" w:rsidR="000B52D7" w:rsidRPr="00BE6BBB" w:rsidRDefault="000B52D7" w:rsidP="00C77AB5">
            <w:pPr>
              <w:keepNext/>
              <w:keepLines/>
              <w:spacing w:after="0" w:line="240" w:lineRule="auto"/>
              <w:rPr>
                <w:rFonts w:cstheme="minorBidi"/>
                <w:b/>
                <w:color w:val="FFFFFF" w:themeColor="background1"/>
                <w:sz w:val="18"/>
                <w:szCs w:val="22"/>
              </w:rPr>
            </w:pPr>
            <w:r w:rsidRPr="00BE6BBB">
              <w:rPr>
                <w:rFonts w:cstheme="minorBidi"/>
                <w:b/>
                <w:color w:val="FFFFFF" w:themeColor="background1"/>
                <w:sz w:val="18"/>
                <w:szCs w:val="22"/>
              </w:rPr>
              <w:t>Total</w:t>
            </w:r>
          </w:p>
        </w:tc>
        <w:tc>
          <w:tcPr>
            <w:tcW w:w="1432" w:type="dxa"/>
            <w:shd w:val="clear" w:color="auto" w:fill="7FB8CB"/>
            <w:vAlign w:val="center"/>
          </w:tcPr>
          <w:p w14:paraId="4159A37F" w14:textId="77777777" w:rsidR="000B52D7" w:rsidRPr="0032755E" w:rsidRDefault="000B52D7" w:rsidP="00C77AB5">
            <w:pPr>
              <w:keepNext/>
              <w:keepLines/>
              <w:spacing w:after="0" w:line="240" w:lineRule="auto"/>
              <w:rPr>
                <w:rFonts w:cstheme="minorBidi"/>
                <w:color w:val="FFFFFF" w:themeColor="background1"/>
                <w:sz w:val="18"/>
                <w:szCs w:val="22"/>
              </w:rPr>
            </w:pPr>
          </w:p>
        </w:tc>
        <w:tc>
          <w:tcPr>
            <w:tcW w:w="1058" w:type="dxa"/>
            <w:tcBorders>
              <w:top w:val="single" w:sz="24" w:space="0" w:color="FFFFFF" w:themeColor="background1"/>
              <w:bottom w:val="nil"/>
            </w:tcBorders>
            <w:shd w:val="clear" w:color="auto" w:fill="7FB8CB"/>
            <w:vAlign w:val="center"/>
          </w:tcPr>
          <w:p w14:paraId="26E20B0A" w14:textId="77777777" w:rsidR="000B52D7" w:rsidRPr="00C476A5" w:rsidRDefault="000B52D7" w:rsidP="009329F7">
            <w:pPr>
              <w:keepNext/>
              <w:keepLines/>
              <w:spacing w:after="0" w:line="240" w:lineRule="auto"/>
              <w:jc w:val="right"/>
              <w:rPr>
                <w:rFonts w:cstheme="minorBidi"/>
                <w:b/>
                <w:i/>
                <w:color w:val="FFFFFF" w:themeColor="background1"/>
                <w:sz w:val="18"/>
                <w:szCs w:val="22"/>
              </w:rPr>
            </w:pPr>
            <w:r w:rsidRPr="00C476A5">
              <w:rPr>
                <w:rFonts w:cstheme="minorBidi"/>
                <w:b/>
                <w:color w:val="FFFFFF" w:themeColor="background1"/>
                <w:sz w:val="18"/>
                <w:szCs w:val="22"/>
              </w:rPr>
              <w:t>824,841</w:t>
            </w:r>
          </w:p>
        </w:tc>
        <w:tc>
          <w:tcPr>
            <w:tcW w:w="1153" w:type="dxa"/>
            <w:tcBorders>
              <w:bottom w:val="nil"/>
            </w:tcBorders>
            <w:shd w:val="clear" w:color="auto" w:fill="7FB8CB"/>
            <w:vAlign w:val="center"/>
          </w:tcPr>
          <w:p w14:paraId="48CE588C" w14:textId="77777777" w:rsidR="000B52D7" w:rsidRPr="00C476A5" w:rsidRDefault="000B52D7" w:rsidP="009329F7">
            <w:pPr>
              <w:keepNext/>
              <w:keepLines/>
              <w:spacing w:after="0" w:line="240" w:lineRule="auto"/>
              <w:jc w:val="right"/>
              <w:rPr>
                <w:rFonts w:cstheme="minorBidi"/>
                <w:b/>
                <w:i/>
                <w:color w:val="FFFFFF" w:themeColor="background1"/>
                <w:sz w:val="18"/>
                <w:szCs w:val="22"/>
              </w:rPr>
            </w:pPr>
            <w:r w:rsidRPr="00C476A5">
              <w:rPr>
                <w:rFonts w:cstheme="minorBidi"/>
                <w:b/>
                <w:color w:val="FFFFFF" w:themeColor="background1"/>
                <w:sz w:val="18"/>
                <w:szCs w:val="22"/>
              </w:rPr>
              <w:t>667,792</w:t>
            </w:r>
          </w:p>
        </w:tc>
      </w:tr>
    </w:tbl>
    <w:p w14:paraId="24B6C2C5" w14:textId="77777777" w:rsidR="000B52D7" w:rsidRDefault="000B52D7" w:rsidP="000B52D7">
      <w:pPr>
        <w:keepNext/>
        <w:keepLines/>
        <w:spacing w:before="80" w:after="0" w:line="240" w:lineRule="auto"/>
        <w:rPr>
          <w:i/>
          <w:sz w:val="16"/>
        </w:rPr>
      </w:pPr>
      <w:r w:rsidRPr="0032755E">
        <w:rPr>
          <w:i/>
          <w:sz w:val="16"/>
        </w:rPr>
        <w:t>Source: Carriers.</w:t>
      </w:r>
    </w:p>
    <w:p w14:paraId="125ACE2B" w14:textId="77777777" w:rsidR="006E0730" w:rsidRPr="0032755E" w:rsidRDefault="006E0730" w:rsidP="009C1BE9">
      <w:pPr>
        <w:pStyle w:val="ACMASpaceaftertable"/>
      </w:pPr>
    </w:p>
    <w:p w14:paraId="40A40FDA" w14:textId="77777777" w:rsidR="000B52D7" w:rsidRPr="0032755E" w:rsidRDefault="000B52D7" w:rsidP="000B52D7">
      <w:r w:rsidRPr="0032755E">
        <w:t xml:space="preserve">Information about enforcement agency use of powers under the TIA Act to obtain information from carriers and </w:t>
      </w:r>
      <w:r>
        <w:t>CSPs</w:t>
      </w:r>
      <w:r w:rsidRPr="0032755E">
        <w:t xml:space="preserve"> is contained in annual reports prepared by the Attorney-General under subsection</w:t>
      </w:r>
      <w:r w:rsidR="00CD4141">
        <w:t> </w:t>
      </w:r>
      <w:r w:rsidRPr="0032755E">
        <w:t>186(2) of the TIA Act.</w:t>
      </w:r>
    </w:p>
    <w:p w14:paraId="7100FBEE" w14:textId="77777777" w:rsidR="000B52D7" w:rsidRPr="0032755E" w:rsidRDefault="000B52D7" w:rsidP="000B52D7">
      <w:r w:rsidRPr="0032755E">
        <w:t xml:space="preserve">For disclosures made under sections 177, 178, 178A, 179, 180, 180A and 180B of the TIA Act, law enforcement agencies (civil and criminal) must be satisfied that the information they request is reasonably necessary to perform their law enforcement functions. An authorised officer must also consider whether </w:t>
      </w:r>
      <w:r w:rsidRPr="0032755E">
        <w:lastRenderedPageBreak/>
        <w:t xml:space="preserve">any interference with the privacy of any person or persons that may result from the disclosure is justifiable, having regard to the likely relevance and usefulness of the information or documents, and the reason why the disclosure concerned was authorised. </w:t>
      </w:r>
    </w:p>
    <w:p w14:paraId="4DCDBC37" w14:textId="77777777" w:rsidR="000B52D7" w:rsidRPr="0032755E" w:rsidRDefault="000B52D7" w:rsidP="000B52D7">
      <w:pPr>
        <w:pStyle w:val="Heading3"/>
      </w:pPr>
      <w:bookmarkStart w:id="722" w:name="_Toc462909479"/>
      <w:bookmarkStart w:id="723" w:name="_Toc465842962"/>
      <w:r w:rsidRPr="0032755E">
        <w:t>Emergency suspension of carriage services</w:t>
      </w:r>
      <w:bookmarkEnd w:id="722"/>
      <w:bookmarkEnd w:id="723"/>
    </w:p>
    <w:p w14:paraId="68BA7367" w14:textId="77777777" w:rsidR="000B52D7" w:rsidRPr="0032755E" w:rsidRDefault="000B52D7" w:rsidP="000B52D7">
      <w:r w:rsidRPr="0032755E">
        <w:t>Under section 315 of the Telecommunications Act, a senior police officer of a police force or service who holds a rank not lower than the rank of ‘Assistant Commissioner’ can request the suspension of a carriage service, if there is an imminent threat to someone’s life or health. CSPs reported the suspension of 28 carriage services in 2015–16, down from 31 in 2014–15.</w:t>
      </w:r>
    </w:p>
    <w:p w14:paraId="53EA260F" w14:textId="77777777" w:rsidR="000B52D7" w:rsidRPr="0032755E" w:rsidRDefault="000B52D7" w:rsidP="00190B12">
      <w:pPr>
        <w:pStyle w:val="Heading2"/>
        <w:numPr>
          <w:ilvl w:val="1"/>
          <w:numId w:val="12"/>
        </w:numPr>
        <w:ind w:hanging="792"/>
      </w:pPr>
      <w:bookmarkStart w:id="724" w:name="_Toc462909480"/>
      <w:bookmarkStart w:id="725" w:name="_Toc465842963"/>
      <w:r w:rsidRPr="0032755E">
        <w:t>Interception</w:t>
      </w:r>
      <w:bookmarkEnd w:id="724"/>
      <w:bookmarkEnd w:id="725"/>
    </w:p>
    <w:p w14:paraId="58C30003" w14:textId="77777777" w:rsidR="000B52D7" w:rsidRPr="0032755E" w:rsidRDefault="000B52D7" w:rsidP="000B52D7">
      <w:r w:rsidRPr="0032755E">
        <w:t>The content of communications between users of telecommunications services is strictly protected in Australia as one of the most crucial areas of telecommunications privacy protection. Interception may only be authorised by law enforcement and national security agencies in accordance with a warrant under the TIA Act. Interception for other purposes is prohibited, with criminal penalties applicable for breaches of the TIA Act.</w:t>
      </w:r>
    </w:p>
    <w:p w14:paraId="4BE468E0" w14:textId="77777777" w:rsidR="000B52D7" w:rsidRPr="0032755E" w:rsidRDefault="000B52D7" w:rsidP="000B52D7">
      <w:pPr>
        <w:pStyle w:val="Heading3"/>
      </w:pPr>
      <w:bookmarkStart w:id="726" w:name="_Toc462909481"/>
      <w:bookmarkStart w:id="727" w:name="_Toc465842964"/>
      <w:r w:rsidRPr="0032755E">
        <w:t>Providing assistance</w:t>
      </w:r>
      <w:bookmarkEnd w:id="726"/>
      <w:bookmarkEnd w:id="727"/>
      <w:r w:rsidRPr="0032755E">
        <w:t xml:space="preserve"> </w:t>
      </w:r>
    </w:p>
    <w:p w14:paraId="149847E6" w14:textId="77777777" w:rsidR="000B52D7" w:rsidRPr="0032755E" w:rsidRDefault="000B52D7" w:rsidP="000B52D7">
      <w:r w:rsidRPr="0032755E">
        <w:t xml:space="preserve">Section 314 of the Telecommunications Act applies if a carrier or </w:t>
      </w:r>
      <w:r>
        <w:t>CSP</w:t>
      </w:r>
      <w:r w:rsidRPr="0032755E">
        <w:t xml:space="preserve"> is required to provide help to an </w:t>
      </w:r>
      <w:r>
        <w:t xml:space="preserve">officer or authority of the </w:t>
      </w:r>
      <w:r w:rsidRPr="00C47185">
        <w:t xml:space="preserve">Commonwealth, a </w:t>
      </w:r>
      <w:r w:rsidR="00C47185" w:rsidRPr="00C47185">
        <w:t>state or a t</w:t>
      </w:r>
      <w:r w:rsidRPr="00C47185">
        <w:t>erritory. Such</w:t>
      </w:r>
      <w:r w:rsidRPr="0032755E">
        <w:t xml:space="preserve"> persons must comply with a requirement on the basis that the person neither profits from, nor bears the costs of, giving that help.</w:t>
      </w:r>
    </w:p>
    <w:p w14:paraId="310AF2F6" w14:textId="77777777" w:rsidR="000B52D7" w:rsidRPr="0032755E" w:rsidRDefault="000B52D7" w:rsidP="000B52D7">
      <w:pPr>
        <w:pStyle w:val="Heading3"/>
      </w:pPr>
      <w:bookmarkStart w:id="728" w:name="_Toc462909482"/>
      <w:bookmarkStart w:id="729" w:name="_Toc465842965"/>
      <w:r w:rsidRPr="0032755E">
        <w:t>Interception capability</w:t>
      </w:r>
      <w:bookmarkEnd w:id="728"/>
      <w:bookmarkEnd w:id="729"/>
    </w:p>
    <w:p w14:paraId="0C1787E2" w14:textId="77777777" w:rsidR="000B52D7" w:rsidRPr="0032755E" w:rsidRDefault="000B52D7" w:rsidP="000B52D7">
      <w:pPr>
        <w:rPr>
          <w:rFonts w:cstheme="minorBidi"/>
        </w:rPr>
      </w:pPr>
      <w:r w:rsidRPr="0032755E">
        <w:rPr>
          <w:rFonts w:cstheme="minorBidi"/>
        </w:rPr>
        <w:t>Chapter 5 of the TIA Act obliges carriers and CSPs to ensure that their networks, facilities and carriage services are capable of enabling communications to be intercepted upon presentation of an interception warrant.</w:t>
      </w:r>
      <w:r w:rsidRPr="0032755E">
        <w:rPr>
          <w:vertAlign w:val="superscript"/>
        </w:rPr>
        <w:endnoteReference w:id="199"/>
      </w:r>
      <w:r w:rsidRPr="0032755E">
        <w:rPr>
          <w:rFonts w:cstheme="minorBidi"/>
        </w:rPr>
        <w:t xml:space="preserve"> This obligation includes a requirement to develop, install and maintain an interception capability. Under section 207 of the TIA Act, carriers and CSPs are responsible for the costs associated with providing interception capability in their networks. </w:t>
      </w:r>
    </w:p>
    <w:p w14:paraId="7DC4ABA2" w14:textId="77777777" w:rsidR="000B52D7" w:rsidRPr="0032755E" w:rsidRDefault="000B52D7" w:rsidP="000B52D7">
      <w:r w:rsidRPr="0032755E">
        <w:t>In 2015–16, the cost to industry of providing interception capability was reported to the ACMA as $</w:t>
      </w:r>
      <w:r>
        <w:t>22.6 </w:t>
      </w:r>
      <w:r w:rsidRPr="0032755E">
        <w:t xml:space="preserve">million (Figure 4.2), a </w:t>
      </w:r>
      <w:r>
        <w:t>reported reduction</w:t>
      </w:r>
      <w:r w:rsidRPr="0032755E">
        <w:t xml:space="preserve"> of approximately </w:t>
      </w:r>
      <w:r>
        <w:t>1.3</w:t>
      </w:r>
      <w:r w:rsidRPr="00C75191">
        <w:t xml:space="preserve"> </w:t>
      </w:r>
      <w:r w:rsidRPr="0032755E">
        <w:t xml:space="preserve">per cent from 2014–15. </w:t>
      </w:r>
    </w:p>
    <w:p w14:paraId="7CF97171" w14:textId="77777777" w:rsidR="000B52D7" w:rsidRPr="00AE750E" w:rsidRDefault="000B52D7" w:rsidP="00FA0DFB">
      <w:pPr>
        <w:pStyle w:val="ACMAFigureHeader"/>
      </w:pPr>
      <w:r w:rsidRPr="00AE750E">
        <w:t>Figure 4.</w:t>
      </w:r>
      <w:r w:rsidR="00484C11">
        <w:fldChar w:fldCharType="begin"/>
      </w:r>
      <w:r w:rsidR="00484C11">
        <w:instrText xml:space="preserve"> SEQ Figure \* ARABIC </w:instrText>
      </w:r>
      <w:r w:rsidR="00484C11">
        <w:fldChar w:fldCharType="separate"/>
      </w:r>
      <w:r w:rsidR="00625DDF">
        <w:rPr>
          <w:noProof/>
        </w:rPr>
        <w:t>2</w:t>
      </w:r>
      <w:r w:rsidR="00484C11">
        <w:rPr>
          <w:noProof/>
        </w:rPr>
        <w:fldChar w:fldCharType="end"/>
      </w:r>
      <w:r>
        <w:tab/>
      </w:r>
      <w:r w:rsidRPr="00AE750E">
        <w:t>Cost of providing interception capabilities ($ million)</w:t>
      </w:r>
    </w:p>
    <w:p w14:paraId="0881E52E" w14:textId="77777777" w:rsidR="000B52D7" w:rsidRPr="003A44E5" w:rsidRDefault="009F5EB5" w:rsidP="000B52D7">
      <w:pPr>
        <w:pStyle w:val="Captionfigure"/>
        <w:numPr>
          <w:ilvl w:val="0"/>
          <w:numId w:val="0"/>
        </w:numPr>
        <w:spacing w:after="0"/>
      </w:pPr>
      <w:r>
        <w:rPr>
          <w:noProof/>
        </w:rPr>
        <w:drawing>
          <wp:inline distT="0" distB="0" distL="0" distR="0" wp14:anchorId="59E2A536" wp14:editId="66E8FD5A">
            <wp:extent cx="5787957" cy="1541780"/>
            <wp:effectExtent l="0" t="0" r="3810" b="1270"/>
            <wp:docPr id="83" name="Picture 83" descr="Data for Figure 4.2 is in the .ods file for Chapter 4 on the landing page ‘Communications report 2015-16’, available from the ACMA website." title="Figure 4.2  Cost of providing interception capabilities ($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gure 4.2_Figure 4.2.png"/>
                    <pic:cNvPicPr/>
                  </pic:nvPicPr>
                  <pic:blipFill rotWithShape="1">
                    <a:blip r:embed="rId122">
                      <a:extLst>
                        <a:ext uri="{28A0092B-C50C-407E-A947-70E740481C1C}">
                          <a14:useLocalDpi xmlns:a14="http://schemas.microsoft.com/office/drawing/2010/main" val="0"/>
                        </a:ext>
                      </a:extLst>
                    </a:blip>
                    <a:srcRect l="2129" t="4676" r="414" b="2665"/>
                    <a:stretch/>
                  </pic:blipFill>
                  <pic:spPr bwMode="auto">
                    <a:xfrm>
                      <a:off x="0" y="0"/>
                      <a:ext cx="5789308" cy="1542140"/>
                    </a:xfrm>
                    <a:prstGeom prst="rect">
                      <a:avLst/>
                    </a:prstGeom>
                    <a:ln>
                      <a:noFill/>
                    </a:ln>
                    <a:extLst>
                      <a:ext uri="{53640926-AAD7-44D8-BBD7-CCE9431645EC}">
                        <a14:shadowObscured xmlns:a14="http://schemas.microsoft.com/office/drawing/2010/main"/>
                      </a:ext>
                    </a:extLst>
                  </pic:spPr>
                </pic:pic>
              </a:graphicData>
            </a:graphic>
          </wp:inline>
        </w:drawing>
      </w:r>
    </w:p>
    <w:p w14:paraId="7A41C330" w14:textId="77777777" w:rsidR="000B52D7" w:rsidRPr="00AE750E" w:rsidRDefault="000B52D7" w:rsidP="000B52D7">
      <w:pPr>
        <w:pStyle w:val="ACMANotes"/>
        <w:spacing w:after="240"/>
      </w:pPr>
      <w:r w:rsidRPr="00AE750E">
        <w:t>Source: ACMA annual industry data request.</w:t>
      </w:r>
    </w:p>
    <w:p w14:paraId="47EA1275" w14:textId="77777777" w:rsidR="000B52D7" w:rsidRPr="0032755E" w:rsidRDefault="000B52D7" w:rsidP="000B52D7">
      <w:pPr>
        <w:pStyle w:val="Heading3"/>
      </w:pPr>
      <w:bookmarkStart w:id="730" w:name="_Toc462909483"/>
      <w:bookmarkStart w:id="731" w:name="_Toc465842966"/>
      <w:r w:rsidRPr="0032755E">
        <w:t>Interception capability plan compliance</w:t>
      </w:r>
      <w:bookmarkEnd w:id="730"/>
      <w:bookmarkEnd w:id="731"/>
    </w:p>
    <w:p w14:paraId="79D2DC74" w14:textId="77777777" w:rsidR="000B52D7" w:rsidRPr="0032755E" w:rsidRDefault="000B52D7" w:rsidP="000B52D7">
      <w:pPr>
        <w:rPr>
          <w:rFonts w:cstheme="minorBidi"/>
        </w:rPr>
      </w:pPr>
      <w:r w:rsidRPr="0032755E">
        <w:rPr>
          <w:rFonts w:cstheme="minorBidi"/>
        </w:rPr>
        <w:t xml:space="preserve">Under sections 196 and 197 of the TIA Act, carriers and nominated CSPs must lodge an interception capability plan by 1 July each year with the Communications Access Co-ordinator (CAC) in </w:t>
      </w:r>
      <w:r>
        <w:rPr>
          <w:rFonts w:cstheme="minorBidi"/>
        </w:rPr>
        <w:t xml:space="preserve">the </w:t>
      </w:r>
      <w:r w:rsidRPr="0032755E">
        <w:rPr>
          <w:rFonts w:cstheme="minorBidi"/>
        </w:rPr>
        <w:t>AGD.</w:t>
      </w:r>
      <w:r w:rsidRPr="0032755E">
        <w:rPr>
          <w:vertAlign w:val="superscript"/>
        </w:rPr>
        <w:endnoteReference w:id="200"/>
      </w:r>
      <w:r w:rsidRPr="0032755E">
        <w:rPr>
          <w:rFonts w:cstheme="minorBidi"/>
        </w:rPr>
        <w:t xml:space="preserve"> The ACMA’s role is to enforce this obligation. </w:t>
      </w:r>
    </w:p>
    <w:p w14:paraId="2960590F" w14:textId="77777777" w:rsidR="000B52D7" w:rsidRPr="0032755E" w:rsidRDefault="000B52D7" w:rsidP="000B52D7">
      <w:pPr>
        <w:spacing w:after="80"/>
        <w:rPr>
          <w:rFonts w:cstheme="minorBidi"/>
          <w:szCs w:val="22"/>
        </w:rPr>
      </w:pPr>
      <w:r w:rsidRPr="0032755E">
        <w:rPr>
          <w:rFonts w:cstheme="minorBidi"/>
          <w:szCs w:val="22"/>
        </w:rPr>
        <w:t xml:space="preserve">During the reporting period, </w:t>
      </w:r>
      <w:r>
        <w:rPr>
          <w:rFonts w:cstheme="minorBidi"/>
          <w:szCs w:val="22"/>
        </w:rPr>
        <w:t xml:space="preserve">the </w:t>
      </w:r>
      <w:r w:rsidRPr="0032755E">
        <w:rPr>
          <w:rFonts w:cstheme="minorBidi"/>
          <w:szCs w:val="22"/>
        </w:rPr>
        <w:t xml:space="preserve">AGD referred nine carriers to the ACMA for enforcement action </w:t>
      </w:r>
      <w:r>
        <w:rPr>
          <w:rFonts w:cstheme="minorBidi"/>
          <w:szCs w:val="22"/>
        </w:rPr>
        <w:t>about</w:t>
      </w:r>
      <w:r w:rsidRPr="0032755E">
        <w:rPr>
          <w:rFonts w:cstheme="minorBidi"/>
          <w:szCs w:val="22"/>
        </w:rPr>
        <w:t xml:space="preserve"> these provisions. Of these referrals:</w:t>
      </w:r>
    </w:p>
    <w:p w14:paraId="7045654B" w14:textId="77777777" w:rsidR="000B52D7" w:rsidRPr="002803C4" w:rsidRDefault="000B52D7" w:rsidP="000B52D7">
      <w:pPr>
        <w:pStyle w:val="ListBullet"/>
      </w:pPr>
      <w:r w:rsidRPr="002803C4">
        <w:t>five carriers submitted interception capability plans to the CAC following the ACMA’s request that they comply with their legislative obligations</w:t>
      </w:r>
    </w:p>
    <w:p w14:paraId="314BEE13" w14:textId="77777777" w:rsidR="000B52D7" w:rsidRPr="002803C4" w:rsidRDefault="000B52D7" w:rsidP="000B52D7">
      <w:pPr>
        <w:pStyle w:val="ListBullet"/>
      </w:pPr>
      <w:r w:rsidRPr="002803C4">
        <w:lastRenderedPageBreak/>
        <w:t xml:space="preserve">three carriers surrendered their carrier licences </w:t>
      </w:r>
    </w:p>
    <w:p w14:paraId="48F9243F" w14:textId="77777777" w:rsidR="000B52D7" w:rsidRPr="002803C4" w:rsidRDefault="000B52D7" w:rsidP="000B52D7">
      <w:pPr>
        <w:pStyle w:val="ListBulletLast"/>
      </w:pPr>
      <w:r w:rsidRPr="002803C4">
        <w:t xml:space="preserve">one carrier made contact with </w:t>
      </w:r>
      <w:r>
        <w:t xml:space="preserve">the </w:t>
      </w:r>
      <w:r w:rsidRPr="002803C4">
        <w:t>AGD</w:t>
      </w:r>
      <w:r>
        <w:t>,</w:t>
      </w:r>
      <w:r w:rsidRPr="002803C4">
        <w:t xml:space="preserve"> where it applied for</w:t>
      </w:r>
      <w:r>
        <w:t>,</w:t>
      </w:r>
      <w:r w:rsidRPr="002803C4">
        <w:t xml:space="preserve"> and was granted, an exemption from providing interception. </w:t>
      </w:r>
    </w:p>
    <w:p w14:paraId="18F05A75" w14:textId="77777777" w:rsidR="000B52D7" w:rsidRPr="0032755E" w:rsidRDefault="000B52D7" w:rsidP="000B52D7">
      <w:pPr>
        <w:pStyle w:val="Heading3"/>
      </w:pPr>
      <w:bookmarkStart w:id="732" w:name="_Toc465842967"/>
      <w:bookmarkStart w:id="733" w:name="_Toc462909484"/>
      <w:r w:rsidRPr="007806EF">
        <w:t>Data retention</w:t>
      </w:r>
      <w:bookmarkEnd w:id="732"/>
      <w:r w:rsidRPr="007806EF">
        <w:t xml:space="preserve"> </w:t>
      </w:r>
      <w:bookmarkEnd w:id="733"/>
    </w:p>
    <w:p w14:paraId="57CAFE9D" w14:textId="77777777" w:rsidR="000B52D7" w:rsidRPr="0032755E" w:rsidRDefault="000B52D7" w:rsidP="000B52D7">
      <w:pPr>
        <w:rPr>
          <w:rFonts w:cstheme="minorBidi"/>
          <w:szCs w:val="22"/>
        </w:rPr>
      </w:pPr>
      <w:r w:rsidRPr="0032755E">
        <w:rPr>
          <w:rFonts w:cstheme="minorBidi"/>
          <w:szCs w:val="22"/>
        </w:rPr>
        <w:t xml:space="preserve">Since 13 October 2015, carriers and service providers have been subject to data retention obligations under Part 5-1A of the TIA Act. The data retention obligations are enforceable by the ACMA under the applicable enforcement mechanisms set out in the Telecommunications Act. </w:t>
      </w:r>
    </w:p>
    <w:p w14:paraId="2196AB26" w14:textId="77777777" w:rsidR="000B52D7" w:rsidRPr="0032755E" w:rsidRDefault="000B52D7" w:rsidP="000B52D7">
      <w:pPr>
        <w:rPr>
          <w:i/>
        </w:rPr>
      </w:pPr>
      <w:r>
        <w:t>Paragraph</w:t>
      </w:r>
      <w:r w:rsidRPr="0032755E">
        <w:t xml:space="preserve"> 105(5A)</w:t>
      </w:r>
      <w:r>
        <w:t>(b)</w:t>
      </w:r>
      <w:r w:rsidRPr="0032755E">
        <w:t xml:space="preserve"> of the Telecommunications Act requires the ACMA to report to the </w:t>
      </w:r>
      <w:r>
        <w:t>m</w:t>
      </w:r>
      <w:r w:rsidRPr="0032755E">
        <w:t>inister on the costs of compliance with the requirements of Part 5-1A of the TIA Act (data retention).</w:t>
      </w:r>
    </w:p>
    <w:p w14:paraId="2C3089AD" w14:textId="77777777" w:rsidR="003D0687" w:rsidRPr="00EA149D" w:rsidRDefault="003D0687" w:rsidP="003D0687">
      <w:pPr>
        <w:rPr>
          <w:rFonts w:cs="Arial"/>
          <w:szCs w:val="20"/>
        </w:rPr>
      </w:pPr>
      <w:r w:rsidRPr="00EA149D">
        <w:rPr>
          <w:rFonts w:cs="Arial"/>
          <w:szCs w:val="20"/>
        </w:rPr>
        <w:t xml:space="preserve">The AGD has program responsibility for the Data Retention Industry Grants Programme and has received grant applications that include information from industry about the anticipated capital costs of complying with data retention obligations. Costs that service providers detailed as part of their grant applications had to be incurred within the period 30 October 2014 to 13 April 2017. The AGD accepted applications for grants from industry between 7 January and 23 February 2016. </w:t>
      </w:r>
    </w:p>
    <w:p w14:paraId="5D1E8684" w14:textId="77777777" w:rsidR="00417AC5" w:rsidRPr="00604073" w:rsidRDefault="003D0687" w:rsidP="003D0687">
      <w:pPr>
        <w:pStyle w:val="ACMATableHeader"/>
        <w:numPr>
          <w:ilvl w:val="0"/>
          <w:numId w:val="0"/>
        </w:numPr>
        <w:rPr>
          <w:rFonts w:cs="Arial"/>
          <w:b w:val="0"/>
          <w:color w:val="auto"/>
        </w:rPr>
      </w:pPr>
      <w:r w:rsidRPr="00604073">
        <w:rPr>
          <w:rFonts w:cs="Arial"/>
          <w:b w:val="0"/>
          <w:color w:val="auto"/>
        </w:rPr>
        <w:t xml:space="preserve">The AGD has advised that a total of 180 providers found eligible under the program submitted anticipated capital costs of $198,527,354. A breakdown of the anticipated capital costs of complying with the data retention obligations by financial year is set out in Table 4.3. </w:t>
      </w:r>
    </w:p>
    <w:p w14:paraId="771B5988" w14:textId="77777777" w:rsidR="000B52D7" w:rsidRPr="00EA149D" w:rsidRDefault="000B52D7" w:rsidP="00FA0DFB">
      <w:pPr>
        <w:pStyle w:val="ACMATableHeader"/>
        <w:numPr>
          <w:ilvl w:val="0"/>
          <w:numId w:val="0"/>
        </w:numPr>
        <w:ind w:left="1134" w:hanging="1134"/>
        <w:rPr>
          <w:color w:val="auto"/>
        </w:rPr>
      </w:pPr>
      <w:r w:rsidRPr="00EA149D">
        <w:rPr>
          <w:color w:val="auto"/>
        </w:rPr>
        <w:t xml:space="preserve">Table 4.3 </w:t>
      </w:r>
      <w:r w:rsidR="00FA0DFB">
        <w:rPr>
          <w:color w:val="auto"/>
        </w:rPr>
        <w:tab/>
      </w:r>
      <w:r w:rsidRPr="00EA149D">
        <w:rPr>
          <w:color w:val="auto"/>
        </w:rPr>
        <w:t xml:space="preserve">Anticipated capital costs of complying with the data retention obligations </w:t>
      </w:r>
    </w:p>
    <w:tbl>
      <w:tblPr>
        <w:tblStyle w:val="TableGrid"/>
        <w:tblW w:w="8055" w:type="dxa"/>
        <w:tblInd w:w="-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Table 4.3  Anticipated capital costs of complying with the data retention obligations"/>
      </w:tblPr>
      <w:tblGrid>
        <w:gridCol w:w="4027"/>
        <w:gridCol w:w="4028"/>
      </w:tblGrid>
      <w:tr w:rsidR="009573A6" w:rsidRPr="009573A6" w14:paraId="751E1CFF" w14:textId="77777777" w:rsidTr="009573A6">
        <w:trPr>
          <w:trHeight w:val="234"/>
          <w:tblHeader/>
        </w:trPr>
        <w:tc>
          <w:tcPr>
            <w:tcW w:w="4027" w:type="dxa"/>
            <w:shd w:val="clear" w:color="auto" w:fill="007298"/>
            <w:vAlign w:val="center"/>
          </w:tcPr>
          <w:p w14:paraId="6F469F9A" w14:textId="77777777" w:rsidR="000B52D7" w:rsidRPr="009573A6" w:rsidRDefault="000B52D7" w:rsidP="009573A6">
            <w:pPr>
              <w:pStyle w:val="TableBody"/>
              <w:rPr>
                <w:b/>
                <w:color w:val="FFFFFF" w:themeColor="background1"/>
              </w:rPr>
            </w:pPr>
            <w:r w:rsidRPr="009573A6">
              <w:rPr>
                <w:b/>
                <w:color w:val="FFFFFF" w:themeColor="background1"/>
              </w:rPr>
              <w:t xml:space="preserve">Financial year </w:t>
            </w:r>
          </w:p>
        </w:tc>
        <w:tc>
          <w:tcPr>
            <w:tcW w:w="4028" w:type="dxa"/>
            <w:shd w:val="clear" w:color="auto" w:fill="007298"/>
            <w:vAlign w:val="center"/>
          </w:tcPr>
          <w:p w14:paraId="0365D80D" w14:textId="77777777" w:rsidR="000B52D7" w:rsidRPr="009573A6" w:rsidRDefault="003D0687" w:rsidP="009573A6">
            <w:pPr>
              <w:pStyle w:val="TableBody"/>
              <w:jc w:val="right"/>
              <w:rPr>
                <w:b/>
                <w:color w:val="FFFFFF" w:themeColor="background1"/>
              </w:rPr>
            </w:pPr>
            <w:r w:rsidRPr="009573A6">
              <w:rPr>
                <w:b/>
                <w:color w:val="FFFFFF" w:themeColor="background1"/>
              </w:rPr>
              <w:t>Anticipated c</w:t>
            </w:r>
            <w:r w:rsidR="000B52D7" w:rsidRPr="009573A6">
              <w:rPr>
                <w:b/>
                <w:color w:val="FFFFFF" w:themeColor="background1"/>
              </w:rPr>
              <w:t>ost</w:t>
            </w:r>
          </w:p>
        </w:tc>
      </w:tr>
      <w:tr w:rsidR="000B52D7" w:rsidRPr="00D770DE" w14:paraId="3AA56718" w14:textId="77777777" w:rsidTr="00C77AB5">
        <w:trPr>
          <w:trHeight w:val="23"/>
        </w:trPr>
        <w:tc>
          <w:tcPr>
            <w:tcW w:w="4027" w:type="dxa"/>
            <w:shd w:val="clear" w:color="auto" w:fill="7FB8CB"/>
          </w:tcPr>
          <w:p w14:paraId="1F4B5E45" w14:textId="77777777" w:rsidR="000B52D7" w:rsidRPr="00FA0DFB" w:rsidRDefault="000B52D7" w:rsidP="00C77AB5">
            <w:pPr>
              <w:pStyle w:val="ACMATableText"/>
              <w:spacing w:before="0" w:after="0"/>
              <w:rPr>
                <w:color w:val="FFFFFF" w:themeColor="background1"/>
                <w:sz w:val="18"/>
                <w:szCs w:val="18"/>
              </w:rPr>
            </w:pPr>
            <w:r w:rsidRPr="00FA0DFB">
              <w:rPr>
                <w:color w:val="FFFFFF" w:themeColor="background1"/>
                <w:sz w:val="18"/>
                <w:szCs w:val="18"/>
              </w:rPr>
              <w:t>2014</w:t>
            </w:r>
            <w:r w:rsidRPr="00FA0DFB">
              <w:rPr>
                <w:rFonts w:cs="Arial"/>
                <w:color w:val="FFFFFF" w:themeColor="background1"/>
                <w:sz w:val="18"/>
                <w:szCs w:val="18"/>
              </w:rPr>
              <w:t>–</w:t>
            </w:r>
            <w:r w:rsidRPr="00FA0DFB">
              <w:rPr>
                <w:color w:val="FFFFFF" w:themeColor="background1"/>
                <w:sz w:val="18"/>
                <w:szCs w:val="18"/>
              </w:rPr>
              <w:t>15</w:t>
            </w:r>
          </w:p>
        </w:tc>
        <w:tc>
          <w:tcPr>
            <w:tcW w:w="4028" w:type="dxa"/>
            <w:shd w:val="clear" w:color="auto" w:fill="D2E1E9"/>
          </w:tcPr>
          <w:p w14:paraId="296C4BD1" w14:textId="77777777" w:rsidR="000B52D7" w:rsidRPr="00D770DE" w:rsidRDefault="000B52D7" w:rsidP="009329F7">
            <w:pPr>
              <w:pStyle w:val="ACMATableText"/>
              <w:spacing w:before="0" w:after="0"/>
              <w:jc w:val="right"/>
              <w:rPr>
                <w:sz w:val="18"/>
                <w:szCs w:val="18"/>
              </w:rPr>
            </w:pPr>
            <w:r w:rsidRPr="00D770DE">
              <w:rPr>
                <w:sz w:val="18"/>
                <w:szCs w:val="18"/>
              </w:rPr>
              <w:t>$3,819,642</w:t>
            </w:r>
          </w:p>
        </w:tc>
      </w:tr>
      <w:tr w:rsidR="000B52D7" w:rsidRPr="00D770DE" w14:paraId="44C2177E" w14:textId="77777777" w:rsidTr="00C77AB5">
        <w:trPr>
          <w:trHeight w:val="23"/>
        </w:trPr>
        <w:tc>
          <w:tcPr>
            <w:tcW w:w="4027" w:type="dxa"/>
            <w:shd w:val="clear" w:color="auto" w:fill="7FB8CB"/>
          </w:tcPr>
          <w:p w14:paraId="7670D935" w14:textId="77777777" w:rsidR="000B52D7" w:rsidRPr="00FA0DFB" w:rsidRDefault="000B52D7" w:rsidP="00C77AB5">
            <w:pPr>
              <w:pStyle w:val="ACMATableText"/>
              <w:spacing w:before="0" w:after="0"/>
              <w:rPr>
                <w:color w:val="FFFFFF" w:themeColor="background1"/>
                <w:sz w:val="18"/>
                <w:szCs w:val="18"/>
              </w:rPr>
            </w:pPr>
            <w:r w:rsidRPr="00FA0DFB">
              <w:rPr>
                <w:color w:val="FFFFFF" w:themeColor="background1"/>
                <w:sz w:val="18"/>
                <w:szCs w:val="18"/>
              </w:rPr>
              <w:t>2015</w:t>
            </w:r>
            <w:r w:rsidRPr="00FA0DFB">
              <w:rPr>
                <w:rFonts w:cs="Arial"/>
                <w:color w:val="FFFFFF" w:themeColor="background1"/>
                <w:sz w:val="18"/>
                <w:szCs w:val="18"/>
              </w:rPr>
              <w:t>–</w:t>
            </w:r>
            <w:r w:rsidRPr="00FA0DFB">
              <w:rPr>
                <w:color w:val="FFFFFF" w:themeColor="background1"/>
                <w:sz w:val="18"/>
                <w:szCs w:val="18"/>
              </w:rPr>
              <w:t>16</w:t>
            </w:r>
          </w:p>
        </w:tc>
        <w:tc>
          <w:tcPr>
            <w:tcW w:w="4028" w:type="dxa"/>
            <w:shd w:val="clear" w:color="auto" w:fill="D2E1E9"/>
          </w:tcPr>
          <w:p w14:paraId="6249D01F" w14:textId="77777777" w:rsidR="000B52D7" w:rsidRPr="00D770DE" w:rsidRDefault="000B52D7" w:rsidP="009329F7">
            <w:pPr>
              <w:pStyle w:val="ACMATableText"/>
              <w:spacing w:before="0" w:after="0"/>
              <w:jc w:val="right"/>
              <w:rPr>
                <w:sz w:val="18"/>
                <w:szCs w:val="18"/>
              </w:rPr>
            </w:pPr>
            <w:r w:rsidRPr="00D770DE">
              <w:rPr>
                <w:sz w:val="18"/>
                <w:szCs w:val="18"/>
              </w:rPr>
              <w:t>$68,977,652</w:t>
            </w:r>
          </w:p>
        </w:tc>
      </w:tr>
      <w:tr w:rsidR="000B52D7" w:rsidRPr="00D770DE" w14:paraId="6594EDD1" w14:textId="77777777" w:rsidTr="00C77AB5">
        <w:trPr>
          <w:trHeight w:val="66"/>
        </w:trPr>
        <w:tc>
          <w:tcPr>
            <w:tcW w:w="4027" w:type="dxa"/>
            <w:shd w:val="clear" w:color="auto" w:fill="7FB8CB"/>
          </w:tcPr>
          <w:p w14:paraId="650C1BA1" w14:textId="77777777" w:rsidR="000B52D7" w:rsidRPr="00FA0DFB" w:rsidRDefault="000B52D7" w:rsidP="00C77AB5">
            <w:pPr>
              <w:pStyle w:val="ACMATableText"/>
              <w:spacing w:before="0" w:after="0"/>
              <w:rPr>
                <w:color w:val="FFFFFF" w:themeColor="background1"/>
                <w:sz w:val="18"/>
                <w:szCs w:val="18"/>
              </w:rPr>
            </w:pPr>
            <w:r w:rsidRPr="00FA0DFB">
              <w:rPr>
                <w:color w:val="FFFFFF" w:themeColor="background1"/>
                <w:sz w:val="18"/>
                <w:szCs w:val="18"/>
              </w:rPr>
              <w:t>2016</w:t>
            </w:r>
            <w:r w:rsidRPr="00FA0DFB">
              <w:rPr>
                <w:rFonts w:cs="Arial"/>
                <w:color w:val="FFFFFF" w:themeColor="background1"/>
                <w:sz w:val="18"/>
                <w:szCs w:val="18"/>
              </w:rPr>
              <w:t>–</w:t>
            </w:r>
            <w:r w:rsidRPr="00FA0DFB">
              <w:rPr>
                <w:color w:val="FFFFFF" w:themeColor="background1"/>
                <w:sz w:val="18"/>
                <w:szCs w:val="18"/>
              </w:rPr>
              <w:t>17</w:t>
            </w:r>
          </w:p>
        </w:tc>
        <w:tc>
          <w:tcPr>
            <w:tcW w:w="4028" w:type="dxa"/>
            <w:shd w:val="clear" w:color="auto" w:fill="D2E1E9"/>
          </w:tcPr>
          <w:p w14:paraId="1C8CEE0B" w14:textId="77777777" w:rsidR="000B52D7" w:rsidRPr="00D770DE" w:rsidRDefault="000B52D7" w:rsidP="009329F7">
            <w:pPr>
              <w:pStyle w:val="ACMATableText"/>
              <w:spacing w:before="0" w:after="0"/>
              <w:jc w:val="right"/>
              <w:rPr>
                <w:sz w:val="18"/>
                <w:szCs w:val="18"/>
              </w:rPr>
            </w:pPr>
            <w:r w:rsidRPr="00D770DE">
              <w:rPr>
                <w:sz w:val="18"/>
                <w:szCs w:val="18"/>
              </w:rPr>
              <w:t>$125,730,060</w:t>
            </w:r>
          </w:p>
        </w:tc>
      </w:tr>
      <w:tr w:rsidR="001614D9" w:rsidRPr="00D770DE" w14:paraId="78A1B315" w14:textId="77777777" w:rsidTr="00FA0DFB">
        <w:trPr>
          <w:trHeight w:val="114"/>
        </w:trPr>
        <w:tc>
          <w:tcPr>
            <w:tcW w:w="4027" w:type="dxa"/>
            <w:shd w:val="clear" w:color="auto" w:fill="7FB8CB"/>
          </w:tcPr>
          <w:p w14:paraId="1D745241" w14:textId="77777777" w:rsidR="000B52D7" w:rsidRPr="00FA0DFB" w:rsidRDefault="000B52D7" w:rsidP="00C77AB5">
            <w:pPr>
              <w:pStyle w:val="ACMATableText"/>
              <w:spacing w:before="0" w:after="0"/>
              <w:rPr>
                <w:b/>
                <w:color w:val="FFFFFF" w:themeColor="background1"/>
                <w:sz w:val="18"/>
                <w:szCs w:val="18"/>
              </w:rPr>
            </w:pPr>
            <w:r w:rsidRPr="00FA0DFB">
              <w:rPr>
                <w:b/>
                <w:color w:val="FFFFFF" w:themeColor="background1"/>
                <w:sz w:val="18"/>
                <w:szCs w:val="18"/>
              </w:rPr>
              <w:t>Total</w:t>
            </w:r>
          </w:p>
        </w:tc>
        <w:tc>
          <w:tcPr>
            <w:tcW w:w="4028" w:type="dxa"/>
            <w:shd w:val="clear" w:color="auto" w:fill="7FB8CB"/>
          </w:tcPr>
          <w:p w14:paraId="12844D99" w14:textId="77777777" w:rsidR="000B52D7" w:rsidRPr="00D770DE" w:rsidRDefault="000B52D7" w:rsidP="009329F7">
            <w:pPr>
              <w:pStyle w:val="ACMATableText"/>
              <w:spacing w:before="0" w:after="0"/>
              <w:jc w:val="right"/>
              <w:rPr>
                <w:b/>
                <w:sz w:val="18"/>
                <w:szCs w:val="18"/>
              </w:rPr>
            </w:pPr>
            <w:r w:rsidRPr="00FA0DFB">
              <w:rPr>
                <w:b/>
                <w:color w:val="FFFFFF" w:themeColor="background1"/>
                <w:sz w:val="18"/>
                <w:szCs w:val="18"/>
              </w:rPr>
              <w:t>$198,527,354</w:t>
            </w:r>
          </w:p>
        </w:tc>
      </w:tr>
    </w:tbl>
    <w:p w14:paraId="6E6017EC" w14:textId="77777777" w:rsidR="000B52D7" w:rsidRPr="00EA149D" w:rsidRDefault="000B52D7" w:rsidP="000B52D7">
      <w:pPr>
        <w:pStyle w:val="ACMANotes"/>
        <w:rPr>
          <w:rFonts w:ascii="Calibri" w:hAnsi="Calibri"/>
          <w:i w:val="0"/>
          <w:szCs w:val="22"/>
          <w:lang w:eastAsia="en-US"/>
        </w:rPr>
      </w:pPr>
      <w:r w:rsidRPr="00EA149D">
        <w:t>Note: The data represents the anticipated capital costs of 180 providers, not the actual total costs incurred by industry—it is likely that the cost information supplied by this significant group of providers covers the vast majority of costs to be incurred by industry. The data does not capture recurring or indirect costs.</w:t>
      </w:r>
    </w:p>
    <w:p w14:paraId="7782BD21" w14:textId="77777777" w:rsidR="000B52D7" w:rsidRPr="00EA149D" w:rsidRDefault="000B52D7" w:rsidP="000B52D7">
      <w:pPr>
        <w:pStyle w:val="ACMANotes"/>
      </w:pPr>
      <w:r w:rsidRPr="00EA149D">
        <w:t>Source: AGD</w:t>
      </w:r>
      <w:r w:rsidR="00F11BE2">
        <w:t>.</w:t>
      </w:r>
    </w:p>
    <w:p w14:paraId="6D9E99B1" w14:textId="77777777" w:rsidR="000B52D7" w:rsidRPr="001614D9" w:rsidRDefault="000B52D7" w:rsidP="000B52D7">
      <w:pPr>
        <w:pStyle w:val="ACMANotes"/>
      </w:pPr>
    </w:p>
    <w:p w14:paraId="787AFB22" w14:textId="77777777" w:rsidR="003D0687" w:rsidRPr="00EA149D" w:rsidRDefault="006A6BD0" w:rsidP="000B52D7">
      <w:pPr>
        <w:rPr>
          <w:rFonts w:cs="Arial"/>
          <w:szCs w:val="20"/>
        </w:rPr>
      </w:pPr>
      <w:r w:rsidRPr="001614D9">
        <w:rPr>
          <w:rFonts w:cs="Arial"/>
          <w:szCs w:val="20"/>
        </w:rPr>
        <w:t>The AGD has advised that a total funding pool of $128,351,400 will be made available to eligible providers under the program in 2016–17.</w:t>
      </w:r>
    </w:p>
    <w:p w14:paraId="21012D7B" w14:textId="77777777" w:rsidR="000B52D7" w:rsidRPr="00EA149D" w:rsidRDefault="000B52D7" w:rsidP="000B52D7">
      <w:pPr>
        <w:rPr>
          <w:rFonts w:cs="Arial"/>
          <w:szCs w:val="20"/>
        </w:rPr>
      </w:pPr>
      <w:r w:rsidRPr="00EA149D">
        <w:rPr>
          <w:rFonts w:cs="Arial"/>
          <w:szCs w:val="20"/>
        </w:rPr>
        <w:t xml:space="preserve">The </w:t>
      </w:r>
      <w:r w:rsidRPr="00EA149D">
        <w:rPr>
          <w:rFonts w:cs="Arial"/>
          <w:i/>
          <w:szCs w:val="20"/>
        </w:rPr>
        <w:t>Communications report 2016–17</w:t>
      </w:r>
      <w:r w:rsidRPr="00EA149D">
        <w:rPr>
          <w:rFonts w:cs="Arial"/>
          <w:szCs w:val="20"/>
        </w:rPr>
        <w:t xml:space="preserve"> will include information on the actual costs of compliance with the data retention obligations. </w:t>
      </w:r>
    </w:p>
    <w:p w14:paraId="453A9157" w14:textId="77777777" w:rsidR="000B52D7" w:rsidRPr="001614D9" w:rsidRDefault="000B52D7" w:rsidP="000B52D7">
      <w:pPr>
        <w:rPr>
          <w:rFonts w:cs="Arial"/>
          <w:szCs w:val="20"/>
        </w:rPr>
      </w:pPr>
      <w:r w:rsidRPr="00EA149D">
        <w:rPr>
          <w:rFonts w:cs="Arial"/>
          <w:szCs w:val="20"/>
        </w:rPr>
        <w:t>During the reporting period, the AGD did not refer any CSPs to the ACMA for enforcement action on their data retention obligations under the TIA Act.</w:t>
      </w:r>
    </w:p>
    <w:p w14:paraId="72E67F48" w14:textId="77777777" w:rsidR="000B52D7" w:rsidRPr="0032755E" w:rsidRDefault="000B52D7" w:rsidP="00190B12">
      <w:pPr>
        <w:pStyle w:val="Heading2"/>
        <w:numPr>
          <w:ilvl w:val="1"/>
          <w:numId w:val="12"/>
        </w:numPr>
        <w:ind w:hanging="792"/>
      </w:pPr>
      <w:bookmarkStart w:id="734" w:name="_Toc462909485"/>
      <w:bookmarkStart w:id="735" w:name="_Toc465842968"/>
      <w:r w:rsidRPr="0032755E">
        <w:t>Identity</w:t>
      </w:r>
      <w:r>
        <w:t>-</w:t>
      </w:r>
      <w:r w:rsidRPr="0032755E">
        <w:t>checking requirements for prepaid mobile carriage services</w:t>
      </w:r>
      <w:bookmarkEnd w:id="734"/>
      <w:bookmarkEnd w:id="735"/>
    </w:p>
    <w:p w14:paraId="0FADF4B4" w14:textId="77777777" w:rsidR="000B52D7" w:rsidRPr="0032755E" w:rsidRDefault="000B52D7" w:rsidP="000B52D7">
      <w:r w:rsidRPr="0032755E">
        <w:t xml:space="preserve">Under the </w:t>
      </w:r>
      <w:r w:rsidRPr="008A4D94">
        <w:t>Telecommunications (Service Provider—Identity Checks for Prepaid Mobile Carriage Services) Determination 2013</w:t>
      </w:r>
      <w:r w:rsidRPr="0032755E">
        <w:t xml:space="preserve">, CSPs are required to obtain and verify identity information about the purchasers or service activators of prepaid mobile services. The </w:t>
      </w:r>
      <w:r w:rsidR="006E0730">
        <w:t>d</w:t>
      </w:r>
      <w:r w:rsidRPr="0032755E">
        <w:t xml:space="preserve">etermination allows CSPs to use up to </w:t>
      </w:r>
      <w:r>
        <w:t>10</w:t>
      </w:r>
      <w:r w:rsidRPr="0032755E">
        <w:t xml:space="preserve"> methods to verify identity information.</w:t>
      </w:r>
    </w:p>
    <w:p w14:paraId="1F91677F" w14:textId="77777777" w:rsidR="000B52D7" w:rsidRPr="0032755E" w:rsidRDefault="000B52D7" w:rsidP="000B52D7">
      <w:r w:rsidRPr="0032755E">
        <w:t xml:space="preserve">In March 2016, the ACMA surveyed all known CSPs providing prepaid mobile services on their use of the different identity verification methods allowed under the </w:t>
      </w:r>
      <w:r w:rsidR="006E0730">
        <w:t>d</w:t>
      </w:r>
      <w:r w:rsidRPr="0032755E">
        <w:t xml:space="preserve">etermination. </w:t>
      </w:r>
    </w:p>
    <w:p w14:paraId="283C3F44" w14:textId="77777777" w:rsidR="000B52D7" w:rsidRPr="0032755E" w:rsidRDefault="000B52D7" w:rsidP="000B52D7">
      <w:r w:rsidRPr="0032755E">
        <w:lastRenderedPageBreak/>
        <w:t xml:space="preserve">The vast majority of identity verifications </w:t>
      </w:r>
      <w:r>
        <w:t>were</w:t>
      </w:r>
      <w:r w:rsidRPr="0032755E">
        <w:t xml:space="preserve"> being undertaken by CSPs themselves at the time the service </w:t>
      </w:r>
      <w:r>
        <w:t>was</w:t>
      </w:r>
      <w:r w:rsidRPr="0032755E">
        <w:t xml:space="preserve"> activated, rather than by third parties at the time of sale. CSPs </w:t>
      </w:r>
      <w:r>
        <w:t>were</w:t>
      </w:r>
      <w:r w:rsidRPr="0032755E">
        <w:t xml:space="preserve"> also making significant use of the government’s Document Verification Service—a national online system that allows organisations to </w:t>
      </w:r>
      <w:r>
        <w:t>compare</w:t>
      </w:r>
      <w:r w:rsidRPr="0032755E">
        <w:t xml:space="preserve"> a customer</w:t>
      </w:r>
      <w:r>
        <w:t>’</w:t>
      </w:r>
      <w:r w:rsidRPr="0032755E">
        <w:t>s identifying information with a government record. The ACMA expects these positive developments will improve the quality of customer information collected by CSPs. This will benefit law enforcement and national security agencies</w:t>
      </w:r>
      <w:r>
        <w:t>,</w:t>
      </w:r>
      <w:r w:rsidRPr="0032755E">
        <w:t xml:space="preserve"> and </w:t>
      </w:r>
      <w:r>
        <w:t xml:space="preserve">enable </w:t>
      </w:r>
      <w:r w:rsidRPr="0032755E">
        <w:t xml:space="preserve">industry </w:t>
      </w:r>
      <w:r>
        <w:t xml:space="preserve">to more efficiently </w:t>
      </w:r>
      <w:r w:rsidRPr="0032755E">
        <w:t>manag</w:t>
      </w:r>
      <w:r>
        <w:t>e</w:t>
      </w:r>
      <w:r w:rsidRPr="0032755E">
        <w:t xml:space="preserve"> these services.</w:t>
      </w:r>
    </w:p>
    <w:p w14:paraId="2A53DC29" w14:textId="77777777" w:rsidR="000B52D7" w:rsidRPr="0032755E" w:rsidRDefault="000B52D7" w:rsidP="000B52D7">
      <w:pPr>
        <w:rPr>
          <w:color w:val="7B7B7B" w:themeColor="accent3" w:themeShade="BF"/>
        </w:rPr>
      </w:pPr>
      <w:r w:rsidRPr="0032755E">
        <w:t xml:space="preserve">In November 2015, the ACMA </w:t>
      </w:r>
      <w:r>
        <w:t>began</w:t>
      </w:r>
      <w:r w:rsidRPr="0032755E">
        <w:t xml:space="preserve"> a review of the </w:t>
      </w:r>
      <w:r w:rsidR="006E0730">
        <w:t>d</w:t>
      </w:r>
      <w:r w:rsidRPr="0032755E">
        <w:t xml:space="preserve">etermination, establishing a joint industry and government agency working group to contribute to the review. A report setting out recommendations to improve the effectiveness and efficiency of the regulatory arrangements is expected to be finalised in </w:t>
      </w:r>
      <w:r>
        <w:t xml:space="preserve">late </w:t>
      </w:r>
      <w:r w:rsidRPr="0032755E">
        <w:t>2016 for the ACMA’s consideration.</w:t>
      </w:r>
    </w:p>
    <w:p w14:paraId="6E31DD2B" w14:textId="77777777" w:rsidR="000B52D7" w:rsidRPr="0032755E" w:rsidRDefault="000B52D7" w:rsidP="000B52D7">
      <w:r w:rsidRPr="0032755E">
        <w:t>As part of its 2015–16 compliance program, the ACMA reviewed the</w:t>
      </w:r>
      <w:r w:rsidRPr="0032755E" w:rsidDel="001D633F">
        <w:t xml:space="preserve"> written</w:t>
      </w:r>
      <w:r w:rsidRPr="0032755E">
        <w:t xml:space="preserve"> arrangements that a number of CSPs have in place to comply with the </w:t>
      </w:r>
      <w:r w:rsidR="006E0730">
        <w:t>d</w:t>
      </w:r>
      <w:r w:rsidRPr="0032755E">
        <w:t xml:space="preserve">etermination. The program resulted in potential compliance issues being raised with one of the six CSPs that </w:t>
      </w:r>
      <w:r>
        <w:t>was</w:t>
      </w:r>
      <w:r w:rsidRPr="0032755E">
        <w:t xml:space="preserve"> selected to participate in this compliance activity. The CSP contacted by the ACMA refined its processes to address the potential compliance issues. </w:t>
      </w:r>
    </w:p>
    <w:p w14:paraId="09FEB761" w14:textId="77777777" w:rsidR="000B52D7" w:rsidRPr="0032755E" w:rsidRDefault="000B52D7" w:rsidP="00190B12">
      <w:pPr>
        <w:pStyle w:val="Heading2"/>
        <w:numPr>
          <w:ilvl w:val="1"/>
          <w:numId w:val="12"/>
        </w:numPr>
        <w:ind w:hanging="792"/>
        <w:rPr>
          <w:rFonts w:eastAsiaTheme="minorHAnsi"/>
        </w:rPr>
      </w:pPr>
      <w:bookmarkStart w:id="736" w:name="_Toc462909486"/>
      <w:bookmarkStart w:id="737" w:name="_Toc465842969"/>
      <w:r w:rsidRPr="00190B12">
        <w:t>Role</w:t>
      </w:r>
      <w:r w:rsidRPr="0032755E">
        <w:rPr>
          <w:rFonts w:eastAsiaTheme="minorHAnsi"/>
        </w:rPr>
        <w:t xml:space="preserve"> of the Integrated Public Number Database (IPND)</w:t>
      </w:r>
      <w:bookmarkEnd w:id="736"/>
      <w:bookmarkEnd w:id="737"/>
    </w:p>
    <w:p w14:paraId="0BCDC85A" w14:textId="77777777" w:rsidR="000B52D7" w:rsidRPr="0032755E" w:rsidRDefault="000B52D7" w:rsidP="000B52D7">
      <w:r w:rsidRPr="0032755E">
        <w:t>The IPND is a telecommunications industry-wide database of all listed and unlisted public numbers and their associated customer data. Law enforcement agencies and emergency services regularly access customer data from the IPND and it is critical that the data is accurate for these purposes. The IPND is managed by Telstra.</w:t>
      </w:r>
    </w:p>
    <w:p w14:paraId="708BDC70" w14:textId="77777777" w:rsidR="000B52D7" w:rsidRPr="0032755E" w:rsidRDefault="000B52D7" w:rsidP="000B52D7">
      <w:r w:rsidRPr="0032755E">
        <w:t xml:space="preserve">Telstra reported that the IPND contained 67.7 million connected services at 30 June 2016, an increase of just over two per cent on the 66.2 million records held one year previously. </w:t>
      </w:r>
    </w:p>
    <w:p w14:paraId="4094BA49" w14:textId="77777777" w:rsidR="000B52D7" w:rsidRPr="0032755E" w:rsidRDefault="000B52D7" w:rsidP="000B52D7">
      <w:pPr>
        <w:pStyle w:val="Heading3"/>
      </w:pPr>
      <w:bookmarkStart w:id="738" w:name="_Toc462909487"/>
      <w:bookmarkStart w:id="739" w:name="_Toc465842970"/>
      <w:r w:rsidRPr="0032755E">
        <w:t>CSP compliance with IPND requirements</w:t>
      </w:r>
      <w:bookmarkEnd w:id="738"/>
      <w:bookmarkEnd w:id="739"/>
    </w:p>
    <w:p w14:paraId="24BB5744" w14:textId="77777777" w:rsidR="000B52D7" w:rsidRPr="0032755E" w:rsidRDefault="000B52D7" w:rsidP="000B52D7">
      <w:r w:rsidRPr="0032755E">
        <w:t xml:space="preserve">The ACMA’s compliance program includes a package of measures developed to improve </w:t>
      </w:r>
      <w:r>
        <w:t xml:space="preserve">CSP </w:t>
      </w:r>
      <w:r w:rsidRPr="0032755E">
        <w:t>compliance with their IPND-related regulatory obligations and, in so doing, improve the quality and completeness of data contained in the IPND.</w:t>
      </w:r>
    </w:p>
    <w:p w14:paraId="420F8FE3" w14:textId="77777777" w:rsidR="000B52D7" w:rsidRPr="0032755E" w:rsidRDefault="000B52D7" w:rsidP="000B52D7">
      <w:r w:rsidRPr="0032755E">
        <w:t>In 2015–16, the ACMA raised compliance issues with 13 CSPs. This included conducting two investigations under Part 26 of the Act.</w:t>
      </w:r>
      <w:r>
        <w:t xml:space="preserve"> </w:t>
      </w:r>
      <w:r w:rsidRPr="0032755E">
        <w:t xml:space="preserve">All 13 CSPs took steps to improve the quality of the customer data they provide to the IPND Manager. </w:t>
      </w:r>
    </w:p>
    <w:p w14:paraId="6A0FDC8A" w14:textId="77777777" w:rsidR="000B52D7" w:rsidRPr="0032755E" w:rsidRDefault="000B52D7" w:rsidP="00CD4141">
      <w:pPr>
        <w:pStyle w:val="Bodysubheader0"/>
      </w:pPr>
      <w:bookmarkStart w:id="740" w:name="_Toc462909488"/>
      <w:bookmarkStart w:id="741" w:name="_Toc465179055"/>
      <w:r w:rsidRPr="0032755E">
        <w:t>SpinTel enforceable undertaking and direction to comply with IPND Code</w:t>
      </w:r>
      <w:bookmarkEnd w:id="740"/>
      <w:bookmarkEnd w:id="741"/>
    </w:p>
    <w:p w14:paraId="7D8C9B9B" w14:textId="77777777" w:rsidR="000B52D7" w:rsidRPr="0032755E" w:rsidDel="00C0770B" w:rsidRDefault="000B52D7" w:rsidP="000B52D7">
      <w:r w:rsidRPr="0032755E" w:rsidDel="00C0770B">
        <w:t xml:space="preserve">In October 2015, the ACMA directed SpinTel Pty Ltd to comply with clause 5.12 of the </w:t>
      </w:r>
      <w:r>
        <w:t>Integrated Public Number Database Industry</w:t>
      </w:r>
      <w:r w:rsidRPr="0032755E" w:rsidDel="00C0770B">
        <w:t xml:space="preserve"> Code</w:t>
      </w:r>
      <w:r>
        <w:t xml:space="preserve"> ACIF C555:2008 (IPND Code)</w:t>
      </w:r>
      <w:r w:rsidRPr="0032755E" w:rsidDel="00C0770B">
        <w:t xml:space="preserve">, following an investigation that found </w:t>
      </w:r>
      <w:r>
        <w:t>it</w:t>
      </w:r>
      <w:r w:rsidRPr="0032755E" w:rsidDel="00C0770B">
        <w:t xml:space="preserve"> failed to protect the privacy of its customers’ personal details </w:t>
      </w:r>
      <w:r>
        <w:t xml:space="preserve">by </w:t>
      </w:r>
      <w:r w:rsidRPr="0032755E" w:rsidDel="00C0770B">
        <w:t>incorrectly classif</w:t>
      </w:r>
      <w:r>
        <w:t>ying</w:t>
      </w:r>
      <w:r w:rsidRPr="0032755E" w:rsidDel="00C0770B">
        <w:t xml:space="preserve"> 426 silent numbers in the IPND. </w:t>
      </w:r>
      <w:r w:rsidRPr="0032755E">
        <w:t xml:space="preserve">The ACMA also found that </w:t>
      </w:r>
      <w:r w:rsidRPr="0032755E" w:rsidDel="00C0770B">
        <w:t xml:space="preserve">SpinTel had breached the Act by failing to provide accurate information to the IPND. The ACMA subsequently accepted an enforceable undertaking from SpinTel to address the non-compliance with the IPND requirements under the Act. </w:t>
      </w:r>
    </w:p>
    <w:p w14:paraId="163A84B8" w14:textId="77777777" w:rsidR="000B52D7" w:rsidRPr="0032755E" w:rsidRDefault="000B52D7" w:rsidP="000B52D7">
      <w:r w:rsidRPr="0032755E">
        <w:t>SpinTel cooperated fully with the ACMA during the investigation.</w:t>
      </w:r>
    </w:p>
    <w:p w14:paraId="5E02409D" w14:textId="77777777" w:rsidR="000B52D7" w:rsidRPr="0032755E" w:rsidRDefault="000B52D7" w:rsidP="00CD4141">
      <w:pPr>
        <w:pStyle w:val="Bodysubheader0"/>
      </w:pPr>
      <w:bookmarkStart w:id="742" w:name="_Toc462909489"/>
      <w:bookmarkStart w:id="743" w:name="_Toc465179056"/>
      <w:r w:rsidRPr="0032755E">
        <w:t>Macquarie Telecom Pty Ltd enforceable undertaking and direction to comply with IPND Code</w:t>
      </w:r>
      <w:bookmarkEnd w:id="742"/>
      <w:bookmarkEnd w:id="743"/>
    </w:p>
    <w:p w14:paraId="1775A29A" w14:textId="77777777" w:rsidR="000B52D7" w:rsidRPr="0032755E" w:rsidDel="00C0770B" w:rsidRDefault="000B52D7" w:rsidP="000B52D7">
      <w:r w:rsidRPr="0032755E" w:rsidDel="00C0770B">
        <w:t xml:space="preserve">In February 2016, the ACMA completed an investigation </w:t>
      </w:r>
      <w:r>
        <w:t>that</w:t>
      </w:r>
      <w:r w:rsidRPr="0032755E" w:rsidDel="00C0770B">
        <w:t xml:space="preserve"> found Macquarie Telecom Pty Limited had contravened the Act and the IPND Code by failing to upload customer data to the IPND for some of its services.</w:t>
      </w:r>
      <w:r>
        <w:t xml:space="preserve"> </w:t>
      </w:r>
    </w:p>
    <w:p w14:paraId="16EBA013" w14:textId="77777777" w:rsidR="000B52D7" w:rsidRPr="0032755E" w:rsidRDefault="000B52D7" w:rsidP="000B52D7">
      <w:r w:rsidRPr="0032755E" w:rsidDel="00C0770B">
        <w:t xml:space="preserve">The ACMA subsequently directed Macquarie Telecom to comply with the IPND Code and accepted an enforceable undertaking offered by Macquarie Telecom to address the non-compliance with the IPND requirements under the </w:t>
      </w:r>
      <w:r w:rsidRPr="0032755E">
        <w:t>Act.</w:t>
      </w:r>
    </w:p>
    <w:p w14:paraId="6868C03B" w14:textId="77777777" w:rsidR="000B52D7" w:rsidRPr="0032755E" w:rsidRDefault="000B52D7" w:rsidP="000B52D7">
      <w:r w:rsidRPr="0032755E" w:rsidDel="00C0770B">
        <w:lastRenderedPageBreak/>
        <w:t xml:space="preserve">Macquarie Telecom </w:t>
      </w:r>
      <w:r w:rsidRPr="0032755E">
        <w:t>cooperated fully with the ACMA during the investigation.</w:t>
      </w:r>
    </w:p>
    <w:p w14:paraId="15A394A4" w14:textId="77777777" w:rsidR="000B52D7" w:rsidRPr="0032755E" w:rsidRDefault="000B52D7" w:rsidP="000B52D7">
      <w:pPr>
        <w:pStyle w:val="Heading3"/>
      </w:pPr>
      <w:bookmarkStart w:id="744" w:name="_Toc462909490"/>
      <w:bookmarkStart w:id="745" w:name="_Toc465842971"/>
      <w:r w:rsidRPr="0032755E">
        <w:t>IPND Scheme</w:t>
      </w:r>
      <w:bookmarkEnd w:id="744"/>
      <w:bookmarkEnd w:id="745"/>
      <w:r w:rsidRPr="0032755E">
        <w:t xml:space="preserve"> </w:t>
      </w:r>
    </w:p>
    <w:p w14:paraId="3F8A1F0F" w14:textId="77777777" w:rsidR="000B52D7" w:rsidRPr="0032755E" w:rsidRDefault="000B52D7" w:rsidP="000B52D7">
      <w:r w:rsidRPr="0032755E">
        <w:t xml:space="preserve">The </w:t>
      </w:r>
      <w:r w:rsidRPr="008A4D94">
        <w:t>Telecommunications Integrated Public Number Database Scheme 2007</w:t>
      </w:r>
      <w:r w:rsidRPr="0032755E">
        <w:t xml:space="preserve"> </w:t>
      </w:r>
      <w:r>
        <w:t>(IPND Scheme) enables</w:t>
      </w:r>
      <w:r w:rsidRPr="0032755E">
        <w:t xml:space="preserve"> the ACMA to grant authorisations to persons wishing to use and disclose IPND data for the publication and maintenance of a public number directory or </w:t>
      </w:r>
      <w:r>
        <w:t>to</w:t>
      </w:r>
      <w:r w:rsidRPr="0032755E">
        <w:t xml:space="preserve"> conduct research of a kind specified by the minister as being in the public interest.</w:t>
      </w:r>
      <w:r>
        <w:t xml:space="preserve"> </w:t>
      </w:r>
    </w:p>
    <w:p w14:paraId="30D6673B" w14:textId="77777777" w:rsidR="000B52D7" w:rsidRPr="0032755E" w:rsidRDefault="000B52D7" w:rsidP="000B52D7">
      <w:r w:rsidRPr="0032755E">
        <w:t>During the reporting period, the ACMA varied the authorisations granted to The Local Phone Book Company and Geoffrey Mark Harris (formerly trading as Fleurieu Link) to publish and maintain public number directories.</w:t>
      </w:r>
      <w:r>
        <w:t xml:space="preserve"> </w:t>
      </w:r>
      <w:r w:rsidRPr="0032755E">
        <w:t>No authorisations to access IPND data for the purpose of conducting research were granted during the reporting period.</w:t>
      </w:r>
    </w:p>
    <w:p w14:paraId="2C4301AD" w14:textId="77777777" w:rsidR="000B52D7" w:rsidRPr="0032755E" w:rsidRDefault="000B52D7" w:rsidP="000B52D7">
      <w:r w:rsidRPr="0032755E">
        <w:t>At 30 June 2016, six authorisations under the IPND Scheme were in operation. The ACMA granted the authorisations for the purpose of publishing and maintaining public number directories (see Table 4.</w:t>
      </w:r>
      <w:r>
        <w:t>4</w:t>
      </w:r>
      <w:r w:rsidRPr="0032755E">
        <w:t>)</w:t>
      </w:r>
    </w:p>
    <w:p w14:paraId="21A40904" w14:textId="77777777" w:rsidR="000B52D7" w:rsidRPr="0032755E" w:rsidRDefault="000B52D7" w:rsidP="00B030AE">
      <w:pPr>
        <w:pStyle w:val="ACMATableHeader"/>
        <w:numPr>
          <w:ilvl w:val="0"/>
          <w:numId w:val="0"/>
        </w:numPr>
        <w:ind w:left="1134" w:hanging="1134"/>
      </w:pPr>
      <w:r w:rsidRPr="0032755E">
        <w:t>Table 4.</w:t>
      </w:r>
      <w:r>
        <w:t>4</w:t>
      </w:r>
      <w:r w:rsidRPr="0032755E">
        <w:t xml:space="preserve"> </w:t>
      </w:r>
      <w:r w:rsidR="00B030AE">
        <w:tab/>
      </w:r>
      <w:r w:rsidRPr="0032755E">
        <w:t xml:space="preserve">Authorisations under </w:t>
      </w:r>
      <w:r>
        <w:t xml:space="preserve">the </w:t>
      </w:r>
      <w:r w:rsidRPr="0032755E">
        <w:t>IPND Scheme</w:t>
      </w:r>
    </w:p>
    <w:tbl>
      <w:tblPr>
        <w:tblStyle w:val="TableGrid"/>
        <w:tblW w:w="9441" w:type="dxa"/>
        <w:tblInd w:w="-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Table 4.4  Authorisations under the IPND Scheme"/>
      </w:tblPr>
      <w:tblGrid>
        <w:gridCol w:w="4720"/>
        <w:gridCol w:w="4721"/>
      </w:tblGrid>
      <w:tr w:rsidR="000B52D7" w:rsidRPr="00A707ED" w14:paraId="4E33E5DA" w14:textId="77777777" w:rsidTr="00681B51">
        <w:trPr>
          <w:trHeight w:val="114"/>
          <w:tblHeader/>
        </w:trPr>
        <w:tc>
          <w:tcPr>
            <w:tcW w:w="4720" w:type="dxa"/>
            <w:shd w:val="clear" w:color="auto" w:fill="007298"/>
            <w:vAlign w:val="center"/>
          </w:tcPr>
          <w:p w14:paraId="2CFA96A7" w14:textId="77777777" w:rsidR="000B52D7" w:rsidRPr="00604073" w:rsidRDefault="000B52D7" w:rsidP="00681B51">
            <w:pPr>
              <w:pStyle w:val="TableHeading"/>
              <w:jc w:val="both"/>
            </w:pPr>
            <w:r w:rsidRPr="00604073">
              <w:t>Person/entity</w:t>
            </w:r>
          </w:p>
        </w:tc>
        <w:tc>
          <w:tcPr>
            <w:tcW w:w="4721" w:type="dxa"/>
            <w:shd w:val="clear" w:color="auto" w:fill="007298"/>
            <w:vAlign w:val="center"/>
          </w:tcPr>
          <w:p w14:paraId="247240FD" w14:textId="77777777" w:rsidR="000B52D7" w:rsidRPr="00604073" w:rsidRDefault="000B52D7" w:rsidP="00681B51">
            <w:pPr>
              <w:pStyle w:val="TableHeading"/>
              <w:jc w:val="both"/>
            </w:pPr>
            <w:r w:rsidRPr="00604073">
              <w:t>Authorisation granted</w:t>
            </w:r>
          </w:p>
        </w:tc>
      </w:tr>
      <w:tr w:rsidR="000B52D7" w:rsidRPr="001156CD" w14:paraId="736E4D72" w14:textId="77777777" w:rsidTr="009329F7">
        <w:trPr>
          <w:trHeight w:val="23"/>
        </w:trPr>
        <w:tc>
          <w:tcPr>
            <w:tcW w:w="4720" w:type="dxa"/>
            <w:shd w:val="clear" w:color="auto" w:fill="7FB8CB"/>
            <w:vAlign w:val="center"/>
          </w:tcPr>
          <w:p w14:paraId="3805C206" w14:textId="77777777" w:rsidR="000B52D7" w:rsidRPr="00FA0DFB" w:rsidRDefault="000B52D7" w:rsidP="00C77AB5">
            <w:pPr>
              <w:pStyle w:val="ACMATableText"/>
              <w:spacing w:before="0" w:after="0"/>
              <w:rPr>
                <w:color w:val="FFFFFF" w:themeColor="background1"/>
                <w:sz w:val="18"/>
                <w:szCs w:val="18"/>
              </w:rPr>
            </w:pPr>
            <w:r w:rsidRPr="00FA0DFB">
              <w:rPr>
                <w:color w:val="FFFFFF" w:themeColor="background1"/>
                <w:sz w:val="18"/>
                <w:szCs w:val="18"/>
              </w:rPr>
              <w:t>The Local Phone Book Company Pty Ltd</w:t>
            </w:r>
          </w:p>
        </w:tc>
        <w:tc>
          <w:tcPr>
            <w:tcW w:w="4721" w:type="dxa"/>
            <w:shd w:val="clear" w:color="auto" w:fill="D2E1E9"/>
            <w:vAlign w:val="center"/>
          </w:tcPr>
          <w:p w14:paraId="4FF13440" w14:textId="77777777" w:rsidR="000B52D7" w:rsidRPr="00604073" w:rsidRDefault="000B52D7" w:rsidP="003B610E">
            <w:pPr>
              <w:pStyle w:val="ACMATableText"/>
              <w:spacing w:before="0" w:after="0"/>
              <w:rPr>
                <w:sz w:val="18"/>
                <w:szCs w:val="18"/>
              </w:rPr>
            </w:pPr>
            <w:r w:rsidRPr="00604073">
              <w:rPr>
                <w:sz w:val="18"/>
                <w:szCs w:val="18"/>
              </w:rPr>
              <w:t>November 2008</w:t>
            </w:r>
          </w:p>
        </w:tc>
      </w:tr>
      <w:tr w:rsidR="000B52D7" w:rsidRPr="001156CD" w14:paraId="2F5BE85E" w14:textId="77777777" w:rsidTr="009329F7">
        <w:tc>
          <w:tcPr>
            <w:tcW w:w="4720" w:type="dxa"/>
            <w:shd w:val="clear" w:color="auto" w:fill="7FB8CB"/>
            <w:vAlign w:val="center"/>
          </w:tcPr>
          <w:p w14:paraId="699DF237" w14:textId="77777777" w:rsidR="000B52D7" w:rsidRPr="00FA0DFB" w:rsidRDefault="000B52D7" w:rsidP="00C77AB5">
            <w:pPr>
              <w:pStyle w:val="ACMATableText"/>
              <w:spacing w:before="0" w:after="0"/>
              <w:rPr>
                <w:color w:val="FFFFFF" w:themeColor="background1"/>
                <w:sz w:val="18"/>
                <w:szCs w:val="18"/>
              </w:rPr>
            </w:pPr>
            <w:r w:rsidRPr="00FA0DFB">
              <w:rPr>
                <w:color w:val="FFFFFF" w:themeColor="background1"/>
                <w:sz w:val="18"/>
                <w:szCs w:val="18"/>
              </w:rPr>
              <w:t>Local Directories Pty Ltd</w:t>
            </w:r>
          </w:p>
        </w:tc>
        <w:tc>
          <w:tcPr>
            <w:tcW w:w="4721" w:type="dxa"/>
            <w:shd w:val="clear" w:color="auto" w:fill="D2E1E9"/>
            <w:vAlign w:val="center"/>
          </w:tcPr>
          <w:p w14:paraId="6B622615" w14:textId="77777777" w:rsidR="000B52D7" w:rsidRPr="00604073" w:rsidRDefault="000B52D7" w:rsidP="003B610E">
            <w:pPr>
              <w:pStyle w:val="ACMATableText"/>
              <w:spacing w:before="0" w:after="0"/>
              <w:rPr>
                <w:sz w:val="18"/>
                <w:szCs w:val="18"/>
              </w:rPr>
            </w:pPr>
            <w:r w:rsidRPr="00604073">
              <w:rPr>
                <w:sz w:val="18"/>
                <w:szCs w:val="18"/>
              </w:rPr>
              <w:t>August 2009</w:t>
            </w:r>
          </w:p>
        </w:tc>
      </w:tr>
      <w:tr w:rsidR="000B52D7" w:rsidRPr="001156CD" w14:paraId="71F74BAA" w14:textId="77777777" w:rsidTr="009329F7">
        <w:tc>
          <w:tcPr>
            <w:tcW w:w="4720" w:type="dxa"/>
            <w:shd w:val="clear" w:color="auto" w:fill="7FB8CB"/>
            <w:vAlign w:val="center"/>
          </w:tcPr>
          <w:p w14:paraId="73EE37FC" w14:textId="77777777" w:rsidR="000B52D7" w:rsidRPr="00FA0DFB" w:rsidRDefault="000B52D7" w:rsidP="00C77AB5">
            <w:pPr>
              <w:pStyle w:val="ACMATableText"/>
              <w:spacing w:before="0" w:after="0"/>
              <w:rPr>
                <w:color w:val="FFFFFF" w:themeColor="background1"/>
                <w:sz w:val="18"/>
                <w:szCs w:val="18"/>
              </w:rPr>
            </w:pPr>
            <w:r w:rsidRPr="00FA0DFB">
              <w:rPr>
                <w:color w:val="FFFFFF" w:themeColor="background1"/>
                <w:sz w:val="18"/>
                <w:szCs w:val="18"/>
              </w:rPr>
              <w:t>Geoffrey Mark Harris</w:t>
            </w:r>
          </w:p>
        </w:tc>
        <w:tc>
          <w:tcPr>
            <w:tcW w:w="4721" w:type="dxa"/>
            <w:shd w:val="clear" w:color="auto" w:fill="D2E1E9"/>
            <w:vAlign w:val="center"/>
          </w:tcPr>
          <w:p w14:paraId="14E6B696" w14:textId="77777777" w:rsidR="000B52D7" w:rsidRPr="00604073" w:rsidRDefault="003A49FC" w:rsidP="003B610E">
            <w:pPr>
              <w:pStyle w:val="ACMATableText"/>
              <w:spacing w:before="0" w:after="0"/>
              <w:rPr>
                <w:sz w:val="18"/>
                <w:szCs w:val="18"/>
              </w:rPr>
            </w:pPr>
            <w:r>
              <w:rPr>
                <w:sz w:val="18"/>
                <w:szCs w:val="18"/>
              </w:rPr>
              <w:t xml:space="preserve">September </w:t>
            </w:r>
            <w:r w:rsidR="000B52D7" w:rsidRPr="00604073">
              <w:rPr>
                <w:sz w:val="18"/>
                <w:szCs w:val="18"/>
              </w:rPr>
              <w:t>2009</w:t>
            </w:r>
          </w:p>
        </w:tc>
      </w:tr>
      <w:tr w:rsidR="000B52D7" w:rsidRPr="001156CD" w14:paraId="7397F65F" w14:textId="77777777" w:rsidTr="009329F7">
        <w:tc>
          <w:tcPr>
            <w:tcW w:w="4720" w:type="dxa"/>
            <w:shd w:val="clear" w:color="auto" w:fill="7FB8CB"/>
            <w:vAlign w:val="center"/>
          </w:tcPr>
          <w:p w14:paraId="371EBB49" w14:textId="77777777" w:rsidR="000B52D7" w:rsidRPr="00FA0DFB" w:rsidRDefault="000B52D7" w:rsidP="00C77AB5">
            <w:pPr>
              <w:pStyle w:val="ACMATableText"/>
              <w:spacing w:before="0" w:after="0"/>
              <w:rPr>
                <w:color w:val="FFFFFF" w:themeColor="background1"/>
                <w:sz w:val="18"/>
                <w:szCs w:val="18"/>
              </w:rPr>
            </w:pPr>
            <w:r w:rsidRPr="00FA0DFB">
              <w:rPr>
                <w:color w:val="FFFFFF" w:themeColor="background1"/>
                <w:sz w:val="18"/>
                <w:szCs w:val="18"/>
              </w:rPr>
              <w:t>Veda Advantage Limited</w:t>
            </w:r>
          </w:p>
        </w:tc>
        <w:tc>
          <w:tcPr>
            <w:tcW w:w="4721" w:type="dxa"/>
            <w:shd w:val="clear" w:color="auto" w:fill="D2E1E9"/>
            <w:vAlign w:val="center"/>
          </w:tcPr>
          <w:p w14:paraId="3103A32E" w14:textId="77777777" w:rsidR="000B52D7" w:rsidRPr="00604073" w:rsidRDefault="003A49FC" w:rsidP="003B610E">
            <w:pPr>
              <w:pStyle w:val="ACMATableText"/>
              <w:spacing w:before="0" w:after="0"/>
              <w:rPr>
                <w:sz w:val="18"/>
                <w:szCs w:val="18"/>
              </w:rPr>
            </w:pPr>
            <w:r>
              <w:rPr>
                <w:sz w:val="18"/>
                <w:szCs w:val="18"/>
              </w:rPr>
              <w:t>February</w:t>
            </w:r>
            <w:r w:rsidRPr="00604073">
              <w:rPr>
                <w:sz w:val="18"/>
                <w:szCs w:val="18"/>
              </w:rPr>
              <w:t xml:space="preserve"> </w:t>
            </w:r>
            <w:r w:rsidR="000B52D7" w:rsidRPr="00604073">
              <w:rPr>
                <w:sz w:val="18"/>
                <w:szCs w:val="18"/>
              </w:rPr>
              <w:t>2010</w:t>
            </w:r>
          </w:p>
        </w:tc>
      </w:tr>
      <w:tr w:rsidR="000B52D7" w:rsidRPr="001156CD" w14:paraId="737C8174" w14:textId="77777777" w:rsidTr="009329F7">
        <w:tc>
          <w:tcPr>
            <w:tcW w:w="4720" w:type="dxa"/>
            <w:shd w:val="clear" w:color="auto" w:fill="7FB8CB"/>
            <w:vAlign w:val="center"/>
          </w:tcPr>
          <w:p w14:paraId="27D39279" w14:textId="77777777" w:rsidR="000B52D7" w:rsidRPr="00FA0DFB" w:rsidRDefault="000B52D7" w:rsidP="00C77AB5">
            <w:pPr>
              <w:pStyle w:val="ACMATableText"/>
              <w:spacing w:before="0" w:after="0"/>
              <w:rPr>
                <w:color w:val="FFFFFF" w:themeColor="background1"/>
                <w:sz w:val="18"/>
                <w:szCs w:val="18"/>
              </w:rPr>
            </w:pPr>
            <w:r w:rsidRPr="00FA0DFB">
              <w:rPr>
                <w:color w:val="FFFFFF" w:themeColor="background1"/>
                <w:sz w:val="18"/>
                <w:szCs w:val="18"/>
              </w:rPr>
              <w:t>Perceptive Communications Pty Ltd</w:t>
            </w:r>
          </w:p>
        </w:tc>
        <w:tc>
          <w:tcPr>
            <w:tcW w:w="4721" w:type="dxa"/>
            <w:shd w:val="clear" w:color="auto" w:fill="D2E1E9"/>
            <w:vAlign w:val="center"/>
          </w:tcPr>
          <w:p w14:paraId="7AA6FE73" w14:textId="77777777" w:rsidR="000B52D7" w:rsidRPr="00604073" w:rsidRDefault="003A49FC" w:rsidP="003B610E">
            <w:pPr>
              <w:pStyle w:val="ACMATableText"/>
              <w:spacing w:before="0" w:after="0"/>
              <w:rPr>
                <w:sz w:val="18"/>
                <w:szCs w:val="18"/>
              </w:rPr>
            </w:pPr>
            <w:r>
              <w:rPr>
                <w:sz w:val="18"/>
                <w:szCs w:val="18"/>
              </w:rPr>
              <w:t>August</w:t>
            </w:r>
            <w:r w:rsidRPr="00604073">
              <w:rPr>
                <w:sz w:val="18"/>
                <w:szCs w:val="18"/>
              </w:rPr>
              <w:t xml:space="preserve"> </w:t>
            </w:r>
            <w:r w:rsidR="000B52D7" w:rsidRPr="00604073">
              <w:rPr>
                <w:sz w:val="18"/>
                <w:szCs w:val="18"/>
              </w:rPr>
              <w:t>2010</w:t>
            </w:r>
          </w:p>
        </w:tc>
      </w:tr>
      <w:tr w:rsidR="000B52D7" w:rsidRPr="001156CD" w14:paraId="2BF58BF5" w14:textId="77777777" w:rsidTr="009329F7">
        <w:tc>
          <w:tcPr>
            <w:tcW w:w="4720" w:type="dxa"/>
            <w:shd w:val="clear" w:color="auto" w:fill="7FB8CB"/>
            <w:vAlign w:val="center"/>
          </w:tcPr>
          <w:p w14:paraId="0A7F2CC4" w14:textId="77777777" w:rsidR="000B52D7" w:rsidRPr="00FA0DFB" w:rsidRDefault="000B52D7" w:rsidP="00C77AB5">
            <w:pPr>
              <w:pStyle w:val="ACMATableText"/>
              <w:spacing w:before="0" w:after="0"/>
              <w:rPr>
                <w:color w:val="FFFFFF" w:themeColor="background1"/>
                <w:sz w:val="18"/>
                <w:szCs w:val="18"/>
              </w:rPr>
            </w:pPr>
            <w:r w:rsidRPr="00FA0DFB">
              <w:rPr>
                <w:color w:val="FFFFFF" w:themeColor="background1"/>
                <w:sz w:val="18"/>
                <w:szCs w:val="18"/>
              </w:rPr>
              <w:t>Acceleon Pty Ltd</w:t>
            </w:r>
          </w:p>
        </w:tc>
        <w:tc>
          <w:tcPr>
            <w:tcW w:w="4721" w:type="dxa"/>
            <w:shd w:val="clear" w:color="auto" w:fill="D2E1E9"/>
            <w:vAlign w:val="center"/>
          </w:tcPr>
          <w:p w14:paraId="4BE504CA" w14:textId="77777777" w:rsidR="000B52D7" w:rsidRPr="00604073" w:rsidRDefault="003A49FC" w:rsidP="003B610E">
            <w:pPr>
              <w:pStyle w:val="ACMATableText"/>
              <w:spacing w:before="0" w:after="0"/>
              <w:rPr>
                <w:sz w:val="18"/>
                <w:szCs w:val="18"/>
              </w:rPr>
            </w:pPr>
            <w:r>
              <w:rPr>
                <w:sz w:val="18"/>
                <w:szCs w:val="18"/>
              </w:rPr>
              <w:t>April</w:t>
            </w:r>
            <w:r w:rsidR="000B52D7" w:rsidRPr="00604073">
              <w:rPr>
                <w:sz w:val="18"/>
                <w:szCs w:val="18"/>
              </w:rPr>
              <w:t xml:space="preserve"> 2011</w:t>
            </w:r>
          </w:p>
        </w:tc>
      </w:tr>
    </w:tbl>
    <w:p w14:paraId="0606EFED" w14:textId="77777777" w:rsidR="000B52D7" w:rsidRDefault="000B52D7" w:rsidP="000B52D7">
      <w:pPr>
        <w:pStyle w:val="ACMANotes"/>
      </w:pPr>
      <w:r w:rsidRPr="0032755E">
        <w:t>Source: IPND Manager</w:t>
      </w:r>
      <w:r>
        <w:t>.</w:t>
      </w:r>
    </w:p>
    <w:p w14:paraId="532F1A3C" w14:textId="77777777" w:rsidR="000B52D7" w:rsidRPr="0032755E" w:rsidRDefault="000B52D7" w:rsidP="000B52D7">
      <w:pPr>
        <w:pStyle w:val="ACMASpaceaftertable"/>
      </w:pPr>
    </w:p>
    <w:p w14:paraId="510E400B" w14:textId="77777777" w:rsidR="000B52D7" w:rsidRPr="00DB346E" w:rsidRDefault="000B52D7" w:rsidP="00190B12">
      <w:pPr>
        <w:pStyle w:val="Heading2"/>
        <w:numPr>
          <w:ilvl w:val="1"/>
          <w:numId w:val="12"/>
        </w:numPr>
        <w:ind w:hanging="792"/>
      </w:pPr>
      <w:bookmarkStart w:id="746" w:name="_Toc462909491"/>
      <w:bookmarkStart w:id="747" w:name="_Toc465842972"/>
      <w:r w:rsidRPr="00DB346E">
        <w:t>Handling of life-threatening and unwelcome communications</w:t>
      </w:r>
      <w:bookmarkEnd w:id="746"/>
      <w:bookmarkEnd w:id="747"/>
      <w:r w:rsidRPr="00DB346E">
        <w:t xml:space="preserve"> </w:t>
      </w:r>
    </w:p>
    <w:p w14:paraId="2ABBD471" w14:textId="77777777" w:rsidR="000B52D7" w:rsidRPr="0032755E" w:rsidRDefault="000B52D7" w:rsidP="000B52D7">
      <w:r w:rsidRPr="00DB346E">
        <w:t>The C525:2010</w:t>
      </w:r>
      <w:r w:rsidRPr="00DB346E">
        <w:rPr>
          <w:i/>
        </w:rPr>
        <w:t xml:space="preserve"> Handling of Life Threatening and Unwelcome Communications</w:t>
      </w:r>
      <w:r w:rsidR="00DB346E" w:rsidRPr="00DB346E">
        <w:rPr>
          <w:i/>
        </w:rPr>
        <w:t xml:space="preserve"> Industry C</w:t>
      </w:r>
      <w:r w:rsidRPr="00DB346E">
        <w:rPr>
          <w:i/>
        </w:rPr>
        <w:t>ode</w:t>
      </w:r>
      <w:r w:rsidRPr="00DB346E">
        <w:t xml:space="preserve"> sets</w:t>
      </w:r>
      <w:r w:rsidRPr="0032755E">
        <w:t xml:space="preserve"> out obligations on carriers, CSPs and the NRS provider in responding to requests from customers and police to resolve life-threatening situations and unwelcome communications. </w:t>
      </w:r>
    </w:p>
    <w:p w14:paraId="02D1C2DA" w14:textId="77777777" w:rsidR="000B52D7" w:rsidRPr="0032755E" w:rsidRDefault="000B52D7" w:rsidP="003B610E">
      <w:r w:rsidRPr="0032755E">
        <w:t xml:space="preserve">During the reporting period, the TIO confirmed it had found no breaches under this code and that new complaint issues declined from 413 to 228, a 45 per cent decrease </w:t>
      </w:r>
      <w:r>
        <w:t>on</w:t>
      </w:r>
      <w:r w:rsidRPr="0032755E">
        <w:t xml:space="preserve"> the previous year. </w:t>
      </w:r>
    </w:p>
    <w:p w14:paraId="442CE9D4" w14:textId="77777777" w:rsidR="000B52D7" w:rsidRPr="00FD7E86" w:rsidRDefault="000B52D7" w:rsidP="003B610E"/>
    <w:p w14:paraId="0A13528C" w14:textId="77777777" w:rsidR="00CF02AF" w:rsidRPr="00531CD0" w:rsidRDefault="00CF02AF" w:rsidP="00531CD0">
      <w:pPr>
        <w:pStyle w:val="ACMANotes"/>
      </w:pPr>
      <w:bookmarkStart w:id="748" w:name="_Toc433790431"/>
      <w:bookmarkEnd w:id="700"/>
      <w:bookmarkEnd w:id="701"/>
      <w:bookmarkEnd w:id="748"/>
    </w:p>
    <w:p w14:paraId="225277E3" w14:textId="77777777" w:rsidR="00763375" w:rsidRPr="00FD7E86" w:rsidRDefault="00763375" w:rsidP="00531CD0">
      <w:pPr>
        <w:pStyle w:val="ACMANotes"/>
        <w:sectPr w:rsidR="00763375" w:rsidRPr="00FD7E86" w:rsidSect="00604073">
          <w:headerReference w:type="even" r:id="rId123"/>
          <w:headerReference w:type="default" r:id="rId124"/>
          <w:endnotePr>
            <w:numFmt w:val="decimal"/>
            <w:numRestart w:val="eachSect"/>
          </w:endnotePr>
          <w:pgSz w:w="11907" w:h="16839" w:code="9"/>
          <w:pgMar w:top="1985" w:right="1134" w:bottom="1134" w:left="1134" w:header="709" w:footer="119" w:gutter="284"/>
          <w:cols w:space="708"/>
          <w:docGrid w:linePitch="360"/>
        </w:sectPr>
      </w:pPr>
    </w:p>
    <w:p w14:paraId="50CE0DB0" w14:textId="77777777" w:rsidR="00AD37AD" w:rsidRPr="00F634D9" w:rsidRDefault="00AD37AD" w:rsidP="00A04EBA">
      <w:pPr>
        <w:pStyle w:val="Heading1"/>
        <w:numPr>
          <w:ilvl w:val="0"/>
          <w:numId w:val="12"/>
        </w:numPr>
        <w:ind w:left="851" w:hanging="851"/>
      </w:pPr>
      <w:bookmarkStart w:id="749" w:name="_Toc462909492"/>
      <w:bookmarkStart w:id="750" w:name="_Toc465842973"/>
      <w:bookmarkStart w:id="751" w:name="_Toc462899692"/>
      <w:bookmarkStart w:id="752" w:name="_Toc433790441"/>
      <w:bookmarkStart w:id="753" w:name="_Toc463529187"/>
      <w:r w:rsidRPr="00F634D9">
        <w:lastRenderedPageBreak/>
        <w:t>Telecommunications consumer safeguards and quality of service</w:t>
      </w:r>
      <w:bookmarkEnd w:id="749"/>
      <w:bookmarkEnd w:id="750"/>
    </w:p>
    <w:p w14:paraId="0BF00B0F" w14:textId="77777777" w:rsidR="00AD37AD" w:rsidRPr="006134FA" w:rsidRDefault="00AD37AD" w:rsidP="00A04EBA">
      <w:pPr>
        <w:pStyle w:val="Heading2"/>
        <w:numPr>
          <w:ilvl w:val="1"/>
          <w:numId w:val="12"/>
        </w:numPr>
        <w:ind w:hanging="792"/>
      </w:pPr>
      <w:bookmarkStart w:id="754" w:name="_Toc462909493"/>
      <w:bookmarkStart w:id="755" w:name="_Toc465842974"/>
      <w:r w:rsidRPr="006134FA">
        <w:t>Overview</w:t>
      </w:r>
      <w:bookmarkEnd w:id="754"/>
      <w:bookmarkEnd w:id="755"/>
    </w:p>
    <w:p w14:paraId="12E4E411" w14:textId="77777777" w:rsidR="00AD37AD" w:rsidRPr="006134FA" w:rsidRDefault="00AD37AD" w:rsidP="00AD37AD">
      <w:r w:rsidRPr="006134FA">
        <w:t xml:space="preserve">This chapter </w:t>
      </w:r>
      <w:r w:rsidRPr="006134FA">
        <w:rPr>
          <w:rFonts w:cs="Arial"/>
        </w:rPr>
        <w:t xml:space="preserve">addresses regulatory requirements to report on </w:t>
      </w:r>
      <w:r w:rsidRPr="006134FA">
        <w:t>the efficiency of the supply of telecommunications service</w:t>
      </w:r>
      <w:r>
        <w:t>s</w:t>
      </w:r>
      <w:r w:rsidRPr="006134FA">
        <w:t xml:space="preserve">, the adequacy and quality of these services, and carrier and CSP obligations </w:t>
      </w:r>
      <w:r>
        <w:t>for</w:t>
      </w:r>
      <w:r w:rsidRPr="006134FA">
        <w:t xml:space="preserve"> codes and standards. </w:t>
      </w:r>
      <w:r>
        <w:t>It</w:t>
      </w:r>
      <w:r w:rsidRPr="006134FA">
        <w:t xml:space="preserve"> presents analysis and information about the telecommunications industry’s performance in meeting key regulatory obligations, including the CSG Standard, the Network Reliability Framework (NRF), provision of priority assistance to customers, number portability, telemarketing and spam investigations, industry compliance with telecommunications codes and trends in TIO complaints.</w:t>
      </w:r>
    </w:p>
    <w:p w14:paraId="720E1AB1" w14:textId="77777777" w:rsidR="00AD37AD" w:rsidRPr="00F634D9" w:rsidRDefault="00AD37AD" w:rsidP="00AD37AD">
      <w:pPr>
        <w:spacing w:after="80"/>
      </w:pPr>
      <w:r w:rsidRPr="00F634D9">
        <w:t>In summary:</w:t>
      </w:r>
    </w:p>
    <w:p w14:paraId="2222F32F" w14:textId="77777777" w:rsidR="00AD37AD" w:rsidRDefault="00AD37AD" w:rsidP="00AD37AD">
      <w:pPr>
        <w:pStyle w:val="ListBullet"/>
      </w:pPr>
      <w:r>
        <w:t>T</w:t>
      </w:r>
      <w:r w:rsidRPr="006134FA">
        <w:t>he CSG Standard covers a declining number of services</w:t>
      </w:r>
      <w:r w:rsidR="0068344C">
        <w:t>.</w:t>
      </w:r>
    </w:p>
    <w:p w14:paraId="31D827B8" w14:textId="77777777" w:rsidR="00AD37AD" w:rsidRPr="006134FA" w:rsidRDefault="00AD37AD" w:rsidP="00AD37AD">
      <w:pPr>
        <w:pStyle w:val="ListBullet"/>
      </w:pPr>
      <w:r>
        <w:t>There were</w:t>
      </w:r>
      <w:r w:rsidRPr="006134FA">
        <w:t xml:space="preserve"> </w:t>
      </w:r>
      <w:r>
        <w:t>falls</w:t>
      </w:r>
      <w:r w:rsidRPr="006134FA">
        <w:t xml:space="preserve"> in the total number of payphones (down five per cent in 2015–16 to 24,573) and fixed-line services </w:t>
      </w:r>
      <w:r>
        <w:t>(down 3.6 per cent to 6.1 </w:t>
      </w:r>
      <w:r w:rsidRPr="006134FA">
        <w:t>million services)</w:t>
      </w:r>
      <w:r>
        <w:t>.</w:t>
      </w:r>
    </w:p>
    <w:p w14:paraId="4C7888EC" w14:textId="77777777" w:rsidR="00AD37AD" w:rsidRPr="006134FA" w:rsidRDefault="00AD37AD" w:rsidP="00AD37AD">
      <w:pPr>
        <w:pStyle w:val="ListBullet"/>
      </w:pPr>
      <w:r>
        <w:t>A</w:t>
      </w:r>
      <w:r w:rsidRPr="006134FA">
        <w:t>ll qualifying CSPs met the CSG performance benchmarks</w:t>
      </w:r>
      <w:r>
        <w:t>.</w:t>
      </w:r>
    </w:p>
    <w:p w14:paraId="47299FB9" w14:textId="77777777" w:rsidR="00AD37AD" w:rsidRPr="006134FA" w:rsidRDefault="00AD37AD" w:rsidP="00AD37AD">
      <w:pPr>
        <w:pStyle w:val="ListBullet"/>
      </w:pPr>
      <w:r>
        <w:t>T</w:t>
      </w:r>
      <w:r w:rsidRPr="006134FA">
        <w:t>here was a significant increase in the amount of compensation paid to customers as a result of failing to meet CSG Standard time frames</w:t>
      </w:r>
      <w:r>
        <w:t>—up</w:t>
      </w:r>
      <w:r w:rsidR="00C476A5">
        <w:t xml:space="preserve"> 176 per cent to $16.17</w:t>
      </w:r>
      <w:r w:rsidRPr="006134FA">
        <w:t xml:space="preserve"> million.</w:t>
      </w:r>
      <w:r>
        <w:t xml:space="preserve"> </w:t>
      </w:r>
      <w:r w:rsidRPr="006134FA">
        <w:t xml:space="preserve">This </w:t>
      </w:r>
      <w:r>
        <w:t xml:space="preserve">in part </w:t>
      </w:r>
      <w:r w:rsidRPr="006134FA">
        <w:t xml:space="preserve">reflects industry service supply changes occurring under the migration to the </w:t>
      </w:r>
      <w:r>
        <w:t>NBN</w:t>
      </w:r>
      <w:r w:rsidR="0068344C">
        <w:t xml:space="preserve"> network</w:t>
      </w:r>
      <w:r>
        <w:t>.</w:t>
      </w:r>
    </w:p>
    <w:p w14:paraId="22E15BD1" w14:textId="77777777" w:rsidR="00AD37AD" w:rsidRDefault="00AD37AD" w:rsidP="00AD37AD">
      <w:pPr>
        <w:pStyle w:val="ListBullet"/>
      </w:pPr>
      <w:r>
        <w:t>T</w:t>
      </w:r>
      <w:r w:rsidRPr="006134FA">
        <w:t xml:space="preserve">he number of telephone numbers listed on the DNCR </w:t>
      </w:r>
      <w:r>
        <w:t>rose by</w:t>
      </w:r>
      <w:r w:rsidRPr="006134FA">
        <w:t xml:space="preserve"> four per </w:t>
      </w:r>
      <w:r w:rsidR="00D87B4A">
        <w:t xml:space="preserve">cent in </w:t>
      </w:r>
      <w:r w:rsidRPr="006134FA">
        <w:t>2015–16</w:t>
      </w:r>
      <w:r>
        <w:t>. I</w:t>
      </w:r>
      <w:r w:rsidRPr="006134FA">
        <w:t>ncreasing every year since 2011</w:t>
      </w:r>
      <w:r>
        <w:t>–</w:t>
      </w:r>
      <w:r w:rsidRPr="006134FA">
        <w:t>12</w:t>
      </w:r>
      <w:r>
        <w:t xml:space="preserve">, the total </w:t>
      </w:r>
      <w:r w:rsidRPr="006134FA">
        <w:t xml:space="preserve">amount of numbers listed </w:t>
      </w:r>
      <w:r>
        <w:t xml:space="preserve">rose to </w:t>
      </w:r>
      <w:r w:rsidRPr="006134FA">
        <w:t>10.65 million</w:t>
      </w:r>
      <w:r>
        <w:t>.</w:t>
      </w:r>
      <w:r w:rsidRPr="006134FA">
        <w:t xml:space="preserve"> </w:t>
      </w:r>
    </w:p>
    <w:p w14:paraId="3A8C3213" w14:textId="77777777" w:rsidR="00AD37AD" w:rsidRPr="006134FA" w:rsidRDefault="00AD37AD" w:rsidP="00AD37AD">
      <w:pPr>
        <w:pStyle w:val="ListBullet"/>
      </w:pPr>
      <w:r>
        <w:t>After increasing every year since 2011</w:t>
      </w:r>
      <w:r>
        <w:rPr>
          <w:rFonts w:cs="Arial"/>
        </w:rPr>
        <w:t>−</w:t>
      </w:r>
      <w:r>
        <w:t>12, there was a fall in the amount of both l</w:t>
      </w:r>
      <w:r w:rsidRPr="006134FA">
        <w:t>ocal and mobile phone number</w:t>
      </w:r>
      <w:r>
        <w:t>s ported</w:t>
      </w:r>
      <w:r w:rsidRPr="006134FA">
        <w:t xml:space="preserve"> </w:t>
      </w:r>
      <w:r>
        <w:t>during</w:t>
      </w:r>
      <w:r w:rsidRPr="006134FA">
        <w:t xml:space="preserve"> 2015</w:t>
      </w:r>
      <w:r>
        <w:t>–</w:t>
      </w:r>
      <w:r w:rsidRPr="006134FA">
        <w:t xml:space="preserve">16. </w:t>
      </w:r>
      <w:r>
        <w:t>The amount of l</w:t>
      </w:r>
      <w:r w:rsidRPr="006134FA">
        <w:t>ocal number</w:t>
      </w:r>
      <w:r>
        <w:t>s</w:t>
      </w:r>
      <w:r w:rsidRPr="006134FA">
        <w:t xml:space="preserve"> port</w:t>
      </w:r>
      <w:r>
        <w:t>ed</w:t>
      </w:r>
      <w:r w:rsidRPr="006134FA">
        <w:t xml:space="preserve"> decreased by 19 per cent from 1.22 million</w:t>
      </w:r>
      <w:r>
        <w:t xml:space="preserve"> numbers</w:t>
      </w:r>
      <w:r w:rsidRPr="006134FA">
        <w:t xml:space="preserve"> to 991,000</w:t>
      </w:r>
      <w:r>
        <w:t>,</w:t>
      </w:r>
      <w:r w:rsidRPr="006134FA">
        <w:t xml:space="preserve"> </w:t>
      </w:r>
      <w:r>
        <w:t>and</w:t>
      </w:r>
      <w:r w:rsidRPr="006134FA">
        <w:t xml:space="preserve"> mobile phone </w:t>
      </w:r>
      <w:r>
        <w:t xml:space="preserve">numbers </w:t>
      </w:r>
      <w:r w:rsidRPr="006134FA">
        <w:t>port</w:t>
      </w:r>
      <w:r>
        <w:t>ed</w:t>
      </w:r>
      <w:r w:rsidRPr="006134FA">
        <w:t xml:space="preserve"> decreased by 18 per cent</w:t>
      </w:r>
      <w:r>
        <w:t xml:space="preserve"> </w:t>
      </w:r>
      <w:r w:rsidRPr="006134FA">
        <w:t>to 1.72 million</w:t>
      </w:r>
      <w:r>
        <w:t xml:space="preserve"> numbers</w:t>
      </w:r>
      <w:r w:rsidRPr="006134FA">
        <w:t xml:space="preserve">. </w:t>
      </w:r>
    </w:p>
    <w:p w14:paraId="2F69D1E1" w14:textId="77777777" w:rsidR="00AD37AD" w:rsidRPr="003577F8" w:rsidRDefault="00AD37AD" w:rsidP="00AD37AD">
      <w:pPr>
        <w:pStyle w:val="ListBullet"/>
      </w:pPr>
      <w:r>
        <w:t>A</w:t>
      </w:r>
      <w:r w:rsidRPr="006134FA">
        <w:t>t 30 June 2016, there were 146 partners in the A</w:t>
      </w:r>
      <w:r>
        <w:t>ustralian Internet Security Initiative (A</w:t>
      </w:r>
      <w:r w:rsidRPr="006134FA">
        <w:t>ISI</w:t>
      </w:r>
      <w:r>
        <w:t>)</w:t>
      </w:r>
      <w:r w:rsidRPr="006134FA">
        <w:t>, with these partners estimated to cover more than 95 per cent of allocated Australian IP address ranges. A total of 62.5</w:t>
      </w:r>
      <w:r w:rsidRPr="00E750DA">
        <w:t xml:space="preserve"> million daily observations of</w:t>
      </w:r>
      <w:r>
        <w:t xml:space="preserve"> malware</w:t>
      </w:r>
      <w:r w:rsidRPr="00E750DA">
        <w:t xml:space="preserve"> infections were reported to AISI partners in </w:t>
      </w:r>
      <w:r>
        <w:br/>
      </w:r>
      <w:r w:rsidRPr="00E750DA">
        <w:t xml:space="preserve">2015–16, averaging 5.2 million </w:t>
      </w:r>
      <w:r>
        <w:t xml:space="preserve">infections </w:t>
      </w:r>
      <w:r w:rsidRPr="00E750DA">
        <w:t>per month</w:t>
      </w:r>
      <w:r>
        <w:t>.</w:t>
      </w:r>
    </w:p>
    <w:p w14:paraId="09A56973" w14:textId="77777777" w:rsidR="00AD37AD" w:rsidRPr="006134FA" w:rsidRDefault="00AD37AD" w:rsidP="00AD37AD">
      <w:pPr>
        <w:pStyle w:val="ListBulletLast"/>
      </w:pPr>
      <w:r>
        <w:t>T</w:t>
      </w:r>
      <w:r w:rsidRPr="006134FA">
        <w:t>here was a 9.6 per cent decline in the number of complaints to the TIO, down</w:t>
      </w:r>
      <w:r>
        <w:t xml:space="preserve"> from 124,417 in 2014−15 to </w:t>
      </w:r>
      <w:r w:rsidRPr="006134FA">
        <w:t>112,518 new complaints in 201</w:t>
      </w:r>
      <w:r>
        <w:t>5</w:t>
      </w:r>
      <w:r w:rsidRPr="006134FA">
        <w:t>–1</w:t>
      </w:r>
      <w:r>
        <w:t>6.</w:t>
      </w:r>
    </w:p>
    <w:p w14:paraId="29CB29E9" w14:textId="77777777" w:rsidR="00AD37AD" w:rsidRPr="006134FA" w:rsidRDefault="00AD37AD" w:rsidP="00A04EBA">
      <w:pPr>
        <w:pStyle w:val="Heading2"/>
        <w:numPr>
          <w:ilvl w:val="1"/>
          <w:numId w:val="12"/>
        </w:numPr>
        <w:ind w:hanging="792"/>
      </w:pPr>
      <w:bookmarkStart w:id="756" w:name="_Toc462909494"/>
      <w:bookmarkStart w:id="757" w:name="_Toc465842975"/>
      <w:r w:rsidRPr="006134FA">
        <w:t>Telecommunications Industry Levy and</w:t>
      </w:r>
      <w:r>
        <w:t xml:space="preserve"> </w:t>
      </w:r>
      <w:r w:rsidRPr="006134FA">
        <w:t>public policy outcomes</w:t>
      </w:r>
      <w:bookmarkEnd w:id="756"/>
      <w:bookmarkEnd w:id="757"/>
      <w:r w:rsidRPr="006134FA">
        <w:t xml:space="preserve"> </w:t>
      </w:r>
    </w:p>
    <w:p w14:paraId="72138DE8" w14:textId="77777777" w:rsidR="00AD37AD" w:rsidRPr="006134FA" w:rsidRDefault="00AD37AD" w:rsidP="00AD37AD">
      <w:pPr>
        <w:spacing w:after="80"/>
      </w:pPr>
      <w:r w:rsidRPr="006134FA">
        <w:t xml:space="preserve">The </w:t>
      </w:r>
      <w:r w:rsidRPr="00D45E5B">
        <w:t xml:space="preserve">Telecommunications Industry Levy </w:t>
      </w:r>
      <w:r>
        <w:t>(</w:t>
      </w:r>
      <w:r w:rsidRPr="006134FA">
        <w:t>TIL</w:t>
      </w:r>
      <w:r>
        <w:t>)</w:t>
      </w:r>
      <w:r w:rsidRPr="006134FA">
        <w:t xml:space="preserve"> funds the residual costs (after government funding) of the payment of contractors and grant recipients, and eligible administrative costs, to ensure continuity of key telecommunications safeguards.</w:t>
      </w:r>
      <w:r>
        <w:t xml:space="preserve"> </w:t>
      </w:r>
      <w:r w:rsidRPr="006134FA">
        <w:t>In particular, this levy provides funding for:</w:t>
      </w:r>
    </w:p>
    <w:p w14:paraId="7337FB4F" w14:textId="77777777" w:rsidR="00AD37AD" w:rsidRPr="006134FA" w:rsidRDefault="00AD37AD" w:rsidP="00AD37AD">
      <w:pPr>
        <w:pStyle w:val="ListBullet"/>
      </w:pPr>
      <w:r w:rsidRPr="006134FA">
        <w:t>reasonably accessible standard telephone services and payphone services to all Australians on an equitable basis, wherever they reside or carry on business</w:t>
      </w:r>
      <w:r w:rsidRPr="006134FA" w:rsidDel="00E87498">
        <w:t xml:space="preserve"> </w:t>
      </w:r>
      <w:r w:rsidRPr="006134FA">
        <w:t>(the universal service obligation or USO)</w:t>
      </w:r>
    </w:p>
    <w:p w14:paraId="45B0F39E" w14:textId="77777777" w:rsidR="00AD37AD" w:rsidRPr="006134FA" w:rsidRDefault="00AD37AD" w:rsidP="00AD37AD">
      <w:pPr>
        <w:pStyle w:val="ListBullet"/>
      </w:pPr>
      <w:r w:rsidRPr="006134FA">
        <w:t>a national telephone service to enable people who are deaf or have a hearing and/or speech impairment to make and receive telephone calls (the NRS) wherever they reside or carry on business</w:t>
      </w:r>
    </w:p>
    <w:p w14:paraId="307EE039" w14:textId="77777777" w:rsidR="00AD37AD" w:rsidRPr="006134FA" w:rsidRDefault="00AD37AD" w:rsidP="00AD37AD">
      <w:pPr>
        <w:pStyle w:val="ListBullet"/>
      </w:pPr>
      <w:r w:rsidRPr="006134FA">
        <w:t xml:space="preserve">end users of standard telephone services in Australia to have access, free of charge, to an emergency call service </w:t>
      </w:r>
    </w:p>
    <w:p w14:paraId="0E6CACCC" w14:textId="77777777" w:rsidR="00AD37AD" w:rsidRPr="00940AB7" w:rsidRDefault="00AD37AD" w:rsidP="00AD37AD">
      <w:pPr>
        <w:pStyle w:val="ListBulletLast"/>
      </w:pPr>
      <w:r w:rsidRPr="003577F8">
        <w:t>delivery of other public policy telecommunications outcomes</w:t>
      </w:r>
      <w:r>
        <w:t>;</w:t>
      </w:r>
      <w:r w:rsidRPr="003577F8">
        <w:t xml:space="preserve"> for example, untimed local calls.</w:t>
      </w:r>
    </w:p>
    <w:p w14:paraId="7A2DC986" w14:textId="77777777" w:rsidR="00AD37AD" w:rsidRPr="006134FA" w:rsidRDefault="00AD37AD" w:rsidP="00AD37AD">
      <w:pPr>
        <w:rPr>
          <w:rFonts w:cs="Arial"/>
        </w:rPr>
      </w:pPr>
      <w:r w:rsidRPr="006134FA">
        <w:rPr>
          <w:rFonts w:cs="Arial"/>
        </w:rPr>
        <w:t xml:space="preserve">The ACMA is </w:t>
      </w:r>
      <w:r w:rsidRPr="006134FA">
        <w:t xml:space="preserve">responsible for the billing and collection of the </w:t>
      </w:r>
      <w:r w:rsidRPr="006134FA">
        <w:rPr>
          <w:rFonts w:cs="Arial"/>
        </w:rPr>
        <w:t>TIL</w:t>
      </w:r>
      <w:r>
        <w:rPr>
          <w:rFonts w:cs="Arial"/>
        </w:rPr>
        <w:t>,</w:t>
      </w:r>
      <w:r w:rsidRPr="006134FA">
        <w:rPr>
          <w:rFonts w:cs="Arial"/>
        </w:rPr>
        <w:t xml:space="preserve"> and the Department of Communications and the Arts </w:t>
      </w:r>
      <w:r>
        <w:rPr>
          <w:rFonts w:cs="Arial"/>
        </w:rPr>
        <w:t xml:space="preserve">(DoCA) </w:t>
      </w:r>
      <w:r w:rsidRPr="006134FA">
        <w:rPr>
          <w:rFonts w:cs="Arial"/>
        </w:rPr>
        <w:t xml:space="preserve">manages contractual arrangements and service provider payments. </w:t>
      </w:r>
    </w:p>
    <w:p w14:paraId="49991B75" w14:textId="77777777" w:rsidR="00AD37AD" w:rsidRPr="006134FA" w:rsidRDefault="00AD37AD" w:rsidP="00AD37AD">
      <w:pPr>
        <w:pStyle w:val="Heading3"/>
      </w:pPr>
      <w:bookmarkStart w:id="758" w:name="_Toc462909495"/>
      <w:bookmarkStart w:id="759" w:name="_Toc465842976"/>
      <w:r w:rsidRPr="006134FA">
        <w:lastRenderedPageBreak/>
        <w:t>Industry levies and payments</w:t>
      </w:r>
      <w:bookmarkEnd w:id="758"/>
      <w:bookmarkEnd w:id="759"/>
    </w:p>
    <w:p w14:paraId="11BF2210" w14:textId="77777777" w:rsidR="00AD37AD" w:rsidRPr="006134FA" w:rsidRDefault="00AD37AD" w:rsidP="00AD37AD">
      <w:r w:rsidRPr="006134FA">
        <w:t>The TIL amount for a licensed telecommunications carrier</w:t>
      </w:r>
      <w:r w:rsidRPr="006134FA" w:rsidDel="007761F9">
        <w:t xml:space="preserve"> </w:t>
      </w:r>
      <w:r w:rsidRPr="006134FA">
        <w:t xml:space="preserve">is the amount that </w:t>
      </w:r>
      <w:r w:rsidR="00040280">
        <w:t xml:space="preserve">the </w:t>
      </w:r>
      <w:r w:rsidRPr="006134FA">
        <w:t xml:space="preserve">carrier must contribute to the cost of funding the activities described above. </w:t>
      </w:r>
      <w:r w:rsidRPr="006134FA">
        <w:rPr>
          <w:lang w:val="en"/>
        </w:rPr>
        <w:t>Carriers with eligible revenue of $25 million or more (</w:t>
      </w:r>
      <w:r>
        <w:rPr>
          <w:lang w:val="en"/>
        </w:rPr>
        <w:t>‘</w:t>
      </w:r>
      <w:r>
        <w:t>participating persons’</w:t>
      </w:r>
      <w:r w:rsidRPr="006134FA">
        <w:t xml:space="preserve">) </w:t>
      </w:r>
      <w:r w:rsidRPr="006134FA">
        <w:rPr>
          <w:lang w:val="en"/>
        </w:rPr>
        <w:t xml:space="preserve">are required to pay the TIL. </w:t>
      </w:r>
      <w:r w:rsidRPr="006134FA">
        <w:t xml:space="preserve">Contributions are, in general, proportionate to the participating person’s share of the industry’s total eligible revenue for the relevant period. </w:t>
      </w:r>
    </w:p>
    <w:p w14:paraId="6C8A6905" w14:textId="77777777" w:rsidR="00AD37AD" w:rsidRPr="006134FA" w:rsidRDefault="00AD37AD" w:rsidP="00AD37AD">
      <w:pPr>
        <w:pStyle w:val="Heading3"/>
      </w:pPr>
      <w:bookmarkStart w:id="760" w:name="_Toc462909496"/>
      <w:bookmarkStart w:id="761" w:name="_Toc465842977"/>
      <w:r w:rsidRPr="006134FA">
        <w:t>Final TIL assessment</w:t>
      </w:r>
      <w:bookmarkEnd w:id="760"/>
      <w:bookmarkEnd w:id="761"/>
    </w:p>
    <w:p w14:paraId="14EBE146" w14:textId="77777777" w:rsidR="00AD37AD" w:rsidRPr="006134FA" w:rsidRDefault="00AD37AD" w:rsidP="00AD37AD">
      <w:r w:rsidRPr="006134FA">
        <w:t xml:space="preserve">Following advice from </w:t>
      </w:r>
      <w:r>
        <w:t>DoCA</w:t>
      </w:r>
      <w:r w:rsidRPr="006134FA">
        <w:t xml:space="preserve">, the Acting Secretary of the </w:t>
      </w:r>
      <w:r>
        <w:t>d</w:t>
      </w:r>
      <w:r w:rsidRPr="006134FA">
        <w:t>epartment determined on 26 October 2015 that the amount of TIL to be collected for the 2014</w:t>
      </w:r>
      <w:r>
        <w:rPr>
          <w:rFonts w:cs="Arial"/>
        </w:rPr>
        <w:t>–</w:t>
      </w:r>
      <w:r w:rsidRPr="006134FA">
        <w:t>15 Eligible Levy Period (ELP) was $215,488,000 (Table</w:t>
      </w:r>
      <w:r>
        <w:t> </w:t>
      </w:r>
      <w:r w:rsidRPr="006134FA">
        <w:t>5.1). There were 223 licensed telecommunications carriers in the 2013</w:t>
      </w:r>
      <w:r>
        <w:rPr>
          <w:rFonts w:cs="Arial"/>
        </w:rPr>
        <w:t>–</w:t>
      </w:r>
      <w:r w:rsidRPr="006134FA">
        <w:t>14 Eligible Revenue Period (ERP), with 52 determined as participating persons for the 2014</w:t>
      </w:r>
      <w:r>
        <w:rPr>
          <w:rFonts w:cs="Arial"/>
        </w:rPr>
        <w:t>–</w:t>
      </w:r>
      <w:r w:rsidRPr="006134FA">
        <w:t>15 ELP. The ACMA subsequently issued invoices</w:t>
      </w:r>
      <w:r>
        <w:t xml:space="preserve"> to those participating persons</w:t>
      </w:r>
      <w:r w:rsidRPr="006134FA">
        <w:t xml:space="preserve"> and the full amount </w:t>
      </w:r>
      <w:r>
        <w:t xml:space="preserve">of TIL </w:t>
      </w:r>
      <w:r w:rsidRPr="006134FA">
        <w:t>was collected during 2015</w:t>
      </w:r>
      <w:r>
        <w:rPr>
          <w:rFonts w:cs="Arial"/>
        </w:rPr>
        <w:t>–</w:t>
      </w:r>
      <w:r w:rsidRPr="006134FA">
        <w:t>16.</w:t>
      </w:r>
    </w:p>
    <w:p w14:paraId="382E0908" w14:textId="77777777" w:rsidR="00AD37AD" w:rsidRPr="006134FA" w:rsidRDefault="00AD37AD" w:rsidP="00AD37AD">
      <w:pPr>
        <w:pStyle w:val="ACMATableHeader"/>
        <w:numPr>
          <w:ilvl w:val="0"/>
          <w:numId w:val="0"/>
        </w:numPr>
      </w:pPr>
      <w:r w:rsidRPr="006134FA">
        <w:t>Table 5.1</w:t>
      </w:r>
      <w:r>
        <w:tab/>
      </w:r>
      <w:r w:rsidRPr="006134FA">
        <w:t xml:space="preserve">Compliance </w:t>
      </w:r>
      <w:r>
        <w:t>s</w:t>
      </w:r>
      <w:r w:rsidRPr="006134FA">
        <w:t>tatistics</w:t>
      </w:r>
      <w:r>
        <w:t>—e</w:t>
      </w:r>
      <w:r w:rsidRPr="006134FA">
        <w:t xml:space="preserve">ligible </w:t>
      </w:r>
      <w:r>
        <w:t>r</w:t>
      </w:r>
      <w:r w:rsidRPr="006134FA">
        <w:t xml:space="preserve">evenue </w:t>
      </w:r>
      <w:r>
        <w:t>s</w:t>
      </w:r>
      <w:r w:rsidRPr="006134FA">
        <w:t xml:space="preserve">ubmissions </w:t>
      </w:r>
    </w:p>
    <w:tbl>
      <w:tblPr>
        <w:tblStyle w:val="Commsreport2015-16TABLE"/>
        <w:tblW w:w="9214" w:type="dxa"/>
        <w:tblCellMar>
          <w:top w:w="57" w:type="dxa"/>
          <w:left w:w="57" w:type="dxa"/>
          <w:bottom w:w="57" w:type="dxa"/>
          <w:right w:w="57" w:type="dxa"/>
        </w:tblCellMar>
        <w:tblLook w:val="04A0" w:firstRow="1" w:lastRow="0" w:firstColumn="1" w:lastColumn="0" w:noHBand="0" w:noVBand="1"/>
        <w:tblCaption w:val="Table 5.1  Compliance statistics—eligible revenue submissions"/>
      </w:tblPr>
      <w:tblGrid>
        <w:gridCol w:w="1280"/>
        <w:gridCol w:w="1280"/>
        <w:gridCol w:w="1113"/>
        <w:gridCol w:w="1134"/>
        <w:gridCol w:w="2127"/>
        <w:gridCol w:w="2280"/>
      </w:tblGrid>
      <w:tr w:rsidR="00AD37AD" w:rsidRPr="00681B51" w14:paraId="5090397E" w14:textId="77777777" w:rsidTr="00681B51">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1280" w:type="dxa"/>
            <w:vAlign w:val="top"/>
            <w:hideMark/>
          </w:tcPr>
          <w:p w14:paraId="591D4023" w14:textId="77777777" w:rsidR="00AD37AD" w:rsidRPr="00681B51" w:rsidRDefault="00AD37AD" w:rsidP="00681B51">
            <w:pPr>
              <w:pStyle w:val="TableHeading"/>
              <w:rPr>
                <w:b/>
              </w:rPr>
            </w:pPr>
            <w:r w:rsidRPr="00681B51">
              <w:rPr>
                <w:b/>
              </w:rPr>
              <w:t>ERP</w:t>
            </w:r>
          </w:p>
        </w:tc>
        <w:tc>
          <w:tcPr>
            <w:tcW w:w="1280" w:type="dxa"/>
            <w:vAlign w:val="top"/>
            <w:hideMark/>
          </w:tcPr>
          <w:p w14:paraId="52325C73"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ELP</w:t>
            </w:r>
          </w:p>
        </w:tc>
        <w:tc>
          <w:tcPr>
            <w:tcW w:w="1113" w:type="dxa"/>
            <w:vAlign w:val="top"/>
            <w:hideMark/>
          </w:tcPr>
          <w:p w14:paraId="71118A88"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Levy payment period</w:t>
            </w:r>
          </w:p>
        </w:tc>
        <w:tc>
          <w:tcPr>
            <w:tcW w:w="1134" w:type="dxa"/>
            <w:vAlign w:val="top"/>
            <w:hideMark/>
          </w:tcPr>
          <w:p w14:paraId="48FC6CAE"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Number of carriers</w:t>
            </w:r>
          </w:p>
        </w:tc>
        <w:tc>
          <w:tcPr>
            <w:tcW w:w="2127" w:type="dxa"/>
            <w:vAlign w:val="top"/>
            <w:hideMark/>
          </w:tcPr>
          <w:p w14:paraId="16E230FF"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Eligible revenue submissions received late (after 31 October)</w:t>
            </w:r>
          </w:p>
        </w:tc>
        <w:tc>
          <w:tcPr>
            <w:tcW w:w="2280" w:type="dxa"/>
            <w:vAlign w:val="top"/>
            <w:hideMark/>
          </w:tcPr>
          <w:p w14:paraId="7E7E5BAF"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TIL payment amount</w:t>
            </w:r>
          </w:p>
        </w:tc>
      </w:tr>
      <w:tr w:rsidR="00AD37AD" w:rsidRPr="006134FA" w14:paraId="6C9ED2C6" w14:textId="77777777" w:rsidTr="005C74F2">
        <w:trPr>
          <w:trHeight w:val="34"/>
        </w:trPr>
        <w:tc>
          <w:tcPr>
            <w:cnfStyle w:val="001000000000" w:firstRow="0" w:lastRow="0" w:firstColumn="1" w:lastColumn="0" w:oddVBand="0" w:evenVBand="0" w:oddHBand="0" w:evenHBand="0" w:firstRowFirstColumn="0" w:firstRowLastColumn="0" w:lastRowFirstColumn="0" w:lastRowLastColumn="0"/>
            <w:tcW w:w="1280" w:type="dxa"/>
            <w:noWrap/>
            <w:hideMark/>
          </w:tcPr>
          <w:p w14:paraId="47FA666C" w14:textId="77777777" w:rsidR="00AD37AD" w:rsidRPr="00BE6BBB" w:rsidRDefault="00AD37AD" w:rsidP="005C74F2">
            <w:pPr>
              <w:spacing w:after="0"/>
              <w:rPr>
                <w:rFonts w:cs="Arial"/>
                <w:color w:val="FFFFFF" w:themeColor="background1"/>
                <w:szCs w:val="20"/>
              </w:rPr>
            </w:pPr>
            <w:r w:rsidRPr="00BE6BBB">
              <w:rPr>
                <w:rFonts w:cs="Arial"/>
                <w:color w:val="FFFFFF" w:themeColor="background1"/>
                <w:szCs w:val="20"/>
              </w:rPr>
              <w:t>2012–13</w:t>
            </w:r>
          </w:p>
        </w:tc>
        <w:tc>
          <w:tcPr>
            <w:tcW w:w="1280" w:type="dxa"/>
            <w:noWrap/>
            <w:hideMark/>
          </w:tcPr>
          <w:p w14:paraId="6C381A4B"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2013</w:t>
            </w:r>
            <w:r>
              <w:rPr>
                <w:rFonts w:cs="Arial"/>
                <w:szCs w:val="20"/>
              </w:rPr>
              <w:t>–</w:t>
            </w:r>
            <w:r w:rsidRPr="006134FA">
              <w:rPr>
                <w:rFonts w:cs="Arial"/>
                <w:color w:val="000000"/>
                <w:szCs w:val="20"/>
              </w:rPr>
              <w:t>14</w:t>
            </w:r>
          </w:p>
        </w:tc>
        <w:tc>
          <w:tcPr>
            <w:tcW w:w="1113" w:type="dxa"/>
            <w:noWrap/>
            <w:hideMark/>
          </w:tcPr>
          <w:p w14:paraId="3F55A003"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2014</w:t>
            </w:r>
            <w:r>
              <w:rPr>
                <w:rFonts w:cs="Arial"/>
                <w:szCs w:val="20"/>
              </w:rPr>
              <w:t>–</w:t>
            </w:r>
            <w:r w:rsidRPr="006134FA">
              <w:rPr>
                <w:rFonts w:cs="Arial"/>
                <w:color w:val="000000"/>
                <w:szCs w:val="20"/>
              </w:rPr>
              <w:t>15</w:t>
            </w:r>
          </w:p>
        </w:tc>
        <w:tc>
          <w:tcPr>
            <w:tcW w:w="1134" w:type="dxa"/>
            <w:noWrap/>
            <w:hideMark/>
          </w:tcPr>
          <w:p w14:paraId="52E87B2A"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208</w:t>
            </w:r>
          </w:p>
        </w:tc>
        <w:tc>
          <w:tcPr>
            <w:tcW w:w="2127" w:type="dxa"/>
            <w:noWrap/>
            <w:hideMark/>
          </w:tcPr>
          <w:p w14:paraId="3BC9DF90"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11</w:t>
            </w:r>
          </w:p>
        </w:tc>
        <w:tc>
          <w:tcPr>
            <w:tcW w:w="2280" w:type="dxa"/>
            <w:noWrap/>
            <w:hideMark/>
          </w:tcPr>
          <w:p w14:paraId="4A9260F7"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$221,000,000</w:t>
            </w:r>
          </w:p>
        </w:tc>
      </w:tr>
      <w:tr w:rsidR="00AD37AD" w:rsidRPr="006134FA" w14:paraId="6BA130F5" w14:textId="77777777" w:rsidTr="005C74F2">
        <w:trPr>
          <w:trHeight w:val="82"/>
        </w:trPr>
        <w:tc>
          <w:tcPr>
            <w:cnfStyle w:val="001000000000" w:firstRow="0" w:lastRow="0" w:firstColumn="1" w:lastColumn="0" w:oddVBand="0" w:evenVBand="0" w:oddHBand="0" w:evenHBand="0" w:firstRowFirstColumn="0" w:firstRowLastColumn="0" w:lastRowFirstColumn="0" w:lastRowLastColumn="0"/>
            <w:tcW w:w="1280" w:type="dxa"/>
            <w:noWrap/>
            <w:hideMark/>
          </w:tcPr>
          <w:p w14:paraId="2408D71D" w14:textId="77777777" w:rsidR="00AD37AD" w:rsidRPr="00BE6BBB" w:rsidRDefault="00AD37AD" w:rsidP="005C74F2">
            <w:pPr>
              <w:spacing w:after="0"/>
              <w:rPr>
                <w:rFonts w:cs="Arial"/>
                <w:color w:val="FFFFFF" w:themeColor="background1"/>
                <w:szCs w:val="20"/>
              </w:rPr>
            </w:pPr>
            <w:r w:rsidRPr="00BE6BBB">
              <w:rPr>
                <w:rFonts w:cs="Arial"/>
                <w:color w:val="FFFFFF" w:themeColor="background1"/>
                <w:szCs w:val="20"/>
              </w:rPr>
              <w:t>2013–14</w:t>
            </w:r>
          </w:p>
        </w:tc>
        <w:tc>
          <w:tcPr>
            <w:tcW w:w="1280" w:type="dxa"/>
            <w:noWrap/>
            <w:hideMark/>
          </w:tcPr>
          <w:p w14:paraId="02313DA5"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2014</w:t>
            </w:r>
            <w:r>
              <w:rPr>
                <w:rFonts w:cs="Arial"/>
                <w:szCs w:val="20"/>
              </w:rPr>
              <w:t>–</w:t>
            </w:r>
            <w:r w:rsidRPr="006134FA">
              <w:rPr>
                <w:rFonts w:cs="Arial"/>
                <w:color w:val="000000"/>
                <w:szCs w:val="20"/>
              </w:rPr>
              <w:t>15</w:t>
            </w:r>
          </w:p>
        </w:tc>
        <w:tc>
          <w:tcPr>
            <w:tcW w:w="1113" w:type="dxa"/>
            <w:noWrap/>
            <w:hideMark/>
          </w:tcPr>
          <w:p w14:paraId="361688B5"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2015</w:t>
            </w:r>
            <w:r>
              <w:rPr>
                <w:rFonts w:cs="Arial"/>
                <w:szCs w:val="20"/>
              </w:rPr>
              <w:t>–1</w:t>
            </w:r>
            <w:r w:rsidRPr="006134FA">
              <w:rPr>
                <w:rFonts w:cs="Arial"/>
                <w:color w:val="000000"/>
                <w:szCs w:val="20"/>
              </w:rPr>
              <w:t>6</w:t>
            </w:r>
          </w:p>
        </w:tc>
        <w:tc>
          <w:tcPr>
            <w:tcW w:w="1134" w:type="dxa"/>
            <w:noWrap/>
            <w:hideMark/>
          </w:tcPr>
          <w:p w14:paraId="19875037"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223</w:t>
            </w:r>
          </w:p>
        </w:tc>
        <w:tc>
          <w:tcPr>
            <w:tcW w:w="2127" w:type="dxa"/>
            <w:noWrap/>
            <w:hideMark/>
          </w:tcPr>
          <w:p w14:paraId="771D0AE5"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13</w:t>
            </w:r>
          </w:p>
        </w:tc>
        <w:tc>
          <w:tcPr>
            <w:tcW w:w="2280" w:type="dxa"/>
            <w:noWrap/>
            <w:hideMark/>
          </w:tcPr>
          <w:p w14:paraId="3037E6E2"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$215,488,000</w:t>
            </w:r>
          </w:p>
        </w:tc>
      </w:tr>
      <w:tr w:rsidR="00AD37AD" w:rsidRPr="006134FA" w14:paraId="7BE7AC85" w14:textId="77777777" w:rsidTr="005C74F2">
        <w:trPr>
          <w:trHeight w:val="117"/>
        </w:trPr>
        <w:tc>
          <w:tcPr>
            <w:cnfStyle w:val="001000000000" w:firstRow="0" w:lastRow="0" w:firstColumn="1" w:lastColumn="0" w:oddVBand="0" w:evenVBand="0" w:oddHBand="0" w:evenHBand="0" w:firstRowFirstColumn="0" w:firstRowLastColumn="0" w:lastRowFirstColumn="0" w:lastRowLastColumn="0"/>
            <w:tcW w:w="1280" w:type="dxa"/>
            <w:noWrap/>
            <w:hideMark/>
          </w:tcPr>
          <w:p w14:paraId="21E02470" w14:textId="77777777" w:rsidR="00AD37AD" w:rsidRPr="00BE6BBB" w:rsidRDefault="00AD37AD" w:rsidP="005C74F2">
            <w:pPr>
              <w:spacing w:after="0"/>
              <w:rPr>
                <w:rFonts w:cs="Arial"/>
                <w:color w:val="FFFFFF" w:themeColor="background1"/>
                <w:szCs w:val="20"/>
              </w:rPr>
            </w:pPr>
            <w:r w:rsidRPr="00BE6BBB">
              <w:rPr>
                <w:rFonts w:cs="Arial"/>
                <w:color w:val="FFFFFF" w:themeColor="background1"/>
                <w:szCs w:val="20"/>
              </w:rPr>
              <w:t>2014–15</w:t>
            </w:r>
          </w:p>
        </w:tc>
        <w:tc>
          <w:tcPr>
            <w:tcW w:w="1280" w:type="dxa"/>
            <w:noWrap/>
            <w:hideMark/>
          </w:tcPr>
          <w:p w14:paraId="2EE292DD"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2015</w:t>
            </w:r>
            <w:r>
              <w:rPr>
                <w:rFonts w:cs="Arial"/>
                <w:szCs w:val="20"/>
              </w:rPr>
              <w:t>–</w:t>
            </w:r>
            <w:r w:rsidRPr="006134FA">
              <w:rPr>
                <w:rFonts w:cs="Arial"/>
                <w:color w:val="000000"/>
                <w:szCs w:val="20"/>
              </w:rPr>
              <w:t>16</w:t>
            </w:r>
            <w:r w:rsidRPr="006134FA">
              <w:rPr>
                <w:rFonts w:cs="Arial"/>
                <w:color w:val="000000"/>
                <w:szCs w:val="20"/>
                <w:vertAlign w:val="superscript"/>
              </w:rPr>
              <w:t>*</w:t>
            </w:r>
          </w:p>
        </w:tc>
        <w:tc>
          <w:tcPr>
            <w:tcW w:w="1113" w:type="dxa"/>
            <w:noWrap/>
            <w:hideMark/>
          </w:tcPr>
          <w:p w14:paraId="4528E846"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w:t>
            </w:r>
            <w:r>
              <w:rPr>
                <w:rFonts w:cs="Arial"/>
                <w:color w:val="000000"/>
                <w:szCs w:val="20"/>
              </w:rPr>
              <w:t>016</w:t>
            </w:r>
            <w:r>
              <w:rPr>
                <w:rFonts w:cs="Arial"/>
                <w:szCs w:val="20"/>
              </w:rPr>
              <w:t>–</w:t>
            </w:r>
            <w:r w:rsidRPr="006134FA">
              <w:rPr>
                <w:rFonts w:cs="Arial"/>
                <w:color w:val="000000"/>
                <w:szCs w:val="20"/>
              </w:rPr>
              <w:t>17</w:t>
            </w:r>
          </w:p>
        </w:tc>
        <w:tc>
          <w:tcPr>
            <w:tcW w:w="1134" w:type="dxa"/>
            <w:noWrap/>
            <w:hideMark/>
          </w:tcPr>
          <w:p w14:paraId="4D63A3EA"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235</w:t>
            </w:r>
          </w:p>
        </w:tc>
        <w:tc>
          <w:tcPr>
            <w:tcW w:w="2127" w:type="dxa"/>
            <w:noWrap/>
            <w:hideMark/>
          </w:tcPr>
          <w:p w14:paraId="029423B9"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39</w:t>
            </w:r>
          </w:p>
        </w:tc>
        <w:tc>
          <w:tcPr>
            <w:tcW w:w="2280" w:type="dxa"/>
            <w:noWrap/>
            <w:hideMark/>
          </w:tcPr>
          <w:p w14:paraId="082B3046" w14:textId="77777777" w:rsidR="00AD37AD" w:rsidRPr="006134FA" w:rsidRDefault="00AD37AD" w:rsidP="00A8182F">
            <w:pPr>
              <w:spacing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134FA">
              <w:rPr>
                <w:rFonts w:cs="Arial"/>
                <w:color w:val="000000"/>
                <w:szCs w:val="20"/>
              </w:rPr>
              <w:t>To be invoiced Nov</w:t>
            </w:r>
            <w:r>
              <w:rPr>
                <w:rFonts w:cs="Arial"/>
                <w:color w:val="000000"/>
                <w:szCs w:val="20"/>
              </w:rPr>
              <w:t>.</w:t>
            </w:r>
            <w:r w:rsidRPr="006134FA">
              <w:rPr>
                <w:rFonts w:cs="Arial"/>
                <w:color w:val="000000"/>
                <w:szCs w:val="20"/>
              </w:rPr>
              <w:t xml:space="preserve"> 2016</w:t>
            </w:r>
          </w:p>
        </w:tc>
      </w:tr>
    </w:tbl>
    <w:p w14:paraId="01D258E8" w14:textId="77777777" w:rsidR="00AD37AD" w:rsidRPr="006134FA" w:rsidRDefault="00AD37AD" w:rsidP="00AD37AD">
      <w:pPr>
        <w:pStyle w:val="ACMANotes"/>
      </w:pPr>
      <w:r w:rsidRPr="006134FA">
        <w:t>*2015</w:t>
      </w:r>
      <w:r>
        <w:t>–</w:t>
      </w:r>
      <w:r w:rsidRPr="006134FA">
        <w:t>16 ELP assessments have been made. However, carriers have not yet bee</w:t>
      </w:r>
      <w:r>
        <w:t xml:space="preserve">n invoiced for the 2016–17 TIL, </w:t>
      </w:r>
      <w:r w:rsidRPr="006134FA">
        <w:t>which is due to occur in November 2016; payments will be due in December 2016.</w:t>
      </w:r>
    </w:p>
    <w:p w14:paraId="7DA96484" w14:textId="77777777" w:rsidR="00AD37AD" w:rsidRDefault="00AD37AD" w:rsidP="00AD37AD">
      <w:pPr>
        <w:pStyle w:val="ACMANotes"/>
      </w:pPr>
      <w:r w:rsidRPr="006134FA">
        <w:t>Source: ACMA.</w:t>
      </w:r>
    </w:p>
    <w:p w14:paraId="66820A8C" w14:textId="77777777" w:rsidR="00AD37AD" w:rsidRPr="006134FA" w:rsidRDefault="00AD37AD" w:rsidP="00AD37AD">
      <w:pPr>
        <w:pStyle w:val="ACMASpaceaftertable"/>
      </w:pPr>
    </w:p>
    <w:p w14:paraId="25DB91AD" w14:textId="77777777" w:rsidR="00AD37AD" w:rsidRPr="006134FA" w:rsidRDefault="00AD37AD" w:rsidP="00A04EBA">
      <w:pPr>
        <w:pStyle w:val="Heading2"/>
        <w:numPr>
          <w:ilvl w:val="1"/>
          <w:numId w:val="12"/>
        </w:numPr>
        <w:ind w:hanging="792"/>
      </w:pPr>
      <w:bookmarkStart w:id="762" w:name="_Toc462909497"/>
      <w:bookmarkStart w:id="763" w:name="_Toc465842978"/>
      <w:r w:rsidRPr="006134FA">
        <w:t>Public payphones</w:t>
      </w:r>
      <w:bookmarkEnd w:id="762"/>
      <w:bookmarkEnd w:id="763"/>
      <w:r w:rsidRPr="006134FA">
        <w:t xml:space="preserve"> </w:t>
      </w:r>
    </w:p>
    <w:p w14:paraId="73705424" w14:textId="77777777" w:rsidR="00AD37AD" w:rsidRPr="006134FA" w:rsidRDefault="00AD37AD" w:rsidP="00AD37AD">
      <w:r w:rsidRPr="006134FA">
        <w:t>Payphone services in Australia are provided on either a commercial basis or as part of the</w:t>
      </w:r>
      <w:r w:rsidRPr="006134FA" w:rsidDel="007761F9">
        <w:t xml:space="preserve"> </w:t>
      </w:r>
      <w:r w:rsidRPr="006134FA">
        <w:t>USO. Telstra is the current primary universal service provider (PUSP) for payphones</w:t>
      </w:r>
      <w:r>
        <w:t>,</w:t>
      </w:r>
      <w:r w:rsidRPr="006134FA">
        <w:t xml:space="preserve"> and it must comply with payphone performance standards and benchmarks made by the minister under the </w:t>
      </w:r>
      <w:r w:rsidRPr="006134FA">
        <w:rPr>
          <w:i/>
        </w:rPr>
        <w:t xml:space="preserve">Telecommunications (Consumer Protection and Service Standards) Act 1999 </w:t>
      </w:r>
      <w:r w:rsidRPr="006134FA">
        <w:t xml:space="preserve">(TCPSS Act). </w:t>
      </w:r>
    </w:p>
    <w:p w14:paraId="3758CF0E" w14:textId="77777777" w:rsidR="00AD37AD" w:rsidRPr="006134FA" w:rsidRDefault="00AD37AD" w:rsidP="00AD37AD">
      <w:r w:rsidRPr="006134FA">
        <w:t>The ACMA monitors Telstra’s payphone performance and also receives information about the number of payphones supplied or operated on a commercial basis by other providers.</w:t>
      </w:r>
    </w:p>
    <w:p w14:paraId="650C2E2A" w14:textId="77777777" w:rsidR="00AD37AD" w:rsidRPr="006134FA" w:rsidRDefault="00AD37AD" w:rsidP="00AD37AD">
      <w:pPr>
        <w:pStyle w:val="Heading3"/>
      </w:pPr>
      <w:bookmarkStart w:id="764" w:name="_Toc462909498"/>
      <w:bookmarkStart w:id="765" w:name="_Toc465842979"/>
      <w:r w:rsidRPr="006134FA">
        <w:t>Numbers of payphones and payphone sites</w:t>
      </w:r>
      <w:bookmarkEnd w:id="764"/>
      <w:bookmarkEnd w:id="765"/>
    </w:p>
    <w:p w14:paraId="1F53F88C" w14:textId="77777777" w:rsidR="00AD37AD" w:rsidRPr="006134FA" w:rsidRDefault="00AD37AD" w:rsidP="00AD37AD">
      <w:pPr>
        <w:spacing w:after="80"/>
        <w:rPr>
          <w:rFonts w:cs="Arial"/>
        </w:rPr>
      </w:pPr>
      <w:r w:rsidRPr="006134FA">
        <w:rPr>
          <w:rFonts w:cs="Arial"/>
        </w:rPr>
        <w:t xml:space="preserve">During 2015–16, the total number of payphones (both Telstra-operated and privately operated) in Australia fell by </w:t>
      </w:r>
      <w:r>
        <w:rPr>
          <w:rFonts w:cs="Arial"/>
        </w:rPr>
        <w:t>five</w:t>
      </w:r>
      <w:r w:rsidRPr="006134FA">
        <w:rPr>
          <w:rFonts w:cs="Arial"/>
        </w:rPr>
        <w:t xml:space="preserve"> per cent from 25,876 to 24,573. This comprised a:</w:t>
      </w:r>
    </w:p>
    <w:p w14:paraId="7372CCED" w14:textId="77777777" w:rsidR="00AD37AD" w:rsidRPr="006134FA" w:rsidRDefault="00AD37AD" w:rsidP="00AD37AD">
      <w:pPr>
        <w:pStyle w:val="ListBullet"/>
      </w:pPr>
      <w:r w:rsidRPr="006134FA">
        <w:t xml:space="preserve">net decrease of 2.4 per cent in the number of Telstra-operated payphones, from </w:t>
      </w:r>
      <w:r w:rsidRPr="003577F8">
        <w:t xml:space="preserve">17,511 </w:t>
      </w:r>
      <w:r w:rsidRPr="006134FA">
        <w:t xml:space="preserve">to </w:t>
      </w:r>
      <w:r w:rsidRPr="003577F8">
        <w:t>17,093</w:t>
      </w:r>
    </w:p>
    <w:p w14:paraId="162C9789" w14:textId="77777777" w:rsidR="00AD37AD" w:rsidRPr="00940AB7" w:rsidRDefault="00AD37AD" w:rsidP="00AD37AD">
      <w:pPr>
        <w:pStyle w:val="ListBulletLast"/>
      </w:pPr>
      <w:r w:rsidRPr="003577F8">
        <w:t>net decrease of 10.6 per cent in the number of privately operated payphones, from 8,365 to 7,480.</w:t>
      </w:r>
    </w:p>
    <w:p w14:paraId="47BE2AED" w14:textId="77777777" w:rsidR="00AD37AD" w:rsidRPr="006134FA" w:rsidRDefault="00AD37AD" w:rsidP="00AD37AD">
      <w:r w:rsidRPr="006134FA">
        <w:t>While payphone numbers declined, payphones were available from more locations.</w:t>
      </w:r>
      <w:r>
        <w:t xml:space="preserve"> </w:t>
      </w:r>
      <w:r w:rsidRPr="006134FA">
        <w:t>During the reporting period, there was an increase of 2.6 per cent in the number of Telstra-operated payphone sites, from 15,170 to 15,568</w:t>
      </w:r>
      <w:r>
        <w:t xml:space="preserve"> sites</w:t>
      </w:r>
      <w:r w:rsidRPr="006134FA" w:rsidDel="007261AB">
        <w:t xml:space="preserve"> </w:t>
      </w:r>
      <w:r w:rsidRPr="006134FA">
        <w:t xml:space="preserve">(noting some sites have more than one payphone). At 30 June 2016, 69.6 per cent of payphones were operated by Telstra. The remaining payphones were provided by other companies, such as hotels, clubs and convenience stores. </w:t>
      </w:r>
    </w:p>
    <w:p w14:paraId="65819CDD" w14:textId="77777777" w:rsidR="00AD37AD" w:rsidRPr="006134FA" w:rsidRDefault="00AD37AD" w:rsidP="00AD37AD">
      <w:r w:rsidRPr="006134FA">
        <w:t>Figure 5.1 shows that the total number of Telstra-operated and non-Telstra-operated payphones has decreased over the past five reporting periods. The net annual reduction in Telstra-operated payphones was 418 in 2015–16, compared to 294 in 2014–15.</w:t>
      </w:r>
    </w:p>
    <w:p w14:paraId="386BB12A" w14:textId="77777777" w:rsidR="00AD37AD" w:rsidRPr="006134FA" w:rsidRDefault="00AD37AD" w:rsidP="00AD37AD">
      <w:pPr>
        <w:pStyle w:val="ACMAFigureHeader"/>
        <w:keepNext/>
      </w:pPr>
      <w:r w:rsidRPr="006134FA">
        <w:lastRenderedPageBreak/>
        <w:t>Figure 5.1</w:t>
      </w:r>
      <w:r>
        <w:tab/>
      </w:r>
      <w:r w:rsidRPr="006134FA">
        <w:t>Number of payphones in operation at 30 June 2016</w:t>
      </w:r>
    </w:p>
    <w:p w14:paraId="16785ACC" w14:textId="77777777" w:rsidR="00AD37AD" w:rsidRPr="006134FA" w:rsidRDefault="00E01DC5" w:rsidP="00AD37AD">
      <w:pPr>
        <w:keepNext/>
        <w:keepLines/>
        <w:spacing w:after="0"/>
        <w:rPr>
          <w:b/>
          <w:bCs/>
          <w:color w:val="323232"/>
          <w:szCs w:val="20"/>
        </w:rPr>
      </w:pPr>
      <w:r>
        <w:rPr>
          <w:b/>
          <w:bCs/>
          <w:noProof/>
          <w:color w:val="323232"/>
          <w:szCs w:val="20"/>
        </w:rPr>
        <w:drawing>
          <wp:inline distT="0" distB="0" distL="0" distR="0" wp14:anchorId="134C65C0" wp14:editId="74E83A7B">
            <wp:extent cx="5939790" cy="3072765"/>
            <wp:effectExtent l="0" t="0" r="0" b="0"/>
            <wp:docPr id="54" name="Picture 54" descr="Data for Figure 5.1 is in the .ods file for Chapter 5 on the landing page ‘Communications report 2015-16’, available from the ACMA website." title="Figure 5.1  Number of payphones in operation at 30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 5.1 - updated.png"/>
                    <pic:cNvPicPr/>
                  </pic:nvPicPr>
                  <pic:blipFill>
                    <a:blip r:embed="rId125">
                      <a:extLst>
                        <a:ext uri="{28A0092B-C50C-407E-A947-70E740481C1C}">
                          <a14:useLocalDpi xmlns:a14="http://schemas.microsoft.com/office/drawing/2010/main" val="0"/>
                        </a:ext>
                      </a:extLst>
                    </a:blip>
                    <a:stretch>
                      <a:fillRect/>
                    </a:stretch>
                  </pic:blipFill>
                  <pic:spPr>
                    <a:xfrm>
                      <a:off x="0" y="0"/>
                      <a:ext cx="5939790" cy="3072765"/>
                    </a:xfrm>
                    <a:prstGeom prst="rect">
                      <a:avLst/>
                    </a:prstGeom>
                  </pic:spPr>
                </pic:pic>
              </a:graphicData>
            </a:graphic>
          </wp:inline>
        </w:drawing>
      </w:r>
    </w:p>
    <w:p w14:paraId="224002FA" w14:textId="77777777" w:rsidR="00AD37AD" w:rsidRPr="006134FA" w:rsidRDefault="00AD37AD" w:rsidP="00AD37AD">
      <w:pPr>
        <w:pStyle w:val="ACMANotes"/>
      </w:pPr>
      <w:r w:rsidRPr="006134FA">
        <w:t>*Includes TriTel payphones (until June 2014) and payphones provided via Telstra access lines. June 2015 and June 2016 data includes Telstra</w:t>
      </w:r>
      <w:r>
        <w:t xml:space="preserve"> </w:t>
      </w:r>
      <w:r w:rsidRPr="006134FA">
        <w:t>access lines only as the number of TriTel payphones was not available.</w:t>
      </w:r>
    </w:p>
    <w:p w14:paraId="0CBEF383" w14:textId="77777777" w:rsidR="00AD37AD" w:rsidRDefault="00AD37AD" w:rsidP="00AD37AD">
      <w:pPr>
        <w:pStyle w:val="ACMANotes"/>
      </w:pPr>
      <w:r w:rsidRPr="006134FA">
        <w:t>Source: Telstra and TriTel.</w:t>
      </w:r>
    </w:p>
    <w:p w14:paraId="14908F08" w14:textId="77777777" w:rsidR="00AD37AD" w:rsidRPr="006134FA" w:rsidRDefault="00AD37AD" w:rsidP="00AD37AD">
      <w:pPr>
        <w:pStyle w:val="ACMASpaceaftertable"/>
      </w:pPr>
    </w:p>
    <w:p w14:paraId="08CBE05B" w14:textId="77777777" w:rsidR="00AD37AD" w:rsidRPr="006134FA" w:rsidRDefault="00AD37AD" w:rsidP="00AD37AD">
      <w:r w:rsidRPr="006134FA">
        <w:t>Table 5.2 provides the geographic distribution of Telstra payphones and payphones provided via Telstra access lines as at 30 June 2016.</w:t>
      </w:r>
    </w:p>
    <w:p w14:paraId="106AAA40" w14:textId="77777777" w:rsidR="00AD37AD" w:rsidRPr="006134FA" w:rsidRDefault="00AD37AD" w:rsidP="00AD37AD">
      <w:pPr>
        <w:pStyle w:val="ACMATableHeader"/>
        <w:numPr>
          <w:ilvl w:val="0"/>
          <w:numId w:val="0"/>
        </w:numPr>
      </w:pPr>
      <w:r w:rsidRPr="006134FA">
        <w:t>Table 5.2</w:t>
      </w:r>
      <w:r>
        <w:tab/>
      </w:r>
      <w:r w:rsidRPr="006134FA">
        <w:t>Distribution of Telstra payphones by geographical category, 30 June 2016</w:t>
      </w:r>
    </w:p>
    <w:tbl>
      <w:tblPr>
        <w:tblStyle w:val="Commsreport2015-16TABLE"/>
        <w:tblW w:w="9429" w:type="dxa"/>
        <w:tblLayout w:type="fixed"/>
        <w:tblCellMar>
          <w:top w:w="57" w:type="dxa"/>
          <w:left w:w="57" w:type="dxa"/>
          <w:bottom w:w="57" w:type="dxa"/>
          <w:right w:w="57" w:type="dxa"/>
        </w:tblCellMar>
        <w:tblLook w:val="04A0" w:firstRow="1" w:lastRow="0" w:firstColumn="1" w:lastColumn="0" w:noHBand="0" w:noVBand="1"/>
        <w:tblCaption w:val="Table 5.2 Distribution of Telstra payphones by geographical category, 30 June 2016"/>
      </w:tblPr>
      <w:tblGrid>
        <w:gridCol w:w="4399"/>
        <w:gridCol w:w="1256"/>
        <w:gridCol w:w="1258"/>
        <w:gridCol w:w="1258"/>
        <w:gridCol w:w="1258"/>
      </w:tblGrid>
      <w:tr w:rsidR="00AD37AD" w:rsidRPr="00681B51" w14:paraId="2270124C" w14:textId="77777777" w:rsidTr="00681B51">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4496" w:type="dxa"/>
            <w:shd w:val="clear" w:color="auto" w:fill="FFFFFF"/>
          </w:tcPr>
          <w:p w14:paraId="67120CA6" w14:textId="77777777" w:rsidR="00AD37AD" w:rsidRPr="00681B51" w:rsidRDefault="00AD37AD" w:rsidP="00681B51">
            <w:pPr>
              <w:pStyle w:val="TableHeading"/>
              <w:rPr>
                <w:b/>
              </w:rPr>
            </w:pPr>
          </w:p>
        </w:tc>
        <w:tc>
          <w:tcPr>
            <w:tcW w:w="1282" w:type="dxa"/>
            <w:vAlign w:val="top"/>
          </w:tcPr>
          <w:p w14:paraId="3A7C2D5F"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Urban</w:t>
            </w:r>
          </w:p>
        </w:tc>
        <w:tc>
          <w:tcPr>
            <w:tcW w:w="1283" w:type="dxa"/>
            <w:vAlign w:val="top"/>
          </w:tcPr>
          <w:p w14:paraId="48E57306"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Rural</w:t>
            </w:r>
          </w:p>
        </w:tc>
        <w:tc>
          <w:tcPr>
            <w:tcW w:w="1283" w:type="dxa"/>
            <w:vAlign w:val="top"/>
          </w:tcPr>
          <w:p w14:paraId="257A7B08"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Remote*</w:t>
            </w:r>
          </w:p>
        </w:tc>
        <w:tc>
          <w:tcPr>
            <w:tcW w:w="1283" w:type="dxa"/>
            <w:vAlign w:val="top"/>
          </w:tcPr>
          <w:p w14:paraId="66CEB12E"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RIC</w:t>
            </w:r>
          </w:p>
        </w:tc>
      </w:tr>
      <w:tr w:rsidR="00AD37AD" w:rsidRPr="006134FA" w14:paraId="1404A62D" w14:textId="77777777" w:rsidTr="005C74F2">
        <w:trPr>
          <w:trHeight w:val="386"/>
        </w:trPr>
        <w:tc>
          <w:tcPr>
            <w:cnfStyle w:val="001000000000" w:firstRow="0" w:lastRow="0" w:firstColumn="1" w:lastColumn="0" w:oddVBand="0" w:evenVBand="0" w:oddHBand="0" w:evenHBand="0" w:firstRowFirstColumn="0" w:firstRowLastColumn="0" w:lastRowFirstColumn="0" w:lastRowLastColumn="0"/>
            <w:tcW w:w="4496" w:type="dxa"/>
          </w:tcPr>
          <w:p w14:paraId="407AA641" w14:textId="77777777" w:rsidR="00AD37AD" w:rsidRPr="00FA0DFB" w:rsidRDefault="00AD37AD" w:rsidP="00A556F4">
            <w:pPr>
              <w:keepNext/>
              <w:keepLines/>
              <w:spacing w:after="60"/>
              <w:rPr>
                <w:rFonts w:cs="Arial"/>
                <w:color w:val="FFFFFF" w:themeColor="background1"/>
                <w:szCs w:val="18"/>
              </w:rPr>
            </w:pPr>
            <w:r w:rsidRPr="00FA0DFB">
              <w:rPr>
                <w:rFonts w:cs="Arial"/>
                <w:color w:val="FFFFFF" w:themeColor="background1"/>
                <w:szCs w:val="18"/>
              </w:rPr>
              <w:t>Telstra-operated payphones</w:t>
            </w:r>
          </w:p>
          <w:p w14:paraId="3C48F1BE" w14:textId="77777777" w:rsidR="00AD37AD" w:rsidRPr="00FA0DFB" w:rsidRDefault="00AD37AD" w:rsidP="005C74F2">
            <w:pPr>
              <w:keepNext/>
              <w:keepLines/>
              <w:spacing w:after="0"/>
              <w:rPr>
                <w:rFonts w:cs="Arial"/>
                <w:color w:val="FFFFFF" w:themeColor="background1"/>
                <w:szCs w:val="18"/>
              </w:rPr>
            </w:pPr>
            <w:r w:rsidRPr="00FA0DFB">
              <w:rPr>
                <w:rFonts w:cs="Arial"/>
                <w:color w:val="FFFFFF" w:themeColor="background1"/>
                <w:szCs w:val="18"/>
              </w:rPr>
              <w:t>% of total</w:t>
            </w:r>
          </w:p>
        </w:tc>
        <w:tc>
          <w:tcPr>
            <w:tcW w:w="1282" w:type="dxa"/>
          </w:tcPr>
          <w:p w14:paraId="556ECF9A" w14:textId="77777777" w:rsidR="00AD37AD" w:rsidRPr="006134FA" w:rsidRDefault="00AD37AD" w:rsidP="009329F7">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12,138</w:t>
            </w:r>
          </w:p>
          <w:p w14:paraId="171F2F06"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71.0</w:t>
            </w:r>
          </w:p>
        </w:tc>
        <w:tc>
          <w:tcPr>
            <w:tcW w:w="1283" w:type="dxa"/>
          </w:tcPr>
          <w:p w14:paraId="225BB81F" w14:textId="77777777" w:rsidR="00AD37AD" w:rsidRPr="006134FA" w:rsidRDefault="00AD37AD" w:rsidP="009329F7">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4,090</w:t>
            </w:r>
          </w:p>
          <w:p w14:paraId="33B346EB"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23.9</w:t>
            </w:r>
          </w:p>
        </w:tc>
        <w:tc>
          <w:tcPr>
            <w:tcW w:w="1283" w:type="dxa"/>
          </w:tcPr>
          <w:p w14:paraId="7FB46E0C" w14:textId="77777777" w:rsidR="00AD37AD" w:rsidRPr="006134FA" w:rsidRDefault="00AD37AD" w:rsidP="009329F7">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865</w:t>
            </w:r>
          </w:p>
          <w:p w14:paraId="47EEC9E8"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5.1</w:t>
            </w:r>
          </w:p>
        </w:tc>
        <w:tc>
          <w:tcPr>
            <w:tcW w:w="1283" w:type="dxa"/>
          </w:tcPr>
          <w:p w14:paraId="2EC49363" w14:textId="77777777" w:rsidR="00AD37AD" w:rsidRPr="006134FA" w:rsidRDefault="00AD37AD" w:rsidP="009329F7">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580</w:t>
            </w:r>
          </w:p>
          <w:p w14:paraId="46570918"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3.4</w:t>
            </w:r>
          </w:p>
        </w:tc>
      </w:tr>
      <w:tr w:rsidR="00AD37AD" w:rsidRPr="006134FA" w14:paraId="3BECE153" w14:textId="77777777" w:rsidTr="005C74F2">
        <w:trPr>
          <w:trHeight w:val="82"/>
        </w:trPr>
        <w:tc>
          <w:tcPr>
            <w:cnfStyle w:val="001000000000" w:firstRow="0" w:lastRow="0" w:firstColumn="1" w:lastColumn="0" w:oddVBand="0" w:evenVBand="0" w:oddHBand="0" w:evenHBand="0" w:firstRowFirstColumn="0" w:firstRowLastColumn="0" w:lastRowFirstColumn="0" w:lastRowLastColumn="0"/>
            <w:tcW w:w="4496" w:type="dxa"/>
          </w:tcPr>
          <w:p w14:paraId="1167D8A1" w14:textId="77777777" w:rsidR="00AD37AD" w:rsidRPr="00FA0DFB" w:rsidRDefault="00AD37AD" w:rsidP="005C74F2">
            <w:pPr>
              <w:keepNext/>
              <w:keepLines/>
              <w:spacing w:after="0"/>
              <w:rPr>
                <w:rFonts w:cs="Arial"/>
                <w:color w:val="FFFFFF" w:themeColor="background1"/>
                <w:szCs w:val="18"/>
              </w:rPr>
            </w:pPr>
            <w:r w:rsidRPr="00FA0DFB">
              <w:rPr>
                <w:rFonts w:cs="Arial"/>
                <w:color w:val="FFFFFF" w:themeColor="background1"/>
                <w:szCs w:val="18"/>
              </w:rPr>
              <w:t>Other payphones (provided via Telstra access lines)</w:t>
            </w:r>
          </w:p>
        </w:tc>
        <w:tc>
          <w:tcPr>
            <w:tcW w:w="1282" w:type="dxa"/>
          </w:tcPr>
          <w:p w14:paraId="57EE4884"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5,922</w:t>
            </w:r>
          </w:p>
        </w:tc>
        <w:tc>
          <w:tcPr>
            <w:tcW w:w="1283" w:type="dxa"/>
          </w:tcPr>
          <w:p w14:paraId="6B60DA59"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1,211</w:t>
            </w:r>
          </w:p>
        </w:tc>
        <w:tc>
          <w:tcPr>
            <w:tcW w:w="1283" w:type="dxa"/>
          </w:tcPr>
          <w:p w14:paraId="7DA585D5"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347</w:t>
            </w:r>
          </w:p>
        </w:tc>
        <w:tc>
          <w:tcPr>
            <w:tcW w:w="1283" w:type="dxa"/>
          </w:tcPr>
          <w:p w14:paraId="520C462C"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285</w:t>
            </w:r>
          </w:p>
        </w:tc>
      </w:tr>
    </w:tbl>
    <w:p w14:paraId="098CF0BE" w14:textId="77777777" w:rsidR="00AD37AD" w:rsidRPr="006134FA" w:rsidRDefault="00AD37AD" w:rsidP="00AD37AD">
      <w:pPr>
        <w:pStyle w:val="ACMANotes"/>
      </w:pPr>
      <w:r w:rsidRPr="006134FA">
        <w:t>*Including remote Indigenous communities (RIC).</w:t>
      </w:r>
    </w:p>
    <w:p w14:paraId="7EFC565A" w14:textId="77777777" w:rsidR="00AD37AD" w:rsidRDefault="00AD37AD" w:rsidP="00AD37AD">
      <w:pPr>
        <w:pStyle w:val="ACMANotes"/>
      </w:pPr>
      <w:r w:rsidRPr="006134FA">
        <w:t>Source: Telstra.</w:t>
      </w:r>
    </w:p>
    <w:p w14:paraId="3189B6C7" w14:textId="77777777" w:rsidR="00AD37AD" w:rsidRPr="006134FA" w:rsidRDefault="00AD37AD" w:rsidP="00AD37AD">
      <w:pPr>
        <w:pStyle w:val="ACMASpaceaftertable"/>
      </w:pPr>
    </w:p>
    <w:p w14:paraId="0B35C258" w14:textId="77777777" w:rsidR="00AD37AD" w:rsidRPr="006134FA" w:rsidRDefault="00AD37AD" w:rsidP="00AD37AD">
      <w:pPr>
        <w:pStyle w:val="Heading3"/>
      </w:pPr>
      <w:bookmarkStart w:id="766" w:name="_Toc462909499"/>
      <w:bookmarkStart w:id="767" w:name="_Toc465842980"/>
      <w:r w:rsidRPr="006134FA">
        <w:t>Payphone fault repair performance</w:t>
      </w:r>
      <w:bookmarkEnd w:id="766"/>
      <w:bookmarkEnd w:id="767"/>
    </w:p>
    <w:p w14:paraId="286D597A" w14:textId="77777777" w:rsidR="00AD37AD" w:rsidRPr="006134FA" w:rsidRDefault="00AD37AD" w:rsidP="00AD37AD">
      <w:r w:rsidRPr="006134FA">
        <w:t xml:space="preserve">Timely repair of payphone faults is an important component of the equitable provision of payphone services under the USO. </w:t>
      </w:r>
    </w:p>
    <w:p w14:paraId="060E56F2" w14:textId="77777777" w:rsidR="00AD37AD" w:rsidRPr="006134FA" w:rsidRDefault="00AD37AD" w:rsidP="00AD37AD">
      <w:r w:rsidRPr="006134FA">
        <w:t xml:space="preserve">Regulatory benchmarks are in place to measure Telstra’s performance in remediating faults under the </w:t>
      </w:r>
      <w:r w:rsidRPr="008A4D94">
        <w:t>Telecommunications Universal Service Obligation (Payphone Performance Benchmarks) Instrument (No.</w:t>
      </w:r>
      <w:r>
        <w:t> </w:t>
      </w:r>
      <w:r w:rsidRPr="008A4D94">
        <w:t>1) 2011</w:t>
      </w:r>
      <w:r w:rsidRPr="006134FA">
        <w:t xml:space="preserve"> (Payphone Performance Benchmarks). The time frames vary according to the location of the service—one working day for urban locations, two for rural and three for remote locations (including remote Indigenous communities). Failure to meet a benchmark may result in the ACMA taking compliance action.</w:t>
      </w:r>
    </w:p>
    <w:p w14:paraId="6F2A292D" w14:textId="77777777" w:rsidR="00AD37AD" w:rsidRPr="006134FA" w:rsidRDefault="00AD37AD" w:rsidP="00AD37AD">
      <w:r w:rsidRPr="006134FA">
        <w:t xml:space="preserve">Table 5.3 shows that Telstra met the national </w:t>
      </w:r>
      <w:r>
        <w:t>P</w:t>
      </w:r>
      <w:r w:rsidRPr="006134FA">
        <w:t xml:space="preserve">ayphone </w:t>
      </w:r>
      <w:r>
        <w:t>P</w:t>
      </w:r>
      <w:r w:rsidRPr="006134FA">
        <w:t xml:space="preserve">erformance </w:t>
      </w:r>
      <w:r>
        <w:t>B</w:t>
      </w:r>
      <w:r w:rsidRPr="006134FA">
        <w:t xml:space="preserve">enchmarks in urban, rural and remote areas in 2015–16. </w:t>
      </w:r>
    </w:p>
    <w:p w14:paraId="3F7A8415" w14:textId="77777777" w:rsidR="00AD37AD" w:rsidRPr="006134FA" w:rsidRDefault="00AD37AD" w:rsidP="00DD6238">
      <w:pPr>
        <w:pStyle w:val="ACMATableHeader"/>
        <w:keepNext/>
        <w:numPr>
          <w:ilvl w:val="0"/>
          <w:numId w:val="0"/>
        </w:numPr>
      </w:pPr>
      <w:r w:rsidRPr="006134FA">
        <w:lastRenderedPageBreak/>
        <w:t>Table 5.3</w:t>
      </w:r>
      <w:r>
        <w:tab/>
      </w:r>
      <w:r w:rsidRPr="006134FA">
        <w:t>Telstra payphone fault repair performance, 2015–16</w:t>
      </w:r>
    </w:p>
    <w:tbl>
      <w:tblPr>
        <w:tblStyle w:val="Commsreport2015-16TABLE"/>
        <w:tblW w:w="9537" w:type="dxa"/>
        <w:tblLayout w:type="fixed"/>
        <w:tblCellMar>
          <w:top w:w="57" w:type="dxa"/>
          <w:left w:w="57" w:type="dxa"/>
          <w:bottom w:w="57" w:type="dxa"/>
          <w:right w:w="57" w:type="dxa"/>
        </w:tblCellMar>
        <w:tblLook w:val="01E0" w:firstRow="1" w:lastRow="1" w:firstColumn="1" w:lastColumn="1" w:noHBand="0" w:noVBand="0"/>
        <w:tblCaption w:val="Table 5.3 Telstra payphone fault repair performance, 2015–16"/>
      </w:tblPr>
      <w:tblGrid>
        <w:gridCol w:w="5087"/>
        <w:gridCol w:w="1483"/>
        <w:gridCol w:w="1483"/>
        <w:gridCol w:w="1484"/>
      </w:tblGrid>
      <w:tr w:rsidR="00AD37AD" w:rsidRPr="00681B51" w14:paraId="15D641F0" w14:textId="77777777" w:rsidTr="00681B51">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000" w:firstRow="0" w:lastRow="0" w:firstColumn="1" w:lastColumn="0" w:oddVBand="0" w:evenVBand="0" w:oddHBand="0" w:evenHBand="0" w:firstRowFirstColumn="0" w:firstRowLastColumn="0" w:lastRowFirstColumn="0" w:lastRowLastColumn="0"/>
            <w:tcW w:w="5087" w:type="dxa"/>
            <w:shd w:val="clear" w:color="auto" w:fill="FFFFFF"/>
          </w:tcPr>
          <w:p w14:paraId="5A29E049" w14:textId="77777777" w:rsidR="00AD37AD" w:rsidRPr="00681B51" w:rsidRDefault="00AD37AD" w:rsidP="00681B51">
            <w:pPr>
              <w:pStyle w:val="TableHeading"/>
              <w:rPr>
                <w:b/>
              </w:rPr>
            </w:pPr>
          </w:p>
        </w:tc>
        <w:tc>
          <w:tcPr>
            <w:tcW w:w="1483" w:type="dxa"/>
            <w:vAlign w:val="top"/>
          </w:tcPr>
          <w:p w14:paraId="138E3560"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 xml:space="preserve">Urban </w:t>
            </w:r>
          </w:p>
          <w:p w14:paraId="51A26A15"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w:t>
            </w:r>
          </w:p>
        </w:tc>
        <w:tc>
          <w:tcPr>
            <w:tcW w:w="1483" w:type="dxa"/>
            <w:vAlign w:val="top"/>
          </w:tcPr>
          <w:p w14:paraId="5ECC8909"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bCs/>
              </w:rPr>
            </w:pPr>
            <w:r w:rsidRPr="00681B51">
              <w:rPr>
                <w:b/>
                <w:bCs/>
              </w:rPr>
              <w:t xml:space="preserve">Rural </w:t>
            </w:r>
          </w:p>
          <w:p w14:paraId="67B1FD34"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bCs/>
              </w:rPr>
            </w:pPr>
            <w:r w:rsidRPr="00681B51">
              <w:rPr>
                <w:b/>
                <w:bCs/>
              </w:rPr>
              <w:t>(%)</w:t>
            </w:r>
          </w:p>
        </w:tc>
        <w:tc>
          <w:tcPr>
            <w:tcW w:w="1484" w:type="dxa"/>
            <w:vAlign w:val="top"/>
          </w:tcPr>
          <w:p w14:paraId="324B930D"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bCs/>
              </w:rPr>
            </w:pPr>
            <w:r w:rsidRPr="00681B51">
              <w:rPr>
                <w:b/>
                <w:bCs/>
              </w:rPr>
              <w:t xml:space="preserve">Remote </w:t>
            </w:r>
          </w:p>
          <w:p w14:paraId="1855276D"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bCs/>
              </w:rPr>
            </w:pPr>
            <w:r w:rsidRPr="00681B51">
              <w:rPr>
                <w:b/>
                <w:bCs/>
              </w:rPr>
              <w:t>(%)*</w:t>
            </w:r>
          </w:p>
        </w:tc>
      </w:tr>
      <w:tr w:rsidR="00AD37AD" w:rsidRPr="006134FA" w14:paraId="6CB87849" w14:textId="77777777" w:rsidTr="005C74F2">
        <w:trPr>
          <w:trHeight w:val="181"/>
        </w:trPr>
        <w:tc>
          <w:tcPr>
            <w:cnfStyle w:val="001000000000" w:firstRow="0" w:lastRow="0" w:firstColumn="1" w:lastColumn="0" w:oddVBand="0" w:evenVBand="0" w:oddHBand="0" w:evenHBand="0" w:firstRowFirstColumn="0" w:firstRowLastColumn="0" w:lastRowFirstColumn="0" w:lastRowLastColumn="0"/>
            <w:tcW w:w="5087" w:type="dxa"/>
          </w:tcPr>
          <w:p w14:paraId="57AC56A6" w14:textId="77777777" w:rsidR="00AD37AD" w:rsidRPr="00BE6BBB" w:rsidRDefault="00AD37AD" w:rsidP="005C74F2">
            <w:pPr>
              <w:spacing w:after="0"/>
              <w:rPr>
                <w:rFonts w:cs="Arial"/>
                <w:color w:val="FFFFFF" w:themeColor="background1"/>
                <w:szCs w:val="18"/>
              </w:rPr>
            </w:pPr>
            <w:r w:rsidRPr="00BE6BBB">
              <w:rPr>
                <w:rFonts w:cs="Arial"/>
                <w:color w:val="FFFFFF" w:themeColor="background1"/>
                <w:szCs w:val="18"/>
              </w:rPr>
              <w:t>Payphone fault repair benchmark</w:t>
            </w:r>
          </w:p>
        </w:tc>
        <w:tc>
          <w:tcPr>
            <w:tcW w:w="1483" w:type="dxa"/>
          </w:tcPr>
          <w:p w14:paraId="0984FC91" w14:textId="77777777" w:rsidR="00AD37AD" w:rsidRPr="006134FA" w:rsidRDefault="00AD37AD" w:rsidP="009329F7">
            <w:pPr>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90.0</w:t>
            </w:r>
          </w:p>
        </w:tc>
        <w:tc>
          <w:tcPr>
            <w:tcW w:w="1483" w:type="dxa"/>
          </w:tcPr>
          <w:p w14:paraId="4DDA0D7C" w14:textId="77777777" w:rsidR="00AD37AD" w:rsidRPr="006134FA" w:rsidRDefault="00AD37AD" w:rsidP="009329F7">
            <w:pPr>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90.0</w:t>
            </w:r>
          </w:p>
        </w:tc>
        <w:tc>
          <w:tcPr>
            <w:tcW w:w="1484" w:type="dxa"/>
          </w:tcPr>
          <w:p w14:paraId="41441A79" w14:textId="77777777" w:rsidR="00AD37AD" w:rsidRPr="006134FA" w:rsidRDefault="00AD37AD" w:rsidP="009329F7">
            <w:pPr>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80.0</w:t>
            </w:r>
          </w:p>
        </w:tc>
      </w:tr>
      <w:tr w:rsidR="00AD37AD" w:rsidRPr="006134FA" w14:paraId="6E2F0C0F" w14:textId="77777777" w:rsidTr="003B610E">
        <w:trPr>
          <w:trHeight w:val="73"/>
        </w:trPr>
        <w:tc>
          <w:tcPr>
            <w:cnfStyle w:val="001000000000" w:firstRow="0" w:lastRow="0" w:firstColumn="1" w:lastColumn="0" w:oddVBand="0" w:evenVBand="0" w:oddHBand="0" w:evenHBand="0" w:firstRowFirstColumn="0" w:firstRowLastColumn="0" w:lastRowFirstColumn="0" w:lastRowLastColumn="0"/>
            <w:tcW w:w="5087" w:type="dxa"/>
          </w:tcPr>
          <w:p w14:paraId="7BEB6AAC" w14:textId="77777777" w:rsidR="00AD37AD" w:rsidRPr="00BE6BBB" w:rsidRDefault="00AD37AD" w:rsidP="005C74F2">
            <w:pPr>
              <w:spacing w:after="0"/>
              <w:rPr>
                <w:rFonts w:cs="Arial"/>
                <w:color w:val="FFFFFF" w:themeColor="background1"/>
                <w:szCs w:val="18"/>
              </w:rPr>
            </w:pPr>
            <w:r w:rsidRPr="00BE6BBB">
              <w:rPr>
                <w:rFonts w:cs="Arial"/>
                <w:color w:val="FFFFFF" w:themeColor="background1"/>
                <w:szCs w:val="18"/>
              </w:rPr>
              <w:t>Fault repair performance</w:t>
            </w:r>
          </w:p>
        </w:tc>
        <w:tc>
          <w:tcPr>
            <w:tcW w:w="1483" w:type="dxa"/>
          </w:tcPr>
          <w:p w14:paraId="116846E4" w14:textId="77777777" w:rsidR="00AD37AD" w:rsidRPr="006134FA" w:rsidRDefault="00AD37AD" w:rsidP="009329F7">
            <w:pPr>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94.5</w:t>
            </w:r>
          </w:p>
        </w:tc>
        <w:tc>
          <w:tcPr>
            <w:tcW w:w="1483" w:type="dxa"/>
          </w:tcPr>
          <w:p w14:paraId="68745CC9" w14:textId="77777777" w:rsidR="00AD37AD" w:rsidRPr="006134FA" w:rsidRDefault="00AD37AD" w:rsidP="009329F7">
            <w:pPr>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93.4</w:t>
            </w:r>
          </w:p>
        </w:tc>
        <w:tc>
          <w:tcPr>
            <w:tcW w:w="1484" w:type="dxa"/>
          </w:tcPr>
          <w:p w14:paraId="5318818E" w14:textId="77777777" w:rsidR="00AD37AD" w:rsidRPr="006134FA" w:rsidRDefault="00AD37AD" w:rsidP="009329F7">
            <w:pPr>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87.6</w:t>
            </w:r>
          </w:p>
        </w:tc>
      </w:tr>
    </w:tbl>
    <w:p w14:paraId="1DEE95BC" w14:textId="77777777" w:rsidR="00AD37AD" w:rsidRPr="006134FA" w:rsidRDefault="00AD37AD" w:rsidP="00AD37AD">
      <w:pPr>
        <w:pStyle w:val="ACMANotes"/>
      </w:pPr>
      <w:r w:rsidRPr="006134FA">
        <w:t>*Including remote Indigenous communities.</w:t>
      </w:r>
    </w:p>
    <w:p w14:paraId="64F3118E" w14:textId="77777777" w:rsidR="00AD37AD" w:rsidRDefault="00AD37AD" w:rsidP="00AD37AD">
      <w:pPr>
        <w:pStyle w:val="ACMANotes"/>
      </w:pPr>
      <w:r w:rsidRPr="006134FA">
        <w:t>Source: Telstra.</w:t>
      </w:r>
    </w:p>
    <w:p w14:paraId="5BF560A2" w14:textId="77777777" w:rsidR="00AD37AD" w:rsidRPr="006134FA" w:rsidRDefault="00AD37AD" w:rsidP="00AD37AD">
      <w:pPr>
        <w:pStyle w:val="ACMASpaceaftertable"/>
      </w:pPr>
    </w:p>
    <w:p w14:paraId="6F88FDD7" w14:textId="77777777" w:rsidR="00AD37AD" w:rsidRPr="006134FA" w:rsidRDefault="00AD37AD" w:rsidP="00CD4141">
      <w:pPr>
        <w:pStyle w:val="Heading3"/>
      </w:pPr>
      <w:bookmarkStart w:id="768" w:name="_Toc462909500"/>
      <w:bookmarkStart w:id="769" w:name="_Toc465842981"/>
      <w:r w:rsidRPr="006134FA">
        <w:t>Payphones for people with disabilities</w:t>
      </w:r>
      <w:bookmarkEnd w:id="768"/>
      <w:bookmarkEnd w:id="769"/>
    </w:p>
    <w:p w14:paraId="757F1CE2" w14:textId="77777777" w:rsidR="00AD37AD" w:rsidRPr="006134FA" w:rsidRDefault="00AD37AD" w:rsidP="00AD37AD">
      <w:r w:rsidRPr="006134FA">
        <w:t>At 30 June 2016, Telstra had 154 teletypewriter payphones in operation in metropolitan and regional areas, compared with 153 at 30 June 2015.</w:t>
      </w:r>
    </w:p>
    <w:p w14:paraId="28840D01" w14:textId="77777777" w:rsidR="00AD37AD" w:rsidRPr="006134FA" w:rsidRDefault="00AD37AD" w:rsidP="00A04EBA">
      <w:pPr>
        <w:pStyle w:val="Heading2"/>
        <w:numPr>
          <w:ilvl w:val="1"/>
          <w:numId w:val="12"/>
        </w:numPr>
        <w:ind w:hanging="792"/>
      </w:pPr>
      <w:bookmarkStart w:id="770" w:name="_Toc462909501"/>
      <w:bookmarkStart w:id="771" w:name="_Toc465842982"/>
      <w:r w:rsidRPr="006134FA">
        <w:t>CSG Standard</w:t>
      </w:r>
      <w:bookmarkEnd w:id="770"/>
      <w:bookmarkEnd w:id="771"/>
    </w:p>
    <w:p w14:paraId="6CF39F6D" w14:textId="77777777" w:rsidR="00AD37AD" w:rsidRPr="006134FA" w:rsidRDefault="00AD37AD" w:rsidP="00AD37AD">
      <w:pPr>
        <w:rPr>
          <w:rFonts w:cs="Arial"/>
        </w:rPr>
      </w:pPr>
      <w:r w:rsidRPr="006134FA">
        <w:rPr>
          <w:rFonts w:cs="Arial"/>
        </w:rPr>
        <w:t xml:space="preserve">The </w:t>
      </w:r>
      <w:r w:rsidRPr="008A4D94">
        <w:rPr>
          <w:rFonts w:cs="Arial"/>
        </w:rPr>
        <w:t>Telecommunications (Customer Service Guarantee) Standard 2011</w:t>
      </w:r>
      <w:r w:rsidRPr="006134FA">
        <w:rPr>
          <w:rFonts w:cs="Arial"/>
        </w:rPr>
        <w:t xml:space="preserve"> (CSG Standard) sets minimum service standards for CSPs in installing, repairing and meeting appointments for standard telephone services for residential and small</w:t>
      </w:r>
      <w:r>
        <w:rPr>
          <w:rFonts w:cs="Arial"/>
        </w:rPr>
        <w:t>-</w:t>
      </w:r>
      <w:r w:rsidRPr="006134FA">
        <w:rPr>
          <w:rFonts w:cs="Arial"/>
        </w:rPr>
        <w:t>business customers. The CSG Standard allows for exemptions from meeting s</w:t>
      </w:r>
      <w:r w:rsidRPr="006134FA">
        <w:t>e</w:t>
      </w:r>
      <w:r w:rsidRPr="006134FA">
        <w:rPr>
          <w:rFonts w:cs="Arial"/>
        </w:rPr>
        <w:t>rvice standards under certain circumstances. If a CSP fails to meet the minimum performance standards, compensation may be payable to the customer.</w:t>
      </w:r>
    </w:p>
    <w:p w14:paraId="5937FE0D" w14:textId="77777777" w:rsidR="00AD37AD" w:rsidRPr="006134FA" w:rsidRDefault="00AD37AD" w:rsidP="00AD37AD">
      <w:r w:rsidRPr="006134FA">
        <w:t>At 30 June 2016, there were 6.11 million services subject to the CSG Standard, compared to 6.34 million at 30 June 2015—a decline of 3.6 per cent (Table 5.4).</w:t>
      </w:r>
    </w:p>
    <w:p w14:paraId="541A1076" w14:textId="77777777" w:rsidR="00AD37AD" w:rsidRPr="006134FA" w:rsidRDefault="00AD37AD" w:rsidP="00AD37AD">
      <w:pPr>
        <w:pStyle w:val="ACMATableHeader"/>
        <w:numPr>
          <w:ilvl w:val="0"/>
          <w:numId w:val="0"/>
        </w:numPr>
      </w:pPr>
      <w:r w:rsidRPr="006134FA">
        <w:t>Table 5.4</w:t>
      </w:r>
      <w:r>
        <w:tab/>
      </w:r>
      <w:r w:rsidRPr="006134FA">
        <w:t>Services subject to the CSG Standard</w:t>
      </w:r>
      <w:r>
        <w:t>,</w:t>
      </w:r>
      <w:r w:rsidRPr="006134FA">
        <w:t xml:space="preserve"> by provider</w:t>
      </w:r>
      <w:r>
        <w:t>,</w:t>
      </w:r>
      <w:r w:rsidRPr="006134FA">
        <w:t xml:space="preserve"> at 30 June</w:t>
      </w:r>
    </w:p>
    <w:tbl>
      <w:tblPr>
        <w:tblStyle w:val="Commsreport2015-16TABLE"/>
        <w:tblW w:w="9429" w:type="dxa"/>
        <w:tblLayout w:type="fixed"/>
        <w:tblCellMar>
          <w:top w:w="57" w:type="dxa"/>
          <w:left w:w="57" w:type="dxa"/>
          <w:bottom w:w="57" w:type="dxa"/>
          <w:right w:w="57" w:type="dxa"/>
        </w:tblCellMar>
        <w:tblLook w:val="01E0" w:firstRow="1" w:lastRow="1" w:firstColumn="1" w:lastColumn="1" w:noHBand="0" w:noVBand="0"/>
        <w:tblCaption w:val="Table 5.4 Services subject to the CSG Standard, by provider, at 30 June "/>
      </w:tblPr>
      <w:tblGrid>
        <w:gridCol w:w="2059"/>
        <w:gridCol w:w="1474"/>
        <w:gridCol w:w="1474"/>
        <w:gridCol w:w="1474"/>
        <w:gridCol w:w="1474"/>
        <w:gridCol w:w="1474"/>
      </w:tblGrid>
      <w:tr w:rsidR="00AD37AD" w:rsidRPr="00681B51" w14:paraId="6E17395E" w14:textId="77777777" w:rsidTr="00681B51">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059" w:type="dxa"/>
            <w:shd w:val="clear" w:color="auto" w:fill="auto"/>
          </w:tcPr>
          <w:p w14:paraId="06F6739C" w14:textId="77777777" w:rsidR="00AD37AD" w:rsidRPr="00681B51" w:rsidRDefault="00AD37AD" w:rsidP="00681B51">
            <w:pPr>
              <w:pStyle w:val="TableHeading"/>
              <w:rPr>
                <w:b/>
              </w:rPr>
            </w:pPr>
          </w:p>
        </w:tc>
        <w:tc>
          <w:tcPr>
            <w:tcW w:w="1474" w:type="dxa"/>
            <w:vAlign w:val="top"/>
          </w:tcPr>
          <w:p w14:paraId="37BDDB00"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2012</w:t>
            </w:r>
            <w:r w:rsidRPr="00681B51">
              <w:rPr>
                <w:b/>
              </w:rPr>
              <w:br/>
              <w:t>(‘000)</w:t>
            </w:r>
          </w:p>
        </w:tc>
        <w:tc>
          <w:tcPr>
            <w:tcW w:w="1474" w:type="dxa"/>
            <w:vAlign w:val="top"/>
          </w:tcPr>
          <w:p w14:paraId="098752BD"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2013</w:t>
            </w:r>
            <w:r w:rsidRPr="00681B51">
              <w:rPr>
                <w:b/>
              </w:rPr>
              <w:br/>
              <w:t>(‘000)</w:t>
            </w:r>
          </w:p>
        </w:tc>
        <w:tc>
          <w:tcPr>
            <w:tcW w:w="1474" w:type="dxa"/>
            <w:vAlign w:val="top"/>
          </w:tcPr>
          <w:p w14:paraId="277DD7EE"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2014</w:t>
            </w:r>
            <w:r w:rsidRPr="00681B51">
              <w:rPr>
                <w:b/>
              </w:rPr>
              <w:br/>
              <w:t>(‘000)</w:t>
            </w:r>
          </w:p>
        </w:tc>
        <w:tc>
          <w:tcPr>
            <w:tcW w:w="1474" w:type="dxa"/>
            <w:vAlign w:val="top"/>
          </w:tcPr>
          <w:p w14:paraId="21D192F0"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2015</w:t>
            </w:r>
            <w:r w:rsidRPr="00681B51">
              <w:rPr>
                <w:b/>
              </w:rPr>
              <w:br/>
              <w:t>(‘000)</w:t>
            </w:r>
          </w:p>
        </w:tc>
        <w:tc>
          <w:tcPr>
            <w:tcW w:w="1474" w:type="dxa"/>
            <w:vAlign w:val="top"/>
          </w:tcPr>
          <w:p w14:paraId="7FFED3FB"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2016</w:t>
            </w:r>
            <w:r w:rsidRPr="00681B51">
              <w:rPr>
                <w:b/>
              </w:rPr>
              <w:br/>
              <w:t>(‘000)</w:t>
            </w:r>
          </w:p>
        </w:tc>
      </w:tr>
      <w:tr w:rsidR="00AD37AD" w:rsidRPr="006134FA" w14:paraId="4AD94DD0" w14:textId="77777777" w:rsidTr="005C74F2">
        <w:trPr>
          <w:trHeight w:val="216"/>
        </w:trPr>
        <w:tc>
          <w:tcPr>
            <w:cnfStyle w:val="001000000000" w:firstRow="0" w:lastRow="0" w:firstColumn="1" w:lastColumn="0" w:oddVBand="0" w:evenVBand="0" w:oddHBand="0" w:evenHBand="0" w:firstRowFirstColumn="0" w:firstRowLastColumn="0" w:lastRowFirstColumn="0" w:lastRowLastColumn="0"/>
            <w:tcW w:w="2059" w:type="dxa"/>
          </w:tcPr>
          <w:p w14:paraId="0C00CEA7" w14:textId="77777777" w:rsidR="00AD37AD" w:rsidRPr="00FA0DFB" w:rsidRDefault="00AD37AD" w:rsidP="005C74F2">
            <w:pPr>
              <w:keepNext/>
              <w:keepLines/>
              <w:spacing w:after="0"/>
              <w:rPr>
                <w:rFonts w:cs="Arial"/>
                <w:bCs/>
                <w:color w:val="FFFFFF" w:themeColor="background1"/>
                <w:szCs w:val="18"/>
              </w:rPr>
            </w:pPr>
            <w:r w:rsidRPr="00FA0DFB">
              <w:rPr>
                <w:rFonts w:cs="Arial"/>
                <w:bCs/>
                <w:color w:val="FFFFFF" w:themeColor="background1"/>
                <w:szCs w:val="18"/>
              </w:rPr>
              <w:t>iiNet</w:t>
            </w:r>
          </w:p>
        </w:tc>
        <w:tc>
          <w:tcPr>
            <w:tcW w:w="1474" w:type="dxa"/>
          </w:tcPr>
          <w:p w14:paraId="160487C1"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493</w:t>
            </w:r>
          </w:p>
        </w:tc>
        <w:tc>
          <w:tcPr>
            <w:tcW w:w="1474" w:type="dxa"/>
          </w:tcPr>
          <w:p w14:paraId="46D8BB99"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418</w:t>
            </w:r>
          </w:p>
        </w:tc>
        <w:tc>
          <w:tcPr>
            <w:tcW w:w="1474" w:type="dxa"/>
          </w:tcPr>
          <w:p w14:paraId="03A1B72D"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443</w:t>
            </w:r>
          </w:p>
        </w:tc>
        <w:tc>
          <w:tcPr>
            <w:tcW w:w="1474" w:type="dxa"/>
          </w:tcPr>
          <w:p w14:paraId="6DFCDD9C"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473</w:t>
            </w:r>
          </w:p>
        </w:tc>
        <w:tc>
          <w:tcPr>
            <w:tcW w:w="1474" w:type="dxa"/>
          </w:tcPr>
          <w:p w14:paraId="18CEA694"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427*</w:t>
            </w:r>
          </w:p>
        </w:tc>
      </w:tr>
      <w:tr w:rsidR="00AD37AD" w:rsidRPr="006134FA" w14:paraId="3150C81F" w14:textId="77777777" w:rsidTr="005C74F2">
        <w:trPr>
          <w:trHeight w:val="250"/>
        </w:trPr>
        <w:tc>
          <w:tcPr>
            <w:cnfStyle w:val="001000000000" w:firstRow="0" w:lastRow="0" w:firstColumn="1" w:lastColumn="0" w:oddVBand="0" w:evenVBand="0" w:oddHBand="0" w:evenHBand="0" w:firstRowFirstColumn="0" w:firstRowLastColumn="0" w:lastRowFirstColumn="0" w:lastRowLastColumn="0"/>
            <w:tcW w:w="2059" w:type="dxa"/>
          </w:tcPr>
          <w:p w14:paraId="0D8AFA6F" w14:textId="77777777" w:rsidR="00AD37AD" w:rsidRPr="00FA0DFB" w:rsidRDefault="00AD37AD" w:rsidP="005C74F2">
            <w:pPr>
              <w:keepNext/>
              <w:keepLines/>
              <w:spacing w:after="0"/>
              <w:rPr>
                <w:rFonts w:cs="Arial"/>
                <w:bCs/>
                <w:color w:val="FFFFFF" w:themeColor="background1"/>
                <w:szCs w:val="18"/>
              </w:rPr>
            </w:pPr>
            <w:r w:rsidRPr="00FA0DFB">
              <w:rPr>
                <w:rFonts w:cs="Arial"/>
                <w:bCs/>
                <w:color w:val="FFFFFF" w:themeColor="background1"/>
                <w:szCs w:val="18"/>
              </w:rPr>
              <w:t>Optus</w:t>
            </w:r>
          </w:p>
        </w:tc>
        <w:tc>
          <w:tcPr>
            <w:tcW w:w="1474" w:type="dxa"/>
          </w:tcPr>
          <w:p w14:paraId="27B62DF2"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913</w:t>
            </w:r>
          </w:p>
        </w:tc>
        <w:tc>
          <w:tcPr>
            <w:tcW w:w="1474" w:type="dxa"/>
          </w:tcPr>
          <w:p w14:paraId="130D6A8B"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850</w:t>
            </w:r>
          </w:p>
        </w:tc>
        <w:tc>
          <w:tcPr>
            <w:tcW w:w="1474" w:type="dxa"/>
          </w:tcPr>
          <w:p w14:paraId="04BD10DF"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799</w:t>
            </w:r>
          </w:p>
        </w:tc>
        <w:tc>
          <w:tcPr>
            <w:tcW w:w="1474" w:type="dxa"/>
          </w:tcPr>
          <w:p w14:paraId="643CDB3B"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808</w:t>
            </w:r>
          </w:p>
        </w:tc>
        <w:tc>
          <w:tcPr>
            <w:tcW w:w="1474" w:type="dxa"/>
          </w:tcPr>
          <w:p w14:paraId="0DB34452"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977</w:t>
            </w:r>
          </w:p>
        </w:tc>
      </w:tr>
      <w:tr w:rsidR="00AD37AD" w:rsidRPr="006134FA" w14:paraId="3473E7C8" w14:textId="77777777" w:rsidTr="005C74F2">
        <w:trPr>
          <w:trHeight w:val="114"/>
        </w:trPr>
        <w:tc>
          <w:tcPr>
            <w:cnfStyle w:val="001000000000" w:firstRow="0" w:lastRow="0" w:firstColumn="1" w:lastColumn="0" w:oddVBand="0" w:evenVBand="0" w:oddHBand="0" w:evenHBand="0" w:firstRowFirstColumn="0" w:firstRowLastColumn="0" w:lastRowFirstColumn="0" w:lastRowLastColumn="0"/>
            <w:tcW w:w="2059" w:type="dxa"/>
          </w:tcPr>
          <w:p w14:paraId="031A07EF" w14:textId="77777777" w:rsidR="00AD37AD" w:rsidRPr="00FA0DFB" w:rsidRDefault="00AD37AD" w:rsidP="005C74F2">
            <w:pPr>
              <w:keepNext/>
              <w:keepLines/>
              <w:spacing w:after="0"/>
              <w:rPr>
                <w:rFonts w:cs="Arial"/>
                <w:bCs/>
                <w:color w:val="FFFFFF" w:themeColor="background1"/>
                <w:szCs w:val="18"/>
              </w:rPr>
            </w:pPr>
            <w:r w:rsidRPr="00FA0DFB">
              <w:rPr>
                <w:rFonts w:cs="Arial"/>
                <w:bCs/>
                <w:color w:val="FFFFFF" w:themeColor="background1"/>
                <w:szCs w:val="18"/>
              </w:rPr>
              <w:t>iPrimus</w:t>
            </w:r>
          </w:p>
        </w:tc>
        <w:tc>
          <w:tcPr>
            <w:tcW w:w="1474" w:type="dxa"/>
          </w:tcPr>
          <w:p w14:paraId="18AF17EB"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103</w:t>
            </w:r>
          </w:p>
        </w:tc>
        <w:tc>
          <w:tcPr>
            <w:tcW w:w="1474" w:type="dxa"/>
          </w:tcPr>
          <w:p w14:paraId="10355FC7"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101</w:t>
            </w:r>
          </w:p>
        </w:tc>
        <w:tc>
          <w:tcPr>
            <w:tcW w:w="1474" w:type="dxa"/>
          </w:tcPr>
          <w:p w14:paraId="6AA811C2"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95</w:t>
            </w:r>
          </w:p>
        </w:tc>
        <w:tc>
          <w:tcPr>
            <w:tcW w:w="1474" w:type="dxa"/>
          </w:tcPr>
          <w:p w14:paraId="4CBE2FB8"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49</w:t>
            </w:r>
          </w:p>
        </w:tc>
        <w:tc>
          <w:tcPr>
            <w:tcW w:w="1474" w:type="dxa"/>
          </w:tcPr>
          <w:p w14:paraId="3739836E"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57</w:t>
            </w:r>
          </w:p>
        </w:tc>
      </w:tr>
      <w:tr w:rsidR="00AD37AD" w:rsidRPr="006134FA" w14:paraId="0737EB95" w14:textId="77777777" w:rsidTr="00AD7967">
        <w:trPr>
          <w:trHeight w:val="231"/>
        </w:trPr>
        <w:tc>
          <w:tcPr>
            <w:cnfStyle w:val="001000000000" w:firstRow="0" w:lastRow="0" w:firstColumn="1" w:lastColumn="0" w:oddVBand="0" w:evenVBand="0" w:oddHBand="0" w:evenHBand="0" w:firstRowFirstColumn="0" w:firstRowLastColumn="0" w:lastRowFirstColumn="0" w:lastRowLastColumn="0"/>
            <w:tcW w:w="2059" w:type="dxa"/>
          </w:tcPr>
          <w:p w14:paraId="5D8FAECF" w14:textId="77777777" w:rsidR="00AD37AD" w:rsidRPr="00FA0DFB" w:rsidRDefault="00AD37AD" w:rsidP="005C74F2">
            <w:pPr>
              <w:keepNext/>
              <w:keepLines/>
              <w:spacing w:after="0"/>
              <w:rPr>
                <w:rFonts w:cs="Arial"/>
                <w:bCs/>
                <w:color w:val="FFFFFF" w:themeColor="background1"/>
                <w:szCs w:val="18"/>
              </w:rPr>
            </w:pPr>
            <w:r w:rsidRPr="00FA0DFB">
              <w:rPr>
                <w:rFonts w:cs="Arial"/>
                <w:bCs/>
                <w:color w:val="FFFFFF" w:themeColor="background1"/>
                <w:szCs w:val="18"/>
              </w:rPr>
              <w:t>Telstra</w:t>
            </w:r>
          </w:p>
        </w:tc>
        <w:tc>
          <w:tcPr>
            <w:tcW w:w="1474" w:type="dxa"/>
          </w:tcPr>
          <w:p w14:paraId="6C321C27"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5,608</w:t>
            </w:r>
          </w:p>
        </w:tc>
        <w:tc>
          <w:tcPr>
            <w:tcW w:w="1474" w:type="dxa"/>
          </w:tcPr>
          <w:p w14:paraId="596F0604"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5,314</w:t>
            </w:r>
          </w:p>
        </w:tc>
        <w:tc>
          <w:tcPr>
            <w:tcW w:w="1474" w:type="dxa"/>
          </w:tcPr>
          <w:p w14:paraId="1346BF6B"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5,038</w:t>
            </w:r>
          </w:p>
        </w:tc>
        <w:tc>
          <w:tcPr>
            <w:tcW w:w="1474" w:type="dxa"/>
          </w:tcPr>
          <w:p w14:paraId="1C2A17EE"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4,757</w:t>
            </w:r>
          </w:p>
        </w:tc>
        <w:tc>
          <w:tcPr>
            <w:tcW w:w="1474" w:type="dxa"/>
          </w:tcPr>
          <w:p w14:paraId="15E4D7CF"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4,361</w:t>
            </w:r>
          </w:p>
        </w:tc>
      </w:tr>
      <w:tr w:rsidR="00AD37AD" w:rsidRPr="006134FA" w14:paraId="432BB845" w14:textId="77777777" w:rsidTr="00AD7967">
        <w:trPr>
          <w:trHeight w:val="235"/>
        </w:trPr>
        <w:tc>
          <w:tcPr>
            <w:cnfStyle w:val="001000000000" w:firstRow="0" w:lastRow="0" w:firstColumn="1" w:lastColumn="0" w:oddVBand="0" w:evenVBand="0" w:oddHBand="0" w:evenHBand="0" w:firstRowFirstColumn="0" w:firstRowLastColumn="0" w:lastRowFirstColumn="0" w:lastRowLastColumn="0"/>
            <w:tcW w:w="2059" w:type="dxa"/>
          </w:tcPr>
          <w:p w14:paraId="07555C45" w14:textId="77777777" w:rsidR="00AD37AD" w:rsidRPr="00FA0DFB" w:rsidRDefault="00AD37AD" w:rsidP="005C74F2">
            <w:pPr>
              <w:keepNext/>
              <w:keepLines/>
              <w:spacing w:after="0"/>
              <w:rPr>
                <w:rFonts w:cs="Arial"/>
                <w:bCs/>
                <w:color w:val="FFFFFF" w:themeColor="background1"/>
                <w:szCs w:val="18"/>
              </w:rPr>
            </w:pPr>
            <w:r w:rsidRPr="00FA0DFB">
              <w:rPr>
                <w:rFonts w:cs="Arial"/>
                <w:bCs/>
                <w:color w:val="FFFFFF" w:themeColor="background1"/>
                <w:szCs w:val="18"/>
              </w:rPr>
              <w:t>Dodo</w:t>
            </w:r>
          </w:p>
        </w:tc>
        <w:tc>
          <w:tcPr>
            <w:tcW w:w="1474" w:type="dxa"/>
          </w:tcPr>
          <w:p w14:paraId="70C16BD3"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n/a</w:t>
            </w:r>
          </w:p>
        </w:tc>
        <w:tc>
          <w:tcPr>
            <w:tcW w:w="1474" w:type="dxa"/>
          </w:tcPr>
          <w:p w14:paraId="475276A9"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n/a</w:t>
            </w:r>
          </w:p>
        </w:tc>
        <w:tc>
          <w:tcPr>
            <w:tcW w:w="1474" w:type="dxa"/>
          </w:tcPr>
          <w:p w14:paraId="419F18B9"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159</w:t>
            </w:r>
          </w:p>
        </w:tc>
        <w:tc>
          <w:tcPr>
            <w:tcW w:w="1474" w:type="dxa"/>
          </w:tcPr>
          <w:p w14:paraId="0F843731"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249</w:t>
            </w:r>
          </w:p>
        </w:tc>
        <w:tc>
          <w:tcPr>
            <w:tcW w:w="1474" w:type="dxa"/>
          </w:tcPr>
          <w:p w14:paraId="5E461F4D" w14:textId="77777777" w:rsidR="00AD37AD" w:rsidRPr="006134FA"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283</w:t>
            </w:r>
          </w:p>
        </w:tc>
      </w:tr>
      <w:tr w:rsidR="00AD37AD" w:rsidRPr="006134FA" w14:paraId="4811F212" w14:textId="77777777" w:rsidTr="00FA0DFB">
        <w:trPr>
          <w:trHeight w:val="209"/>
        </w:trPr>
        <w:tc>
          <w:tcPr>
            <w:cnfStyle w:val="001000000000" w:firstRow="0" w:lastRow="0" w:firstColumn="1" w:lastColumn="0" w:oddVBand="0" w:evenVBand="0" w:oddHBand="0" w:evenHBand="0" w:firstRowFirstColumn="0" w:firstRowLastColumn="0" w:lastRowFirstColumn="0" w:lastRowLastColumn="0"/>
            <w:tcW w:w="2059" w:type="dxa"/>
          </w:tcPr>
          <w:p w14:paraId="7F490D19" w14:textId="77777777" w:rsidR="00AD37AD" w:rsidRPr="00FA0DFB" w:rsidRDefault="00AD37AD" w:rsidP="005C74F2">
            <w:pPr>
              <w:keepNext/>
              <w:keepLines/>
              <w:spacing w:after="0"/>
              <w:rPr>
                <w:rFonts w:cs="Arial"/>
                <w:b/>
                <w:bCs/>
                <w:color w:val="FFFFFF" w:themeColor="background1"/>
                <w:szCs w:val="18"/>
              </w:rPr>
            </w:pPr>
            <w:r w:rsidRPr="00FA0DFB">
              <w:rPr>
                <w:rFonts w:cs="Arial"/>
                <w:b/>
                <w:bCs/>
                <w:color w:val="FFFFFF" w:themeColor="background1"/>
                <w:szCs w:val="18"/>
              </w:rPr>
              <w:t>Total</w:t>
            </w:r>
          </w:p>
        </w:tc>
        <w:tc>
          <w:tcPr>
            <w:tcW w:w="1474" w:type="dxa"/>
            <w:shd w:val="clear" w:color="auto" w:fill="7FB8CB"/>
          </w:tcPr>
          <w:p w14:paraId="308876B6" w14:textId="77777777" w:rsidR="00AD37AD" w:rsidRPr="00FA0DFB"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FA0DFB">
              <w:rPr>
                <w:rFonts w:cs="Arial"/>
                <w:b/>
                <w:color w:val="FFFFFF" w:themeColor="background1"/>
                <w:szCs w:val="18"/>
              </w:rPr>
              <w:t>7,117</w:t>
            </w:r>
          </w:p>
        </w:tc>
        <w:tc>
          <w:tcPr>
            <w:tcW w:w="1474" w:type="dxa"/>
            <w:shd w:val="clear" w:color="auto" w:fill="7FB8CB"/>
          </w:tcPr>
          <w:p w14:paraId="7E3EFD0E" w14:textId="77777777" w:rsidR="00AD37AD" w:rsidRPr="00FA0DFB"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FA0DFB">
              <w:rPr>
                <w:rFonts w:cs="Arial"/>
                <w:b/>
                <w:color w:val="FFFFFF" w:themeColor="background1"/>
                <w:szCs w:val="18"/>
              </w:rPr>
              <w:t>6,683</w:t>
            </w:r>
          </w:p>
        </w:tc>
        <w:tc>
          <w:tcPr>
            <w:tcW w:w="1474" w:type="dxa"/>
            <w:shd w:val="clear" w:color="auto" w:fill="7FB8CB"/>
          </w:tcPr>
          <w:p w14:paraId="517EF33A" w14:textId="77777777" w:rsidR="00AD37AD" w:rsidRPr="00FA0DFB"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FA0DFB">
              <w:rPr>
                <w:rFonts w:cs="Arial"/>
                <w:b/>
                <w:color w:val="FFFFFF" w:themeColor="background1"/>
                <w:szCs w:val="18"/>
              </w:rPr>
              <w:t>6,534</w:t>
            </w:r>
          </w:p>
        </w:tc>
        <w:tc>
          <w:tcPr>
            <w:tcW w:w="1474" w:type="dxa"/>
            <w:shd w:val="clear" w:color="auto" w:fill="7FB8CB"/>
          </w:tcPr>
          <w:p w14:paraId="0E45DCB4" w14:textId="77777777" w:rsidR="00AD37AD" w:rsidRPr="00FA0DFB"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FA0DFB">
              <w:rPr>
                <w:rFonts w:cs="Arial"/>
                <w:b/>
                <w:color w:val="FFFFFF" w:themeColor="background1"/>
                <w:szCs w:val="18"/>
              </w:rPr>
              <w:t>6,336</w:t>
            </w:r>
          </w:p>
        </w:tc>
        <w:tc>
          <w:tcPr>
            <w:tcW w:w="1474" w:type="dxa"/>
            <w:shd w:val="clear" w:color="auto" w:fill="7FB8CB"/>
          </w:tcPr>
          <w:p w14:paraId="293096B2" w14:textId="77777777" w:rsidR="00AD37AD" w:rsidRPr="00FA0DFB" w:rsidRDefault="00AD37AD" w:rsidP="009329F7">
            <w:pPr>
              <w:keepNext/>
              <w:keepLines/>
              <w:tabs>
                <w:tab w:val="left" w:pos="710"/>
              </w:tabs>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FA0DFB">
              <w:rPr>
                <w:rFonts w:cs="Arial"/>
                <w:b/>
                <w:color w:val="FFFFFF" w:themeColor="background1"/>
                <w:szCs w:val="18"/>
              </w:rPr>
              <w:t>6,105</w:t>
            </w:r>
          </w:p>
        </w:tc>
      </w:tr>
    </w:tbl>
    <w:p w14:paraId="73807A59" w14:textId="77777777" w:rsidR="00AD37AD" w:rsidRPr="006134FA" w:rsidRDefault="00AD37AD" w:rsidP="00AD37AD">
      <w:pPr>
        <w:pStyle w:val="ACMANotes"/>
      </w:pPr>
      <w:r w:rsidRPr="006134FA">
        <w:t xml:space="preserve">n/a=not applicable. </w:t>
      </w:r>
    </w:p>
    <w:p w14:paraId="22E2920F" w14:textId="77777777" w:rsidR="00AD37AD" w:rsidRPr="006134FA" w:rsidRDefault="00AD37AD" w:rsidP="00AD37AD">
      <w:pPr>
        <w:pStyle w:val="ACMANotes"/>
        <w:rPr>
          <w:szCs w:val="16"/>
        </w:rPr>
      </w:pPr>
      <w:r w:rsidRPr="006134FA">
        <w:rPr>
          <w:szCs w:val="16"/>
        </w:rPr>
        <w:t>*TPG acquired iiNet in September 2015.</w:t>
      </w:r>
    </w:p>
    <w:p w14:paraId="690A0850" w14:textId="77777777" w:rsidR="00AD37AD" w:rsidRPr="006134FA" w:rsidRDefault="00AD37AD" w:rsidP="00AD37AD">
      <w:pPr>
        <w:pStyle w:val="ACMANotes"/>
        <w:rPr>
          <w:szCs w:val="16"/>
        </w:rPr>
      </w:pPr>
      <w:r w:rsidRPr="006134FA">
        <w:rPr>
          <w:szCs w:val="16"/>
        </w:rPr>
        <w:t xml:space="preserve">Note: </w:t>
      </w:r>
      <w:r w:rsidRPr="006134FA">
        <w:t>Numbers may not add up due to rounding.</w:t>
      </w:r>
    </w:p>
    <w:p w14:paraId="40EDCE1D" w14:textId="77777777" w:rsidR="00AD37AD" w:rsidRDefault="00AD37AD" w:rsidP="00AD37AD">
      <w:pPr>
        <w:pStyle w:val="ACMANotes"/>
      </w:pPr>
      <w:r w:rsidRPr="006134FA">
        <w:t>Source: CSP data.</w:t>
      </w:r>
    </w:p>
    <w:p w14:paraId="7E08FB55" w14:textId="77777777" w:rsidR="00DC3331" w:rsidRDefault="00DC3331" w:rsidP="00DC3331">
      <w:pPr>
        <w:pStyle w:val="ACMASpaceaftertable"/>
      </w:pPr>
    </w:p>
    <w:p w14:paraId="399EF30D" w14:textId="77777777" w:rsidR="00AD37AD" w:rsidRPr="006134FA" w:rsidRDefault="00AD37AD" w:rsidP="009D5892">
      <w:pPr>
        <w:keepLines/>
        <w:spacing w:before="240"/>
      </w:pPr>
      <w:r w:rsidRPr="006134FA">
        <w:t xml:space="preserve">CSG performance benchmarks are established by the </w:t>
      </w:r>
      <w:r w:rsidRPr="008A4D94">
        <w:t>Telecommunications (Customer Service Guarantee</w:t>
      </w:r>
      <w:r w:rsidR="0075137F">
        <w:rPr>
          <w:rFonts w:cs="Arial"/>
        </w:rPr>
        <w:t>—</w:t>
      </w:r>
      <w:r w:rsidRPr="008A4D94">
        <w:t>Retail Performance Benchmarks) Instrument (No. 1) 2011</w:t>
      </w:r>
      <w:r w:rsidRPr="006134FA">
        <w:t xml:space="preserve"> and apply to ‘qualifying carriage service providers’ (QCSPs). QCSPs are those that have 100,000 CSG services or more, as at the last day of the preceding financial year. For 2015–16, the QCSPs were Telstra, Optus, iiNet, and Dodo.</w:t>
      </w:r>
    </w:p>
    <w:p w14:paraId="21DF0747" w14:textId="77777777" w:rsidR="00AD37AD" w:rsidRPr="006134FA" w:rsidRDefault="00AD37AD" w:rsidP="005C74F2">
      <w:pPr>
        <w:keepNext/>
        <w:spacing w:after="80"/>
        <w:rPr>
          <w:rFonts w:cs="Arial"/>
        </w:rPr>
      </w:pPr>
      <w:r w:rsidRPr="006134FA">
        <w:rPr>
          <w:rFonts w:cs="Arial"/>
        </w:rPr>
        <w:lastRenderedPageBreak/>
        <w:t>The national CSG performance benchmarks set minimum compliance levels with the CSG Standard time frames, which are set out in Table 5.5 and relate to the following activities:</w:t>
      </w:r>
    </w:p>
    <w:p w14:paraId="0426E233" w14:textId="77777777" w:rsidR="00AD37AD" w:rsidRPr="006134FA" w:rsidRDefault="00AD37AD" w:rsidP="005C74F2">
      <w:pPr>
        <w:pStyle w:val="ListBullet"/>
        <w:keepNext/>
      </w:pPr>
      <w:r w:rsidRPr="006134FA">
        <w:t xml:space="preserve">installing new connections in urban, major rural, minor rural and remote areas </w:t>
      </w:r>
    </w:p>
    <w:p w14:paraId="62C062DE" w14:textId="77777777" w:rsidR="00AD37AD" w:rsidRPr="006134FA" w:rsidRDefault="00AD37AD" w:rsidP="005C74F2">
      <w:pPr>
        <w:pStyle w:val="ListBullet"/>
        <w:keepNext/>
      </w:pPr>
      <w:r w:rsidRPr="006134FA">
        <w:t xml:space="preserve">installing in-place connections in all areas </w:t>
      </w:r>
    </w:p>
    <w:p w14:paraId="099DBC2A" w14:textId="77777777" w:rsidR="00AD37AD" w:rsidRPr="006134FA" w:rsidRDefault="00AD37AD" w:rsidP="00AD37AD">
      <w:pPr>
        <w:pStyle w:val="ListBullet"/>
      </w:pPr>
      <w:r w:rsidRPr="006134FA">
        <w:t xml:space="preserve">fault rectifications in urban, rural and remote areas </w:t>
      </w:r>
    </w:p>
    <w:p w14:paraId="03483EC0" w14:textId="77777777" w:rsidR="00AD37AD" w:rsidRPr="006134FA" w:rsidDel="005B07D8" w:rsidRDefault="00AD37AD" w:rsidP="00AD37AD">
      <w:pPr>
        <w:pStyle w:val="ListBulletLast"/>
      </w:pPr>
      <w:r w:rsidRPr="006134FA">
        <w:t xml:space="preserve">appointment-keeping in all areas. </w:t>
      </w:r>
    </w:p>
    <w:p w14:paraId="059BF4AA" w14:textId="77777777" w:rsidR="00AD37AD" w:rsidRPr="006134FA" w:rsidRDefault="00AD37AD" w:rsidP="00AD37AD">
      <w:r w:rsidRPr="006134FA">
        <w:t>The CSG Standard time frames vary according to the location of the customer and, in the case of connections, whether infrastructure is readily available and whether there is an existing in-place connection. There are nine annual benchmarks in total for connections, fault repair and appointment-keeping where QCSPs must meet a minimum 90 per cent benchmark.</w:t>
      </w:r>
    </w:p>
    <w:p w14:paraId="4B05D7FB" w14:textId="77777777" w:rsidR="00AD37AD" w:rsidRPr="006134FA" w:rsidRDefault="00AD37AD" w:rsidP="00AD37AD">
      <w:r w:rsidRPr="006134FA">
        <w:t xml:space="preserve">If a QCSP fails to meet any of the annual CSG performance benchmarks, the ACMA may take compliance action, which includes the option to issue the QCSP with an infringement notice. </w:t>
      </w:r>
    </w:p>
    <w:p w14:paraId="3A3B87D3" w14:textId="77777777" w:rsidR="00AD37AD" w:rsidRPr="006134FA" w:rsidRDefault="00AD37AD" w:rsidP="00AD37AD">
      <w:r w:rsidRPr="006134FA">
        <w:t>At 30 June 2016, there were 1,023,599 occasions nationally where customers of the major CSPs waived their rights under the CSG Standard compared to 867,270 at 30 June 2015—a</w:t>
      </w:r>
      <w:r>
        <w:t>n</w:t>
      </w:r>
      <w:r w:rsidRPr="006134FA">
        <w:t xml:space="preserve"> increase of 18 per cent. TPG accounted for 57 per cent of waivers and iiNet for 33 per cent.</w:t>
      </w:r>
    </w:p>
    <w:p w14:paraId="18D6776E" w14:textId="77777777" w:rsidR="00AD37AD" w:rsidRPr="006134FA" w:rsidRDefault="00AD37AD" w:rsidP="00AD37AD">
      <w:pPr>
        <w:pStyle w:val="ACMATableHeader"/>
        <w:numPr>
          <w:ilvl w:val="0"/>
          <w:numId w:val="0"/>
        </w:numPr>
        <w:tabs>
          <w:tab w:val="left" w:pos="1134"/>
        </w:tabs>
      </w:pPr>
      <w:r w:rsidRPr="006134FA">
        <w:t>Table 5.5</w:t>
      </w:r>
      <w:r>
        <w:tab/>
      </w:r>
      <w:r w:rsidRPr="006134FA">
        <w:t>CSG Standard time frames (working days)</w:t>
      </w:r>
    </w:p>
    <w:tbl>
      <w:tblPr>
        <w:tblStyle w:val="Commsreport2015-16TABLE"/>
        <w:tblW w:w="8475" w:type="dxa"/>
        <w:tblLayout w:type="fixed"/>
        <w:tblCellMar>
          <w:top w:w="57" w:type="dxa"/>
          <w:left w:w="57" w:type="dxa"/>
          <w:bottom w:w="57" w:type="dxa"/>
          <w:right w:w="57" w:type="dxa"/>
        </w:tblCellMar>
        <w:tblLook w:val="01E0" w:firstRow="1" w:lastRow="1" w:firstColumn="1" w:lastColumn="1" w:noHBand="0" w:noVBand="0"/>
        <w:tblCaption w:val="Table 5.5 CSG Standard time frames (working days)"/>
      </w:tblPr>
      <w:tblGrid>
        <w:gridCol w:w="1472"/>
        <w:gridCol w:w="1475"/>
        <w:gridCol w:w="2055"/>
        <w:gridCol w:w="2056"/>
        <w:gridCol w:w="1417"/>
      </w:tblGrid>
      <w:tr w:rsidR="00AD37AD" w:rsidRPr="00681B51" w14:paraId="39DB0496" w14:textId="77777777" w:rsidTr="00681B51">
        <w:trPr>
          <w:cnfStyle w:val="100000000000" w:firstRow="1" w:lastRow="0" w:firstColumn="0" w:lastColumn="0" w:oddVBand="0" w:evenVBand="0" w:oddHBand="0" w:evenHBand="0" w:firstRowFirstColumn="0" w:firstRowLastColumn="0" w:lastRowFirstColumn="0" w:lastRowLastColumn="0"/>
          <w:trHeight w:val="142"/>
          <w:tblHeader/>
        </w:trPr>
        <w:tc>
          <w:tcPr>
            <w:cnfStyle w:val="001000000000" w:firstRow="0" w:lastRow="0" w:firstColumn="1" w:lastColumn="0" w:oddVBand="0" w:evenVBand="0" w:oddHBand="0" w:evenHBand="0" w:firstRowFirstColumn="0" w:firstRowLastColumn="0" w:lastRowFirstColumn="0" w:lastRowLastColumn="0"/>
            <w:tcW w:w="1472" w:type="dxa"/>
            <w:vMerge w:val="restart"/>
            <w:shd w:val="clear" w:color="auto" w:fill="auto"/>
          </w:tcPr>
          <w:p w14:paraId="76B07F44" w14:textId="77777777" w:rsidR="00AD37AD" w:rsidRPr="00681B51" w:rsidRDefault="00AD37AD" w:rsidP="00681B51">
            <w:pPr>
              <w:pStyle w:val="TableHeading"/>
              <w:rPr>
                <w:b/>
              </w:rPr>
            </w:pPr>
          </w:p>
        </w:tc>
        <w:tc>
          <w:tcPr>
            <w:tcW w:w="1475" w:type="dxa"/>
            <w:vMerge w:val="restart"/>
          </w:tcPr>
          <w:p w14:paraId="6C0F3868"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bCs/>
              </w:rPr>
            </w:pPr>
            <w:r w:rsidRPr="00681B51">
              <w:rPr>
                <w:b/>
              </w:rPr>
              <w:t>In-place connection</w:t>
            </w:r>
          </w:p>
        </w:tc>
        <w:tc>
          <w:tcPr>
            <w:tcW w:w="4111" w:type="dxa"/>
            <w:gridSpan w:val="2"/>
          </w:tcPr>
          <w:p w14:paraId="1EF3CC6B"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bCs/>
              </w:rPr>
            </w:pPr>
            <w:r w:rsidRPr="00681B51">
              <w:rPr>
                <w:b/>
              </w:rPr>
              <w:t>New service connection</w:t>
            </w:r>
          </w:p>
        </w:tc>
        <w:tc>
          <w:tcPr>
            <w:tcW w:w="1417" w:type="dxa"/>
            <w:vMerge w:val="restart"/>
          </w:tcPr>
          <w:p w14:paraId="09F5E83C"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Fault repair</w:t>
            </w:r>
          </w:p>
        </w:tc>
      </w:tr>
      <w:tr w:rsidR="00AD37AD" w:rsidRPr="006134FA" w14:paraId="1F599768" w14:textId="77777777" w:rsidTr="005C74F2">
        <w:trPr>
          <w:trHeight w:val="332"/>
        </w:trPr>
        <w:tc>
          <w:tcPr>
            <w:cnfStyle w:val="001000000000" w:firstRow="0" w:lastRow="0" w:firstColumn="1" w:lastColumn="0" w:oddVBand="0" w:evenVBand="0" w:oddHBand="0" w:evenHBand="0" w:firstRowFirstColumn="0" w:firstRowLastColumn="0" w:lastRowFirstColumn="0" w:lastRowLastColumn="0"/>
            <w:tcW w:w="1472" w:type="dxa"/>
            <w:vMerge/>
            <w:shd w:val="clear" w:color="auto" w:fill="auto"/>
          </w:tcPr>
          <w:p w14:paraId="224BD093" w14:textId="77777777" w:rsidR="00AD37AD" w:rsidRPr="006134FA" w:rsidRDefault="00AD37AD" w:rsidP="005C74F2">
            <w:pPr>
              <w:keepNext/>
              <w:keepLines/>
              <w:spacing w:after="0"/>
              <w:rPr>
                <w:rFonts w:cs="Arial"/>
                <w:b/>
                <w:szCs w:val="18"/>
              </w:rPr>
            </w:pPr>
          </w:p>
        </w:tc>
        <w:tc>
          <w:tcPr>
            <w:tcW w:w="1475" w:type="dxa"/>
            <w:vMerge/>
          </w:tcPr>
          <w:p w14:paraId="518D6853"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bCs/>
                <w:szCs w:val="18"/>
              </w:rPr>
            </w:pPr>
          </w:p>
        </w:tc>
        <w:tc>
          <w:tcPr>
            <w:tcW w:w="2055" w:type="dxa"/>
            <w:shd w:val="clear" w:color="auto" w:fill="007298"/>
          </w:tcPr>
          <w:p w14:paraId="38E81896"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bCs/>
                <w:color w:val="FFFFFF"/>
                <w:szCs w:val="18"/>
              </w:rPr>
            </w:pPr>
            <w:r w:rsidRPr="006134FA">
              <w:rPr>
                <w:rFonts w:cs="Arial"/>
                <w:b/>
                <w:color w:val="FFFFFF"/>
                <w:szCs w:val="18"/>
              </w:rPr>
              <w:t>Close to infrastructure</w:t>
            </w:r>
          </w:p>
        </w:tc>
        <w:tc>
          <w:tcPr>
            <w:tcW w:w="2056" w:type="dxa"/>
            <w:shd w:val="clear" w:color="auto" w:fill="007298"/>
          </w:tcPr>
          <w:p w14:paraId="3B040391"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bCs/>
                <w:color w:val="FFFFFF"/>
                <w:szCs w:val="18"/>
              </w:rPr>
            </w:pPr>
            <w:r w:rsidRPr="006134FA">
              <w:rPr>
                <w:rFonts w:cs="Arial"/>
                <w:b/>
                <w:color w:val="FFFFFF"/>
                <w:szCs w:val="18"/>
              </w:rPr>
              <w:t>Not close to infrastructure</w:t>
            </w:r>
          </w:p>
        </w:tc>
        <w:tc>
          <w:tcPr>
            <w:tcW w:w="1417" w:type="dxa"/>
            <w:vMerge/>
          </w:tcPr>
          <w:p w14:paraId="240999AF"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bCs/>
                <w:szCs w:val="18"/>
              </w:rPr>
            </w:pPr>
          </w:p>
        </w:tc>
      </w:tr>
      <w:tr w:rsidR="00AD37AD" w:rsidRPr="006134FA" w14:paraId="68163789" w14:textId="77777777" w:rsidTr="005C74F2">
        <w:trPr>
          <w:trHeight w:val="23"/>
        </w:trPr>
        <w:tc>
          <w:tcPr>
            <w:cnfStyle w:val="001000000000" w:firstRow="0" w:lastRow="0" w:firstColumn="1" w:lastColumn="0" w:oddVBand="0" w:evenVBand="0" w:oddHBand="0" w:evenHBand="0" w:firstRowFirstColumn="0" w:firstRowLastColumn="0" w:lastRowFirstColumn="0" w:lastRowLastColumn="0"/>
            <w:tcW w:w="1472" w:type="dxa"/>
          </w:tcPr>
          <w:p w14:paraId="4B123989" w14:textId="77777777" w:rsidR="00AD37AD" w:rsidRPr="00BE6BBB" w:rsidRDefault="00AD37AD" w:rsidP="005C74F2">
            <w:pPr>
              <w:keepNext/>
              <w:keepLines/>
              <w:spacing w:after="0"/>
              <w:rPr>
                <w:rFonts w:cs="Arial"/>
                <w:color w:val="FFFFFF" w:themeColor="background1"/>
                <w:szCs w:val="18"/>
              </w:rPr>
            </w:pPr>
            <w:r w:rsidRPr="00BE6BBB">
              <w:rPr>
                <w:rFonts w:cs="Arial"/>
                <w:color w:val="FFFFFF" w:themeColor="background1"/>
                <w:szCs w:val="18"/>
              </w:rPr>
              <w:t>Urban</w:t>
            </w:r>
          </w:p>
        </w:tc>
        <w:tc>
          <w:tcPr>
            <w:tcW w:w="1475" w:type="dxa"/>
          </w:tcPr>
          <w:p w14:paraId="153624EC"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w:t>
            </w:r>
          </w:p>
        </w:tc>
        <w:tc>
          <w:tcPr>
            <w:tcW w:w="2055" w:type="dxa"/>
          </w:tcPr>
          <w:p w14:paraId="593337A4"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w:t>
            </w:r>
          </w:p>
        </w:tc>
        <w:tc>
          <w:tcPr>
            <w:tcW w:w="2056" w:type="dxa"/>
          </w:tcPr>
          <w:p w14:paraId="1CEA7A7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20</w:t>
            </w:r>
          </w:p>
        </w:tc>
        <w:tc>
          <w:tcPr>
            <w:tcW w:w="1417" w:type="dxa"/>
          </w:tcPr>
          <w:p w14:paraId="6A696360"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w:t>
            </w:r>
          </w:p>
        </w:tc>
      </w:tr>
      <w:tr w:rsidR="00AD37AD" w:rsidRPr="006134FA" w14:paraId="17380CFF" w14:textId="77777777" w:rsidTr="005C74F2">
        <w:trPr>
          <w:trHeight w:val="204"/>
        </w:trPr>
        <w:tc>
          <w:tcPr>
            <w:cnfStyle w:val="001000000000" w:firstRow="0" w:lastRow="0" w:firstColumn="1" w:lastColumn="0" w:oddVBand="0" w:evenVBand="0" w:oddHBand="0" w:evenHBand="0" w:firstRowFirstColumn="0" w:firstRowLastColumn="0" w:lastRowFirstColumn="0" w:lastRowLastColumn="0"/>
            <w:tcW w:w="1472" w:type="dxa"/>
          </w:tcPr>
          <w:p w14:paraId="375D5E8F" w14:textId="77777777" w:rsidR="00AD37AD" w:rsidRPr="00BE6BBB" w:rsidRDefault="00AD37AD" w:rsidP="005C74F2">
            <w:pPr>
              <w:keepNext/>
              <w:keepLines/>
              <w:spacing w:after="0"/>
              <w:rPr>
                <w:rFonts w:cs="Arial"/>
                <w:color w:val="FFFFFF" w:themeColor="background1"/>
                <w:szCs w:val="18"/>
              </w:rPr>
            </w:pPr>
            <w:r w:rsidRPr="00BE6BBB">
              <w:rPr>
                <w:rFonts w:cs="Arial"/>
                <w:color w:val="FFFFFF" w:themeColor="background1"/>
                <w:szCs w:val="18"/>
              </w:rPr>
              <w:t>Major rural</w:t>
            </w:r>
          </w:p>
        </w:tc>
        <w:tc>
          <w:tcPr>
            <w:tcW w:w="1475" w:type="dxa"/>
          </w:tcPr>
          <w:p w14:paraId="14015AFC"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w:t>
            </w:r>
          </w:p>
        </w:tc>
        <w:tc>
          <w:tcPr>
            <w:tcW w:w="2055" w:type="dxa"/>
          </w:tcPr>
          <w:p w14:paraId="130C3085"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w:t>
            </w:r>
          </w:p>
        </w:tc>
        <w:tc>
          <w:tcPr>
            <w:tcW w:w="2056" w:type="dxa"/>
          </w:tcPr>
          <w:p w14:paraId="55AE0FEB"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20</w:t>
            </w:r>
          </w:p>
        </w:tc>
        <w:tc>
          <w:tcPr>
            <w:tcW w:w="1417" w:type="dxa"/>
          </w:tcPr>
          <w:p w14:paraId="11A58DA7"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w:t>
            </w:r>
          </w:p>
        </w:tc>
      </w:tr>
      <w:tr w:rsidR="00AD37AD" w:rsidRPr="006134FA" w14:paraId="1307CC39" w14:textId="77777777" w:rsidTr="001D17FF">
        <w:trPr>
          <w:trHeight w:val="100"/>
        </w:trPr>
        <w:tc>
          <w:tcPr>
            <w:cnfStyle w:val="001000000000" w:firstRow="0" w:lastRow="0" w:firstColumn="1" w:lastColumn="0" w:oddVBand="0" w:evenVBand="0" w:oddHBand="0" w:evenHBand="0" w:firstRowFirstColumn="0" w:firstRowLastColumn="0" w:lastRowFirstColumn="0" w:lastRowLastColumn="0"/>
            <w:tcW w:w="1472" w:type="dxa"/>
          </w:tcPr>
          <w:p w14:paraId="5C57577F" w14:textId="77777777" w:rsidR="00AD37AD" w:rsidRPr="00BE6BBB" w:rsidRDefault="00AD37AD" w:rsidP="005C74F2">
            <w:pPr>
              <w:keepNext/>
              <w:keepLines/>
              <w:spacing w:after="0"/>
              <w:rPr>
                <w:rFonts w:cs="Arial"/>
                <w:color w:val="FFFFFF" w:themeColor="background1"/>
                <w:szCs w:val="18"/>
              </w:rPr>
            </w:pPr>
            <w:r w:rsidRPr="00BE6BBB">
              <w:rPr>
                <w:rFonts w:cs="Arial"/>
                <w:color w:val="FFFFFF" w:themeColor="background1"/>
                <w:szCs w:val="18"/>
              </w:rPr>
              <w:t>Minor rural</w:t>
            </w:r>
          </w:p>
        </w:tc>
        <w:tc>
          <w:tcPr>
            <w:tcW w:w="1475" w:type="dxa"/>
          </w:tcPr>
          <w:p w14:paraId="1DC47A35"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w:t>
            </w:r>
          </w:p>
        </w:tc>
        <w:tc>
          <w:tcPr>
            <w:tcW w:w="2055" w:type="dxa"/>
          </w:tcPr>
          <w:p w14:paraId="1590F948"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15</w:t>
            </w:r>
          </w:p>
        </w:tc>
        <w:tc>
          <w:tcPr>
            <w:tcW w:w="2056" w:type="dxa"/>
          </w:tcPr>
          <w:p w14:paraId="75B7F135"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20</w:t>
            </w:r>
          </w:p>
        </w:tc>
        <w:tc>
          <w:tcPr>
            <w:tcW w:w="1417" w:type="dxa"/>
          </w:tcPr>
          <w:p w14:paraId="2CAD64FB"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w:t>
            </w:r>
          </w:p>
        </w:tc>
      </w:tr>
      <w:tr w:rsidR="00AD37AD" w:rsidRPr="006134FA" w14:paraId="4FF4BE4D" w14:textId="77777777" w:rsidTr="001D17FF">
        <w:trPr>
          <w:trHeight w:val="24"/>
        </w:trPr>
        <w:tc>
          <w:tcPr>
            <w:cnfStyle w:val="001000000000" w:firstRow="0" w:lastRow="0" w:firstColumn="1" w:lastColumn="0" w:oddVBand="0" w:evenVBand="0" w:oddHBand="0" w:evenHBand="0" w:firstRowFirstColumn="0" w:firstRowLastColumn="0" w:lastRowFirstColumn="0" w:lastRowLastColumn="0"/>
            <w:tcW w:w="1472" w:type="dxa"/>
          </w:tcPr>
          <w:p w14:paraId="2D3274C9" w14:textId="77777777" w:rsidR="00AD37AD" w:rsidRPr="00BE6BBB" w:rsidRDefault="00AD37AD" w:rsidP="005C74F2">
            <w:pPr>
              <w:keepNext/>
              <w:keepLines/>
              <w:spacing w:after="0"/>
              <w:rPr>
                <w:rFonts w:cs="Arial"/>
                <w:color w:val="FFFFFF" w:themeColor="background1"/>
                <w:szCs w:val="18"/>
              </w:rPr>
            </w:pPr>
            <w:r w:rsidRPr="00BE6BBB">
              <w:rPr>
                <w:rFonts w:cs="Arial"/>
                <w:color w:val="FFFFFF" w:themeColor="background1"/>
                <w:szCs w:val="18"/>
              </w:rPr>
              <w:t>Remote</w:t>
            </w:r>
          </w:p>
        </w:tc>
        <w:tc>
          <w:tcPr>
            <w:tcW w:w="1475" w:type="dxa"/>
          </w:tcPr>
          <w:p w14:paraId="03B700D7"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w:t>
            </w:r>
          </w:p>
        </w:tc>
        <w:tc>
          <w:tcPr>
            <w:tcW w:w="2055" w:type="dxa"/>
          </w:tcPr>
          <w:p w14:paraId="1EA7E5F7"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15</w:t>
            </w:r>
          </w:p>
        </w:tc>
        <w:tc>
          <w:tcPr>
            <w:tcW w:w="2056" w:type="dxa"/>
          </w:tcPr>
          <w:p w14:paraId="2A2DEE80"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20</w:t>
            </w:r>
          </w:p>
        </w:tc>
        <w:tc>
          <w:tcPr>
            <w:tcW w:w="1417" w:type="dxa"/>
          </w:tcPr>
          <w:p w14:paraId="3F238010"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w:t>
            </w:r>
          </w:p>
        </w:tc>
      </w:tr>
    </w:tbl>
    <w:p w14:paraId="7B357DAA" w14:textId="77777777" w:rsidR="00AD37AD" w:rsidRPr="006134FA" w:rsidRDefault="00AD37AD" w:rsidP="00AD37AD">
      <w:pPr>
        <w:pStyle w:val="ACMANotes"/>
      </w:pPr>
      <w:r w:rsidRPr="006134FA">
        <w:t>Note: ‘Urban’ is defined as communities with 10,000 or more people, ‘major rural’ is defined as communities with between 2,500 and 10,000 people, ‘minor rural’ is defined as communities with between 200 and 2,500 people, ‘remote’ is defined as communities with up to 200 people.</w:t>
      </w:r>
    </w:p>
    <w:p w14:paraId="4E22DFF6" w14:textId="77777777" w:rsidR="00AD37AD" w:rsidRDefault="00AD37AD" w:rsidP="00AD37AD">
      <w:pPr>
        <w:pStyle w:val="ACMANotes"/>
      </w:pPr>
      <w:r w:rsidRPr="006134FA">
        <w:t>Source: CSG Standard.</w:t>
      </w:r>
    </w:p>
    <w:p w14:paraId="2AF6CE4A" w14:textId="77777777" w:rsidR="00AD37AD" w:rsidRPr="006134FA" w:rsidRDefault="00AD37AD" w:rsidP="00AD37AD">
      <w:pPr>
        <w:pStyle w:val="ACMASpaceaftertable"/>
      </w:pPr>
    </w:p>
    <w:p w14:paraId="5954B244" w14:textId="77777777" w:rsidR="00AD37AD" w:rsidRPr="006134FA" w:rsidRDefault="00AD37AD" w:rsidP="00AD37AD">
      <w:pPr>
        <w:pStyle w:val="Heading3"/>
      </w:pPr>
      <w:bookmarkStart w:id="772" w:name="_Toc462909502"/>
      <w:bookmarkStart w:id="773" w:name="_Toc465842983"/>
      <w:r w:rsidRPr="006134FA">
        <w:t>New service and in-place connections</w:t>
      </w:r>
      <w:bookmarkEnd w:id="772"/>
      <w:bookmarkEnd w:id="773"/>
    </w:p>
    <w:p w14:paraId="2147BC30" w14:textId="77777777" w:rsidR="00AD37AD" w:rsidRPr="006134FA" w:rsidRDefault="00AD37AD" w:rsidP="00AD37AD">
      <w:r w:rsidRPr="006134FA">
        <w:t xml:space="preserve">Table 5.6 shows CSP performance in 2015–16 in meeting CSG Standard time frames for new service connections and in-place service connections. </w:t>
      </w:r>
    </w:p>
    <w:p w14:paraId="580B3CFA" w14:textId="77777777" w:rsidR="00AD37AD" w:rsidRPr="006134FA" w:rsidRDefault="00AD37AD" w:rsidP="00AD37AD">
      <w:r w:rsidRPr="006134FA">
        <w:t xml:space="preserve">A ‘new service connection’ is the connection of a standard telephone service to premises where there is the need for additional work to be completed (for example, cabling) before a service can be connected. This excludes in-place service connections where there has been a previous working CSG service that is available for reconnection or reactivation by the CSP. </w:t>
      </w:r>
    </w:p>
    <w:p w14:paraId="422F1DDC" w14:textId="77777777" w:rsidR="00AD37AD" w:rsidRPr="006134FA" w:rsidRDefault="00AD37AD" w:rsidP="00DE4C83">
      <w:pPr>
        <w:pStyle w:val="ACMATableHeader"/>
        <w:keepNext/>
        <w:numPr>
          <w:ilvl w:val="0"/>
          <w:numId w:val="0"/>
        </w:numPr>
        <w:ind w:left="1134" w:hanging="1134"/>
      </w:pPr>
      <w:r w:rsidRPr="006134FA">
        <w:lastRenderedPageBreak/>
        <w:t>Table 5.6</w:t>
      </w:r>
      <w:r>
        <w:tab/>
      </w:r>
      <w:r w:rsidRPr="006134FA">
        <w:t>Percentage and number of new service and in-place connections provided within CSG</w:t>
      </w:r>
      <w:r w:rsidR="0047043D">
        <w:t> </w:t>
      </w:r>
      <w:r w:rsidRPr="006134FA">
        <w:t>Standard time frames, 2015–16</w:t>
      </w:r>
    </w:p>
    <w:tbl>
      <w:tblPr>
        <w:tblStyle w:val="Commsreport2015-16TABLE"/>
        <w:tblW w:w="9429" w:type="dxa"/>
        <w:tblLayout w:type="fixed"/>
        <w:tblCellMar>
          <w:top w:w="57" w:type="dxa"/>
          <w:left w:w="57" w:type="dxa"/>
          <w:bottom w:w="57" w:type="dxa"/>
          <w:right w:w="57" w:type="dxa"/>
        </w:tblCellMar>
        <w:tblLook w:val="01E0" w:firstRow="1" w:lastRow="1" w:firstColumn="1" w:lastColumn="1" w:noHBand="0" w:noVBand="0"/>
        <w:tblCaption w:val="Table 5.6 Percentage and number of new service and in-place connections provided within CSG Standard time frames, 2015–16"/>
      </w:tblPr>
      <w:tblGrid>
        <w:gridCol w:w="1225"/>
        <w:gridCol w:w="1284"/>
        <w:gridCol w:w="1384"/>
        <w:gridCol w:w="1384"/>
        <w:gridCol w:w="1384"/>
        <w:gridCol w:w="1384"/>
        <w:gridCol w:w="1384"/>
      </w:tblGrid>
      <w:tr w:rsidR="00AD37AD" w:rsidRPr="00681B51" w14:paraId="2647C7F7" w14:textId="77777777" w:rsidTr="003E1E8C">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1225" w:type="dxa"/>
            <w:shd w:val="clear" w:color="auto" w:fill="FFFFFF"/>
          </w:tcPr>
          <w:p w14:paraId="24994F00" w14:textId="77777777" w:rsidR="00AD37AD" w:rsidRPr="00681B51" w:rsidRDefault="00AD37AD" w:rsidP="00681B51">
            <w:pPr>
              <w:pStyle w:val="TableHeading"/>
              <w:rPr>
                <w:b/>
              </w:rPr>
            </w:pPr>
          </w:p>
        </w:tc>
        <w:tc>
          <w:tcPr>
            <w:tcW w:w="1284" w:type="dxa"/>
            <w:shd w:val="clear" w:color="auto" w:fill="FFFFFF"/>
          </w:tcPr>
          <w:p w14:paraId="287870D1"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p>
        </w:tc>
        <w:tc>
          <w:tcPr>
            <w:tcW w:w="5536" w:type="dxa"/>
            <w:gridSpan w:val="4"/>
            <w:vAlign w:val="top"/>
          </w:tcPr>
          <w:p w14:paraId="2F8CD626" w14:textId="77777777" w:rsidR="00AD37AD" w:rsidRPr="00681B51" w:rsidRDefault="00AD37AD" w:rsidP="00681B51">
            <w:pPr>
              <w:pStyle w:val="TableHeading"/>
              <w:jc w:val="center"/>
              <w:cnfStyle w:val="100000000000" w:firstRow="1" w:lastRow="0" w:firstColumn="0" w:lastColumn="0" w:oddVBand="0" w:evenVBand="0" w:oddHBand="0" w:evenHBand="0" w:firstRowFirstColumn="0" w:firstRowLastColumn="0" w:lastRowFirstColumn="0" w:lastRowLastColumn="0"/>
              <w:rPr>
                <w:b/>
                <w:spacing w:val="-28"/>
              </w:rPr>
            </w:pPr>
            <w:r w:rsidRPr="00681B51">
              <w:rPr>
                <w:b/>
                <w:bCs/>
              </w:rPr>
              <w:t>New service*</w:t>
            </w:r>
          </w:p>
        </w:tc>
        <w:tc>
          <w:tcPr>
            <w:tcW w:w="1384" w:type="dxa"/>
            <w:vAlign w:val="top"/>
          </w:tcPr>
          <w:p w14:paraId="49002993"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bCs/>
              </w:rPr>
            </w:pPr>
            <w:r w:rsidRPr="00681B51">
              <w:rPr>
                <w:b/>
                <w:bCs/>
              </w:rPr>
              <w:t>In-place service*</w:t>
            </w:r>
          </w:p>
        </w:tc>
      </w:tr>
      <w:tr w:rsidR="00AD37AD" w:rsidRPr="006134FA" w14:paraId="2E597245" w14:textId="77777777" w:rsidTr="003E1E8C">
        <w:trPr>
          <w:trHeight w:val="454"/>
        </w:trPr>
        <w:tc>
          <w:tcPr>
            <w:cnfStyle w:val="001000000000" w:firstRow="0" w:lastRow="0" w:firstColumn="1" w:lastColumn="0" w:oddVBand="0" w:evenVBand="0" w:oddHBand="0" w:evenHBand="0" w:firstRowFirstColumn="0" w:firstRowLastColumn="0" w:lastRowFirstColumn="0" w:lastRowLastColumn="0"/>
            <w:tcW w:w="1225" w:type="dxa"/>
            <w:shd w:val="clear" w:color="auto" w:fill="FFFFFF"/>
          </w:tcPr>
          <w:p w14:paraId="2ACF2739" w14:textId="77777777" w:rsidR="00AD37AD" w:rsidRPr="006134FA" w:rsidRDefault="00AD37AD" w:rsidP="005C74F2">
            <w:pPr>
              <w:keepNext/>
              <w:keepLines/>
              <w:spacing w:after="0"/>
              <w:jc w:val="right"/>
              <w:rPr>
                <w:rFonts w:cs="Arial"/>
                <w:b/>
                <w:szCs w:val="18"/>
              </w:rPr>
            </w:pPr>
          </w:p>
        </w:tc>
        <w:tc>
          <w:tcPr>
            <w:tcW w:w="1284" w:type="dxa"/>
            <w:shd w:val="clear" w:color="auto" w:fill="FFFFFF"/>
          </w:tcPr>
          <w:p w14:paraId="68207D09" w14:textId="77777777" w:rsidR="00AD37AD" w:rsidRPr="006134FA" w:rsidRDefault="00AD37AD" w:rsidP="005C74F2">
            <w:pPr>
              <w:keepNext/>
              <w:keepLines/>
              <w:spacing w:after="0"/>
              <w:jc w:val="center"/>
              <w:cnfStyle w:val="000000000000" w:firstRow="0" w:lastRow="0" w:firstColumn="0" w:lastColumn="0" w:oddVBand="0" w:evenVBand="0" w:oddHBand="0" w:evenHBand="0" w:firstRowFirstColumn="0" w:firstRowLastColumn="0" w:lastRowFirstColumn="0" w:lastRowLastColumn="0"/>
              <w:rPr>
                <w:rFonts w:cs="Arial"/>
                <w:b/>
                <w:color w:val="FFFFFF"/>
                <w:szCs w:val="18"/>
              </w:rPr>
            </w:pPr>
          </w:p>
        </w:tc>
        <w:tc>
          <w:tcPr>
            <w:tcW w:w="1384" w:type="dxa"/>
            <w:shd w:val="clear" w:color="auto" w:fill="007298"/>
            <w:vAlign w:val="top"/>
          </w:tcPr>
          <w:p w14:paraId="4169BF7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 xml:space="preserve">Urban </w:t>
            </w:r>
            <w:r w:rsidRPr="006134FA">
              <w:rPr>
                <w:rFonts w:cs="Arial"/>
                <w:b/>
                <w:color w:val="FFFFFF"/>
                <w:szCs w:val="18"/>
              </w:rPr>
              <w:br/>
              <w:t>areas</w:t>
            </w:r>
          </w:p>
        </w:tc>
        <w:tc>
          <w:tcPr>
            <w:tcW w:w="1384" w:type="dxa"/>
            <w:shd w:val="clear" w:color="auto" w:fill="007298"/>
            <w:vAlign w:val="top"/>
          </w:tcPr>
          <w:p w14:paraId="10E372CE"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Major rural areas</w:t>
            </w:r>
          </w:p>
        </w:tc>
        <w:tc>
          <w:tcPr>
            <w:tcW w:w="1384" w:type="dxa"/>
            <w:shd w:val="clear" w:color="auto" w:fill="007298"/>
            <w:vAlign w:val="top"/>
          </w:tcPr>
          <w:p w14:paraId="00B80741"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Minor rural areas</w:t>
            </w:r>
          </w:p>
        </w:tc>
        <w:tc>
          <w:tcPr>
            <w:tcW w:w="1384" w:type="dxa"/>
            <w:shd w:val="clear" w:color="auto" w:fill="007298"/>
            <w:vAlign w:val="top"/>
          </w:tcPr>
          <w:p w14:paraId="2EFB07DB"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 xml:space="preserve">Remote </w:t>
            </w:r>
            <w:r w:rsidRPr="006134FA">
              <w:rPr>
                <w:rFonts w:cs="Arial"/>
                <w:b/>
                <w:color w:val="FFFFFF"/>
                <w:szCs w:val="18"/>
              </w:rPr>
              <w:br/>
              <w:t>areas</w:t>
            </w:r>
          </w:p>
        </w:tc>
        <w:tc>
          <w:tcPr>
            <w:tcW w:w="1384" w:type="dxa"/>
            <w:shd w:val="clear" w:color="auto" w:fill="007298"/>
            <w:vAlign w:val="top"/>
          </w:tcPr>
          <w:p w14:paraId="6F691BB9"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All areas</w:t>
            </w:r>
          </w:p>
        </w:tc>
      </w:tr>
      <w:tr w:rsidR="00AD37AD" w:rsidRPr="006134FA" w14:paraId="093FBBAB" w14:textId="77777777" w:rsidTr="003E1E8C">
        <w:trPr>
          <w:trHeight w:val="250"/>
        </w:trPr>
        <w:tc>
          <w:tcPr>
            <w:cnfStyle w:val="001000000000" w:firstRow="0" w:lastRow="0" w:firstColumn="1" w:lastColumn="0" w:oddVBand="0" w:evenVBand="0" w:oddHBand="0" w:evenHBand="0" w:firstRowFirstColumn="0" w:firstRowLastColumn="0" w:lastRowFirstColumn="0" w:lastRowLastColumn="0"/>
            <w:tcW w:w="1225" w:type="dxa"/>
            <w:vMerge w:val="restart"/>
            <w:shd w:val="clear" w:color="auto" w:fill="7FB8CB"/>
          </w:tcPr>
          <w:p w14:paraId="38818C12" w14:textId="77777777" w:rsidR="00AD37AD" w:rsidRPr="00BE6BBB" w:rsidRDefault="00AD37AD" w:rsidP="005C74F2">
            <w:pPr>
              <w:keepNext/>
              <w:keepLines/>
              <w:spacing w:after="0"/>
              <w:rPr>
                <w:rFonts w:cs="Arial"/>
                <w:b/>
                <w:color w:val="FFFFFF" w:themeColor="background1"/>
                <w:szCs w:val="18"/>
              </w:rPr>
            </w:pPr>
            <w:r w:rsidRPr="00BE6BBB">
              <w:rPr>
                <w:rFonts w:cs="Arial"/>
                <w:b/>
                <w:color w:val="FFFFFF" w:themeColor="background1"/>
                <w:szCs w:val="18"/>
              </w:rPr>
              <w:t>iiNet</w:t>
            </w:r>
          </w:p>
        </w:tc>
        <w:tc>
          <w:tcPr>
            <w:tcW w:w="1284" w:type="dxa"/>
            <w:shd w:val="clear" w:color="auto" w:fill="7FB8CB"/>
          </w:tcPr>
          <w:p w14:paraId="5CE7618F" w14:textId="77777777" w:rsidR="00AD37AD" w:rsidRPr="00BE6BBB" w:rsidRDefault="00AD37AD" w:rsidP="005C74F2">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w:t>
            </w:r>
          </w:p>
        </w:tc>
        <w:tc>
          <w:tcPr>
            <w:tcW w:w="1384" w:type="dxa"/>
          </w:tcPr>
          <w:p w14:paraId="33968EAE"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94.8</w:t>
            </w:r>
          </w:p>
        </w:tc>
        <w:tc>
          <w:tcPr>
            <w:tcW w:w="1384" w:type="dxa"/>
          </w:tcPr>
          <w:p w14:paraId="31EC79FC"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97.2</w:t>
            </w:r>
          </w:p>
        </w:tc>
        <w:tc>
          <w:tcPr>
            <w:tcW w:w="1384" w:type="dxa"/>
          </w:tcPr>
          <w:p w14:paraId="58108B0B"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color w:val="000000"/>
                <w:szCs w:val="18"/>
              </w:rPr>
              <w:t>96.4</w:t>
            </w:r>
          </w:p>
        </w:tc>
        <w:tc>
          <w:tcPr>
            <w:tcW w:w="1384" w:type="dxa"/>
          </w:tcPr>
          <w:p w14:paraId="0DB2FE50"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96.5</w:t>
            </w:r>
          </w:p>
        </w:tc>
        <w:tc>
          <w:tcPr>
            <w:tcW w:w="1384" w:type="dxa"/>
          </w:tcPr>
          <w:p w14:paraId="26D30A52"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96.9</w:t>
            </w:r>
          </w:p>
        </w:tc>
      </w:tr>
      <w:tr w:rsidR="00AD37AD" w:rsidRPr="006134FA" w14:paraId="21F42727" w14:textId="77777777" w:rsidTr="003E1E8C">
        <w:trPr>
          <w:trHeight w:val="256"/>
        </w:trPr>
        <w:tc>
          <w:tcPr>
            <w:cnfStyle w:val="001000000000" w:firstRow="0" w:lastRow="0" w:firstColumn="1" w:lastColumn="0" w:oddVBand="0" w:evenVBand="0" w:oddHBand="0" w:evenHBand="0" w:firstRowFirstColumn="0" w:firstRowLastColumn="0" w:lastRowFirstColumn="0" w:lastRowLastColumn="0"/>
            <w:tcW w:w="1225" w:type="dxa"/>
            <w:vMerge/>
            <w:shd w:val="clear" w:color="auto" w:fill="7FB8CB"/>
          </w:tcPr>
          <w:p w14:paraId="6D0F345C" w14:textId="77777777" w:rsidR="00AD37AD" w:rsidRPr="00BE6BBB" w:rsidRDefault="00AD37AD" w:rsidP="005C74F2">
            <w:pPr>
              <w:keepNext/>
              <w:keepLines/>
              <w:spacing w:after="0"/>
              <w:rPr>
                <w:rFonts w:cs="Arial"/>
                <w:b/>
                <w:color w:val="FFFFFF" w:themeColor="background1"/>
                <w:szCs w:val="18"/>
              </w:rPr>
            </w:pPr>
          </w:p>
        </w:tc>
        <w:tc>
          <w:tcPr>
            <w:tcW w:w="1284" w:type="dxa"/>
            <w:shd w:val="clear" w:color="auto" w:fill="7FB8CB"/>
          </w:tcPr>
          <w:p w14:paraId="7B5891D3" w14:textId="77777777" w:rsidR="00AD37AD" w:rsidRPr="00BE6BBB" w:rsidRDefault="00AD37AD" w:rsidP="005C74F2">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No.</w:t>
            </w:r>
          </w:p>
        </w:tc>
        <w:tc>
          <w:tcPr>
            <w:tcW w:w="1384" w:type="dxa"/>
          </w:tcPr>
          <w:p w14:paraId="0FDF34C8"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64,817</w:t>
            </w:r>
          </w:p>
        </w:tc>
        <w:tc>
          <w:tcPr>
            <w:tcW w:w="1384" w:type="dxa"/>
          </w:tcPr>
          <w:p w14:paraId="00F88A24"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3,788</w:t>
            </w:r>
          </w:p>
        </w:tc>
        <w:tc>
          <w:tcPr>
            <w:tcW w:w="1384" w:type="dxa"/>
          </w:tcPr>
          <w:p w14:paraId="59D8445E"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color w:val="000000"/>
                <w:szCs w:val="18"/>
              </w:rPr>
              <w:t>1,645</w:t>
            </w:r>
          </w:p>
        </w:tc>
        <w:tc>
          <w:tcPr>
            <w:tcW w:w="1384" w:type="dxa"/>
          </w:tcPr>
          <w:p w14:paraId="58C3BA51"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55</w:t>
            </w:r>
          </w:p>
        </w:tc>
        <w:tc>
          <w:tcPr>
            <w:tcW w:w="1384" w:type="dxa"/>
          </w:tcPr>
          <w:p w14:paraId="67CF9781"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76,879</w:t>
            </w:r>
          </w:p>
        </w:tc>
      </w:tr>
      <w:tr w:rsidR="00AD37AD" w:rsidRPr="006134FA" w14:paraId="42EB44EA" w14:textId="77777777" w:rsidTr="003E1E8C">
        <w:trPr>
          <w:trHeight w:val="262"/>
        </w:trPr>
        <w:tc>
          <w:tcPr>
            <w:cnfStyle w:val="001000000000" w:firstRow="0" w:lastRow="0" w:firstColumn="1" w:lastColumn="0" w:oddVBand="0" w:evenVBand="0" w:oddHBand="0" w:evenHBand="0" w:firstRowFirstColumn="0" w:firstRowLastColumn="0" w:lastRowFirstColumn="0" w:lastRowLastColumn="0"/>
            <w:tcW w:w="1225" w:type="dxa"/>
            <w:vMerge w:val="restart"/>
            <w:shd w:val="clear" w:color="auto" w:fill="7FB8CB"/>
          </w:tcPr>
          <w:p w14:paraId="2E8EBD3D" w14:textId="77777777" w:rsidR="00AD37AD" w:rsidRPr="00BE6BBB" w:rsidRDefault="00AD37AD" w:rsidP="005C74F2">
            <w:pPr>
              <w:keepNext/>
              <w:keepLines/>
              <w:spacing w:after="0"/>
              <w:rPr>
                <w:rFonts w:cs="Arial"/>
                <w:b/>
                <w:color w:val="FFFFFF" w:themeColor="background1"/>
                <w:szCs w:val="18"/>
              </w:rPr>
            </w:pPr>
            <w:r w:rsidRPr="00BE6BBB">
              <w:rPr>
                <w:rFonts w:cs="Arial"/>
                <w:b/>
                <w:color w:val="FFFFFF" w:themeColor="background1"/>
                <w:szCs w:val="18"/>
              </w:rPr>
              <w:t>Optus</w:t>
            </w:r>
          </w:p>
        </w:tc>
        <w:tc>
          <w:tcPr>
            <w:tcW w:w="1284" w:type="dxa"/>
            <w:shd w:val="clear" w:color="auto" w:fill="7FB8CB"/>
          </w:tcPr>
          <w:p w14:paraId="34FE9E3C" w14:textId="77777777" w:rsidR="00AD37AD" w:rsidRPr="00BE6BBB" w:rsidRDefault="00AD37AD" w:rsidP="005C74F2">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w:t>
            </w:r>
          </w:p>
        </w:tc>
        <w:tc>
          <w:tcPr>
            <w:tcW w:w="1384" w:type="dxa"/>
          </w:tcPr>
          <w:p w14:paraId="27092BCE"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98.5</w:t>
            </w:r>
          </w:p>
        </w:tc>
        <w:tc>
          <w:tcPr>
            <w:tcW w:w="1384" w:type="dxa"/>
          </w:tcPr>
          <w:p w14:paraId="25E246AB"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98.8</w:t>
            </w:r>
          </w:p>
        </w:tc>
        <w:tc>
          <w:tcPr>
            <w:tcW w:w="1384" w:type="dxa"/>
          </w:tcPr>
          <w:p w14:paraId="74BDD6E0"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color w:val="000000"/>
                <w:szCs w:val="18"/>
              </w:rPr>
              <w:t>98.1</w:t>
            </w:r>
          </w:p>
        </w:tc>
        <w:tc>
          <w:tcPr>
            <w:tcW w:w="1384" w:type="dxa"/>
          </w:tcPr>
          <w:p w14:paraId="31E93787"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NQCSP</w:t>
            </w:r>
          </w:p>
        </w:tc>
        <w:tc>
          <w:tcPr>
            <w:tcW w:w="1384" w:type="dxa"/>
          </w:tcPr>
          <w:p w14:paraId="5B03FC19"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n/a</w:t>
            </w:r>
          </w:p>
        </w:tc>
      </w:tr>
      <w:tr w:rsidR="00AD37AD" w:rsidRPr="006134FA" w14:paraId="78136884" w14:textId="77777777" w:rsidTr="003E1E8C">
        <w:trPr>
          <w:trHeight w:val="240"/>
        </w:trPr>
        <w:tc>
          <w:tcPr>
            <w:cnfStyle w:val="001000000000" w:firstRow="0" w:lastRow="0" w:firstColumn="1" w:lastColumn="0" w:oddVBand="0" w:evenVBand="0" w:oddHBand="0" w:evenHBand="0" w:firstRowFirstColumn="0" w:firstRowLastColumn="0" w:lastRowFirstColumn="0" w:lastRowLastColumn="0"/>
            <w:tcW w:w="1225" w:type="dxa"/>
            <w:vMerge/>
            <w:shd w:val="clear" w:color="auto" w:fill="7FB8CB"/>
          </w:tcPr>
          <w:p w14:paraId="56BFAC2F" w14:textId="77777777" w:rsidR="00AD37AD" w:rsidRPr="00BE6BBB" w:rsidRDefault="00AD37AD" w:rsidP="005C74F2">
            <w:pPr>
              <w:keepNext/>
              <w:keepLines/>
              <w:spacing w:after="0"/>
              <w:rPr>
                <w:rFonts w:cs="Arial"/>
                <w:b/>
                <w:color w:val="FFFFFF" w:themeColor="background1"/>
                <w:szCs w:val="18"/>
              </w:rPr>
            </w:pPr>
          </w:p>
        </w:tc>
        <w:tc>
          <w:tcPr>
            <w:tcW w:w="1284" w:type="dxa"/>
            <w:shd w:val="clear" w:color="auto" w:fill="7FB8CB"/>
          </w:tcPr>
          <w:p w14:paraId="123D657D" w14:textId="77777777" w:rsidR="00AD37AD" w:rsidRPr="00BE6BBB" w:rsidRDefault="00AD37AD" w:rsidP="005C74F2">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No.</w:t>
            </w:r>
          </w:p>
        </w:tc>
        <w:tc>
          <w:tcPr>
            <w:tcW w:w="1384" w:type="dxa"/>
          </w:tcPr>
          <w:p w14:paraId="586B1AC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264,962</w:t>
            </w:r>
          </w:p>
        </w:tc>
        <w:tc>
          <w:tcPr>
            <w:tcW w:w="1384" w:type="dxa"/>
          </w:tcPr>
          <w:p w14:paraId="1FEFA1EF"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1,507</w:t>
            </w:r>
          </w:p>
        </w:tc>
        <w:tc>
          <w:tcPr>
            <w:tcW w:w="1384" w:type="dxa"/>
          </w:tcPr>
          <w:p w14:paraId="47240C8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color w:val="000000"/>
                <w:szCs w:val="18"/>
              </w:rPr>
              <w:t>817</w:t>
            </w:r>
          </w:p>
        </w:tc>
        <w:tc>
          <w:tcPr>
            <w:tcW w:w="1384" w:type="dxa"/>
          </w:tcPr>
          <w:p w14:paraId="4D01E53F"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NQCSP</w:t>
            </w:r>
          </w:p>
        </w:tc>
        <w:tc>
          <w:tcPr>
            <w:tcW w:w="1384" w:type="dxa"/>
          </w:tcPr>
          <w:p w14:paraId="5CC476EE"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n/a</w:t>
            </w:r>
          </w:p>
        </w:tc>
      </w:tr>
      <w:tr w:rsidR="00AD37AD" w:rsidRPr="006134FA" w14:paraId="2E24D03A" w14:textId="77777777" w:rsidTr="003E1E8C">
        <w:trPr>
          <w:trHeight w:val="245"/>
        </w:trPr>
        <w:tc>
          <w:tcPr>
            <w:cnfStyle w:val="001000000000" w:firstRow="0" w:lastRow="0" w:firstColumn="1" w:lastColumn="0" w:oddVBand="0" w:evenVBand="0" w:oddHBand="0" w:evenHBand="0" w:firstRowFirstColumn="0" w:firstRowLastColumn="0" w:lastRowFirstColumn="0" w:lastRowLastColumn="0"/>
            <w:tcW w:w="1225" w:type="dxa"/>
            <w:vMerge w:val="restart"/>
            <w:shd w:val="clear" w:color="auto" w:fill="7FB8CB"/>
          </w:tcPr>
          <w:p w14:paraId="1B9D8AEA" w14:textId="77777777" w:rsidR="00AD37AD" w:rsidRPr="00BE6BBB" w:rsidRDefault="00AD37AD" w:rsidP="005C74F2">
            <w:pPr>
              <w:keepNext/>
              <w:keepLines/>
              <w:spacing w:after="0"/>
              <w:rPr>
                <w:rFonts w:cs="Arial"/>
                <w:b/>
                <w:color w:val="FFFFFF" w:themeColor="background1"/>
                <w:szCs w:val="18"/>
              </w:rPr>
            </w:pPr>
            <w:r w:rsidRPr="00BE6BBB">
              <w:rPr>
                <w:rFonts w:cs="Arial"/>
                <w:b/>
                <w:color w:val="FFFFFF" w:themeColor="background1"/>
                <w:szCs w:val="18"/>
              </w:rPr>
              <w:t>Dodo</w:t>
            </w:r>
          </w:p>
        </w:tc>
        <w:tc>
          <w:tcPr>
            <w:tcW w:w="1284" w:type="dxa"/>
            <w:shd w:val="clear" w:color="auto" w:fill="7FB8CB"/>
          </w:tcPr>
          <w:p w14:paraId="05E6E956" w14:textId="77777777" w:rsidR="00AD37AD" w:rsidRPr="00BE6BBB" w:rsidRDefault="00AD37AD" w:rsidP="005C74F2">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w:t>
            </w:r>
          </w:p>
        </w:tc>
        <w:tc>
          <w:tcPr>
            <w:tcW w:w="1384" w:type="dxa"/>
          </w:tcPr>
          <w:p w14:paraId="06922FCF"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100</w:t>
            </w:r>
          </w:p>
        </w:tc>
        <w:tc>
          <w:tcPr>
            <w:tcW w:w="1384" w:type="dxa"/>
          </w:tcPr>
          <w:p w14:paraId="3140C814"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100</w:t>
            </w:r>
          </w:p>
        </w:tc>
        <w:tc>
          <w:tcPr>
            <w:tcW w:w="1384" w:type="dxa"/>
          </w:tcPr>
          <w:p w14:paraId="1D4883BB"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BA4AB8">
              <w:rPr>
                <w:rFonts w:cs="Arial"/>
                <w:color w:val="000000"/>
                <w:szCs w:val="18"/>
              </w:rPr>
              <w:t>100</w:t>
            </w:r>
          </w:p>
        </w:tc>
        <w:tc>
          <w:tcPr>
            <w:tcW w:w="1384" w:type="dxa"/>
          </w:tcPr>
          <w:p w14:paraId="01F255F5"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NQCSP</w:t>
            </w:r>
          </w:p>
        </w:tc>
        <w:tc>
          <w:tcPr>
            <w:tcW w:w="1384" w:type="dxa"/>
          </w:tcPr>
          <w:p w14:paraId="48D8543F"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100</w:t>
            </w:r>
          </w:p>
        </w:tc>
      </w:tr>
      <w:tr w:rsidR="00AD37AD" w:rsidRPr="006134FA" w14:paraId="51560AC0" w14:textId="77777777" w:rsidTr="003E1E8C">
        <w:trPr>
          <w:trHeight w:val="124"/>
        </w:trPr>
        <w:tc>
          <w:tcPr>
            <w:cnfStyle w:val="001000000000" w:firstRow="0" w:lastRow="0" w:firstColumn="1" w:lastColumn="0" w:oddVBand="0" w:evenVBand="0" w:oddHBand="0" w:evenHBand="0" w:firstRowFirstColumn="0" w:firstRowLastColumn="0" w:lastRowFirstColumn="0" w:lastRowLastColumn="0"/>
            <w:tcW w:w="1225" w:type="dxa"/>
            <w:vMerge/>
            <w:shd w:val="clear" w:color="auto" w:fill="7FB8CB"/>
          </w:tcPr>
          <w:p w14:paraId="55551BA8" w14:textId="77777777" w:rsidR="00AD37AD" w:rsidRPr="00BE6BBB" w:rsidRDefault="00AD37AD" w:rsidP="005C74F2">
            <w:pPr>
              <w:keepNext/>
              <w:keepLines/>
              <w:spacing w:after="0"/>
              <w:rPr>
                <w:rFonts w:cs="Arial"/>
                <w:b/>
                <w:color w:val="FFFFFF" w:themeColor="background1"/>
                <w:szCs w:val="18"/>
              </w:rPr>
            </w:pPr>
          </w:p>
        </w:tc>
        <w:tc>
          <w:tcPr>
            <w:tcW w:w="1284" w:type="dxa"/>
            <w:shd w:val="clear" w:color="auto" w:fill="7FB8CB"/>
          </w:tcPr>
          <w:p w14:paraId="3D12ED06" w14:textId="77777777" w:rsidR="00AD37AD" w:rsidRPr="00BE6BBB" w:rsidRDefault="00AD37AD" w:rsidP="005C74F2">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No.</w:t>
            </w:r>
          </w:p>
        </w:tc>
        <w:tc>
          <w:tcPr>
            <w:tcW w:w="1384" w:type="dxa"/>
          </w:tcPr>
          <w:p w14:paraId="1A1BD5B9"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24,281</w:t>
            </w:r>
          </w:p>
        </w:tc>
        <w:tc>
          <w:tcPr>
            <w:tcW w:w="1384" w:type="dxa"/>
          </w:tcPr>
          <w:p w14:paraId="38E2EC2E"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1,954</w:t>
            </w:r>
          </w:p>
        </w:tc>
        <w:tc>
          <w:tcPr>
            <w:tcW w:w="1384" w:type="dxa"/>
          </w:tcPr>
          <w:p w14:paraId="748B6F9C"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BA4AB8">
              <w:rPr>
                <w:rFonts w:cs="Arial"/>
                <w:color w:val="000000"/>
                <w:szCs w:val="18"/>
              </w:rPr>
              <w:t>1,186</w:t>
            </w:r>
          </w:p>
        </w:tc>
        <w:tc>
          <w:tcPr>
            <w:tcW w:w="1384" w:type="dxa"/>
          </w:tcPr>
          <w:p w14:paraId="244597C7"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NQCSP</w:t>
            </w:r>
          </w:p>
        </w:tc>
        <w:tc>
          <w:tcPr>
            <w:tcW w:w="1384" w:type="dxa"/>
          </w:tcPr>
          <w:p w14:paraId="1CDC7A8C" w14:textId="77777777" w:rsidR="00AD37AD" w:rsidRPr="00BA4AB8"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85,778</w:t>
            </w:r>
          </w:p>
        </w:tc>
      </w:tr>
      <w:tr w:rsidR="00AD37AD" w:rsidRPr="006134FA" w14:paraId="701A63F6" w14:textId="77777777" w:rsidTr="003E1E8C">
        <w:trPr>
          <w:trHeight w:val="158"/>
        </w:trPr>
        <w:tc>
          <w:tcPr>
            <w:cnfStyle w:val="001000000000" w:firstRow="0" w:lastRow="0" w:firstColumn="1" w:lastColumn="0" w:oddVBand="0" w:evenVBand="0" w:oddHBand="0" w:evenHBand="0" w:firstRowFirstColumn="0" w:firstRowLastColumn="0" w:lastRowFirstColumn="0" w:lastRowLastColumn="0"/>
            <w:tcW w:w="1225" w:type="dxa"/>
            <w:vMerge w:val="restart"/>
            <w:shd w:val="clear" w:color="auto" w:fill="7FB8CB"/>
          </w:tcPr>
          <w:p w14:paraId="6CE742EF" w14:textId="77777777" w:rsidR="00AD37AD" w:rsidRPr="00BE6BBB" w:rsidRDefault="00AD37AD" w:rsidP="005C74F2">
            <w:pPr>
              <w:keepNext/>
              <w:keepLines/>
              <w:spacing w:after="0"/>
              <w:rPr>
                <w:rFonts w:cs="Arial"/>
                <w:b/>
                <w:color w:val="FFFFFF" w:themeColor="background1"/>
                <w:szCs w:val="18"/>
              </w:rPr>
            </w:pPr>
            <w:r w:rsidRPr="00BE6BBB">
              <w:rPr>
                <w:rFonts w:cs="Arial"/>
                <w:b/>
                <w:color w:val="FFFFFF" w:themeColor="background1"/>
                <w:szCs w:val="18"/>
              </w:rPr>
              <w:t>Telstra</w:t>
            </w:r>
          </w:p>
        </w:tc>
        <w:tc>
          <w:tcPr>
            <w:tcW w:w="1284" w:type="dxa"/>
            <w:shd w:val="clear" w:color="auto" w:fill="7FB8CB"/>
          </w:tcPr>
          <w:p w14:paraId="7EFFCD32" w14:textId="77777777" w:rsidR="00AD37AD" w:rsidRPr="00BE6BBB" w:rsidRDefault="00AD37AD" w:rsidP="005C74F2">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w:t>
            </w:r>
          </w:p>
        </w:tc>
        <w:tc>
          <w:tcPr>
            <w:tcW w:w="1384" w:type="dxa"/>
          </w:tcPr>
          <w:p w14:paraId="366FF977"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t>90.9</w:t>
            </w:r>
          </w:p>
        </w:tc>
        <w:tc>
          <w:tcPr>
            <w:tcW w:w="1384" w:type="dxa"/>
          </w:tcPr>
          <w:p w14:paraId="00C21F47"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t>95.1</w:t>
            </w:r>
          </w:p>
        </w:tc>
        <w:tc>
          <w:tcPr>
            <w:tcW w:w="1384" w:type="dxa"/>
          </w:tcPr>
          <w:p w14:paraId="3236A07D"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t>92.9</w:t>
            </w:r>
          </w:p>
        </w:tc>
        <w:tc>
          <w:tcPr>
            <w:tcW w:w="1384" w:type="dxa"/>
          </w:tcPr>
          <w:p w14:paraId="74B7B001"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t>92.6</w:t>
            </w:r>
          </w:p>
        </w:tc>
        <w:tc>
          <w:tcPr>
            <w:tcW w:w="1384" w:type="dxa"/>
          </w:tcPr>
          <w:p w14:paraId="45E7FE7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rPr>
                <w:rFonts w:cs="Arial"/>
                <w:color w:val="000000"/>
                <w:szCs w:val="18"/>
              </w:rPr>
              <w:t>94.3</w:t>
            </w:r>
          </w:p>
        </w:tc>
      </w:tr>
      <w:tr w:rsidR="00AD37AD" w:rsidRPr="006134FA" w14:paraId="05A3F9CA" w14:textId="77777777" w:rsidTr="003E1E8C">
        <w:trPr>
          <w:trHeight w:val="64"/>
        </w:trPr>
        <w:tc>
          <w:tcPr>
            <w:cnfStyle w:val="001000000000" w:firstRow="0" w:lastRow="0" w:firstColumn="1" w:lastColumn="0" w:oddVBand="0" w:evenVBand="0" w:oddHBand="0" w:evenHBand="0" w:firstRowFirstColumn="0" w:firstRowLastColumn="0" w:lastRowFirstColumn="0" w:lastRowLastColumn="0"/>
            <w:tcW w:w="1225" w:type="dxa"/>
            <w:vMerge/>
            <w:shd w:val="clear" w:color="auto" w:fill="7FB8CB"/>
          </w:tcPr>
          <w:p w14:paraId="3F79C5CF" w14:textId="77777777" w:rsidR="00AD37AD" w:rsidRPr="00BE6BBB" w:rsidRDefault="00AD37AD" w:rsidP="005C74F2">
            <w:pPr>
              <w:keepNext/>
              <w:keepLines/>
              <w:spacing w:after="0"/>
              <w:rPr>
                <w:rFonts w:cs="Arial"/>
                <w:color w:val="FFFFFF" w:themeColor="background1"/>
                <w:szCs w:val="18"/>
              </w:rPr>
            </w:pPr>
          </w:p>
        </w:tc>
        <w:tc>
          <w:tcPr>
            <w:tcW w:w="1284" w:type="dxa"/>
            <w:shd w:val="clear" w:color="auto" w:fill="7FB8CB"/>
          </w:tcPr>
          <w:p w14:paraId="3DA67057" w14:textId="77777777" w:rsidR="00AD37AD" w:rsidRPr="00BE6BBB" w:rsidRDefault="00AD37AD" w:rsidP="005C74F2">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No.</w:t>
            </w:r>
          </w:p>
        </w:tc>
        <w:tc>
          <w:tcPr>
            <w:tcW w:w="1384" w:type="dxa"/>
          </w:tcPr>
          <w:p w14:paraId="353080C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t>270,880</w:t>
            </w:r>
          </w:p>
        </w:tc>
        <w:tc>
          <w:tcPr>
            <w:tcW w:w="1384" w:type="dxa"/>
          </w:tcPr>
          <w:p w14:paraId="20C98E4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t>31,722</w:t>
            </w:r>
          </w:p>
        </w:tc>
        <w:tc>
          <w:tcPr>
            <w:tcW w:w="1384" w:type="dxa"/>
          </w:tcPr>
          <w:p w14:paraId="6F647C9B"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t>14,617</w:t>
            </w:r>
          </w:p>
        </w:tc>
        <w:tc>
          <w:tcPr>
            <w:tcW w:w="1384" w:type="dxa"/>
          </w:tcPr>
          <w:p w14:paraId="7D0D2A56"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t>655</w:t>
            </w:r>
          </w:p>
        </w:tc>
        <w:tc>
          <w:tcPr>
            <w:tcW w:w="1384" w:type="dxa"/>
          </w:tcPr>
          <w:p w14:paraId="7D1E11F6"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rPr>
                <w:rFonts w:cs="Arial"/>
                <w:color w:val="000000"/>
                <w:szCs w:val="18"/>
              </w:rPr>
              <w:t>252,093</w:t>
            </w:r>
          </w:p>
        </w:tc>
      </w:tr>
    </w:tbl>
    <w:p w14:paraId="7EB271C0" w14:textId="77777777" w:rsidR="00AD37AD" w:rsidRPr="006134FA" w:rsidRDefault="00AD37AD" w:rsidP="00AD37AD">
      <w:pPr>
        <w:pStyle w:val="ACMANotes"/>
      </w:pPr>
      <w:r w:rsidRPr="006134FA">
        <w:t>NQCSP=Not a qualifying CSP (QCSP).</w:t>
      </w:r>
    </w:p>
    <w:p w14:paraId="1EC2DBDF" w14:textId="77777777" w:rsidR="00AD37AD" w:rsidRPr="006134FA" w:rsidRDefault="00AD37AD" w:rsidP="00AD37AD">
      <w:pPr>
        <w:pStyle w:val="ACMANotes"/>
      </w:pPr>
      <w:r w:rsidRPr="006134FA">
        <w:t xml:space="preserve">n/a=not applicable. </w:t>
      </w:r>
    </w:p>
    <w:p w14:paraId="3479BD13" w14:textId="77777777" w:rsidR="00AD37AD" w:rsidRPr="006134FA" w:rsidRDefault="00AD37AD" w:rsidP="00AD37AD">
      <w:pPr>
        <w:pStyle w:val="ACMANotes"/>
      </w:pPr>
      <w:r w:rsidRPr="006134FA">
        <w:t>*Service connections.</w:t>
      </w:r>
    </w:p>
    <w:p w14:paraId="3D574B2F" w14:textId="77777777" w:rsidR="00AD37AD" w:rsidRPr="006134FA" w:rsidRDefault="00AD37AD" w:rsidP="00AD37AD">
      <w:pPr>
        <w:pStyle w:val="ACMANotes"/>
      </w:pPr>
      <w:r w:rsidRPr="006134FA">
        <w:t>Note 1: Commencing in 2012–13, QCSPs were required to record the number of requests that were not complied with within the applicable performance time frames and to identify if the CSP’s failure to do so was wholly or partly attributable to one or more acts or omissions by another CSP.</w:t>
      </w:r>
    </w:p>
    <w:p w14:paraId="58EC1646" w14:textId="77777777" w:rsidR="00AD37AD" w:rsidRPr="006134FA" w:rsidRDefault="00AD37AD" w:rsidP="00AD37AD">
      <w:pPr>
        <w:pStyle w:val="ACMANotes"/>
      </w:pPr>
      <w:r w:rsidRPr="006134FA">
        <w:t xml:space="preserve">Note 2: Location-specific thresholds are met if a QCSP supplied 10,000 or more CSG services in urban areas, 1,000 or more CSG services in major rural areas, 1,000 or more CSG services in minor rural areas, 500 or more CSG services in remote areas. </w:t>
      </w:r>
    </w:p>
    <w:p w14:paraId="741F7137" w14:textId="77777777" w:rsidR="00AD37AD" w:rsidRDefault="00AD37AD" w:rsidP="00AD37AD">
      <w:pPr>
        <w:pStyle w:val="ACMANotes"/>
      </w:pPr>
      <w:r w:rsidRPr="006134FA">
        <w:t>Source: CSP data.</w:t>
      </w:r>
    </w:p>
    <w:p w14:paraId="7547397F" w14:textId="77777777" w:rsidR="00AD37AD" w:rsidRPr="006134FA" w:rsidRDefault="00AD37AD" w:rsidP="00AD37AD">
      <w:pPr>
        <w:pStyle w:val="ACMASpaceaftertable"/>
      </w:pPr>
    </w:p>
    <w:p w14:paraId="4875BA57" w14:textId="77777777" w:rsidR="00AD37AD" w:rsidRPr="006134FA" w:rsidRDefault="00AD37AD" w:rsidP="00ED2504">
      <w:pPr>
        <w:pStyle w:val="Heading3"/>
        <w:keepNext w:val="0"/>
      </w:pPr>
      <w:bookmarkStart w:id="774" w:name="_Toc462909503"/>
      <w:bookmarkStart w:id="775" w:name="_Toc465842984"/>
      <w:r w:rsidRPr="006134FA">
        <w:t>Appointments and fault repairs</w:t>
      </w:r>
      <w:bookmarkEnd w:id="774"/>
      <w:bookmarkEnd w:id="775"/>
    </w:p>
    <w:p w14:paraId="677A8986" w14:textId="77777777" w:rsidR="00AD37AD" w:rsidRPr="006134FA" w:rsidRDefault="00AD37AD" w:rsidP="00ED2504">
      <w:r w:rsidRPr="006134FA">
        <w:t>Table 5.7 shows CSP performance in 2015–16 in meeting the CSG Standard for fault repair time frames and appointment-keeping.</w:t>
      </w:r>
    </w:p>
    <w:p w14:paraId="62FAC56D" w14:textId="77777777" w:rsidR="00AD37AD" w:rsidRPr="006134FA" w:rsidRDefault="00AD37AD" w:rsidP="00ED2504">
      <w:pPr>
        <w:pStyle w:val="ACMATableHeader"/>
        <w:keepNext/>
        <w:keepLines/>
        <w:numPr>
          <w:ilvl w:val="0"/>
          <w:numId w:val="0"/>
        </w:numPr>
        <w:ind w:left="1134" w:hanging="1134"/>
      </w:pPr>
      <w:r w:rsidRPr="006134FA">
        <w:lastRenderedPageBreak/>
        <w:t>Table 5.7</w:t>
      </w:r>
      <w:r>
        <w:tab/>
      </w:r>
      <w:r w:rsidRPr="006134FA">
        <w:t>Percentage and number of faults repaired within CSG Standard time frames and appointment-keeping performance, 2015–16</w:t>
      </w:r>
    </w:p>
    <w:tbl>
      <w:tblPr>
        <w:tblStyle w:val="Commsreport2015-16TABLE"/>
        <w:tblW w:w="9429" w:type="dxa"/>
        <w:tblLayout w:type="fixed"/>
        <w:tblCellMar>
          <w:top w:w="57" w:type="dxa"/>
          <w:left w:w="57" w:type="dxa"/>
          <w:bottom w:w="57" w:type="dxa"/>
          <w:right w:w="57" w:type="dxa"/>
        </w:tblCellMar>
        <w:tblLook w:val="01E0" w:firstRow="1" w:lastRow="1" w:firstColumn="1" w:lastColumn="1" w:noHBand="0" w:noVBand="0"/>
        <w:tblCaption w:val="Table 5.7 Percentage and number of faults repaired within CSG Standard time frames and appointment-keeping performance, 2015–16"/>
      </w:tblPr>
      <w:tblGrid>
        <w:gridCol w:w="1235"/>
        <w:gridCol w:w="701"/>
        <w:gridCol w:w="1873"/>
        <w:gridCol w:w="1873"/>
        <w:gridCol w:w="1873"/>
        <w:gridCol w:w="1874"/>
      </w:tblGrid>
      <w:tr w:rsidR="00AD37AD" w:rsidRPr="00681B51" w14:paraId="7C2849C5" w14:textId="77777777" w:rsidTr="003E1E8C">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1235" w:type="dxa"/>
            <w:shd w:val="clear" w:color="auto" w:fill="FFFFFF"/>
          </w:tcPr>
          <w:p w14:paraId="4974C814" w14:textId="77777777" w:rsidR="00AD37AD" w:rsidRPr="00681B51" w:rsidRDefault="00AD37AD" w:rsidP="00681B51">
            <w:pPr>
              <w:pStyle w:val="TableHeading"/>
              <w:rPr>
                <w:b/>
              </w:rPr>
            </w:pPr>
          </w:p>
        </w:tc>
        <w:tc>
          <w:tcPr>
            <w:tcW w:w="701" w:type="dxa"/>
            <w:shd w:val="clear" w:color="auto" w:fill="FFFFFF"/>
          </w:tcPr>
          <w:p w14:paraId="202C8D2C"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p>
        </w:tc>
        <w:tc>
          <w:tcPr>
            <w:tcW w:w="5619" w:type="dxa"/>
            <w:gridSpan w:val="3"/>
          </w:tcPr>
          <w:p w14:paraId="683085A8" w14:textId="77777777" w:rsidR="00AD37AD" w:rsidRPr="00681B51" w:rsidRDefault="00AD37AD" w:rsidP="00681B5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681B51">
              <w:rPr>
                <w:b/>
              </w:rPr>
              <w:t>Fault repairs</w:t>
            </w:r>
          </w:p>
        </w:tc>
        <w:tc>
          <w:tcPr>
            <w:tcW w:w="1874" w:type="dxa"/>
          </w:tcPr>
          <w:p w14:paraId="28847279" w14:textId="77777777" w:rsidR="00AD37AD" w:rsidRPr="00681B51" w:rsidRDefault="00AD37AD" w:rsidP="00681B51">
            <w:pPr>
              <w:pStyle w:val="TableHeading"/>
              <w:cnfStyle w:val="100000000000" w:firstRow="1" w:lastRow="0" w:firstColumn="0" w:lastColumn="0" w:oddVBand="0" w:evenVBand="0" w:oddHBand="0" w:evenHBand="0" w:firstRowFirstColumn="0" w:firstRowLastColumn="0" w:lastRowFirstColumn="0" w:lastRowLastColumn="0"/>
              <w:rPr>
                <w:b/>
              </w:rPr>
            </w:pPr>
            <w:r w:rsidRPr="00681B51">
              <w:rPr>
                <w:b/>
              </w:rPr>
              <w:t>Appointments*</w:t>
            </w:r>
          </w:p>
        </w:tc>
      </w:tr>
      <w:tr w:rsidR="00AD37AD" w:rsidRPr="006134FA" w14:paraId="5EA2E432" w14:textId="77777777" w:rsidTr="003E1E8C">
        <w:trPr>
          <w:trHeight w:val="253"/>
        </w:trPr>
        <w:tc>
          <w:tcPr>
            <w:cnfStyle w:val="001000000000" w:firstRow="0" w:lastRow="0" w:firstColumn="1" w:lastColumn="0" w:oddVBand="0" w:evenVBand="0" w:oddHBand="0" w:evenHBand="0" w:firstRowFirstColumn="0" w:firstRowLastColumn="0" w:lastRowFirstColumn="0" w:lastRowLastColumn="0"/>
            <w:tcW w:w="1235" w:type="dxa"/>
            <w:shd w:val="clear" w:color="auto" w:fill="FFFFFF"/>
          </w:tcPr>
          <w:p w14:paraId="30A30526" w14:textId="77777777" w:rsidR="00AD37AD" w:rsidRPr="006134FA" w:rsidRDefault="00AD37AD" w:rsidP="00ED2504">
            <w:pPr>
              <w:keepNext/>
              <w:keepLines/>
              <w:spacing w:after="0"/>
              <w:rPr>
                <w:rFonts w:cs="Arial"/>
                <w:b/>
                <w:szCs w:val="18"/>
              </w:rPr>
            </w:pPr>
          </w:p>
        </w:tc>
        <w:tc>
          <w:tcPr>
            <w:tcW w:w="701" w:type="dxa"/>
            <w:shd w:val="clear" w:color="auto" w:fill="FFFFFF"/>
          </w:tcPr>
          <w:p w14:paraId="790962EF" w14:textId="77777777" w:rsidR="00AD37AD" w:rsidRPr="006134FA" w:rsidRDefault="00AD37AD" w:rsidP="00ED2504">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p>
        </w:tc>
        <w:tc>
          <w:tcPr>
            <w:tcW w:w="1873" w:type="dxa"/>
            <w:shd w:val="clear" w:color="auto" w:fill="007298"/>
          </w:tcPr>
          <w:p w14:paraId="78256CBF"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Urban areas</w:t>
            </w:r>
          </w:p>
        </w:tc>
        <w:tc>
          <w:tcPr>
            <w:tcW w:w="1873" w:type="dxa"/>
            <w:shd w:val="clear" w:color="auto" w:fill="007298"/>
          </w:tcPr>
          <w:p w14:paraId="4EC9DA64"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Rural areas</w:t>
            </w:r>
          </w:p>
        </w:tc>
        <w:tc>
          <w:tcPr>
            <w:tcW w:w="1873" w:type="dxa"/>
            <w:shd w:val="clear" w:color="auto" w:fill="007298"/>
          </w:tcPr>
          <w:p w14:paraId="30CC03AC"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Remote areas</w:t>
            </w:r>
          </w:p>
        </w:tc>
        <w:tc>
          <w:tcPr>
            <w:tcW w:w="1874" w:type="dxa"/>
            <w:shd w:val="clear" w:color="auto" w:fill="007298"/>
          </w:tcPr>
          <w:p w14:paraId="1DB5B30E"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 xml:space="preserve">All areas </w:t>
            </w:r>
          </w:p>
        </w:tc>
      </w:tr>
      <w:tr w:rsidR="00AD37AD" w:rsidRPr="006134FA" w14:paraId="4C2CED26" w14:textId="77777777" w:rsidTr="003E1E8C">
        <w:trPr>
          <w:trHeight w:val="72"/>
        </w:trPr>
        <w:tc>
          <w:tcPr>
            <w:cnfStyle w:val="001000000000" w:firstRow="0" w:lastRow="0" w:firstColumn="1" w:lastColumn="0" w:oddVBand="0" w:evenVBand="0" w:oddHBand="0" w:evenHBand="0" w:firstRowFirstColumn="0" w:firstRowLastColumn="0" w:lastRowFirstColumn="0" w:lastRowLastColumn="0"/>
            <w:tcW w:w="1235" w:type="dxa"/>
            <w:vMerge w:val="restart"/>
            <w:shd w:val="clear" w:color="auto" w:fill="7FB8CB"/>
          </w:tcPr>
          <w:p w14:paraId="2A193047" w14:textId="77777777" w:rsidR="00AD37AD" w:rsidRPr="00BE6BBB" w:rsidRDefault="00AD37AD" w:rsidP="00ED2504">
            <w:pPr>
              <w:keepNext/>
              <w:keepLines/>
              <w:spacing w:after="0"/>
              <w:rPr>
                <w:rFonts w:cs="Arial"/>
                <w:b/>
                <w:color w:val="FFFFFF" w:themeColor="background1"/>
                <w:szCs w:val="18"/>
              </w:rPr>
            </w:pPr>
            <w:r w:rsidRPr="00BE6BBB">
              <w:rPr>
                <w:rFonts w:cs="Arial"/>
                <w:b/>
                <w:color w:val="FFFFFF" w:themeColor="background1"/>
                <w:szCs w:val="18"/>
              </w:rPr>
              <w:t>iiNet</w:t>
            </w:r>
          </w:p>
        </w:tc>
        <w:tc>
          <w:tcPr>
            <w:tcW w:w="701" w:type="dxa"/>
            <w:shd w:val="clear" w:color="auto" w:fill="7FB8CB"/>
          </w:tcPr>
          <w:p w14:paraId="235DCCAA" w14:textId="77777777" w:rsidR="00AD37AD" w:rsidRPr="00BE6BBB" w:rsidRDefault="00AD37AD" w:rsidP="00ED250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w:t>
            </w:r>
          </w:p>
        </w:tc>
        <w:tc>
          <w:tcPr>
            <w:tcW w:w="1873" w:type="dxa"/>
          </w:tcPr>
          <w:p w14:paraId="60816A6D"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100</w:t>
            </w:r>
          </w:p>
        </w:tc>
        <w:tc>
          <w:tcPr>
            <w:tcW w:w="1873" w:type="dxa"/>
          </w:tcPr>
          <w:p w14:paraId="5FDCBB2D"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100</w:t>
            </w:r>
          </w:p>
        </w:tc>
        <w:tc>
          <w:tcPr>
            <w:tcW w:w="1873" w:type="dxa"/>
          </w:tcPr>
          <w:p w14:paraId="3205968C"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1874" w:type="dxa"/>
          </w:tcPr>
          <w:p w14:paraId="1B6D539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100</w:t>
            </w:r>
          </w:p>
        </w:tc>
      </w:tr>
      <w:tr w:rsidR="00AD37AD" w:rsidRPr="006134FA" w14:paraId="0074E4C8" w14:textId="77777777" w:rsidTr="003E1E8C">
        <w:trPr>
          <w:trHeight w:val="20"/>
        </w:trPr>
        <w:tc>
          <w:tcPr>
            <w:cnfStyle w:val="001000000000" w:firstRow="0" w:lastRow="0" w:firstColumn="1" w:lastColumn="0" w:oddVBand="0" w:evenVBand="0" w:oddHBand="0" w:evenHBand="0" w:firstRowFirstColumn="0" w:firstRowLastColumn="0" w:lastRowFirstColumn="0" w:lastRowLastColumn="0"/>
            <w:tcW w:w="1235" w:type="dxa"/>
            <w:vMerge/>
            <w:shd w:val="clear" w:color="auto" w:fill="7FB8CB"/>
          </w:tcPr>
          <w:p w14:paraId="7292991A" w14:textId="77777777" w:rsidR="00AD37AD" w:rsidRPr="00BE6BBB" w:rsidRDefault="00AD37AD" w:rsidP="00ED2504">
            <w:pPr>
              <w:keepNext/>
              <w:keepLines/>
              <w:spacing w:after="0"/>
              <w:rPr>
                <w:rFonts w:cs="Arial"/>
                <w:b/>
                <w:color w:val="FFFFFF" w:themeColor="background1"/>
                <w:szCs w:val="18"/>
              </w:rPr>
            </w:pPr>
          </w:p>
        </w:tc>
        <w:tc>
          <w:tcPr>
            <w:tcW w:w="701" w:type="dxa"/>
            <w:shd w:val="clear" w:color="auto" w:fill="7FB8CB"/>
          </w:tcPr>
          <w:p w14:paraId="7D087387" w14:textId="77777777" w:rsidR="00AD37AD" w:rsidRPr="00BE6BBB" w:rsidRDefault="00AD37AD" w:rsidP="00ED250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No.</w:t>
            </w:r>
          </w:p>
        </w:tc>
        <w:tc>
          <w:tcPr>
            <w:tcW w:w="1873" w:type="dxa"/>
          </w:tcPr>
          <w:p w14:paraId="4844F043"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56,647</w:t>
            </w:r>
          </w:p>
        </w:tc>
        <w:tc>
          <w:tcPr>
            <w:tcW w:w="1873" w:type="dxa"/>
          </w:tcPr>
          <w:p w14:paraId="17C21BAD"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9,943</w:t>
            </w:r>
          </w:p>
        </w:tc>
        <w:tc>
          <w:tcPr>
            <w:tcW w:w="1873" w:type="dxa"/>
          </w:tcPr>
          <w:p w14:paraId="0CAC6D74"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38</w:t>
            </w:r>
          </w:p>
        </w:tc>
        <w:tc>
          <w:tcPr>
            <w:tcW w:w="1874" w:type="dxa"/>
          </w:tcPr>
          <w:p w14:paraId="4DEFB80F"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45,240</w:t>
            </w:r>
          </w:p>
        </w:tc>
      </w:tr>
      <w:tr w:rsidR="00AD37AD" w:rsidRPr="006134FA" w14:paraId="4411EE83" w14:textId="77777777" w:rsidTr="003E1E8C">
        <w:trPr>
          <w:trHeight w:val="176"/>
        </w:trPr>
        <w:tc>
          <w:tcPr>
            <w:cnfStyle w:val="001000000000" w:firstRow="0" w:lastRow="0" w:firstColumn="1" w:lastColumn="0" w:oddVBand="0" w:evenVBand="0" w:oddHBand="0" w:evenHBand="0" w:firstRowFirstColumn="0" w:firstRowLastColumn="0" w:lastRowFirstColumn="0" w:lastRowLastColumn="0"/>
            <w:tcW w:w="1235" w:type="dxa"/>
            <w:vMerge w:val="restart"/>
            <w:shd w:val="clear" w:color="auto" w:fill="7FB8CB"/>
          </w:tcPr>
          <w:p w14:paraId="1F796B28" w14:textId="77777777" w:rsidR="00AD37AD" w:rsidRPr="00BE6BBB" w:rsidRDefault="00AD37AD" w:rsidP="00ED2504">
            <w:pPr>
              <w:keepNext/>
              <w:keepLines/>
              <w:spacing w:after="0"/>
              <w:rPr>
                <w:rFonts w:cs="Arial"/>
                <w:b/>
                <w:color w:val="FFFFFF" w:themeColor="background1"/>
                <w:szCs w:val="18"/>
              </w:rPr>
            </w:pPr>
            <w:r w:rsidRPr="00BE6BBB">
              <w:rPr>
                <w:rFonts w:cs="Arial"/>
                <w:b/>
                <w:color w:val="FFFFFF" w:themeColor="background1"/>
                <w:szCs w:val="18"/>
              </w:rPr>
              <w:t>Optus</w:t>
            </w:r>
          </w:p>
        </w:tc>
        <w:tc>
          <w:tcPr>
            <w:tcW w:w="701" w:type="dxa"/>
            <w:shd w:val="clear" w:color="auto" w:fill="7FB8CB"/>
          </w:tcPr>
          <w:p w14:paraId="10108E3D" w14:textId="77777777" w:rsidR="00AD37AD" w:rsidRPr="00BE6BBB" w:rsidRDefault="00AD37AD" w:rsidP="00ED250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w:t>
            </w:r>
          </w:p>
        </w:tc>
        <w:tc>
          <w:tcPr>
            <w:tcW w:w="1873" w:type="dxa"/>
          </w:tcPr>
          <w:p w14:paraId="662D7BAF"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92.7</w:t>
            </w:r>
          </w:p>
        </w:tc>
        <w:tc>
          <w:tcPr>
            <w:tcW w:w="1873" w:type="dxa"/>
          </w:tcPr>
          <w:p w14:paraId="79EECFA3"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93.2</w:t>
            </w:r>
          </w:p>
        </w:tc>
        <w:tc>
          <w:tcPr>
            <w:tcW w:w="1873" w:type="dxa"/>
          </w:tcPr>
          <w:p w14:paraId="59A08751"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NQCSP</w:t>
            </w:r>
          </w:p>
        </w:tc>
        <w:tc>
          <w:tcPr>
            <w:tcW w:w="1874" w:type="dxa"/>
          </w:tcPr>
          <w:p w14:paraId="7E7405DD"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99.2</w:t>
            </w:r>
          </w:p>
        </w:tc>
      </w:tr>
      <w:tr w:rsidR="00AD37AD" w:rsidRPr="006134FA" w14:paraId="6F6FD82B" w14:textId="77777777" w:rsidTr="003E1E8C">
        <w:trPr>
          <w:trHeight w:val="82"/>
        </w:trPr>
        <w:tc>
          <w:tcPr>
            <w:cnfStyle w:val="001000000000" w:firstRow="0" w:lastRow="0" w:firstColumn="1" w:lastColumn="0" w:oddVBand="0" w:evenVBand="0" w:oddHBand="0" w:evenHBand="0" w:firstRowFirstColumn="0" w:firstRowLastColumn="0" w:lastRowFirstColumn="0" w:lastRowLastColumn="0"/>
            <w:tcW w:w="1235" w:type="dxa"/>
            <w:vMerge/>
            <w:shd w:val="clear" w:color="auto" w:fill="7FB8CB"/>
          </w:tcPr>
          <w:p w14:paraId="7EF801E9" w14:textId="77777777" w:rsidR="00AD37AD" w:rsidRPr="00BE6BBB" w:rsidRDefault="00AD37AD" w:rsidP="00ED2504">
            <w:pPr>
              <w:keepNext/>
              <w:keepLines/>
              <w:spacing w:after="0"/>
              <w:rPr>
                <w:rFonts w:cs="Arial"/>
                <w:b/>
                <w:color w:val="FFFFFF" w:themeColor="background1"/>
                <w:szCs w:val="18"/>
              </w:rPr>
            </w:pPr>
          </w:p>
        </w:tc>
        <w:tc>
          <w:tcPr>
            <w:tcW w:w="701" w:type="dxa"/>
            <w:shd w:val="clear" w:color="auto" w:fill="7FB8CB"/>
          </w:tcPr>
          <w:p w14:paraId="0B6E3E2F" w14:textId="77777777" w:rsidR="00AD37AD" w:rsidRPr="00BE6BBB" w:rsidRDefault="00AD37AD" w:rsidP="00ED250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No.</w:t>
            </w:r>
          </w:p>
        </w:tc>
        <w:tc>
          <w:tcPr>
            <w:tcW w:w="1873" w:type="dxa"/>
          </w:tcPr>
          <w:p w14:paraId="1F545257"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155,199</w:t>
            </w:r>
          </w:p>
        </w:tc>
        <w:tc>
          <w:tcPr>
            <w:tcW w:w="1873" w:type="dxa"/>
          </w:tcPr>
          <w:p w14:paraId="00E78F1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932</w:t>
            </w:r>
          </w:p>
        </w:tc>
        <w:tc>
          <w:tcPr>
            <w:tcW w:w="1873" w:type="dxa"/>
          </w:tcPr>
          <w:p w14:paraId="4E699476"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NQCSP</w:t>
            </w:r>
          </w:p>
        </w:tc>
        <w:tc>
          <w:tcPr>
            <w:tcW w:w="1874" w:type="dxa"/>
          </w:tcPr>
          <w:p w14:paraId="43715FAA"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223,398</w:t>
            </w:r>
          </w:p>
        </w:tc>
      </w:tr>
      <w:tr w:rsidR="00AD37AD" w:rsidRPr="006134FA" w14:paraId="3F857140" w14:textId="77777777" w:rsidTr="003E1E8C">
        <w:trPr>
          <w:trHeight w:val="116"/>
        </w:trPr>
        <w:tc>
          <w:tcPr>
            <w:cnfStyle w:val="001000000000" w:firstRow="0" w:lastRow="0" w:firstColumn="1" w:lastColumn="0" w:oddVBand="0" w:evenVBand="0" w:oddHBand="0" w:evenHBand="0" w:firstRowFirstColumn="0" w:firstRowLastColumn="0" w:lastRowFirstColumn="0" w:lastRowLastColumn="0"/>
            <w:tcW w:w="1235" w:type="dxa"/>
            <w:vMerge w:val="restart"/>
            <w:shd w:val="clear" w:color="auto" w:fill="7FB8CB"/>
          </w:tcPr>
          <w:p w14:paraId="30C4DA8A" w14:textId="77777777" w:rsidR="00AD37AD" w:rsidRPr="00BE6BBB" w:rsidRDefault="00AD37AD" w:rsidP="00ED2504">
            <w:pPr>
              <w:keepNext/>
              <w:keepLines/>
              <w:spacing w:after="0"/>
              <w:rPr>
                <w:rFonts w:cs="Arial"/>
                <w:b/>
                <w:color w:val="FFFFFF" w:themeColor="background1"/>
                <w:szCs w:val="18"/>
              </w:rPr>
            </w:pPr>
            <w:r w:rsidRPr="00BE6BBB">
              <w:rPr>
                <w:rFonts w:cs="Arial"/>
                <w:b/>
                <w:color w:val="FFFFFF" w:themeColor="background1"/>
                <w:szCs w:val="18"/>
              </w:rPr>
              <w:t>Dodo</w:t>
            </w:r>
          </w:p>
        </w:tc>
        <w:tc>
          <w:tcPr>
            <w:tcW w:w="701" w:type="dxa"/>
            <w:shd w:val="clear" w:color="auto" w:fill="7FB8CB"/>
          </w:tcPr>
          <w:p w14:paraId="0B00AFC9" w14:textId="77777777" w:rsidR="00AD37AD" w:rsidRPr="00BE6BBB" w:rsidRDefault="00AD37AD" w:rsidP="00ED250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w:t>
            </w:r>
          </w:p>
        </w:tc>
        <w:tc>
          <w:tcPr>
            <w:tcW w:w="1873" w:type="dxa"/>
          </w:tcPr>
          <w:p w14:paraId="346468B8" w14:textId="77777777" w:rsidR="00AD37AD" w:rsidRPr="00EA149D"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EA149D">
              <w:rPr>
                <w:rFonts w:cs="Arial"/>
                <w:szCs w:val="18"/>
              </w:rPr>
              <w:t>100</w:t>
            </w:r>
          </w:p>
        </w:tc>
        <w:tc>
          <w:tcPr>
            <w:tcW w:w="1873" w:type="dxa"/>
          </w:tcPr>
          <w:p w14:paraId="0B122540" w14:textId="77777777" w:rsidR="00AD37AD" w:rsidRPr="00EA149D"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EA149D">
              <w:rPr>
                <w:rFonts w:cs="Arial"/>
                <w:szCs w:val="18"/>
              </w:rPr>
              <w:t>100</w:t>
            </w:r>
          </w:p>
        </w:tc>
        <w:tc>
          <w:tcPr>
            <w:tcW w:w="1873" w:type="dxa"/>
          </w:tcPr>
          <w:p w14:paraId="522BC9E3" w14:textId="77777777" w:rsidR="00AD37AD" w:rsidRPr="00EA149D"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EA149D">
              <w:rPr>
                <w:rFonts w:cs="Arial"/>
                <w:szCs w:val="18"/>
              </w:rPr>
              <w:t>NQCSP</w:t>
            </w:r>
          </w:p>
        </w:tc>
        <w:tc>
          <w:tcPr>
            <w:tcW w:w="1874" w:type="dxa"/>
          </w:tcPr>
          <w:p w14:paraId="74ECE7CC" w14:textId="77777777" w:rsidR="00AD37AD" w:rsidRPr="00EA149D"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EA149D">
              <w:rPr>
                <w:rFonts w:cs="Arial"/>
                <w:szCs w:val="18"/>
              </w:rPr>
              <w:t>100</w:t>
            </w:r>
          </w:p>
        </w:tc>
      </w:tr>
      <w:tr w:rsidR="00AD37AD" w:rsidRPr="006134FA" w14:paraId="0B6AE39A" w14:textId="77777777" w:rsidTr="003E1E8C">
        <w:trPr>
          <w:trHeight w:val="22"/>
        </w:trPr>
        <w:tc>
          <w:tcPr>
            <w:cnfStyle w:val="001000000000" w:firstRow="0" w:lastRow="0" w:firstColumn="1" w:lastColumn="0" w:oddVBand="0" w:evenVBand="0" w:oddHBand="0" w:evenHBand="0" w:firstRowFirstColumn="0" w:firstRowLastColumn="0" w:lastRowFirstColumn="0" w:lastRowLastColumn="0"/>
            <w:tcW w:w="1235" w:type="dxa"/>
            <w:vMerge/>
            <w:shd w:val="clear" w:color="auto" w:fill="7FB8CB"/>
          </w:tcPr>
          <w:p w14:paraId="7D566CB4" w14:textId="77777777" w:rsidR="00AD37AD" w:rsidRPr="00BE6BBB" w:rsidRDefault="00AD37AD" w:rsidP="00ED2504">
            <w:pPr>
              <w:keepNext/>
              <w:keepLines/>
              <w:spacing w:after="0"/>
              <w:rPr>
                <w:rFonts w:cs="Arial"/>
                <w:b/>
                <w:color w:val="FFFFFF" w:themeColor="background1"/>
                <w:szCs w:val="18"/>
              </w:rPr>
            </w:pPr>
          </w:p>
        </w:tc>
        <w:tc>
          <w:tcPr>
            <w:tcW w:w="701" w:type="dxa"/>
            <w:shd w:val="clear" w:color="auto" w:fill="7FB8CB"/>
          </w:tcPr>
          <w:p w14:paraId="77952807" w14:textId="77777777" w:rsidR="00AD37AD" w:rsidRPr="00BE6BBB" w:rsidRDefault="00AD37AD" w:rsidP="00ED250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No.</w:t>
            </w:r>
          </w:p>
        </w:tc>
        <w:tc>
          <w:tcPr>
            <w:tcW w:w="1873" w:type="dxa"/>
          </w:tcPr>
          <w:p w14:paraId="302D9173" w14:textId="77777777" w:rsidR="00AD37AD" w:rsidRPr="00EA149D"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EA149D">
              <w:rPr>
                <w:rFonts w:cs="Arial"/>
                <w:szCs w:val="18"/>
              </w:rPr>
              <w:t>70,622</w:t>
            </w:r>
          </w:p>
        </w:tc>
        <w:tc>
          <w:tcPr>
            <w:tcW w:w="1873" w:type="dxa"/>
          </w:tcPr>
          <w:p w14:paraId="5F31BAD2" w14:textId="77777777" w:rsidR="00AD37AD" w:rsidRPr="00EA149D"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EA149D">
              <w:rPr>
                <w:rFonts w:cs="Arial"/>
                <w:szCs w:val="18"/>
              </w:rPr>
              <w:t>12,949</w:t>
            </w:r>
          </w:p>
        </w:tc>
        <w:tc>
          <w:tcPr>
            <w:tcW w:w="1873" w:type="dxa"/>
          </w:tcPr>
          <w:p w14:paraId="11D90686" w14:textId="77777777" w:rsidR="00AD37AD" w:rsidRPr="00EA149D"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EA149D">
              <w:rPr>
                <w:rFonts w:cs="Arial"/>
                <w:szCs w:val="18"/>
              </w:rPr>
              <w:t>NQCSP</w:t>
            </w:r>
          </w:p>
        </w:tc>
        <w:tc>
          <w:tcPr>
            <w:tcW w:w="1874" w:type="dxa"/>
          </w:tcPr>
          <w:p w14:paraId="4DDBFC4D" w14:textId="77777777" w:rsidR="00AD37AD" w:rsidRPr="00EA149D"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EA149D">
              <w:rPr>
                <w:rFonts w:cs="Arial"/>
                <w:szCs w:val="18"/>
              </w:rPr>
              <w:t>106,183</w:t>
            </w:r>
          </w:p>
        </w:tc>
      </w:tr>
      <w:tr w:rsidR="00AD37AD" w:rsidRPr="006134FA" w14:paraId="36BBEF01" w14:textId="77777777" w:rsidTr="003E1E8C">
        <w:trPr>
          <w:trHeight w:val="70"/>
        </w:trPr>
        <w:tc>
          <w:tcPr>
            <w:cnfStyle w:val="001000000000" w:firstRow="0" w:lastRow="0" w:firstColumn="1" w:lastColumn="0" w:oddVBand="0" w:evenVBand="0" w:oddHBand="0" w:evenHBand="0" w:firstRowFirstColumn="0" w:firstRowLastColumn="0" w:lastRowFirstColumn="0" w:lastRowLastColumn="0"/>
            <w:tcW w:w="1235" w:type="dxa"/>
            <w:vMerge w:val="restart"/>
            <w:shd w:val="clear" w:color="auto" w:fill="7FB8CB"/>
          </w:tcPr>
          <w:p w14:paraId="1EAA4551" w14:textId="77777777" w:rsidR="00AD37AD" w:rsidRPr="00BE6BBB" w:rsidRDefault="00AD37AD" w:rsidP="00ED2504">
            <w:pPr>
              <w:keepNext/>
              <w:keepLines/>
              <w:spacing w:after="0"/>
              <w:rPr>
                <w:rFonts w:cs="Arial"/>
                <w:b/>
                <w:color w:val="FFFFFF" w:themeColor="background1"/>
                <w:szCs w:val="18"/>
              </w:rPr>
            </w:pPr>
            <w:r w:rsidRPr="00BE6BBB">
              <w:rPr>
                <w:rFonts w:cs="Arial"/>
                <w:b/>
                <w:color w:val="FFFFFF" w:themeColor="background1"/>
                <w:szCs w:val="18"/>
              </w:rPr>
              <w:t>Telstra</w:t>
            </w:r>
          </w:p>
        </w:tc>
        <w:tc>
          <w:tcPr>
            <w:tcW w:w="701" w:type="dxa"/>
            <w:shd w:val="clear" w:color="auto" w:fill="7FB8CB"/>
          </w:tcPr>
          <w:p w14:paraId="0531FB03" w14:textId="77777777" w:rsidR="00AD37AD" w:rsidRPr="00BE6BBB" w:rsidRDefault="00AD37AD" w:rsidP="00ED250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w:t>
            </w:r>
          </w:p>
        </w:tc>
        <w:tc>
          <w:tcPr>
            <w:tcW w:w="1873" w:type="dxa"/>
          </w:tcPr>
          <w:p w14:paraId="6977599C"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t>91.5</w:t>
            </w:r>
          </w:p>
        </w:tc>
        <w:tc>
          <w:tcPr>
            <w:tcW w:w="1873" w:type="dxa"/>
          </w:tcPr>
          <w:p w14:paraId="22B5A65E" w14:textId="77777777" w:rsidR="00AD37AD" w:rsidRPr="006134FA" w:rsidRDefault="008B0114"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t>92</w:t>
            </w:r>
          </w:p>
        </w:tc>
        <w:tc>
          <w:tcPr>
            <w:tcW w:w="1873" w:type="dxa"/>
          </w:tcPr>
          <w:p w14:paraId="2DBC1ED2"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t>92.6</w:t>
            </w:r>
          </w:p>
        </w:tc>
        <w:tc>
          <w:tcPr>
            <w:tcW w:w="1874" w:type="dxa"/>
          </w:tcPr>
          <w:p w14:paraId="24F71A62"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rPr>
                <w:rFonts w:cs="Arial"/>
                <w:szCs w:val="18"/>
              </w:rPr>
              <w:t>96.3</w:t>
            </w:r>
          </w:p>
        </w:tc>
      </w:tr>
      <w:tr w:rsidR="00AD37AD" w:rsidRPr="006134FA" w14:paraId="7F498B70" w14:textId="77777777" w:rsidTr="003E1E8C">
        <w:trPr>
          <w:trHeight w:val="20"/>
        </w:trPr>
        <w:tc>
          <w:tcPr>
            <w:cnfStyle w:val="001000000000" w:firstRow="0" w:lastRow="0" w:firstColumn="1" w:lastColumn="0" w:oddVBand="0" w:evenVBand="0" w:oddHBand="0" w:evenHBand="0" w:firstRowFirstColumn="0" w:firstRowLastColumn="0" w:lastRowFirstColumn="0" w:lastRowLastColumn="0"/>
            <w:tcW w:w="1235" w:type="dxa"/>
            <w:vMerge/>
            <w:shd w:val="clear" w:color="auto" w:fill="7FB8CB"/>
          </w:tcPr>
          <w:p w14:paraId="62CCC530" w14:textId="77777777" w:rsidR="00AD37AD" w:rsidRPr="00BE6BBB" w:rsidRDefault="00AD37AD" w:rsidP="00ED2504">
            <w:pPr>
              <w:keepNext/>
              <w:keepLines/>
              <w:spacing w:after="0"/>
              <w:rPr>
                <w:rFonts w:cs="Arial"/>
                <w:color w:val="FFFFFF" w:themeColor="background1"/>
                <w:szCs w:val="18"/>
              </w:rPr>
            </w:pPr>
          </w:p>
        </w:tc>
        <w:tc>
          <w:tcPr>
            <w:tcW w:w="701" w:type="dxa"/>
            <w:shd w:val="clear" w:color="auto" w:fill="7FB8CB"/>
          </w:tcPr>
          <w:p w14:paraId="64B5BBBF" w14:textId="77777777" w:rsidR="00AD37AD" w:rsidRPr="00BE6BBB" w:rsidRDefault="00AD37AD" w:rsidP="00ED250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No.</w:t>
            </w:r>
          </w:p>
        </w:tc>
        <w:tc>
          <w:tcPr>
            <w:tcW w:w="1873" w:type="dxa"/>
          </w:tcPr>
          <w:p w14:paraId="2AF06B26"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t>413,769</w:t>
            </w:r>
          </w:p>
        </w:tc>
        <w:tc>
          <w:tcPr>
            <w:tcW w:w="1873" w:type="dxa"/>
          </w:tcPr>
          <w:p w14:paraId="644B65B2"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t>135,661</w:t>
            </w:r>
          </w:p>
        </w:tc>
        <w:tc>
          <w:tcPr>
            <w:tcW w:w="1873" w:type="dxa"/>
          </w:tcPr>
          <w:p w14:paraId="3B895626"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t>2,492</w:t>
            </w:r>
          </w:p>
        </w:tc>
        <w:tc>
          <w:tcPr>
            <w:tcW w:w="1874" w:type="dxa"/>
          </w:tcPr>
          <w:p w14:paraId="1EBACCA5" w14:textId="77777777" w:rsidR="00AD37AD" w:rsidRPr="006134FA" w:rsidRDefault="00AD37AD" w:rsidP="009329F7">
            <w:pPr>
              <w:keepNext/>
              <w:keepLines/>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rPr>
                <w:rFonts w:cs="Arial"/>
                <w:szCs w:val="18"/>
              </w:rPr>
              <w:t>458,769</w:t>
            </w:r>
          </w:p>
        </w:tc>
      </w:tr>
    </w:tbl>
    <w:p w14:paraId="43773C0D" w14:textId="77777777" w:rsidR="00AD37AD" w:rsidRPr="006134FA" w:rsidRDefault="00AD37AD" w:rsidP="00ED2504">
      <w:pPr>
        <w:pStyle w:val="ACMANotes"/>
        <w:keepNext/>
        <w:keepLines/>
      </w:pPr>
      <w:r w:rsidRPr="006134FA">
        <w:t>NQCSP=Not a qualifying CSP (QCSP).</w:t>
      </w:r>
    </w:p>
    <w:p w14:paraId="50479C02" w14:textId="77777777" w:rsidR="00AD37AD" w:rsidRPr="006134FA" w:rsidRDefault="00AD37AD" w:rsidP="00ED2504">
      <w:pPr>
        <w:pStyle w:val="ACMANotes"/>
        <w:keepNext/>
        <w:keepLines/>
      </w:pPr>
      <w:r w:rsidRPr="006134FA">
        <w:t>*New service connections and fault repairs.</w:t>
      </w:r>
    </w:p>
    <w:p w14:paraId="6638D809" w14:textId="77777777" w:rsidR="00AD37AD" w:rsidRPr="006134FA" w:rsidRDefault="00AD37AD" w:rsidP="00ED2504">
      <w:pPr>
        <w:pStyle w:val="ACMANotes"/>
        <w:keepNext/>
        <w:keepLines/>
      </w:pPr>
      <w:r w:rsidRPr="006134FA">
        <w:t>Note 1: Commencing in 2012–13, QCSPs were required to record the number of requests that were not complied with within the applicable performance time frames and to identify if the CSP’s failure to do so was wholly or partly attributable to one or more acts or omissions by another CSP.</w:t>
      </w:r>
    </w:p>
    <w:p w14:paraId="2DC4ACE9" w14:textId="77777777" w:rsidR="00AD37AD" w:rsidRPr="006134FA" w:rsidRDefault="00AD37AD" w:rsidP="00ED2504">
      <w:pPr>
        <w:pStyle w:val="ACMANotes"/>
        <w:keepNext/>
        <w:keepLines/>
      </w:pPr>
      <w:r w:rsidRPr="006134FA">
        <w:t xml:space="preserve">Note 2: Location-specific thresholds are met if a QCSP supplied 10,000 or more CSG services in urban areas, 1,000 or more CSG services in rural areas, 500 or more CSG services in remote areas. </w:t>
      </w:r>
    </w:p>
    <w:p w14:paraId="6D2A1FBD" w14:textId="77777777" w:rsidR="00AD37AD" w:rsidRDefault="00AD37AD" w:rsidP="00ED2504">
      <w:pPr>
        <w:pStyle w:val="ACMANotes"/>
        <w:keepNext/>
        <w:keepLines/>
      </w:pPr>
      <w:r w:rsidRPr="006134FA">
        <w:t>Source: CSP data.</w:t>
      </w:r>
    </w:p>
    <w:p w14:paraId="04107F3D" w14:textId="77777777" w:rsidR="00AD37AD" w:rsidRDefault="00AD37AD" w:rsidP="00AD37AD">
      <w:pPr>
        <w:pStyle w:val="ACMASpaceaftertable"/>
      </w:pPr>
    </w:p>
    <w:p w14:paraId="07EDF818" w14:textId="77777777" w:rsidR="00AD37AD" w:rsidRPr="006134FA" w:rsidRDefault="00AD37AD" w:rsidP="00236F29">
      <w:pPr>
        <w:rPr>
          <w:rFonts w:cs="Arial"/>
          <w:szCs w:val="20"/>
        </w:rPr>
      </w:pPr>
      <w:r w:rsidRPr="006134FA">
        <w:rPr>
          <w:rFonts w:cs="Arial"/>
        </w:rPr>
        <w:t xml:space="preserve">Table 5.8 shows the number of new service and in-place connections, fault repairs and appointments for iiNet, Optus, </w:t>
      </w:r>
      <w:r>
        <w:rPr>
          <w:rFonts w:cs="Arial"/>
        </w:rPr>
        <w:t>i</w:t>
      </w:r>
      <w:r w:rsidRPr="006134FA">
        <w:rPr>
          <w:rFonts w:cs="Arial"/>
        </w:rPr>
        <w:t xml:space="preserve">Primus, Telstra and </w:t>
      </w:r>
      <w:r w:rsidRPr="008A4D94">
        <w:rPr>
          <w:rFonts w:cs="Arial"/>
        </w:rPr>
        <w:t>Dodo</w:t>
      </w:r>
      <w:r w:rsidRPr="006134FA">
        <w:rPr>
          <w:rFonts w:cs="Arial"/>
        </w:rPr>
        <w:t xml:space="preserve"> over the previous two financial years (2014–15 and 2015–16). </w:t>
      </w:r>
      <w:r w:rsidRPr="006134FA">
        <w:t>Most notably, the number of in-place connections by iiNet almost halved (49 per cent) in the year to June 2016.</w:t>
      </w:r>
      <w:r>
        <w:t xml:space="preserve"> </w:t>
      </w:r>
      <w:r w:rsidRPr="006134FA">
        <w:t>iiNet has advised this was due to the end of a previous sales promotion and increased competition in the market place resulting from the NBN rollout.</w:t>
      </w:r>
    </w:p>
    <w:p w14:paraId="4F535548" w14:textId="77777777" w:rsidR="00AD37AD" w:rsidRPr="006134FA" w:rsidRDefault="00AD37AD" w:rsidP="00236F29">
      <w:pPr>
        <w:pStyle w:val="ACMATableHeader"/>
        <w:keepNext/>
        <w:numPr>
          <w:ilvl w:val="0"/>
          <w:numId w:val="0"/>
        </w:numPr>
        <w:ind w:left="1134" w:hanging="1134"/>
      </w:pPr>
      <w:r w:rsidRPr="006134FA">
        <w:t>Table 5.8</w:t>
      </w:r>
      <w:r>
        <w:tab/>
      </w:r>
      <w:r w:rsidRPr="006134FA">
        <w:t>Number of new service connections, in-place connections and fault repairs requested and appointments made at the national level</w:t>
      </w:r>
    </w:p>
    <w:tbl>
      <w:tblPr>
        <w:tblStyle w:val="Commsreport2014-15TABLE3"/>
        <w:tblW w:w="9429" w:type="dxa"/>
        <w:tblLayout w:type="fixed"/>
        <w:tblCellMar>
          <w:top w:w="57" w:type="dxa"/>
          <w:left w:w="57" w:type="dxa"/>
          <w:bottom w:w="57" w:type="dxa"/>
          <w:right w:w="57" w:type="dxa"/>
        </w:tblCellMar>
        <w:tblLook w:val="01E0" w:firstRow="1" w:lastRow="1" w:firstColumn="1" w:lastColumn="1" w:noHBand="0" w:noVBand="0"/>
        <w:tblCaption w:val="Table 5.8 Number of new service connections, in-place connections and fault repairs requested and appointments made at the national level"/>
      </w:tblPr>
      <w:tblGrid>
        <w:gridCol w:w="1634"/>
        <w:gridCol w:w="973"/>
        <w:gridCol w:w="975"/>
        <w:gridCol w:w="974"/>
        <w:gridCol w:w="975"/>
        <w:gridCol w:w="974"/>
        <w:gridCol w:w="975"/>
        <w:gridCol w:w="974"/>
        <w:gridCol w:w="975"/>
      </w:tblGrid>
      <w:tr w:rsidR="00AD37AD" w:rsidRPr="00681B51" w14:paraId="65391264" w14:textId="77777777" w:rsidTr="00681B51">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tcPr>
          <w:p w14:paraId="4AFB9D92" w14:textId="77777777" w:rsidR="00AD37AD" w:rsidRPr="00681B51" w:rsidRDefault="00AD37AD" w:rsidP="00681B51">
            <w:pPr>
              <w:pStyle w:val="TableHeading"/>
              <w:jc w:val="center"/>
              <w:rPr>
                <w:b/>
              </w:rPr>
            </w:pPr>
          </w:p>
        </w:tc>
        <w:tc>
          <w:tcPr>
            <w:tcW w:w="1948" w:type="dxa"/>
            <w:gridSpan w:val="2"/>
            <w:shd w:val="clear" w:color="auto" w:fill="007298"/>
          </w:tcPr>
          <w:p w14:paraId="31D8D1E4" w14:textId="77777777" w:rsidR="00AD37AD" w:rsidRPr="00681B51" w:rsidRDefault="00AD37AD" w:rsidP="00681B5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681B51">
              <w:rPr>
                <w:b/>
              </w:rPr>
              <w:t>iiNet</w:t>
            </w:r>
          </w:p>
        </w:tc>
        <w:tc>
          <w:tcPr>
            <w:tcW w:w="1949" w:type="dxa"/>
            <w:gridSpan w:val="2"/>
            <w:shd w:val="clear" w:color="auto" w:fill="007298"/>
          </w:tcPr>
          <w:p w14:paraId="65F8E839" w14:textId="77777777" w:rsidR="00AD37AD" w:rsidRPr="00681B51" w:rsidRDefault="00AD37AD" w:rsidP="00681B5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681B51">
              <w:rPr>
                <w:b/>
              </w:rPr>
              <w:t>Optus</w:t>
            </w:r>
          </w:p>
        </w:tc>
        <w:tc>
          <w:tcPr>
            <w:tcW w:w="1949" w:type="dxa"/>
            <w:gridSpan w:val="2"/>
            <w:shd w:val="clear" w:color="auto" w:fill="007298"/>
          </w:tcPr>
          <w:p w14:paraId="18F1CF17" w14:textId="77777777" w:rsidR="00AD37AD" w:rsidRPr="00681B51" w:rsidRDefault="00AD37AD" w:rsidP="00681B5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681B51">
              <w:rPr>
                <w:b/>
              </w:rPr>
              <w:t>Dodo</w:t>
            </w:r>
          </w:p>
        </w:tc>
        <w:tc>
          <w:tcPr>
            <w:tcW w:w="1949" w:type="dxa"/>
            <w:gridSpan w:val="2"/>
            <w:shd w:val="clear" w:color="auto" w:fill="007298"/>
          </w:tcPr>
          <w:p w14:paraId="0FA26CEA" w14:textId="77777777" w:rsidR="00AD37AD" w:rsidRPr="00681B51" w:rsidRDefault="00AD37AD" w:rsidP="00681B5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681B51">
              <w:rPr>
                <w:b/>
              </w:rPr>
              <w:t>Telstra</w:t>
            </w:r>
          </w:p>
        </w:tc>
      </w:tr>
      <w:tr w:rsidR="00AD37AD" w:rsidRPr="006134FA" w14:paraId="031009E9" w14:textId="77777777" w:rsidTr="00236F29">
        <w:trPr>
          <w:trHeight w:val="290"/>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tcPr>
          <w:p w14:paraId="598367CF" w14:textId="77777777" w:rsidR="00AD37AD" w:rsidRPr="006134FA" w:rsidRDefault="00AD37AD" w:rsidP="00ED2504">
            <w:pPr>
              <w:keepNext/>
              <w:spacing w:after="0"/>
              <w:rPr>
                <w:rFonts w:cs="Arial"/>
                <w:color w:val="000000"/>
                <w:szCs w:val="18"/>
              </w:rPr>
            </w:pPr>
          </w:p>
        </w:tc>
        <w:tc>
          <w:tcPr>
            <w:tcW w:w="973" w:type="dxa"/>
            <w:shd w:val="clear" w:color="auto" w:fill="007298"/>
          </w:tcPr>
          <w:p w14:paraId="2132561B" w14:textId="77777777" w:rsidR="00AD37AD" w:rsidRPr="006134FA" w:rsidRDefault="00236F29"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Pr>
                <w:rFonts w:cs="Arial"/>
                <w:b/>
                <w:color w:val="FFFFFF"/>
                <w:szCs w:val="18"/>
              </w:rPr>
              <w:t>2014</w:t>
            </w:r>
            <w:r w:rsidR="00AD37AD" w:rsidRPr="006134FA">
              <w:rPr>
                <w:rFonts w:cs="Arial"/>
                <w:b/>
                <w:color w:val="FFFFFF"/>
                <w:szCs w:val="18"/>
              </w:rPr>
              <w:t>–15</w:t>
            </w:r>
          </w:p>
        </w:tc>
        <w:tc>
          <w:tcPr>
            <w:tcW w:w="975" w:type="dxa"/>
            <w:shd w:val="clear" w:color="auto" w:fill="007298"/>
          </w:tcPr>
          <w:p w14:paraId="231DFE7C" w14:textId="77777777" w:rsidR="00AD37AD" w:rsidRPr="006134FA" w:rsidRDefault="00236F29"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highlight w:val="yellow"/>
              </w:rPr>
            </w:pPr>
            <w:r>
              <w:rPr>
                <w:rFonts w:cs="Arial"/>
                <w:b/>
                <w:color w:val="FFFFFF"/>
                <w:szCs w:val="18"/>
              </w:rPr>
              <w:t>2015</w:t>
            </w:r>
            <w:r w:rsidR="00AD37AD" w:rsidRPr="006134FA">
              <w:rPr>
                <w:rFonts w:cs="Arial"/>
                <w:b/>
                <w:color w:val="FFFFFF"/>
                <w:szCs w:val="18"/>
              </w:rPr>
              <w:t>–16</w:t>
            </w:r>
          </w:p>
        </w:tc>
        <w:tc>
          <w:tcPr>
            <w:tcW w:w="974" w:type="dxa"/>
            <w:shd w:val="clear" w:color="auto" w:fill="007298"/>
          </w:tcPr>
          <w:p w14:paraId="50B8A91F"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201</w:t>
            </w:r>
            <w:r w:rsidR="00236F29">
              <w:rPr>
                <w:rFonts w:cs="Arial"/>
                <w:b/>
                <w:color w:val="FFFFFF"/>
                <w:szCs w:val="18"/>
              </w:rPr>
              <w:t>4</w:t>
            </w:r>
            <w:r w:rsidRPr="006134FA">
              <w:rPr>
                <w:rFonts w:cs="Arial"/>
                <w:b/>
                <w:color w:val="FFFFFF"/>
                <w:szCs w:val="18"/>
              </w:rPr>
              <w:t>–15</w:t>
            </w:r>
          </w:p>
        </w:tc>
        <w:tc>
          <w:tcPr>
            <w:tcW w:w="975" w:type="dxa"/>
            <w:shd w:val="clear" w:color="auto" w:fill="007298"/>
          </w:tcPr>
          <w:p w14:paraId="573CEE71" w14:textId="77777777" w:rsidR="00AD37AD" w:rsidRPr="006134FA" w:rsidRDefault="00236F29"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Pr>
                <w:rFonts w:cs="Arial"/>
                <w:b/>
                <w:color w:val="FFFFFF"/>
                <w:szCs w:val="18"/>
              </w:rPr>
              <w:t>2015</w:t>
            </w:r>
            <w:r w:rsidR="00AD37AD" w:rsidRPr="006134FA">
              <w:rPr>
                <w:rFonts w:cs="Arial"/>
                <w:b/>
                <w:color w:val="FFFFFF"/>
                <w:szCs w:val="18"/>
              </w:rPr>
              <w:t>–16</w:t>
            </w:r>
          </w:p>
        </w:tc>
        <w:tc>
          <w:tcPr>
            <w:tcW w:w="974" w:type="dxa"/>
            <w:shd w:val="clear" w:color="auto" w:fill="007298"/>
          </w:tcPr>
          <w:p w14:paraId="57943945" w14:textId="77777777" w:rsidR="00AD37AD" w:rsidRPr="006134FA" w:rsidRDefault="00236F29"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Pr>
                <w:rFonts w:cs="Arial"/>
                <w:b/>
                <w:color w:val="FFFFFF"/>
                <w:szCs w:val="18"/>
              </w:rPr>
              <w:t>2014</w:t>
            </w:r>
            <w:r w:rsidR="00AD37AD" w:rsidRPr="006134FA">
              <w:rPr>
                <w:rFonts w:cs="Arial"/>
                <w:b/>
                <w:color w:val="FFFFFF"/>
                <w:szCs w:val="18"/>
              </w:rPr>
              <w:t>–15</w:t>
            </w:r>
            <w:r w:rsidR="001614D9">
              <w:rPr>
                <w:rFonts w:cs="Arial"/>
                <w:b/>
                <w:color w:val="FFFFFF"/>
                <w:szCs w:val="18"/>
              </w:rPr>
              <w:t>*</w:t>
            </w:r>
          </w:p>
        </w:tc>
        <w:tc>
          <w:tcPr>
            <w:tcW w:w="975" w:type="dxa"/>
            <w:shd w:val="clear" w:color="auto" w:fill="007298"/>
          </w:tcPr>
          <w:p w14:paraId="6C65EC32" w14:textId="77777777" w:rsidR="00AD37AD" w:rsidRPr="006134FA" w:rsidRDefault="00236F29"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highlight w:val="yellow"/>
              </w:rPr>
            </w:pPr>
            <w:r>
              <w:rPr>
                <w:rFonts w:cs="Arial"/>
                <w:b/>
                <w:color w:val="FFFFFF"/>
                <w:szCs w:val="18"/>
              </w:rPr>
              <w:t>2015</w:t>
            </w:r>
            <w:r w:rsidR="00AD37AD" w:rsidRPr="006134FA">
              <w:rPr>
                <w:rFonts w:cs="Arial"/>
                <w:b/>
                <w:color w:val="FFFFFF"/>
                <w:szCs w:val="18"/>
              </w:rPr>
              <w:t>–16</w:t>
            </w:r>
          </w:p>
        </w:tc>
        <w:tc>
          <w:tcPr>
            <w:tcW w:w="974" w:type="dxa"/>
            <w:shd w:val="clear" w:color="auto" w:fill="007298"/>
          </w:tcPr>
          <w:p w14:paraId="1D233C18" w14:textId="77777777" w:rsidR="00AD37AD" w:rsidRPr="006134FA" w:rsidRDefault="00236F29"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Pr>
                <w:rFonts w:cs="Arial"/>
                <w:b/>
                <w:color w:val="FFFFFF"/>
                <w:szCs w:val="18"/>
              </w:rPr>
              <w:t>2014</w:t>
            </w:r>
            <w:r w:rsidR="00AD37AD" w:rsidRPr="006134FA">
              <w:rPr>
                <w:rFonts w:cs="Arial"/>
                <w:b/>
                <w:color w:val="FFFFFF"/>
                <w:szCs w:val="18"/>
              </w:rPr>
              <w:t>–15</w:t>
            </w:r>
          </w:p>
        </w:tc>
        <w:tc>
          <w:tcPr>
            <w:tcW w:w="975" w:type="dxa"/>
            <w:shd w:val="clear" w:color="auto" w:fill="007298"/>
          </w:tcPr>
          <w:p w14:paraId="6BC516FE" w14:textId="77777777" w:rsidR="00AD37AD" w:rsidRPr="006134FA" w:rsidRDefault="00236F29"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highlight w:val="yellow"/>
              </w:rPr>
            </w:pPr>
            <w:r>
              <w:rPr>
                <w:rFonts w:cs="Arial"/>
                <w:b/>
                <w:color w:val="FFFFFF"/>
                <w:szCs w:val="18"/>
              </w:rPr>
              <w:t>2015</w:t>
            </w:r>
            <w:r w:rsidR="00AD37AD" w:rsidRPr="006134FA">
              <w:rPr>
                <w:rFonts w:cs="Arial"/>
                <w:b/>
                <w:color w:val="FFFFFF"/>
                <w:szCs w:val="18"/>
              </w:rPr>
              <w:t>–16</w:t>
            </w:r>
          </w:p>
        </w:tc>
      </w:tr>
      <w:tr w:rsidR="00BA4AB8" w:rsidRPr="006134FA" w14:paraId="6B60F9E1" w14:textId="77777777" w:rsidTr="00ED2504">
        <w:trPr>
          <w:trHeight w:val="363"/>
        </w:trPr>
        <w:tc>
          <w:tcPr>
            <w:cnfStyle w:val="001000000000" w:firstRow="0" w:lastRow="0" w:firstColumn="1" w:lastColumn="0" w:oddVBand="0" w:evenVBand="0" w:oddHBand="0" w:evenHBand="0" w:firstRowFirstColumn="0" w:firstRowLastColumn="0" w:lastRowFirstColumn="0" w:lastRowLastColumn="0"/>
            <w:tcW w:w="1634" w:type="dxa"/>
            <w:shd w:val="clear" w:color="auto" w:fill="7FB8CB"/>
          </w:tcPr>
          <w:p w14:paraId="1958D809" w14:textId="77777777" w:rsidR="00BA4AB8" w:rsidRPr="00BE6BBB" w:rsidRDefault="00BA4AB8" w:rsidP="00ED2504">
            <w:pPr>
              <w:keepNext/>
              <w:spacing w:after="0"/>
              <w:rPr>
                <w:rFonts w:cs="Arial"/>
                <w:color w:val="FFFFFF" w:themeColor="background1"/>
                <w:szCs w:val="18"/>
              </w:rPr>
            </w:pPr>
            <w:r w:rsidRPr="00BE6BBB">
              <w:rPr>
                <w:rFonts w:cs="Arial"/>
                <w:color w:val="FFFFFF" w:themeColor="background1"/>
                <w:szCs w:val="18"/>
              </w:rPr>
              <w:t>New service connections</w:t>
            </w:r>
          </w:p>
        </w:tc>
        <w:tc>
          <w:tcPr>
            <w:tcW w:w="973" w:type="dxa"/>
            <w:shd w:val="clear" w:color="auto" w:fill="D2E1E9"/>
          </w:tcPr>
          <w:p w14:paraId="00648115"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74,031</w:t>
            </w:r>
          </w:p>
        </w:tc>
        <w:tc>
          <w:tcPr>
            <w:tcW w:w="975" w:type="dxa"/>
            <w:shd w:val="clear" w:color="auto" w:fill="D2E1E9"/>
          </w:tcPr>
          <w:p w14:paraId="2AB8A266"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66,181</w:t>
            </w:r>
          </w:p>
        </w:tc>
        <w:tc>
          <w:tcPr>
            <w:tcW w:w="974" w:type="dxa"/>
            <w:shd w:val="clear" w:color="auto" w:fill="D2E1E9"/>
          </w:tcPr>
          <w:p w14:paraId="083AFD80"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214,914</w:t>
            </w:r>
          </w:p>
        </w:tc>
        <w:tc>
          <w:tcPr>
            <w:tcW w:w="975" w:type="dxa"/>
            <w:shd w:val="clear" w:color="auto" w:fill="D2E1E9"/>
          </w:tcPr>
          <w:p w14:paraId="5A1BBC37"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rPr>
                <w:rFonts w:cs="Arial"/>
                <w:color w:val="000000"/>
                <w:szCs w:val="18"/>
              </w:rPr>
              <w:t>271,436</w:t>
            </w:r>
          </w:p>
        </w:tc>
        <w:tc>
          <w:tcPr>
            <w:tcW w:w="974" w:type="dxa"/>
            <w:shd w:val="clear" w:color="auto" w:fill="D2E1E9"/>
          </w:tcPr>
          <w:p w14:paraId="751063F7" w14:textId="77777777" w:rsidR="00BA4AB8" w:rsidRPr="00BA4AB8"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22,441</w:t>
            </w:r>
          </w:p>
        </w:tc>
        <w:tc>
          <w:tcPr>
            <w:tcW w:w="975" w:type="dxa"/>
            <w:shd w:val="clear" w:color="auto" w:fill="D2E1E9"/>
          </w:tcPr>
          <w:p w14:paraId="10D800B5" w14:textId="77777777" w:rsidR="00BA4AB8" w:rsidRPr="00BA4AB8"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27,444</w:t>
            </w:r>
          </w:p>
        </w:tc>
        <w:tc>
          <w:tcPr>
            <w:tcW w:w="974" w:type="dxa"/>
            <w:shd w:val="clear" w:color="auto" w:fill="D2E1E9"/>
          </w:tcPr>
          <w:p w14:paraId="499FCA8A"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379,187</w:t>
            </w:r>
          </w:p>
        </w:tc>
        <w:tc>
          <w:tcPr>
            <w:tcW w:w="975" w:type="dxa"/>
            <w:shd w:val="clear" w:color="auto" w:fill="D2E1E9"/>
          </w:tcPr>
          <w:p w14:paraId="1229DF1C"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rPr>
                <w:rFonts w:cs="Arial"/>
                <w:color w:val="000000"/>
                <w:szCs w:val="18"/>
              </w:rPr>
              <w:t>347,657</w:t>
            </w:r>
          </w:p>
        </w:tc>
      </w:tr>
      <w:tr w:rsidR="00BA4AB8" w:rsidRPr="006134FA" w14:paraId="02CCAFC2" w14:textId="77777777" w:rsidTr="003B610E">
        <w:trPr>
          <w:trHeight w:val="343"/>
        </w:trPr>
        <w:tc>
          <w:tcPr>
            <w:cnfStyle w:val="001000000000" w:firstRow="0" w:lastRow="0" w:firstColumn="1" w:lastColumn="0" w:oddVBand="0" w:evenVBand="0" w:oddHBand="0" w:evenHBand="0" w:firstRowFirstColumn="0" w:firstRowLastColumn="0" w:lastRowFirstColumn="0" w:lastRowLastColumn="0"/>
            <w:tcW w:w="1634" w:type="dxa"/>
            <w:shd w:val="clear" w:color="auto" w:fill="7FB8CB"/>
          </w:tcPr>
          <w:p w14:paraId="025F1C3C" w14:textId="77777777" w:rsidR="00BA4AB8" w:rsidRPr="00BE6BBB" w:rsidRDefault="00BA4AB8" w:rsidP="00ED2504">
            <w:pPr>
              <w:keepNext/>
              <w:spacing w:after="0"/>
              <w:rPr>
                <w:rFonts w:cs="Arial"/>
                <w:color w:val="FFFFFF" w:themeColor="background1"/>
                <w:szCs w:val="18"/>
              </w:rPr>
            </w:pPr>
            <w:r w:rsidRPr="00BE6BBB">
              <w:rPr>
                <w:rFonts w:cs="Arial"/>
                <w:color w:val="FFFFFF" w:themeColor="background1"/>
                <w:szCs w:val="18"/>
              </w:rPr>
              <w:t>In-place connections</w:t>
            </w:r>
          </w:p>
        </w:tc>
        <w:tc>
          <w:tcPr>
            <w:tcW w:w="973" w:type="dxa"/>
            <w:shd w:val="clear" w:color="auto" w:fill="D2E1E9"/>
          </w:tcPr>
          <w:p w14:paraId="15CAE811"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79,341</w:t>
            </w:r>
          </w:p>
        </w:tc>
        <w:tc>
          <w:tcPr>
            <w:tcW w:w="975" w:type="dxa"/>
            <w:shd w:val="clear" w:color="auto" w:fill="D2E1E9"/>
          </w:tcPr>
          <w:p w14:paraId="2435857C"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40,325</w:t>
            </w:r>
          </w:p>
        </w:tc>
        <w:tc>
          <w:tcPr>
            <w:tcW w:w="974" w:type="dxa"/>
            <w:shd w:val="clear" w:color="auto" w:fill="D2E1E9"/>
          </w:tcPr>
          <w:p w14:paraId="344E9E18"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n/a</w:t>
            </w:r>
          </w:p>
        </w:tc>
        <w:tc>
          <w:tcPr>
            <w:tcW w:w="975" w:type="dxa"/>
            <w:shd w:val="clear" w:color="auto" w:fill="D2E1E9"/>
          </w:tcPr>
          <w:p w14:paraId="4713D376"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n/a</w:t>
            </w:r>
          </w:p>
        </w:tc>
        <w:tc>
          <w:tcPr>
            <w:tcW w:w="974" w:type="dxa"/>
            <w:shd w:val="clear" w:color="auto" w:fill="D2E1E9"/>
          </w:tcPr>
          <w:p w14:paraId="5EA4406A" w14:textId="77777777" w:rsidR="00BA4AB8" w:rsidRPr="00BA4AB8"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85,371</w:t>
            </w:r>
          </w:p>
        </w:tc>
        <w:tc>
          <w:tcPr>
            <w:tcW w:w="975" w:type="dxa"/>
            <w:shd w:val="clear" w:color="auto" w:fill="D2E1E9"/>
          </w:tcPr>
          <w:p w14:paraId="5E480796" w14:textId="77777777" w:rsidR="00BA4AB8" w:rsidRPr="00BA4AB8"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87,778</w:t>
            </w:r>
          </w:p>
        </w:tc>
        <w:tc>
          <w:tcPr>
            <w:tcW w:w="974" w:type="dxa"/>
            <w:shd w:val="clear" w:color="auto" w:fill="D2E1E9"/>
          </w:tcPr>
          <w:p w14:paraId="0C57E09C"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273,050</w:t>
            </w:r>
          </w:p>
        </w:tc>
        <w:tc>
          <w:tcPr>
            <w:tcW w:w="975" w:type="dxa"/>
            <w:shd w:val="clear" w:color="auto" w:fill="D2E1E9"/>
          </w:tcPr>
          <w:p w14:paraId="22506F5B"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rPr>
                <w:rFonts w:cs="Arial"/>
                <w:color w:val="000000"/>
                <w:szCs w:val="18"/>
              </w:rPr>
              <w:t>267,258</w:t>
            </w:r>
          </w:p>
        </w:tc>
      </w:tr>
      <w:tr w:rsidR="00BA4AB8" w:rsidRPr="006134FA" w14:paraId="6F31FFBF" w14:textId="77777777" w:rsidTr="00236F29">
        <w:trPr>
          <w:trHeight w:val="46"/>
        </w:trPr>
        <w:tc>
          <w:tcPr>
            <w:cnfStyle w:val="001000000000" w:firstRow="0" w:lastRow="0" w:firstColumn="1" w:lastColumn="0" w:oddVBand="0" w:evenVBand="0" w:oddHBand="0" w:evenHBand="0" w:firstRowFirstColumn="0" w:firstRowLastColumn="0" w:lastRowFirstColumn="0" w:lastRowLastColumn="0"/>
            <w:tcW w:w="1634" w:type="dxa"/>
            <w:shd w:val="clear" w:color="auto" w:fill="7FB8CB"/>
          </w:tcPr>
          <w:p w14:paraId="017F53B6" w14:textId="77777777" w:rsidR="00BA4AB8" w:rsidRPr="00BE6BBB" w:rsidRDefault="00BA4AB8" w:rsidP="00ED2504">
            <w:pPr>
              <w:keepNext/>
              <w:spacing w:after="0"/>
              <w:rPr>
                <w:rFonts w:cs="Arial"/>
                <w:color w:val="FFFFFF" w:themeColor="background1"/>
                <w:szCs w:val="18"/>
              </w:rPr>
            </w:pPr>
            <w:r w:rsidRPr="00BE6BBB">
              <w:rPr>
                <w:rFonts w:cs="Arial"/>
                <w:color w:val="FFFFFF" w:themeColor="background1"/>
                <w:szCs w:val="18"/>
              </w:rPr>
              <w:t>Fault repairs</w:t>
            </w:r>
          </w:p>
        </w:tc>
        <w:tc>
          <w:tcPr>
            <w:tcW w:w="973" w:type="dxa"/>
            <w:shd w:val="clear" w:color="auto" w:fill="D2E1E9"/>
          </w:tcPr>
          <w:p w14:paraId="0CBB235F"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79,926</w:t>
            </w:r>
          </w:p>
        </w:tc>
        <w:tc>
          <w:tcPr>
            <w:tcW w:w="975" w:type="dxa"/>
            <w:shd w:val="clear" w:color="auto" w:fill="D2E1E9"/>
          </w:tcPr>
          <w:p w14:paraId="0248AB1B"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66,644</w:t>
            </w:r>
          </w:p>
        </w:tc>
        <w:tc>
          <w:tcPr>
            <w:tcW w:w="974" w:type="dxa"/>
            <w:shd w:val="clear" w:color="auto" w:fill="D2E1E9"/>
          </w:tcPr>
          <w:p w14:paraId="38D8E8FB"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157,292</w:t>
            </w:r>
          </w:p>
        </w:tc>
        <w:tc>
          <w:tcPr>
            <w:tcW w:w="975" w:type="dxa"/>
            <w:shd w:val="clear" w:color="auto" w:fill="D2E1E9"/>
          </w:tcPr>
          <w:p w14:paraId="746EBDBB"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168,403</w:t>
            </w:r>
          </w:p>
        </w:tc>
        <w:tc>
          <w:tcPr>
            <w:tcW w:w="974" w:type="dxa"/>
            <w:shd w:val="clear" w:color="auto" w:fill="D2E1E9"/>
          </w:tcPr>
          <w:p w14:paraId="57719C1A" w14:textId="77777777" w:rsidR="00BA4AB8" w:rsidRPr="00BA4AB8"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40,712</w:t>
            </w:r>
          </w:p>
        </w:tc>
        <w:tc>
          <w:tcPr>
            <w:tcW w:w="975" w:type="dxa"/>
            <w:shd w:val="clear" w:color="auto" w:fill="D2E1E9"/>
          </w:tcPr>
          <w:p w14:paraId="3C7E8450" w14:textId="77777777" w:rsidR="00BA4AB8" w:rsidRPr="00BA4AB8"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83,642</w:t>
            </w:r>
          </w:p>
        </w:tc>
        <w:tc>
          <w:tcPr>
            <w:tcW w:w="974" w:type="dxa"/>
            <w:shd w:val="clear" w:color="auto" w:fill="D2E1E9"/>
          </w:tcPr>
          <w:p w14:paraId="5CA6B5FF"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699,072</w:t>
            </w:r>
          </w:p>
        </w:tc>
        <w:tc>
          <w:tcPr>
            <w:tcW w:w="975" w:type="dxa"/>
            <w:shd w:val="clear" w:color="auto" w:fill="D2E1E9"/>
          </w:tcPr>
          <w:p w14:paraId="02A0D5AD"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rPr>
                <w:rFonts w:cs="Arial"/>
                <w:color w:val="000000"/>
                <w:szCs w:val="18"/>
              </w:rPr>
              <w:t>602,492</w:t>
            </w:r>
          </w:p>
        </w:tc>
      </w:tr>
      <w:tr w:rsidR="00BA4AB8" w:rsidRPr="006134FA" w14:paraId="58F092AE" w14:textId="77777777" w:rsidTr="00236F29">
        <w:trPr>
          <w:trHeight w:val="24"/>
        </w:trPr>
        <w:tc>
          <w:tcPr>
            <w:cnfStyle w:val="001000000000" w:firstRow="0" w:lastRow="0" w:firstColumn="1" w:lastColumn="0" w:oddVBand="0" w:evenVBand="0" w:oddHBand="0" w:evenHBand="0" w:firstRowFirstColumn="0" w:firstRowLastColumn="0" w:lastRowFirstColumn="0" w:lastRowLastColumn="0"/>
            <w:tcW w:w="1634" w:type="dxa"/>
            <w:shd w:val="clear" w:color="auto" w:fill="7FB8CB"/>
          </w:tcPr>
          <w:p w14:paraId="6C2D418A" w14:textId="77777777" w:rsidR="00BA4AB8" w:rsidRPr="00BE6BBB" w:rsidRDefault="00BA4AB8" w:rsidP="00ED2504">
            <w:pPr>
              <w:keepNext/>
              <w:spacing w:after="0"/>
              <w:rPr>
                <w:rFonts w:cs="Arial"/>
                <w:color w:val="FFFFFF" w:themeColor="background1"/>
                <w:szCs w:val="18"/>
              </w:rPr>
            </w:pPr>
            <w:r w:rsidRPr="00BE6BBB">
              <w:rPr>
                <w:rFonts w:cs="Arial"/>
                <w:color w:val="FFFFFF" w:themeColor="background1"/>
                <w:szCs w:val="18"/>
              </w:rPr>
              <w:t>Appointments</w:t>
            </w:r>
            <w:r w:rsidRPr="00BE6BBB">
              <w:rPr>
                <w:rFonts w:cs="Arial"/>
                <w:color w:val="FFFFFF" w:themeColor="background1"/>
                <w:sz w:val="16"/>
                <w:vertAlign w:val="superscript"/>
              </w:rPr>
              <w:t>†</w:t>
            </w:r>
          </w:p>
        </w:tc>
        <w:tc>
          <w:tcPr>
            <w:tcW w:w="973" w:type="dxa"/>
            <w:shd w:val="clear" w:color="auto" w:fill="D2E1E9"/>
          </w:tcPr>
          <w:p w14:paraId="1F384558"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AA0C44">
              <w:rPr>
                <w:rFonts w:cs="Arial"/>
                <w:color w:val="000000"/>
                <w:szCs w:val="18"/>
              </w:rPr>
              <w:t>59,140</w:t>
            </w:r>
            <w:r w:rsidRPr="00DD6238">
              <w:rPr>
                <w:rFonts w:cs="Arial"/>
                <w:sz w:val="16"/>
                <w:vertAlign w:val="superscript"/>
              </w:rPr>
              <w:t>‡</w:t>
            </w:r>
          </w:p>
        </w:tc>
        <w:tc>
          <w:tcPr>
            <w:tcW w:w="975" w:type="dxa"/>
            <w:shd w:val="clear" w:color="auto" w:fill="D2E1E9"/>
          </w:tcPr>
          <w:p w14:paraId="4CC8FE56"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45,240</w:t>
            </w:r>
            <w:r w:rsidR="00B25CE9" w:rsidRPr="00DD6238">
              <w:rPr>
                <w:rFonts w:cs="Arial"/>
                <w:sz w:val="16"/>
                <w:vertAlign w:val="superscript"/>
              </w:rPr>
              <w:t>‡</w:t>
            </w:r>
          </w:p>
        </w:tc>
        <w:tc>
          <w:tcPr>
            <w:tcW w:w="974" w:type="dxa"/>
            <w:shd w:val="clear" w:color="auto" w:fill="D2E1E9"/>
          </w:tcPr>
          <w:p w14:paraId="55D1FA04"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257,745</w:t>
            </w:r>
          </w:p>
        </w:tc>
        <w:tc>
          <w:tcPr>
            <w:tcW w:w="975" w:type="dxa"/>
            <w:shd w:val="clear" w:color="auto" w:fill="D2E1E9"/>
          </w:tcPr>
          <w:p w14:paraId="73713DF2"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225,249</w:t>
            </w:r>
          </w:p>
        </w:tc>
        <w:tc>
          <w:tcPr>
            <w:tcW w:w="974" w:type="dxa"/>
            <w:shd w:val="clear" w:color="auto" w:fill="D2E1E9"/>
          </w:tcPr>
          <w:p w14:paraId="5A626C97" w14:textId="77777777" w:rsidR="00BA4AB8" w:rsidRPr="00BA4AB8"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23,004</w:t>
            </w:r>
          </w:p>
        </w:tc>
        <w:tc>
          <w:tcPr>
            <w:tcW w:w="975" w:type="dxa"/>
            <w:shd w:val="clear" w:color="auto" w:fill="D2E1E9"/>
          </w:tcPr>
          <w:p w14:paraId="0CECCA7B" w14:textId="77777777" w:rsidR="00BA4AB8" w:rsidRPr="00BA4AB8"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4AB8">
              <w:rPr>
                <w:rFonts w:cs="Arial"/>
                <w:color w:val="000000"/>
                <w:szCs w:val="18"/>
              </w:rPr>
              <w:t>106,186</w:t>
            </w:r>
          </w:p>
        </w:tc>
        <w:tc>
          <w:tcPr>
            <w:tcW w:w="974" w:type="dxa"/>
            <w:shd w:val="clear" w:color="auto" w:fill="D2E1E9"/>
          </w:tcPr>
          <w:p w14:paraId="73207A31"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436,288</w:t>
            </w:r>
          </w:p>
        </w:tc>
        <w:tc>
          <w:tcPr>
            <w:tcW w:w="975" w:type="dxa"/>
            <w:shd w:val="clear" w:color="auto" w:fill="D2E1E9"/>
          </w:tcPr>
          <w:p w14:paraId="3FFC9BC4" w14:textId="77777777" w:rsidR="00BA4AB8" w:rsidRPr="006134FA" w:rsidRDefault="00BA4AB8"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highlight w:val="yellow"/>
              </w:rPr>
            </w:pPr>
            <w:r w:rsidRPr="006134FA">
              <w:rPr>
                <w:rFonts w:cs="Arial"/>
                <w:color w:val="000000"/>
                <w:szCs w:val="18"/>
              </w:rPr>
              <w:t>476,419</w:t>
            </w:r>
          </w:p>
        </w:tc>
      </w:tr>
    </w:tbl>
    <w:p w14:paraId="20380D4E" w14:textId="77777777" w:rsidR="00AD37AD" w:rsidRPr="006134FA" w:rsidRDefault="00AD37AD" w:rsidP="00236F29">
      <w:pPr>
        <w:pStyle w:val="ACMANotes"/>
        <w:keepNext/>
      </w:pPr>
      <w:r w:rsidRPr="006134FA">
        <w:t>n/a=not available.</w:t>
      </w:r>
    </w:p>
    <w:p w14:paraId="216338FD" w14:textId="77777777" w:rsidR="00BA4AB8" w:rsidRDefault="00BA4AB8" w:rsidP="00236F29">
      <w:pPr>
        <w:keepNext/>
        <w:spacing w:before="80" w:after="0" w:line="240" w:lineRule="auto"/>
        <w:rPr>
          <w:rFonts w:cs="Arial"/>
          <w:i/>
          <w:sz w:val="16"/>
        </w:rPr>
      </w:pPr>
      <w:r>
        <w:rPr>
          <w:rFonts w:cs="Arial"/>
          <w:i/>
          <w:sz w:val="16"/>
        </w:rPr>
        <w:t xml:space="preserve">*Dodo has advised that figures provided prior to the 2015-16 reporting year are under revision. </w:t>
      </w:r>
    </w:p>
    <w:p w14:paraId="768DF89B" w14:textId="77777777" w:rsidR="00BA4AB8" w:rsidRPr="00AA0C44" w:rsidRDefault="00BA4AB8" w:rsidP="00236F29">
      <w:pPr>
        <w:keepNext/>
        <w:spacing w:before="80" w:after="0" w:line="240" w:lineRule="auto"/>
        <w:rPr>
          <w:rFonts w:cs="Arial"/>
          <w:i/>
          <w:sz w:val="16"/>
        </w:rPr>
      </w:pPr>
      <w:r w:rsidRPr="00AA0C44">
        <w:rPr>
          <w:rFonts w:cs="Arial"/>
          <w:i/>
          <w:sz w:val="16"/>
          <w:vertAlign w:val="superscript"/>
        </w:rPr>
        <w:t>†</w:t>
      </w:r>
      <w:r w:rsidRPr="00AA0C44">
        <w:rPr>
          <w:rFonts w:cs="Arial"/>
          <w:i/>
          <w:sz w:val="16"/>
        </w:rPr>
        <w:t>New service connections and fault repair.</w:t>
      </w:r>
    </w:p>
    <w:p w14:paraId="3F874313" w14:textId="77777777" w:rsidR="00BA4AB8" w:rsidRPr="00AA0C44" w:rsidRDefault="00BA4AB8" w:rsidP="00236F29">
      <w:pPr>
        <w:keepNext/>
        <w:spacing w:before="80" w:after="0" w:line="240" w:lineRule="auto"/>
        <w:rPr>
          <w:rFonts w:cs="Arial"/>
          <w:i/>
          <w:sz w:val="16"/>
        </w:rPr>
      </w:pPr>
      <w:r>
        <w:rPr>
          <w:rFonts w:cs="Arial"/>
          <w:i/>
          <w:sz w:val="16"/>
          <w:vertAlign w:val="superscript"/>
        </w:rPr>
        <w:t>‡</w:t>
      </w:r>
      <w:r w:rsidRPr="00AA0C44">
        <w:rPr>
          <w:rFonts w:cs="Arial"/>
          <w:i/>
          <w:sz w:val="16"/>
        </w:rPr>
        <w:t>Appointment activity in NSW/ACT and Victoria.</w:t>
      </w:r>
    </w:p>
    <w:p w14:paraId="432517FA" w14:textId="77777777" w:rsidR="00AD37AD" w:rsidRPr="00BA4AB8" w:rsidRDefault="00BA4AB8" w:rsidP="00236F29">
      <w:pPr>
        <w:keepNext/>
        <w:spacing w:before="80" w:after="0" w:line="240" w:lineRule="auto"/>
        <w:rPr>
          <w:rFonts w:cs="Arial"/>
          <w:i/>
          <w:sz w:val="16"/>
        </w:rPr>
      </w:pPr>
      <w:r w:rsidRPr="00AA0C44">
        <w:rPr>
          <w:rFonts w:cs="Arial"/>
          <w:i/>
          <w:sz w:val="16"/>
        </w:rPr>
        <w:t>Source: CSP data.</w:t>
      </w:r>
    </w:p>
    <w:p w14:paraId="0115B721" w14:textId="77777777" w:rsidR="00AD37AD" w:rsidRPr="006134FA" w:rsidRDefault="00AD37AD" w:rsidP="00AD37AD">
      <w:pPr>
        <w:pStyle w:val="ACMASpaceaftertable"/>
      </w:pPr>
    </w:p>
    <w:p w14:paraId="391F1048" w14:textId="77777777" w:rsidR="00AD37AD" w:rsidRPr="006134FA" w:rsidRDefault="00AD37AD" w:rsidP="00AD37AD">
      <w:pPr>
        <w:pStyle w:val="Heading3"/>
      </w:pPr>
      <w:bookmarkStart w:id="776" w:name="_Toc462909504"/>
      <w:bookmarkStart w:id="777" w:name="_Toc465842985"/>
      <w:r w:rsidRPr="006134FA">
        <w:lastRenderedPageBreak/>
        <w:t>CSG Standard payments</w:t>
      </w:r>
      <w:bookmarkEnd w:id="776"/>
      <w:bookmarkEnd w:id="777"/>
    </w:p>
    <w:p w14:paraId="77C062D6" w14:textId="77777777" w:rsidR="00AD37AD" w:rsidRPr="006134FA" w:rsidRDefault="00AD37AD" w:rsidP="00AD37AD">
      <w:pPr>
        <w:rPr>
          <w:b/>
          <w:bCs/>
          <w:color w:val="323232"/>
          <w:szCs w:val="20"/>
        </w:rPr>
      </w:pPr>
      <w:r w:rsidRPr="006134FA">
        <w:t>As a result of failing to meet CSG Standard time frames during 2015–16, CSPs made compensation payments to customers</w:t>
      </w:r>
      <w:r>
        <w:t>,</w:t>
      </w:r>
      <w:r w:rsidRPr="006134FA">
        <w:t xml:space="preserve"> as shown in Table 5.9.</w:t>
      </w:r>
    </w:p>
    <w:p w14:paraId="2A9C9864" w14:textId="77777777" w:rsidR="00AD37AD" w:rsidRPr="006134FA" w:rsidRDefault="00AD37AD" w:rsidP="00AD37AD">
      <w:pPr>
        <w:pStyle w:val="ACMATableHeader"/>
        <w:numPr>
          <w:ilvl w:val="0"/>
          <w:numId w:val="0"/>
        </w:numPr>
      </w:pPr>
      <w:r w:rsidRPr="006134FA">
        <w:t>Table 5.9</w:t>
      </w:r>
      <w:r>
        <w:tab/>
      </w:r>
      <w:r w:rsidRPr="006134FA">
        <w:t>Volume and value of compensation payments made by CSPs to customers</w:t>
      </w:r>
    </w:p>
    <w:tbl>
      <w:tblPr>
        <w:tblStyle w:val="Commsreport2014-15TABLE3"/>
        <w:tblW w:w="9429" w:type="dxa"/>
        <w:tblLayout w:type="fixed"/>
        <w:tblCellMar>
          <w:top w:w="57" w:type="dxa"/>
          <w:left w:w="57" w:type="dxa"/>
          <w:bottom w:w="57" w:type="dxa"/>
          <w:right w:w="57" w:type="dxa"/>
        </w:tblCellMar>
        <w:tblLook w:val="01E0" w:firstRow="1" w:lastRow="1" w:firstColumn="1" w:lastColumn="1" w:noHBand="0" w:noVBand="0"/>
        <w:tblCaption w:val="Table 5.9 Volume and value of compensation payments made by CSPs to customers"/>
      </w:tblPr>
      <w:tblGrid>
        <w:gridCol w:w="2602"/>
        <w:gridCol w:w="1706"/>
        <w:gridCol w:w="1707"/>
        <w:gridCol w:w="1707"/>
        <w:gridCol w:w="1707"/>
      </w:tblGrid>
      <w:tr w:rsidR="00AD37AD" w:rsidRPr="00681B51" w14:paraId="5F481A5D" w14:textId="77777777" w:rsidTr="00681B51">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2602" w:type="dxa"/>
            <w:shd w:val="clear" w:color="auto" w:fill="auto"/>
          </w:tcPr>
          <w:p w14:paraId="548EF67D" w14:textId="77777777" w:rsidR="00AD37AD" w:rsidRPr="00681B51" w:rsidRDefault="00AD37AD" w:rsidP="00681B51">
            <w:pPr>
              <w:pStyle w:val="TableHeading"/>
              <w:jc w:val="center"/>
              <w:rPr>
                <w:b/>
              </w:rPr>
            </w:pPr>
          </w:p>
        </w:tc>
        <w:tc>
          <w:tcPr>
            <w:tcW w:w="3413" w:type="dxa"/>
            <w:gridSpan w:val="2"/>
            <w:shd w:val="clear" w:color="auto" w:fill="007298"/>
          </w:tcPr>
          <w:p w14:paraId="0B93022A" w14:textId="77777777" w:rsidR="00AD37AD" w:rsidRPr="00681B51" w:rsidRDefault="00AD37AD" w:rsidP="00681B51">
            <w:pPr>
              <w:pStyle w:val="TableHeading"/>
              <w:jc w:val="center"/>
              <w:cnfStyle w:val="100000000000" w:firstRow="1" w:lastRow="0" w:firstColumn="0" w:lastColumn="0" w:oddVBand="0" w:evenVBand="0" w:oddHBand="0" w:evenHBand="0" w:firstRowFirstColumn="0" w:firstRowLastColumn="0" w:lastRowFirstColumn="0" w:lastRowLastColumn="0"/>
              <w:rPr>
                <w:b/>
                <w:spacing w:val="-28"/>
              </w:rPr>
            </w:pPr>
            <w:r w:rsidRPr="00681B51">
              <w:rPr>
                <w:b/>
              </w:rPr>
              <w:t>2014–15</w:t>
            </w:r>
          </w:p>
        </w:tc>
        <w:tc>
          <w:tcPr>
            <w:tcW w:w="3414" w:type="dxa"/>
            <w:gridSpan w:val="2"/>
            <w:shd w:val="clear" w:color="auto" w:fill="007298"/>
          </w:tcPr>
          <w:p w14:paraId="21C6B630" w14:textId="77777777" w:rsidR="00AD37AD" w:rsidRPr="00681B51" w:rsidRDefault="00AD37AD" w:rsidP="00681B5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681B51">
              <w:rPr>
                <w:b/>
              </w:rPr>
              <w:t>2015–16</w:t>
            </w:r>
          </w:p>
        </w:tc>
      </w:tr>
      <w:tr w:rsidR="00AD37AD" w:rsidRPr="006134FA" w14:paraId="7AC301D8" w14:textId="77777777" w:rsidTr="00236F29">
        <w:trPr>
          <w:trHeight w:val="256"/>
        </w:trPr>
        <w:tc>
          <w:tcPr>
            <w:cnfStyle w:val="001000000000" w:firstRow="0" w:lastRow="0" w:firstColumn="1" w:lastColumn="0" w:oddVBand="0" w:evenVBand="0" w:oddHBand="0" w:evenHBand="0" w:firstRowFirstColumn="0" w:firstRowLastColumn="0" w:lastRowFirstColumn="0" w:lastRowLastColumn="0"/>
            <w:tcW w:w="2602" w:type="dxa"/>
            <w:shd w:val="clear" w:color="auto" w:fill="auto"/>
          </w:tcPr>
          <w:p w14:paraId="6C285433" w14:textId="77777777" w:rsidR="00AD37AD" w:rsidRPr="006134FA" w:rsidRDefault="00AD37AD" w:rsidP="00236F29">
            <w:pPr>
              <w:keepNext/>
              <w:spacing w:after="0"/>
              <w:jc w:val="right"/>
              <w:rPr>
                <w:rFonts w:cs="Arial"/>
                <w:b/>
                <w:szCs w:val="18"/>
              </w:rPr>
            </w:pPr>
          </w:p>
        </w:tc>
        <w:tc>
          <w:tcPr>
            <w:tcW w:w="1706" w:type="dxa"/>
            <w:shd w:val="clear" w:color="auto" w:fill="007298"/>
          </w:tcPr>
          <w:p w14:paraId="62331060"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c>
          <w:tcPr>
            <w:tcW w:w="1707" w:type="dxa"/>
            <w:shd w:val="clear" w:color="auto" w:fill="007298"/>
          </w:tcPr>
          <w:p w14:paraId="5C0829C9"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 (million)</w:t>
            </w:r>
          </w:p>
        </w:tc>
        <w:tc>
          <w:tcPr>
            <w:tcW w:w="1707" w:type="dxa"/>
            <w:shd w:val="clear" w:color="auto" w:fill="007298"/>
          </w:tcPr>
          <w:p w14:paraId="4037E7F9"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c>
          <w:tcPr>
            <w:tcW w:w="1707" w:type="dxa"/>
            <w:shd w:val="clear" w:color="auto" w:fill="007298"/>
          </w:tcPr>
          <w:p w14:paraId="3BCB2123"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 (million)</w:t>
            </w:r>
          </w:p>
        </w:tc>
      </w:tr>
      <w:tr w:rsidR="00AD37AD" w:rsidRPr="006134FA" w14:paraId="1978F1DD" w14:textId="77777777" w:rsidTr="00236F29">
        <w:trPr>
          <w:trHeight w:val="248"/>
        </w:trPr>
        <w:tc>
          <w:tcPr>
            <w:cnfStyle w:val="001000000000" w:firstRow="0" w:lastRow="0" w:firstColumn="1" w:lastColumn="0" w:oddVBand="0" w:evenVBand="0" w:oddHBand="0" w:evenHBand="0" w:firstRowFirstColumn="0" w:firstRowLastColumn="0" w:lastRowFirstColumn="0" w:lastRowLastColumn="0"/>
            <w:tcW w:w="2602" w:type="dxa"/>
            <w:shd w:val="clear" w:color="auto" w:fill="7FB8CB"/>
          </w:tcPr>
          <w:p w14:paraId="262ABC46" w14:textId="77777777" w:rsidR="00AD37AD" w:rsidRPr="00BE6BBB" w:rsidRDefault="00AD37AD" w:rsidP="00236F29">
            <w:pPr>
              <w:keepNext/>
              <w:spacing w:after="0"/>
              <w:rPr>
                <w:rFonts w:cs="Arial"/>
                <w:color w:val="FFFFFF" w:themeColor="background1"/>
                <w:szCs w:val="18"/>
              </w:rPr>
            </w:pPr>
            <w:r w:rsidRPr="00BE6BBB">
              <w:rPr>
                <w:rFonts w:cs="Arial"/>
                <w:color w:val="FFFFFF" w:themeColor="background1"/>
                <w:szCs w:val="18"/>
              </w:rPr>
              <w:t>iiNet</w:t>
            </w:r>
          </w:p>
        </w:tc>
        <w:tc>
          <w:tcPr>
            <w:tcW w:w="1706" w:type="dxa"/>
            <w:shd w:val="clear" w:color="auto" w:fill="D2E1E9"/>
          </w:tcPr>
          <w:p w14:paraId="50858632"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35,247</w:t>
            </w:r>
          </w:p>
        </w:tc>
        <w:tc>
          <w:tcPr>
            <w:tcW w:w="1707" w:type="dxa"/>
            <w:shd w:val="clear" w:color="auto" w:fill="D2E1E9"/>
          </w:tcPr>
          <w:p w14:paraId="2D7A11EB"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1.33</w:t>
            </w:r>
          </w:p>
        </w:tc>
        <w:tc>
          <w:tcPr>
            <w:tcW w:w="1707" w:type="dxa"/>
            <w:shd w:val="clear" w:color="auto" w:fill="D2E1E9"/>
          </w:tcPr>
          <w:p w14:paraId="3F0E3179"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18,434</w:t>
            </w:r>
          </w:p>
        </w:tc>
        <w:tc>
          <w:tcPr>
            <w:tcW w:w="1707" w:type="dxa"/>
            <w:shd w:val="clear" w:color="auto" w:fill="D2E1E9"/>
          </w:tcPr>
          <w:p w14:paraId="1E8CC547"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1.22</w:t>
            </w:r>
          </w:p>
        </w:tc>
      </w:tr>
      <w:tr w:rsidR="00AD37AD" w:rsidRPr="006134FA" w14:paraId="1792DAC2" w14:textId="77777777" w:rsidTr="00236F29">
        <w:trPr>
          <w:trHeight w:val="253"/>
        </w:trPr>
        <w:tc>
          <w:tcPr>
            <w:cnfStyle w:val="001000000000" w:firstRow="0" w:lastRow="0" w:firstColumn="1" w:lastColumn="0" w:oddVBand="0" w:evenVBand="0" w:oddHBand="0" w:evenHBand="0" w:firstRowFirstColumn="0" w:firstRowLastColumn="0" w:lastRowFirstColumn="0" w:lastRowLastColumn="0"/>
            <w:tcW w:w="2602" w:type="dxa"/>
            <w:shd w:val="clear" w:color="auto" w:fill="7FB8CB"/>
          </w:tcPr>
          <w:p w14:paraId="4FE3602F" w14:textId="77777777" w:rsidR="00AD37AD" w:rsidRPr="00BE6BBB" w:rsidRDefault="00AD37AD" w:rsidP="00236F29">
            <w:pPr>
              <w:keepNext/>
              <w:spacing w:after="0"/>
              <w:rPr>
                <w:rFonts w:cs="Arial"/>
                <w:color w:val="FFFFFF" w:themeColor="background1"/>
                <w:szCs w:val="18"/>
              </w:rPr>
            </w:pPr>
            <w:r w:rsidRPr="00BE6BBB">
              <w:rPr>
                <w:rFonts w:cs="Arial"/>
                <w:color w:val="FFFFFF" w:themeColor="background1"/>
                <w:szCs w:val="18"/>
              </w:rPr>
              <w:t>Optus</w:t>
            </w:r>
          </w:p>
        </w:tc>
        <w:tc>
          <w:tcPr>
            <w:tcW w:w="1706" w:type="dxa"/>
            <w:shd w:val="clear" w:color="auto" w:fill="D2E1E9"/>
          </w:tcPr>
          <w:p w14:paraId="60EDCE0E"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19,712</w:t>
            </w:r>
          </w:p>
        </w:tc>
        <w:tc>
          <w:tcPr>
            <w:tcW w:w="1707" w:type="dxa"/>
            <w:shd w:val="clear" w:color="auto" w:fill="D2E1E9"/>
          </w:tcPr>
          <w:p w14:paraId="1E06C6E7"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1.36</w:t>
            </w:r>
          </w:p>
        </w:tc>
        <w:tc>
          <w:tcPr>
            <w:tcW w:w="1707" w:type="dxa"/>
            <w:shd w:val="clear" w:color="auto" w:fill="D2E1E9"/>
            <w:vAlign w:val="top"/>
          </w:tcPr>
          <w:p w14:paraId="05096144"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t>32,093</w:t>
            </w:r>
          </w:p>
        </w:tc>
        <w:tc>
          <w:tcPr>
            <w:tcW w:w="1707" w:type="dxa"/>
            <w:shd w:val="clear" w:color="auto" w:fill="D2E1E9"/>
            <w:vAlign w:val="top"/>
          </w:tcPr>
          <w:p w14:paraId="53E51CE8"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t>4.88</w:t>
            </w:r>
          </w:p>
        </w:tc>
      </w:tr>
      <w:tr w:rsidR="00AD37AD" w:rsidRPr="006134FA" w14:paraId="32C7E7C4" w14:textId="77777777" w:rsidTr="00236F29">
        <w:trPr>
          <w:trHeight w:val="260"/>
        </w:trPr>
        <w:tc>
          <w:tcPr>
            <w:cnfStyle w:val="001000000000" w:firstRow="0" w:lastRow="0" w:firstColumn="1" w:lastColumn="0" w:oddVBand="0" w:evenVBand="0" w:oddHBand="0" w:evenHBand="0" w:firstRowFirstColumn="0" w:firstRowLastColumn="0" w:lastRowFirstColumn="0" w:lastRowLastColumn="0"/>
            <w:tcW w:w="2602" w:type="dxa"/>
            <w:shd w:val="clear" w:color="auto" w:fill="7FB8CB"/>
          </w:tcPr>
          <w:p w14:paraId="77DEFC38" w14:textId="77777777" w:rsidR="00AD37AD" w:rsidRPr="00BE6BBB" w:rsidRDefault="00AD37AD" w:rsidP="00236F29">
            <w:pPr>
              <w:keepNext/>
              <w:spacing w:after="0"/>
              <w:rPr>
                <w:rFonts w:cs="Arial"/>
                <w:color w:val="FFFFFF" w:themeColor="background1"/>
                <w:szCs w:val="18"/>
              </w:rPr>
            </w:pPr>
            <w:r w:rsidRPr="00BE6BBB">
              <w:rPr>
                <w:rFonts w:cs="Arial"/>
                <w:color w:val="FFFFFF" w:themeColor="background1"/>
                <w:szCs w:val="18"/>
              </w:rPr>
              <w:t>iPrimus</w:t>
            </w:r>
          </w:p>
        </w:tc>
        <w:tc>
          <w:tcPr>
            <w:tcW w:w="1706" w:type="dxa"/>
            <w:shd w:val="clear" w:color="auto" w:fill="D2E1E9"/>
          </w:tcPr>
          <w:p w14:paraId="407EF5F1"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1,563</w:t>
            </w:r>
          </w:p>
        </w:tc>
        <w:tc>
          <w:tcPr>
            <w:tcW w:w="1707" w:type="dxa"/>
            <w:shd w:val="clear" w:color="auto" w:fill="D2E1E9"/>
          </w:tcPr>
          <w:p w14:paraId="61ADF34B"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0.05</w:t>
            </w:r>
          </w:p>
        </w:tc>
        <w:tc>
          <w:tcPr>
            <w:tcW w:w="1707" w:type="dxa"/>
            <w:shd w:val="clear" w:color="auto" w:fill="D2E1E9"/>
          </w:tcPr>
          <w:p w14:paraId="695B6ECB"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1,678</w:t>
            </w:r>
          </w:p>
        </w:tc>
        <w:tc>
          <w:tcPr>
            <w:tcW w:w="1707" w:type="dxa"/>
            <w:shd w:val="clear" w:color="auto" w:fill="D2E1E9"/>
          </w:tcPr>
          <w:p w14:paraId="73B646D2"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0.09</w:t>
            </w:r>
          </w:p>
        </w:tc>
      </w:tr>
      <w:tr w:rsidR="00AD37AD" w:rsidRPr="006134FA" w14:paraId="6075AD2D" w14:textId="77777777" w:rsidTr="00236F29">
        <w:trPr>
          <w:trHeight w:val="96"/>
        </w:trPr>
        <w:tc>
          <w:tcPr>
            <w:cnfStyle w:val="001000000000" w:firstRow="0" w:lastRow="0" w:firstColumn="1" w:lastColumn="0" w:oddVBand="0" w:evenVBand="0" w:oddHBand="0" w:evenHBand="0" w:firstRowFirstColumn="0" w:firstRowLastColumn="0" w:lastRowFirstColumn="0" w:lastRowLastColumn="0"/>
            <w:tcW w:w="2602" w:type="dxa"/>
            <w:shd w:val="clear" w:color="auto" w:fill="7FB8CB"/>
          </w:tcPr>
          <w:p w14:paraId="3A131F3F" w14:textId="77777777" w:rsidR="00AD37AD" w:rsidRPr="00BE6BBB" w:rsidRDefault="00AD37AD" w:rsidP="00236F29">
            <w:pPr>
              <w:keepNext/>
              <w:spacing w:after="0"/>
              <w:rPr>
                <w:rFonts w:cs="Arial"/>
                <w:color w:val="FFFFFF" w:themeColor="background1"/>
                <w:szCs w:val="18"/>
              </w:rPr>
            </w:pPr>
            <w:r w:rsidRPr="00BE6BBB">
              <w:rPr>
                <w:rFonts w:cs="Arial"/>
                <w:color w:val="FFFFFF" w:themeColor="background1"/>
                <w:szCs w:val="18"/>
              </w:rPr>
              <w:t>Telstra</w:t>
            </w:r>
          </w:p>
        </w:tc>
        <w:tc>
          <w:tcPr>
            <w:tcW w:w="1706" w:type="dxa"/>
            <w:shd w:val="clear" w:color="auto" w:fill="D2E1E9"/>
          </w:tcPr>
          <w:p w14:paraId="0AA293F3"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56,114</w:t>
            </w:r>
          </w:p>
        </w:tc>
        <w:tc>
          <w:tcPr>
            <w:tcW w:w="1707" w:type="dxa"/>
            <w:shd w:val="clear" w:color="auto" w:fill="D2E1E9"/>
          </w:tcPr>
          <w:p w14:paraId="1A127F83"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szCs w:val="18"/>
              </w:rPr>
              <w:t>2.81</w:t>
            </w:r>
          </w:p>
        </w:tc>
        <w:tc>
          <w:tcPr>
            <w:tcW w:w="1707" w:type="dxa"/>
            <w:shd w:val="clear" w:color="auto" w:fill="D2E1E9"/>
          </w:tcPr>
          <w:p w14:paraId="52B27AD6"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153,310</w:t>
            </w:r>
          </w:p>
        </w:tc>
        <w:tc>
          <w:tcPr>
            <w:tcW w:w="1707" w:type="dxa"/>
            <w:shd w:val="clear" w:color="auto" w:fill="D2E1E9"/>
          </w:tcPr>
          <w:p w14:paraId="241F5111"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9.29</w:t>
            </w:r>
          </w:p>
        </w:tc>
      </w:tr>
      <w:tr w:rsidR="00AD37AD" w:rsidRPr="006134FA" w14:paraId="57ECD5B6" w14:textId="77777777" w:rsidTr="00236F29">
        <w:trPr>
          <w:trHeight w:val="130"/>
        </w:trPr>
        <w:tc>
          <w:tcPr>
            <w:cnfStyle w:val="001000000000" w:firstRow="0" w:lastRow="0" w:firstColumn="1" w:lastColumn="0" w:oddVBand="0" w:evenVBand="0" w:oddHBand="0" w:evenHBand="0" w:firstRowFirstColumn="0" w:firstRowLastColumn="0" w:lastRowFirstColumn="0" w:lastRowLastColumn="0"/>
            <w:tcW w:w="2602" w:type="dxa"/>
            <w:shd w:val="clear" w:color="auto" w:fill="7FB8CB"/>
          </w:tcPr>
          <w:p w14:paraId="1D817370" w14:textId="77777777" w:rsidR="00AD37AD" w:rsidRPr="00BE6BBB" w:rsidRDefault="00AD37AD" w:rsidP="00236F29">
            <w:pPr>
              <w:keepNext/>
              <w:spacing w:after="0"/>
              <w:rPr>
                <w:rFonts w:cs="Arial"/>
                <w:color w:val="FFFFFF" w:themeColor="background1"/>
                <w:szCs w:val="18"/>
              </w:rPr>
            </w:pPr>
            <w:r w:rsidRPr="00BE6BBB">
              <w:rPr>
                <w:rFonts w:cs="Arial"/>
                <w:color w:val="FFFFFF" w:themeColor="background1"/>
                <w:szCs w:val="18"/>
              </w:rPr>
              <w:t>Dodo</w:t>
            </w:r>
          </w:p>
        </w:tc>
        <w:tc>
          <w:tcPr>
            <w:tcW w:w="1706" w:type="dxa"/>
            <w:shd w:val="clear" w:color="auto" w:fill="D2E1E9"/>
          </w:tcPr>
          <w:p w14:paraId="0A364C3C"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7,459</w:t>
            </w:r>
          </w:p>
        </w:tc>
        <w:tc>
          <w:tcPr>
            <w:tcW w:w="1707" w:type="dxa"/>
            <w:shd w:val="clear" w:color="auto" w:fill="D2E1E9"/>
          </w:tcPr>
          <w:p w14:paraId="60174448"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0.31</w:t>
            </w:r>
          </w:p>
        </w:tc>
        <w:tc>
          <w:tcPr>
            <w:tcW w:w="1707" w:type="dxa"/>
            <w:shd w:val="clear" w:color="auto" w:fill="D2E1E9"/>
          </w:tcPr>
          <w:p w14:paraId="77A3579E"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16,038</w:t>
            </w:r>
          </w:p>
        </w:tc>
        <w:tc>
          <w:tcPr>
            <w:tcW w:w="1707" w:type="dxa"/>
            <w:shd w:val="clear" w:color="auto" w:fill="D2E1E9"/>
          </w:tcPr>
          <w:p w14:paraId="506543F4" w14:textId="77777777" w:rsidR="00AD37AD" w:rsidRPr="006134FA"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0.69</w:t>
            </w:r>
          </w:p>
        </w:tc>
      </w:tr>
      <w:tr w:rsidR="00AD37AD" w:rsidRPr="006134FA" w14:paraId="77EF86F5" w14:textId="77777777" w:rsidTr="00236F29">
        <w:trPr>
          <w:trHeight w:val="192"/>
        </w:trPr>
        <w:tc>
          <w:tcPr>
            <w:cnfStyle w:val="001000000000" w:firstRow="0" w:lastRow="0" w:firstColumn="1" w:lastColumn="0" w:oddVBand="0" w:evenVBand="0" w:oddHBand="0" w:evenHBand="0" w:firstRowFirstColumn="0" w:firstRowLastColumn="0" w:lastRowFirstColumn="0" w:lastRowLastColumn="0"/>
            <w:tcW w:w="2602" w:type="dxa"/>
            <w:shd w:val="clear" w:color="auto" w:fill="7FB8CB"/>
          </w:tcPr>
          <w:p w14:paraId="33CF7A70" w14:textId="77777777" w:rsidR="00AD37AD" w:rsidRPr="00BE6BBB" w:rsidRDefault="00AD37AD" w:rsidP="00236F29">
            <w:pPr>
              <w:keepNext/>
              <w:spacing w:after="0"/>
              <w:rPr>
                <w:rFonts w:cs="Arial"/>
                <w:b/>
                <w:color w:val="FFFFFF" w:themeColor="background1"/>
                <w:szCs w:val="18"/>
              </w:rPr>
            </w:pPr>
            <w:r w:rsidRPr="00BE6BBB">
              <w:rPr>
                <w:rFonts w:cs="Arial"/>
                <w:b/>
                <w:color w:val="FFFFFF" w:themeColor="background1"/>
                <w:szCs w:val="18"/>
              </w:rPr>
              <w:t>Total</w:t>
            </w:r>
          </w:p>
        </w:tc>
        <w:tc>
          <w:tcPr>
            <w:tcW w:w="1706" w:type="dxa"/>
            <w:shd w:val="clear" w:color="auto" w:fill="7FB8CB"/>
          </w:tcPr>
          <w:p w14:paraId="3998F3EE" w14:textId="77777777" w:rsidR="00AD37AD" w:rsidRPr="00BE6BBB"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BE6BBB">
              <w:rPr>
                <w:rFonts w:cs="Arial"/>
                <w:b/>
                <w:color w:val="FFFFFF" w:themeColor="background1"/>
                <w:szCs w:val="18"/>
              </w:rPr>
              <w:t>120,095</w:t>
            </w:r>
          </w:p>
        </w:tc>
        <w:tc>
          <w:tcPr>
            <w:tcW w:w="1707" w:type="dxa"/>
            <w:shd w:val="clear" w:color="auto" w:fill="7FB8CB"/>
          </w:tcPr>
          <w:p w14:paraId="3BD2B1C0" w14:textId="77777777" w:rsidR="00AD37AD" w:rsidRPr="00BE6BBB"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BE6BBB">
              <w:rPr>
                <w:rFonts w:cs="Arial"/>
                <w:b/>
                <w:color w:val="FFFFFF" w:themeColor="background1"/>
                <w:szCs w:val="18"/>
              </w:rPr>
              <w:t>5.85</w:t>
            </w:r>
          </w:p>
        </w:tc>
        <w:tc>
          <w:tcPr>
            <w:tcW w:w="1707" w:type="dxa"/>
            <w:shd w:val="clear" w:color="auto" w:fill="7FB8CB"/>
          </w:tcPr>
          <w:p w14:paraId="1CF9E6BF" w14:textId="77777777" w:rsidR="00AD37AD" w:rsidRPr="00BE6BBB"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BE6BBB">
              <w:rPr>
                <w:rFonts w:cs="Arial"/>
                <w:b/>
                <w:color w:val="FFFFFF" w:themeColor="background1"/>
                <w:szCs w:val="18"/>
              </w:rPr>
              <w:t>225,553</w:t>
            </w:r>
          </w:p>
        </w:tc>
        <w:tc>
          <w:tcPr>
            <w:tcW w:w="1707" w:type="dxa"/>
            <w:shd w:val="clear" w:color="auto" w:fill="7FB8CB"/>
          </w:tcPr>
          <w:p w14:paraId="3A15F89E" w14:textId="77777777" w:rsidR="00AD37AD" w:rsidRPr="00BE6BBB" w:rsidRDefault="00AD37AD" w:rsidP="00EC121D">
            <w:pPr>
              <w:keepNext/>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BE6BBB">
              <w:rPr>
                <w:rFonts w:cs="Arial"/>
                <w:b/>
                <w:color w:val="FFFFFF" w:themeColor="background1"/>
                <w:szCs w:val="18"/>
              </w:rPr>
              <w:t>16.17</w:t>
            </w:r>
          </w:p>
        </w:tc>
      </w:tr>
    </w:tbl>
    <w:p w14:paraId="3B1962BC" w14:textId="77777777" w:rsidR="00AD37AD" w:rsidRPr="006134FA" w:rsidRDefault="00AD37AD" w:rsidP="00AD37AD">
      <w:pPr>
        <w:pStyle w:val="ACMANotes"/>
        <w:rPr>
          <w:szCs w:val="16"/>
        </w:rPr>
      </w:pPr>
      <w:r w:rsidRPr="006134FA">
        <w:t>Note: Numbers may not add up due to rounding.</w:t>
      </w:r>
    </w:p>
    <w:p w14:paraId="57ED9858" w14:textId="77777777" w:rsidR="00AD37AD" w:rsidRDefault="00AD37AD" w:rsidP="00AD37AD">
      <w:pPr>
        <w:pStyle w:val="ACMANotes"/>
      </w:pPr>
      <w:r w:rsidRPr="006134FA">
        <w:t>Source: CSP data.</w:t>
      </w:r>
    </w:p>
    <w:p w14:paraId="50FA3DD6" w14:textId="77777777" w:rsidR="00AD37AD" w:rsidRPr="006134FA" w:rsidRDefault="00AD37AD" w:rsidP="00AD37AD">
      <w:pPr>
        <w:pStyle w:val="ACMASpaceaftertable"/>
      </w:pPr>
    </w:p>
    <w:p w14:paraId="2B231ABA" w14:textId="77777777" w:rsidR="00AD37AD" w:rsidRPr="006134FA" w:rsidRDefault="00AD37AD" w:rsidP="00AD37AD">
      <w:pPr>
        <w:rPr>
          <w:color w:val="000000"/>
        </w:rPr>
      </w:pPr>
      <w:r w:rsidRPr="006134FA">
        <w:t xml:space="preserve">Compensation payments totalled $16.17 million for 2015–16, compared to $5.85 million during </w:t>
      </w:r>
      <w:r>
        <w:br/>
      </w:r>
      <w:r w:rsidRPr="006134FA">
        <w:t xml:space="preserve">2014–15—an increase of 176 per cent. </w:t>
      </w:r>
    </w:p>
    <w:p w14:paraId="7CC51F31" w14:textId="77777777" w:rsidR="00AD37AD" w:rsidRPr="006134FA" w:rsidRDefault="00AD37AD" w:rsidP="00AD37AD">
      <w:pPr>
        <w:rPr>
          <w:color w:val="000000"/>
        </w:rPr>
      </w:pPr>
      <w:r w:rsidRPr="006134FA">
        <w:rPr>
          <w:color w:val="000000"/>
        </w:rPr>
        <w:t xml:space="preserve">This increase is, in part, a reflection of the transition to </w:t>
      </w:r>
      <w:r>
        <w:rPr>
          <w:color w:val="000000"/>
        </w:rPr>
        <w:t>NBN</w:t>
      </w:r>
      <w:r w:rsidRPr="006134FA">
        <w:rPr>
          <w:color w:val="000000"/>
        </w:rPr>
        <w:t xml:space="preserve"> services. </w:t>
      </w:r>
      <w:r>
        <w:rPr>
          <w:color w:val="000000"/>
        </w:rPr>
        <w:t>A</w:t>
      </w:r>
      <w:r w:rsidRPr="006134FA">
        <w:rPr>
          <w:color w:val="000000"/>
        </w:rPr>
        <w:t>s a wholesale-only provider of services</w:t>
      </w:r>
      <w:r>
        <w:rPr>
          <w:color w:val="000000"/>
        </w:rPr>
        <w:t>,</w:t>
      </w:r>
      <w:r w:rsidRPr="006134FA">
        <w:rPr>
          <w:color w:val="000000"/>
        </w:rPr>
        <w:t xml:space="preserve"> </w:t>
      </w:r>
      <w:r>
        <w:rPr>
          <w:color w:val="000000"/>
        </w:rPr>
        <w:t>NBN C</w:t>
      </w:r>
      <w:r w:rsidRPr="006134FA">
        <w:rPr>
          <w:color w:val="000000"/>
        </w:rPr>
        <w:t>o is not required to comply with the CSG Standard time</w:t>
      </w:r>
      <w:r>
        <w:rPr>
          <w:color w:val="000000"/>
        </w:rPr>
        <w:t xml:space="preserve"> </w:t>
      </w:r>
      <w:r w:rsidRPr="006134FA">
        <w:rPr>
          <w:color w:val="000000"/>
        </w:rPr>
        <w:t xml:space="preserve">frames and </w:t>
      </w:r>
      <w:r>
        <w:rPr>
          <w:color w:val="000000"/>
        </w:rPr>
        <w:t>so</w:t>
      </w:r>
      <w:r w:rsidRPr="006134FA">
        <w:rPr>
          <w:color w:val="000000"/>
        </w:rPr>
        <w:t xml:space="preserve"> does not claim exemptions from compliance with the standard in circumstances where service provision may be affected (</w:t>
      </w:r>
      <w:r>
        <w:rPr>
          <w:color w:val="000000"/>
        </w:rPr>
        <w:t>for example,</w:t>
      </w:r>
      <w:r w:rsidRPr="006134FA">
        <w:rPr>
          <w:color w:val="000000"/>
        </w:rPr>
        <w:t xml:space="preserve"> </w:t>
      </w:r>
      <w:r w:rsidR="00314EBE">
        <w:rPr>
          <w:color w:val="000000"/>
        </w:rPr>
        <w:t xml:space="preserve">during </w:t>
      </w:r>
      <w:r w:rsidRPr="006134FA">
        <w:rPr>
          <w:color w:val="000000"/>
        </w:rPr>
        <w:t>extreme weather conditions and natural disasters). This has reduced the CSPs’ ability to apply for exemptions. As illustrated in Table 5.10</w:t>
      </w:r>
      <w:r>
        <w:rPr>
          <w:color w:val="000000"/>
        </w:rPr>
        <w:t>,</w:t>
      </w:r>
      <w:r w:rsidRPr="006134FA">
        <w:rPr>
          <w:color w:val="000000"/>
        </w:rPr>
        <w:t xml:space="preserve"> </w:t>
      </w:r>
      <w:r w:rsidRPr="006134FA">
        <w:t>exemptions from compliance with the CSG Standard</w:t>
      </w:r>
      <w:r w:rsidRPr="006134FA">
        <w:rPr>
          <w:color w:val="000000"/>
        </w:rPr>
        <w:t xml:space="preserve"> decreased by 28 per cent over the past year. </w:t>
      </w:r>
    </w:p>
    <w:p w14:paraId="314AA1E6" w14:textId="77777777" w:rsidR="00AD37AD" w:rsidRPr="006134FA" w:rsidRDefault="00AD37AD" w:rsidP="00AD37AD">
      <w:pPr>
        <w:rPr>
          <w:color w:val="000000"/>
        </w:rPr>
      </w:pPr>
      <w:r w:rsidRPr="006134FA">
        <w:rPr>
          <w:color w:val="000000"/>
        </w:rPr>
        <w:t>In addition to this transition, other reasons for the increase in payment include ongoing wet weather causing a periodic increase in faults and</w:t>
      </w:r>
      <w:r>
        <w:rPr>
          <w:color w:val="000000"/>
        </w:rPr>
        <w:t>,</w:t>
      </w:r>
      <w:r w:rsidRPr="006134FA">
        <w:rPr>
          <w:color w:val="000000"/>
        </w:rPr>
        <w:t xml:space="preserve"> in one instance</w:t>
      </w:r>
      <w:r>
        <w:rPr>
          <w:color w:val="000000"/>
        </w:rPr>
        <w:t>,</w:t>
      </w:r>
      <w:r w:rsidRPr="006134FA">
        <w:rPr>
          <w:color w:val="000000"/>
        </w:rPr>
        <w:t xml:space="preserve"> a payment systems error. </w:t>
      </w:r>
    </w:p>
    <w:p w14:paraId="1731BB37" w14:textId="77777777" w:rsidR="00AD37AD" w:rsidRPr="006134FA" w:rsidRDefault="00AD37AD" w:rsidP="00AD37AD">
      <w:pPr>
        <w:pStyle w:val="Heading3"/>
      </w:pPr>
      <w:bookmarkStart w:id="778" w:name="_Toc462909505"/>
      <w:bookmarkStart w:id="779" w:name="_Toc465842986"/>
      <w:r w:rsidRPr="006134FA">
        <w:t>Exemptions from the CSG Standard</w:t>
      </w:r>
      <w:bookmarkEnd w:id="778"/>
      <w:bookmarkEnd w:id="779"/>
    </w:p>
    <w:p w14:paraId="69E7EB78" w14:textId="77777777" w:rsidR="00AD37AD" w:rsidRPr="006134FA" w:rsidRDefault="00AD37AD" w:rsidP="00AD37AD">
      <w:r w:rsidRPr="006134FA">
        <w:t xml:space="preserve">During periods when circumstances beyond a CSP’s control affect its ability to comply with the CSG Standard, </w:t>
      </w:r>
      <w:r>
        <w:t>it</w:t>
      </w:r>
      <w:r w:rsidRPr="006134FA">
        <w:t xml:space="preserve"> may claim an exemption. Similarly, a CSP may also claim an exemption if there is a need to move staff or equipment to an area affected by circumstances beyond its control. Many exemptions are the result of extreme weather events or natural disasters.</w:t>
      </w:r>
    </w:p>
    <w:p w14:paraId="0141472B" w14:textId="77777777" w:rsidR="00AD37AD" w:rsidRPr="006134FA" w:rsidRDefault="00AD37AD" w:rsidP="00AD37AD">
      <w:r>
        <w:t>In 2015–16, the major CSPs claimed a</w:t>
      </w:r>
      <w:r w:rsidRPr="006134FA">
        <w:t xml:space="preserve"> total of 228 exemptions</w:t>
      </w:r>
      <w:r>
        <w:t xml:space="preserve"> (Table 5.10), </w:t>
      </w:r>
      <w:r w:rsidRPr="006134FA">
        <w:t xml:space="preserve">a 28 per cent decrease </w:t>
      </w:r>
      <w:r>
        <w:t>on</w:t>
      </w:r>
      <w:r w:rsidRPr="006134FA">
        <w:t xml:space="preserve"> 2014–15 (317 exemptions). The median duration for which CSG exemptions applied decreased </w:t>
      </w:r>
      <w:r>
        <w:t>from 34 to 31 days over the past year</w:t>
      </w:r>
      <w:r w:rsidRPr="006134FA">
        <w:t>.</w:t>
      </w:r>
    </w:p>
    <w:p w14:paraId="4053F7AA" w14:textId="77777777" w:rsidR="00AD37AD" w:rsidRPr="006134FA" w:rsidRDefault="00AD37AD" w:rsidP="00ED2504">
      <w:pPr>
        <w:pStyle w:val="ACMATableHeader"/>
        <w:keepNext/>
        <w:keepLines/>
        <w:numPr>
          <w:ilvl w:val="0"/>
          <w:numId w:val="0"/>
        </w:numPr>
      </w:pPr>
      <w:r w:rsidRPr="006134FA">
        <w:lastRenderedPageBreak/>
        <w:t>Table 5.10</w:t>
      </w:r>
      <w:r>
        <w:tab/>
      </w:r>
      <w:r w:rsidRPr="006134FA">
        <w:t>Numbers of CSG exemptions for the major CSPs, 2015–16</w:t>
      </w:r>
    </w:p>
    <w:tbl>
      <w:tblPr>
        <w:tblStyle w:val="Commsreport2014-15TABLE3"/>
        <w:tblW w:w="9429" w:type="dxa"/>
        <w:tblLayout w:type="fixed"/>
        <w:tblCellMar>
          <w:top w:w="57" w:type="dxa"/>
          <w:left w:w="57" w:type="dxa"/>
          <w:bottom w:w="57" w:type="dxa"/>
          <w:right w:w="57" w:type="dxa"/>
        </w:tblCellMar>
        <w:tblLook w:val="01E0" w:firstRow="1" w:lastRow="1" w:firstColumn="1" w:lastColumn="1" w:noHBand="0" w:noVBand="0"/>
        <w:tblCaption w:val="Table 5.10 Numbers of CSG exemptions for the major CSPs, 2015–16"/>
      </w:tblPr>
      <w:tblGrid>
        <w:gridCol w:w="928"/>
        <w:gridCol w:w="2267"/>
        <w:gridCol w:w="1484"/>
        <w:gridCol w:w="1485"/>
        <w:gridCol w:w="1485"/>
        <w:gridCol w:w="1780"/>
      </w:tblGrid>
      <w:tr w:rsidR="00AD37AD" w:rsidRPr="00515D61" w14:paraId="46FA0BD6" w14:textId="77777777" w:rsidTr="00515D61">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3195" w:type="dxa"/>
            <w:gridSpan w:val="2"/>
            <w:shd w:val="clear" w:color="auto" w:fill="007298"/>
            <w:vAlign w:val="top"/>
          </w:tcPr>
          <w:p w14:paraId="705113B1" w14:textId="77777777" w:rsidR="00AD37AD" w:rsidRPr="00515D61" w:rsidRDefault="00AD37AD" w:rsidP="00515D61">
            <w:pPr>
              <w:pStyle w:val="TableHeading"/>
              <w:rPr>
                <w:b/>
              </w:rPr>
            </w:pPr>
            <w:r w:rsidRPr="00515D61">
              <w:rPr>
                <w:b/>
              </w:rPr>
              <w:t>Reason for exemption</w:t>
            </w:r>
          </w:p>
        </w:tc>
        <w:tc>
          <w:tcPr>
            <w:tcW w:w="1484" w:type="dxa"/>
            <w:shd w:val="clear" w:color="auto" w:fill="007298"/>
            <w:vAlign w:val="top"/>
          </w:tcPr>
          <w:p w14:paraId="716D57EC"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iiNet</w:t>
            </w:r>
          </w:p>
        </w:tc>
        <w:tc>
          <w:tcPr>
            <w:tcW w:w="1485" w:type="dxa"/>
            <w:shd w:val="clear" w:color="auto" w:fill="007298"/>
            <w:vAlign w:val="top"/>
          </w:tcPr>
          <w:p w14:paraId="0AD2E4DC"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Optus</w:t>
            </w:r>
          </w:p>
        </w:tc>
        <w:tc>
          <w:tcPr>
            <w:tcW w:w="1485" w:type="dxa"/>
            <w:shd w:val="clear" w:color="auto" w:fill="007298"/>
            <w:vAlign w:val="top"/>
          </w:tcPr>
          <w:p w14:paraId="57A28398"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Telstra</w:t>
            </w:r>
          </w:p>
        </w:tc>
        <w:tc>
          <w:tcPr>
            <w:tcW w:w="1780" w:type="dxa"/>
            <w:shd w:val="clear" w:color="auto" w:fill="007298"/>
            <w:vAlign w:val="top"/>
          </w:tcPr>
          <w:p w14:paraId="109F367D"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Vocus Communications*</w:t>
            </w:r>
          </w:p>
        </w:tc>
      </w:tr>
      <w:tr w:rsidR="00AD37AD" w:rsidRPr="006134FA" w14:paraId="4253EB3A" w14:textId="77777777" w:rsidTr="003B610E">
        <w:trPr>
          <w:trHeight w:val="592"/>
        </w:trPr>
        <w:tc>
          <w:tcPr>
            <w:cnfStyle w:val="001000000000" w:firstRow="0" w:lastRow="0" w:firstColumn="1" w:lastColumn="0" w:oddVBand="0" w:evenVBand="0" w:oddHBand="0" w:evenHBand="0" w:firstRowFirstColumn="0" w:firstRowLastColumn="0" w:lastRowFirstColumn="0" w:lastRowLastColumn="0"/>
            <w:tcW w:w="928" w:type="dxa"/>
            <w:tcBorders>
              <w:right w:val="nil"/>
            </w:tcBorders>
            <w:shd w:val="clear" w:color="auto" w:fill="7FB8CB"/>
          </w:tcPr>
          <w:p w14:paraId="01A4F3F4" w14:textId="77777777" w:rsidR="00AD37AD" w:rsidRPr="006134FA" w:rsidRDefault="00AD37AD" w:rsidP="00ED2504">
            <w:pPr>
              <w:pStyle w:val="ACMATableText"/>
              <w:keepNext/>
              <w:keepLines/>
              <w:spacing w:before="0" w:after="0"/>
              <w:rPr>
                <w:noProof/>
              </w:rPr>
            </w:pPr>
            <w:r w:rsidRPr="006134FA">
              <w:rPr>
                <w:noProof/>
                <w:lang w:eastAsia="en-AU"/>
              </w:rPr>
              <w:drawing>
                <wp:inline distT="0" distB="0" distL="0" distR="0" wp14:anchorId="453F5FC2" wp14:editId="36B4F9FD">
                  <wp:extent cx="318163" cy="324000"/>
                  <wp:effectExtent l="0" t="0" r="5715" b="0"/>
                  <wp:docPr id="3" name="Picture 3"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19.png"/>
                          <pic:cNvPicPr/>
                        </pic:nvPicPr>
                        <pic:blipFill>
                          <a:blip r:embed="rId126">
                            <a:extLst>
                              <a:ext uri="{28A0092B-C50C-407E-A947-70E740481C1C}">
                                <a14:useLocalDpi xmlns:a14="http://schemas.microsoft.com/office/drawing/2010/main" val="0"/>
                              </a:ext>
                            </a:extLst>
                          </a:blip>
                          <a:stretch>
                            <a:fillRect/>
                          </a:stretch>
                        </pic:blipFill>
                        <pic:spPr>
                          <a:xfrm>
                            <a:off x="0" y="0"/>
                            <a:ext cx="318163" cy="324000"/>
                          </a:xfrm>
                          <a:prstGeom prst="rect">
                            <a:avLst/>
                          </a:prstGeom>
                        </pic:spPr>
                      </pic:pic>
                    </a:graphicData>
                  </a:graphic>
                </wp:inline>
              </w:drawing>
            </w:r>
          </w:p>
        </w:tc>
        <w:tc>
          <w:tcPr>
            <w:tcW w:w="2267" w:type="dxa"/>
            <w:tcBorders>
              <w:left w:val="nil"/>
            </w:tcBorders>
            <w:shd w:val="clear" w:color="auto" w:fill="7FB8CB"/>
          </w:tcPr>
          <w:p w14:paraId="302F77A3" w14:textId="77777777" w:rsidR="00AD37AD" w:rsidRPr="00BE6BBB" w:rsidRDefault="00AD37AD" w:rsidP="00ED2504">
            <w:pPr>
              <w:pStyle w:val="ACMATableText"/>
              <w:keepNext/>
              <w:keepLines/>
              <w:spacing w:before="0" w:after="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BE6BBB">
              <w:rPr>
                <w:color w:val="FFFFFF" w:themeColor="background1"/>
              </w:rPr>
              <w:t>Extreme weather conditions</w:t>
            </w:r>
          </w:p>
        </w:tc>
        <w:tc>
          <w:tcPr>
            <w:tcW w:w="1484" w:type="dxa"/>
            <w:shd w:val="clear" w:color="auto" w:fill="D2E1E9"/>
          </w:tcPr>
          <w:p w14:paraId="280D7133"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pPr>
            <w:r w:rsidRPr="006134FA">
              <w:rPr>
                <w:color w:val="000000"/>
              </w:rPr>
              <w:t>47</w:t>
            </w:r>
          </w:p>
        </w:tc>
        <w:tc>
          <w:tcPr>
            <w:tcW w:w="1485" w:type="dxa"/>
            <w:shd w:val="clear" w:color="auto" w:fill="D2E1E9"/>
          </w:tcPr>
          <w:p w14:paraId="26BC6D5C"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pPr>
            <w:r w:rsidRPr="006134FA">
              <w:rPr>
                <w:color w:val="000000"/>
              </w:rPr>
              <w:t>49</w:t>
            </w:r>
          </w:p>
        </w:tc>
        <w:tc>
          <w:tcPr>
            <w:tcW w:w="1485" w:type="dxa"/>
            <w:shd w:val="clear" w:color="auto" w:fill="D2E1E9"/>
          </w:tcPr>
          <w:p w14:paraId="25BC2A9E"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pPr>
            <w:r w:rsidRPr="006134FA">
              <w:rPr>
                <w:color w:val="000000"/>
              </w:rPr>
              <w:t>49</w:t>
            </w:r>
          </w:p>
        </w:tc>
        <w:tc>
          <w:tcPr>
            <w:tcW w:w="1780" w:type="dxa"/>
            <w:shd w:val="clear" w:color="auto" w:fill="D2E1E9"/>
          </w:tcPr>
          <w:p w14:paraId="3EBBB678"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pPr>
            <w:r w:rsidRPr="006134FA">
              <w:rPr>
                <w:color w:val="000000"/>
              </w:rPr>
              <w:t>40</w:t>
            </w:r>
          </w:p>
        </w:tc>
      </w:tr>
      <w:tr w:rsidR="00AD37AD" w:rsidRPr="006134FA" w14:paraId="18B38F5B" w14:textId="77777777" w:rsidTr="00236F29">
        <w:trPr>
          <w:trHeight w:val="454"/>
        </w:trPr>
        <w:tc>
          <w:tcPr>
            <w:cnfStyle w:val="001000000000" w:firstRow="0" w:lastRow="0" w:firstColumn="1" w:lastColumn="0" w:oddVBand="0" w:evenVBand="0" w:oddHBand="0" w:evenHBand="0" w:firstRowFirstColumn="0" w:firstRowLastColumn="0" w:lastRowFirstColumn="0" w:lastRowLastColumn="0"/>
            <w:tcW w:w="928" w:type="dxa"/>
            <w:tcBorders>
              <w:right w:val="nil"/>
            </w:tcBorders>
            <w:shd w:val="clear" w:color="auto" w:fill="7FB8CB"/>
          </w:tcPr>
          <w:p w14:paraId="2873F91F" w14:textId="77777777" w:rsidR="00AD37AD" w:rsidRPr="006134FA" w:rsidRDefault="00AD37AD" w:rsidP="00ED2504">
            <w:pPr>
              <w:pStyle w:val="ACMATableText"/>
              <w:keepNext/>
              <w:keepLines/>
              <w:spacing w:before="0" w:after="0"/>
              <w:rPr>
                <w:noProof/>
                <w:spacing w:val="-28"/>
              </w:rPr>
            </w:pPr>
            <w:r w:rsidRPr="00EA149D">
              <w:rPr>
                <w:noProof/>
                <w:spacing w:val="-28"/>
                <w:lang w:eastAsia="en-AU"/>
              </w:rPr>
              <w:drawing>
                <wp:inline distT="0" distB="0" distL="0" distR="0" wp14:anchorId="3DCCCABE" wp14:editId="57E72C4F">
                  <wp:extent cx="324000" cy="324000"/>
                  <wp:effectExtent l="0" t="0" r="0" b="0"/>
                  <wp:docPr id="5" name="Picture 5"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con-18.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267" w:type="dxa"/>
            <w:tcBorders>
              <w:left w:val="nil"/>
            </w:tcBorders>
            <w:shd w:val="clear" w:color="auto" w:fill="7FB8CB"/>
          </w:tcPr>
          <w:p w14:paraId="0428E711" w14:textId="77777777" w:rsidR="00AD37AD" w:rsidRPr="00BE6BBB" w:rsidRDefault="00AD37AD" w:rsidP="00ED2504">
            <w:pPr>
              <w:pStyle w:val="ACMATableText"/>
              <w:keepNext/>
              <w:keepLines/>
              <w:spacing w:before="0" w:after="0"/>
              <w:jc w:val="left"/>
              <w:cnfStyle w:val="000000000000" w:firstRow="0" w:lastRow="0" w:firstColumn="0" w:lastColumn="0" w:oddVBand="0" w:evenVBand="0" w:oddHBand="0" w:evenHBand="0" w:firstRowFirstColumn="0" w:firstRowLastColumn="0" w:lastRowFirstColumn="0" w:lastRowLastColumn="0"/>
              <w:rPr>
                <w:color w:val="FFFFFF" w:themeColor="background1"/>
                <w:spacing w:val="-28"/>
              </w:rPr>
            </w:pPr>
            <w:r w:rsidRPr="00BE6BBB">
              <w:rPr>
                <w:color w:val="FFFFFF" w:themeColor="background1"/>
              </w:rPr>
              <w:t>Natural disasters</w:t>
            </w:r>
          </w:p>
        </w:tc>
        <w:tc>
          <w:tcPr>
            <w:tcW w:w="1484" w:type="dxa"/>
            <w:shd w:val="clear" w:color="auto" w:fill="D2E1E9"/>
          </w:tcPr>
          <w:p w14:paraId="3035319F"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pPr>
            <w:r w:rsidRPr="006134FA">
              <w:rPr>
                <w:color w:val="000000"/>
              </w:rPr>
              <w:t>1</w:t>
            </w:r>
          </w:p>
        </w:tc>
        <w:tc>
          <w:tcPr>
            <w:tcW w:w="1485" w:type="dxa"/>
            <w:shd w:val="clear" w:color="auto" w:fill="D2E1E9"/>
          </w:tcPr>
          <w:p w14:paraId="03BD6E51"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pPr>
            <w:r w:rsidRPr="006134FA">
              <w:rPr>
                <w:color w:val="000000"/>
              </w:rPr>
              <w:t>1</w:t>
            </w:r>
          </w:p>
        </w:tc>
        <w:tc>
          <w:tcPr>
            <w:tcW w:w="1485" w:type="dxa"/>
            <w:shd w:val="clear" w:color="auto" w:fill="D2E1E9"/>
          </w:tcPr>
          <w:p w14:paraId="153DCCD4"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pPr>
            <w:r w:rsidRPr="006134FA">
              <w:rPr>
                <w:color w:val="000000"/>
              </w:rPr>
              <w:t>1</w:t>
            </w:r>
          </w:p>
        </w:tc>
        <w:tc>
          <w:tcPr>
            <w:tcW w:w="1780" w:type="dxa"/>
            <w:shd w:val="clear" w:color="auto" w:fill="D2E1E9"/>
          </w:tcPr>
          <w:p w14:paraId="7EE7ABB7"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pPr>
            <w:r w:rsidRPr="006134FA">
              <w:rPr>
                <w:color w:val="000000"/>
              </w:rPr>
              <w:t>1</w:t>
            </w:r>
          </w:p>
        </w:tc>
      </w:tr>
      <w:tr w:rsidR="00AD37AD" w:rsidRPr="006134FA" w14:paraId="0545D400" w14:textId="77777777" w:rsidTr="00236F29">
        <w:trPr>
          <w:trHeight w:val="543"/>
        </w:trPr>
        <w:tc>
          <w:tcPr>
            <w:cnfStyle w:val="001000000000" w:firstRow="0" w:lastRow="0" w:firstColumn="1" w:lastColumn="0" w:oddVBand="0" w:evenVBand="0" w:oddHBand="0" w:evenHBand="0" w:firstRowFirstColumn="0" w:firstRowLastColumn="0" w:lastRowFirstColumn="0" w:lastRowLastColumn="0"/>
            <w:tcW w:w="928" w:type="dxa"/>
            <w:tcBorders>
              <w:right w:val="nil"/>
            </w:tcBorders>
            <w:shd w:val="clear" w:color="auto" w:fill="7FB8CB"/>
          </w:tcPr>
          <w:p w14:paraId="3B8F63E9" w14:textId="77777777" w:rsidR="00AD37AD" w:rsidRPr="006134FA" w:rsidRDefault="00AD37AD" w:rsidP="00ED2504">
            <w:pPr>
              <w:pStyle w:val="ACMATableText"/>
              <w:keepNext/>
              <w:keepLines/>
              <w:spacing w:before="0" w:after="0"/>
              <w:rPr>
                <w:noProof/>
              </w:rPr>
            </w:pPr>
            <w:r w:rsidRPr="006134FA">
              <w:rPr>
                <w:noProof/>
                <w:lang w:eastAsia="en-AU"/>
              </w:rPr>
              <w:drawing>
                <wp:inline distT="0" distB="0" distL="0" distR="0" wp14:anchorId="0601CE37" wp14:editId="5A9BC4E3">
                  <wp:extent cx="394173" cy="371475"/>
                  <wp:effectExtent l="0" t="0" r="6350" b="0"/>
                  <wp:docPr id="6" name="Picture 6"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5.9 fig_Other_Other.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97016" cy="374155"/>
                          </a:xfrm>
                          <a:prstGeom prst="rect">
                            <a:avLst/>
                          </a:prstGeom>
                        </pic:spPr>
                      </pic:pic>
                    </a:graphicData>
                  </a:graphic>
                </wp:inline>
              </w:drawing>
            </w:r>
          </w:p>
        </w:tc>
        <w:tc>
          <w:tcPr>
            <w:tcW w:w="2267" w:type="dxa"/>
            <w:tcBorders>
              <w:left w:val="nil"/>
              <w:bottom w:val="single" w:sz="24" w:space="0" w:color="FFFFFF"/>
            </w:tcBorders>
            <w:shd w:val="clear" w:color="auto" w:fill="7FB8CB"/>
          </w:tcPr>
          <w:p w14:paraId="06F8B0EC" w14:textId="77777777" w:rsidR="00AD37AD" w:rsidRPr="00BE6BBB" w:rsidRDefault="00AD37AD" w:rsidP="00ED2504">
            <w:pPr>
              <w:pStyle w:val="ACMATableText"/>
              <w:keepNext/>
              <w:keepLines/>
              <w:spacing w:before="0" w:after="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BE6BBB">
              <w:rPr>
                <w:color w:val="FFFFFF" w:themeColor="background1"/>
              </w:rPr>
              <w:t>Other</w:t>
            </w:r>
          </w:p>
        </w:tc>
        <w:tc>
          <w:tcPr>
            <w:tcW w:w="1484" w:type="dxa"/>
            <w:shd w:val="clear" w:color="auto" w:fill="D2E1E9"/>
          </w:tcPr>
          <w:p w14:paraId="0DA807F5"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bCs/>
                <w:color w:val="000000"/>
              </w:rPr>
            </w:pPr>
            <w:r w:rsidRPr="006134FA">
              <w:rPr>
                <w:bCs/>
                <w:color w:val="000000"/>
              </w:rPr>
              <w:t>10</w:t>
            </w:r>
          </w:p>
        </w:tc>
        <w:tc>
          <w:tcPr>
            <w:tcW w:w="1485" w:type="dxa"/>
            <w:shd w:val="clear" w:color="auto" w:fill="D2E1E9"/>
          </w:tcPr>
          <w:p w14:paraId="0245FAA7"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bCs/>
                <w:color w:val="000000"/>
              </w:rPr>
            </w:pPr>
            <w:r w:rsidRPr="006134FA">
              <w:rPr>
                <w:bCs/>
                <w:color w:val="000000"/>
              </w:rPr>
              <w:t>10</w:t>
            </w:r>
          </w:p>
        </w:tc>
        <w:tc>
          <w:tcPr>
            <w:tcW w:w="1485" w:type="dxa"/>
            <w:shd w:val="clear" w:color="auto" w:fill="D2E1E9"/>
          </w:tcPr>
          <w:p w14:paraId="51AD986E"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bCs/>
                <w:color w:val="000000"/>
              </w:rPr>
            </w:pPr>
            <w:r w:rsidRPr="006134FA">
              <w:rPr>
                <w:bCs/>
                <w:color w:val="000000"/>
              </w:rPr>
              <w:t>10</w:t>
            </w:r>
          </w:p>
        </w:tc>
        <w:tc>
          <w:tcPr>
            <w:tcW w:w="1780" w:type="dxa"/>
            <w:shd w:val="clear" w:color="auto" w:fill="D2E1E9"/>
          </w:tcPr>
          <w:p w14:paraId="0BBDA3E9" w14:textId="77777777" w:rsidR="00AD37AD" w:rsidRPr="006134FA"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bCs/>
                <w:color w:val="000000"/>
              </w:rPr>
            </w:pPr>
            <w:r w:rsidRPr="006134FA">
              <w:rPr>
                <w:bCs/>
                <w:color w:val="000000"/>
              </w:rPr>
              <w:t>9</w:t>
            </w:r>
          </w:p>
        </w:tc>
      </w:tr>
      <w:tr w:rsidR="00AD37AD" w:rsidRPr="006134FA" w14:paraId="76041819" w14:textId="77777777" w:rsidTr="003B610E">
        <w:trPr>
          <w:trHeight w:val="226"/>
        </w:trPr>
        <w:tc>
          <w:tcPr>
            <w:cnfStyle w:val="001000000000" w:firstRow="0" w:lastRow="0" w:firstColumn="1" w:lastColumn="0" w:oddVBand="0" w:evenVBand="0" w:oddHBand="0" w:evenHBand="0" w:firstRowFirstColumn="0" w:firstRowLastColumn="0" w:lastRowFirstColumn="0" w:lastRowLastColumn="0"/>
            <w:tcW w:w="928" w:type="dxa"/>
            <w:tcBorders>
              <w:right w:val="nil"/>
            </w:tcBorders>
            <w:shd w:val="clear" w:color="auto" w:fill="7FB8CB"/>
          </w:tcPr>
          <w:p w14:paraId="62E2B9DF" w14:textId="77777777" w:rsidR="00AD37AD" w:rsidRPr="006134FA" w:rsidRDefault="00AD37AD" w:rsidP="00ED2504">
            <w:pPr>
              <w:pStyle w:val="ACMATableText"/>
              <w:keepNext/>
              <w:keepLines/>
              <w:spacing w:before="0" w:after="0"/>
              <w:rPr>
                <w:noProof/>
              </w:rPr>
            </w:pPr>
          </w:p>
        </w:tc>
        <w:tc>
          <w:tcPr>
            <w:tcW w:w="2267" w:type="dxa"/>
            <w:tcBorders>
              <w:left w:val="nil"/>
            </w:tcBorders>
            <w:shd w:val="clear" w:color="auto" w:fill="7FB8CB"/>
          </w:tcPr>
          <w:p w14:paraId="2F0190DB" w14:textId="77777777" w:rsidR="00AD37AD" w:rsidRPr="00BE6BBB" w:rsidRDefault="00AD37AD" w:rsidP="00ED2504">
            <w:pPr>
              <w:pStyle w:val="ACMATableText"/>
              <w:keepNext/>
              <w:keepLines/>
              <w:spacing w:before="0" w:after="0"/>
              <w:jc w:val="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BE6BBB">
              <w:rPr>
                <w:b/>
                <w:color w:val="FFFFFF" w:themeColor="background1"/>
              </w:rPr>
              <w:t>Total</w:t>
            </w:r>
          </w:p>
        </w:tc>
        <w:tc>
          <w:tcPr>
            <w:tcW w:w="1484" w:type="dxa"/>
            <w:shd w:val="clear" w:color="auto" w:fill="7FB8CB"/>
          </w:tcPr>
          <w:p w14:paraId="6A1EEA29" w14:textId="77777777" w:rsidR="00AD37AD" w:rsidRPr="00BE6BBB"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E6BBB">
              <w:rPr>
                <w:b/>
                <w:bCs/>
                <w:color w:val="FFFFFF" w:themeColor="background1"/>
              </w:rPr>
              <w:t>58</w:t>
            </w:r>
          </w:p>
        </w:tc>
        <w:tc>
          <w:tcPr>
            <w:tcW w:w="1485" w:type="dxa"/>
            <w:shd w:val="clear" w:color="auto" w:fill="7FB8CB"/>
          </w:tcPr>
          <w:p w14:paraId="3F0A2779" w14:textId="77777777" w:rsidR="00AD37AD" w:rsidRPr="00BE6BBB"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E6BBB">
              <w:rPr>
                <w:b/>
                <w:bCs/>
                <w:color w:val="FFFFFF" w:themeColor="background1"/>
              </w:rPr>
              <w:t>60</w:t>
            </w:r>
          </w:p>
        </w:tc>
        <w:tc>
          <w:tcPr>
            <w:tcW w:w="1485" w:type="dxa"/>
            <w:shd w:val="clear" w:color="auto" w:fill="7FB8CB"/>
          </w:tcPr>
          <w:p w14:paraId="03991B1C" w14:textId="77777777" w:rsidR="00AD37AD" w:rsidRPr="00BE6BBB"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E6BBB">
              <w:rPr>
                <w:b/>
                <w:bCs/>
                <w:color w:val="FFFFFF" w:themeColor="background1"/>
              </w:rPr>
              <w:t>60</w:t>
            </w:r>
          </w:p>
        </w:tc>
        <w:tc>
          <w:tcPr>
            <w:tcW w:w="1780" w:type="dxa"/>
            <w:shd w:val="clear" w:color="auto" w:fill="7FB8CB"/>
          </w:tcPr>
          <w:p w14:paraId="23B1C5F5" w14:textId="77777777" w:rsidR="00AD37AD" w:rsidRPr="00BE6BBB" w:rsidRDefault="00AD37AD" w:rsidP="005D6F3C">
            <w:pPr>
              <w:pStyle w:val="ACMATableText"/>
              <w:keepNext/>
              <w:keepLines/>
              <w:spacing w:before="0" w:after="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E6BBB">
              <w:rPr>
                <w:b/>
                <w:bCs/>
                <w:color w:val="FFFFFF" w:themeColor="background1"/>
              </w:rPr>
              <w:t>50</w:t>
            </w:r>
          </w:p>
        </w:tc>
      </w:tr>
    </w:tbl>
    <w:p w14:paraId="161D7DF5" w14:textId="77777777" w:rsidR="00AD37AD" w:rsidRPr="006134FA" w:rsidRDefault="00AD37AD" w:rsidP="00ED2504">
      <w:pPr>
        <w:pStyle w:val="ACMANotes"/>
        <w:keepNext/>
        <w:keepLines/>
      </w:pPr>
      <w:r w:rsidRPr="006134FA">
        <w:t xml:space="preserve">*Formerly M2 Group. Exemption notifications for </w:t>
      </w:r>
      <w:r>
        <w:t>i</w:t>
      </w:r>
      <w:r w:rsidRPr="006134FA">
        <w:t>Primus, Dod</w:t>
      </w:r>
      <w:r w:rsidR="00741C6F">
        <w:t>o, Eftel, Commander, aaNet and e</w:t>
      </w:r>
      <w:r w:rsidRPr="006134FA">
        <w:t>ngin have been included in Vocus Communications notifications.</w:t>
      </w:r>
    </w:p>
    <w:p w14:paraId="0475D1AF" w14:textId="77777777" w:rsidR="00AD37AD" w:rsidRDefault="00AD37AD" w:rsidP="00ED2504">
      <w:pPr>
        <w:pStyle w:val="ACMANotes"/>
        <w:keepNext/>
        <w:keepLines/>
      </w:pPr>
      <w:r w:rsidRPr="006134FA">
        <w:t>Source: CSP data.</w:t>
      </w:r>
    </w:p>
    <w:p w14:paraId="36F9EA76" w14:textId="77777777" w:rsidR="00AD37AD" w:rsidRPr="006134FA" w:rsidRDefault="00AD37AD" w:rsidP="00AD37AD">
      <w:pPr>
        <w:pStyle w:val="ACMASpaceaftertable"/>
      </w:pPr>
    </w:p>
    <w:p w14:paraId="2CA47A13" w14:textId="77777777" w:rsidR="00AD37AD" w:rsidRPr="006134FA" w:rsidRDefault="00AD37AD" w:rsidP="00841849">
      <w:pPr>
        <w:pStyle w:val="Heading2"/>
        <w:numPr>
          <w:ilvl w:val="1"/>
          <w:numId w:val="12"/>
        </w:numPr>
        <w:ind w:hanging="792"/>
      </w:pPr>
      <w:bookmarkStart w:id="780" w:name="_Toc462909506"/>
      <w:bookmarkStart w:id="781" w:name="_Toc465842987"/>
      <w:r w:rsidRPr="006134FA">
        <w:t>Network Reliability Framework</w:t>
      </w:r>
      <w:bookmarkEnd w:id="780"/>
      <w:bookmarkEnd w:id="781"/>
    </w:p>
    <w:p w14:paraId="3CEBF023" w14:textId="77777777" w:rsidR="00AD37AD" w:rsidRPr="006134FA" w:rsidRDefault="00AD37AD" w:rsidP="00AD37AD">
      <w:pPr>
        <w:rPr>
          <w:rFonts w:cs="Arial"/>
        </w:rPr>
      </w:pPr>
      <w:r w:rsidRPr="006134FA">
        <w:rPr>
          <w:rFonts w:cs="Arial"/>
        </w:rPr>
        <w:t>The ACMA monitors the reliability of Telstra’s fixed-line telephone service network under the NRF. The NRF applies only to services that Telstra provides to its CSG Standard-eligible customers. Telstra is required to report to the ACMA on the performance of its network and to fix poorly performing cable runs and individual services.</w:t>
      </w:r>
    </w:p>
    <w:p w14:paraId="42684243" w14:textId="77777777" w:rsidR="00AD37AD" w:rsidRPr="006134FA" w:rsidRDefault="00AD37AD" w:rsidP="00AD37AD">
      <w:pPr>
        <w:spacing w:after="80"/>
        <w:rPr>
          <w:rFonts w:cs="Arial"/>
        </w:rPr>
      </w:pPr>
      <w:r w:rsidRPr="006134FA">
        <w:rPr>
          <w:rFonts w:cs="Arial"/>
        </w:rPr>
        <w:t>The NRF requires monitoring and/or remedying network reliability performance at three levels:</w:t>
      </w:r>
    </w:p>
    <w:p w14:paraId="34C2CC1F" w14:textId="77777777" w:rsidR="00AD37AD" w:rsidRPr="006134FA" w:rsidRDefault="00AD37AD" w:rsidP="00AD37AD">
      <w:pPr>
        <w:pStyle w:val="ListBullet"/>
      </w:pPr>
      <w:r w:rsidRPr="006134FA">
        <w:t>Level 1—national and geographical area level, based on Telstra’s 44 field service areas (FSAs)</w:t>
      </w:r>
    </w:p>
    <w:p w14:paraId="301D9B8D" w14:textId="77777777" w:rsidR="00AD37AD" w:rsidRPr="006134FA" w:rsidRDefault="00AD37AD" w:rsidP="00AD37AD">
      <w:pPr>
        <w:pStyle w:val="ListBullet"/>
      </w:pPr>
      <w:r w:rsidRPr="006134FA">
        <w:t>Level 2—local</w:t>
      </w:r>
      <w:r>
        <w:t>-</w:t>
      </w:r>
      <w:r w:rsidRPr="006134FA">
        <w:t>level cable runs in disaggregated parts of the network</w:t>
      </w:r>
    </w:p>
    <w:p w14:paraId="7AE54557" w14:textId="77777777" w:rsidR="00AD37AD" w:rsidRPr="006134FA" w:rsidRDefault="00AD37AD" w:rsidP="00AD37AD">
      <w:pPr>
        <w:pStyle w:val="ListBulletLast"/>
      </w:pPr>
      <w:r w:rsidRPr="006134FA">
        <w:t>Level 3—individual service level that includes all Telstra services covered by the CSG Standard.</w:t>
      </w:r>
    </w:p>
    <w:p w14:paraId="48A201A2" w14:textId="77777777" w:rsidR="00AD37AD" w:rsidRPr="006134FA" w:rsidRDefault="00AD37AD" w:rsidP="00AD37AD">
      <w:r w:rsidRPr="006134FA">
        <w:t xml:space="preserve">Level 1 is designed to inform the public about overall network reliability </w:t>
      </w:r>
      <w:r w:rsidR="009D5892">
        <w:t>performance. Under levels 2 and </w:t>
      </w:r>
      <w:r w:rsidRPr="006134FA">
        <w:t>3, Telstra is required to remediate poorly performing parts of its network as a priority.</w:t>
      </w:r>
    </w:p>
    <w:p w14:paraId="0A257467" w14:textId="77777777" w:rsidR="00AD37AD" w:rsidRPr="006134FA" w:rsidRDefault="00AD37AD" w:rsidP="00AD37AD">
      <w:pPr>
        <w:pStyle w:val="Heading3"/>
      </w:pPr>
      <w:bookmarkStart w:id="782" w:name="_Toc462909507"/>
      <w:bookmarkStart w:id="783" w:name="_Toc465842988"/>
      <w:r w:rsidRPr="006134FA">
        <w:t>Level 1—national and field service area performance</w:t>
      </w:r>
      <w:bookmarkEnd w:id="782"/>
      <w:bookmarkEnd w:id="783"/>
    </w:p>
    <w:p w14:paraId="59EF5102" w14:textId="77777777" w:rsidR="00AD37AD" w:rsidRPr="006134FA" w:rsidRDefault="00AD37AD" w:rsidP="00AD37AD">
      <w:r w:rsidRPr="006134FA">
        <w:t>Telstra’s national performance data is presented in Figure 5.2. Level 1a shows the percentage of CSG Standard services that did not experience a fault during the month reported. Level 1b shows the percentage of time in a month that CSG Standard services, on average, are available.</w:t>
      </w:r>
    </w:p>
    <w:p w14:paraId="4D039F67" w14:textId="77777777" w:rsidR="00AD37AD" w:rsidRPr="006134FA" w:rsidRDefault="00AD37AD" w:rsidP="00BD5304">
      <w:pPr>
        <w:pStyle w:val="ACMAFigureHeader"/>
        <w:keepNext/>
      </w:pPr>
      <w:r w:rsidRPr="006134FA">
        <w:lastRenderedPageBreak/>
        <w:t>Figure 5.2</w:t>
      </w:r>
      <w:r>
        <w:tab/>
      </w:r>
      <w:r w:rsidRPr="006134FA">
        <w:t xml:space="preserve">Telstra’s </w:t>
      </w:r>
      <w:r>
        <w:t>l</w:t>
      </w:r>
      <w:r w:rsidRPr="006134FA">
        <w:t>evel 1a and 1b performance, based on monthly reports (percentage)</w:t>
      </w:r>
    </w:p>
    <w:p w14:paraId="1F071EEB" w14:textId="77777777" w:rsidR="00AD37AD" w:rsidRPr="006134FA" w:rsidRDefault="00622C1B" w:rsidP="00AD37AD">
      <w:pPr>
        <w:spacing w:after="0"/>
      </w:pPr>
      <w:r>
        <w:rPr>
          <w:noProof/>
        </w:rPr>
        <w:drawing>
          <wp:inline distT="0" distB="0" distL="0" distR="0" wp14:anchorId="65B36162" wp14:editId="2DABCD30">
            <wp:extent cx="5853448" cy="3940810"/>
            <wp:effectExtent l="0" t="0" r="0" b="2540"/>
            <wp:docPr id="43" name="Picture 43" descr="Data for Figure 5.2 is in the .ods file for Chapter 5 on the landing page ‘Communications report 2015-16’, available from the ACMA website." title="Figure 5.2  Telstra's level 1a and 1b performance, based on monthly reports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5.2_Figure 5.2.png"/>
                    <pic:cNvPicPr/>
                  </pic:nvPicPr>
                  <pic:blipFill rotWithShape="1">
                    <a:blip r:embed="rId129">
                      <a:extLst>
                        <a:ext uri="{28A0092B-C50C-407E-A947-70E740481C1C}">
                          <a14:useLocalDpi xmlns:a14="http://schemas.microsoft.com/office/drawing/2010/main" val="0"/>
                        </a:ext>
                      </a:extLst>
                    </a:blip>
                    <a:srcRect l="650" t="1438" r="788" b="785"/>
                    <a:stretch/>
                  </pic:blipFill>
                  <pic:spPr bwMode="auto">
                    <a:xfrm>
                      <a:off x="0" y="0"/>
                      <a:ext cx="5854357" cy="3941422"/>
                    </a:xfrm>
                    <a:prstGeom prst="rect">
                      <a:avLst/>
                    </a:prstGeom>
                    <a:ln>
                      <a:noFill/>
                    </a:ln>
                    <a:extLst>
                      <a:ext uri="{53640926-AAD7-44D8-BBD7-CCE9431645EC}">
                        <a14:shadowObscured xmlns:a14="http://schemas.microsoft.com/office/drawing/2010/main"/>
                      </a:ext>
                    </a:extLst>
                  </pic:spPr>
                </pic:pic>
              </a:graphicData>
            </a:graphic>
          </wp:inline>
        </w:drawing>
      </w:r>
    </w:p>
    <w:p w14:paraId="6F39D172" w14:textId="77777777" w:rsidR="00AD37AD" w:rsidRPr="006134FA" w:rsidRDefault="00AD37AD" w:rsidP="00AD37AD">
      <w:pPr>
        <w:pStyle w:val="ACMANotes"/>
      </w:pPr>
      <w:r w:rsidRPr="006134FA">
        <w:t>Base: Number in each category.</w:t>
      </w:r>
    </w:p>
    <w:p w14:paraId="1824E579" w14:textId="77777777" w:rsidR="00AD37AD" w:rsidRDefault="00AD37AD" w:rsidP="00AD37AD">
      <w:pPr>
        <w:pStyle w:val="ACMANotes"/>
      </w:pPr>
      <w:r w:rsidRPr="006134FA">
        <w:t>Source: ACMA, Telstra.</w:t>
      </w:r>
    </w:p>
    <w:p w14:paraId="5A840B87" w14:textId="77777777" w:rsidR="00AD37AD" w:rsidRPr="006134FA" w:rsidRDefault="00AD37AD" w:rsidP="00AD37AD">
      <w:pPr>
        <w:pStyle w:val="ACMASpaceaftertable"/>
      </w:pPr>
    </w:p>
    <w:p w14:paraId="16BB1934" w14:textId="77777777" w:rsidR="00AD37AD" w:rsidRPr="006134FA" w:rsidRDefault="00AD37AD" w:rsidP="00AD37AD">
      <w:r w:rsidRPr="006134FA">
        <w:t xml:space="preserve">Under Level 1a, FSAs in urban areas experienced a lower percentage of faults than those in non-urban areas. On average, 1.46 per cent of services experienced a fault in any given month in urban areas, compared to 1.62 per cent in non-urban areas. Figure 5.3 shows the seasonal nature of NRF Level 1a performance. </w:t>
      </w:r>
      <w:r>
        <w:t>S</w:t>
      </w:r>
      <w:r w:rsidRPr="006134FA">
        <w:t>mall changes in this figure represent relatively large changes in the number of faults occurring on the network.</w:t>
      </w:r>
    </w:p>
    <w:p w14:paraId="22C2AD98" w14:textId="77777777" w:rsidR="00AD37AD" w:rsidRPr="006134FA" w:rsidRDefault="00AD37AD" w:rsidP="00AD37AD">
      <w:r w:rsidRPr="006134FA">
        <w:t>Level 1b measures the percentage of time in a month that services (on average) are available; that is, not awaiting repair. In 2015–16, services were available, on a monthly average, 99.84 per cent of the time (nationally)</w:t>
      </w:r>
      <w:r>
        <w:t>. I</w:t>
      </w:r>
      <w:r w:rsidRPr="006134FA">
        <w:t>n 2014–15</w:t>
      </w:r>
      <w:r>
        <w:t>,</w:t>
      </w:r>
      <w:r w:rsidRPr="006134FA">
        <w:t xml:space="preserve"> services were available, on a monthly average, 99.80 per cent of the time (nationally).</w:t>
      </w:r>
    </w:p>
    <w:p w14:paraId="218A618F" w14:textId="77777777" w:rsidR="00AD37AD" w:rsidRPr="006134FA" w:rsidRDefault="00AD37AD" w:rsidP="00AD37AD">
      <w:r w:rsidRPr="006134FA">
        <w:t>The ACMA also uses data provided under Level 1 of the NRF to calculate the average time (in hours) for fault-affected CSG Standard services to be repaired for the month (Level 1c—Figure 5.3). Level 1c measures the average number of hours Telstra took to restore fault-affected services in the month. While Level 1b takes into account all services, Level 1c only considers services that experienced a fault.</w:t>
      </w:r>
    </w:p>
    <w:p w14:paraId="54CD6D69" w14:textId="77777777" w:rsidR="00AD37AD" w:rsidRPr="006134FA" w:rsidRDefault="00AD37AD" w:rsidP="00841849">
      <w:pPr>
        <w:keepLines/>
      </w:pPr>
      <w:r w:rsidRPr="006134FA">
        <w:t>In terms of elapsed time, it took an average of 76 hours to restore services that had a fault in 2015–16</w:t>
      </w:r>
      <w:r>
        <w:t>,</w:t>
      </w:r>
      <w:r w:rsidRPr="006134FA">
        <w:t xml:space="preserve"> compared to an average of 86 hours in 2014–15. It </w:t>
      </w:r>
      <w:r>
        <w:t xml:space="preserve">also </w:t>
      </w:r>
      <w:r w:rsidRPr="006134FA">
        <w:t xml:space="preserve">took an average of 66 hours to restore fault-affected services in urban areas </w:t>
      </w:r>
      <w:r>
        <w:t>(</w:t>
      </w:r>
      <w:r w:rsidRPr="006134FA">
        <w:t xml:space="preserve">76 hours </w:t>
      </w:r>
      <w:r>
        <w:t xml:space="preserve">in 2014–15) </w:t>
      </w:r>
      <w:r w:rsidRPr="006134FA">
        <w:t>and 90 hours in non-urban areas</w:t>
      </w:r>
      <w:r>
        <w:t xml:space="preserve"> (</w:t>
      </w:r>
      <w:r w:rsidRPr="006134FA">
        <w:t>94 hours</w:t>
      </w:r>
      <w:r>
        <w:t xml:space="preserve"> in 2014–15)</w:t>
      </w:r>
      <w:r w:rsidRPr="006134FA">
        <w:t>.</w:t>
      </w:r>
    </w:p>
    <w:p w14:paraId="67EB3367" w14:textId="77777777" w:rsidR="00AD37AD" w:rsidRPr="006134FA" w:rsidRDefault="00AD37AD" w:rsidP="00BD5304">
      <w:pPr>
        <w:pStyle w:val="ACMAFigureHeader"/>
        <w:keepNext/>
      </w:pPr>
      <w:r w:rsidRPr="006134FA">
        <w:lastRenderedPageBreak/>
        <w:t>Figure 5.3</w:t>
      </w:r>
      <w:r>
        <w:tab/>
      </w:r>
      <w:r w:rsidRPr="006134FA">
        <w:t>Level 1c—average time for Telstra to restore fault-affected services (hours)</w:t>
      </w:r>
    </w:p>
    <w:p w14:paraId="451FE397" w14:textId="25C32C79" w:rsidR="00AD37AD" w:rsidRPr="006134FA" w:rsidRDefault="00756E40" w:rsidP="00AD37AD">
      <w:pPr>
        <w:keepNext/>
        <w:spacing w:after="0"/>
        <w:rPr>
          <w:rFonts w:cs="Arial"/>
          <w:b/>
          <w:bCs/>
          <w:color w:val="323232"/>
        </w:rPr>
      </w:pPr>
      <w:r>
        <w:rPr>
          <w:rFonts w:cs="Arial"/>
          <w:b/>
          <w:bCs/>
          <w:noProof/>
          <w:color w:val="323232"/>
        </w:rPr>
        <w:drawing>
          <wp:inline distT="0" distB="0" distL="0" distR="0" wp14:anchorId="4B8DE1B1" wp14:editId="54CED6B7">
            <wp:extent cx="5882446" cy="3738880"/>
            <wp:effectExtent l="0" t="0" r="4445" b="0"/>
            <wp:docPr id="44" name="Picture 44" descr="Data for Figure 5.3 is in the .ods file for Chapter 5 on the landing page ‘Communications report 2015-16’, available from the ACMA website." title="Figure 5.3  Level 1c- average time for Telstra to restore fault-affect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5.3_Figure 5.3.png"/>
                    <pic:cNvPicPr/>
                  </pic:nvPicPr>
                  <pic:blipFill rotWithShape="1">
                    <a:blip r:embed="rId130">
                      <a:extLst>
                        <a:ext uri="{28A0092B-C50C-407E-A947-70E740481C1C}">
                          <a14:useLocalDpi xmlns:a14="http://schemas.microsoft.com/office/drawing/2010/main" val="0"/>
                        </a:ext>
                      </a:extLst>
                    </a:blip>
                    <a:srcRect/>
                    <a:stretch/>
                  </pic:blipFill>
                  <pic:spPr bwMode="auto">
                    <a:xfrm>
                      <a:off x="0" y="0"/>
                      <a:ext cx="5885909" cy="3741081"/>
                    </a:xfrm>
                    <a:prstGeom prst="rect">
                      <a:avLst/>
                    </a:prstGeom>
                    <a:ln>
                      <a:noFill/>
                    </a:ln>
                    <a:extLst>
                      <a:ext uri="{53640926-AAD7-44D8-BBD7-CCE9431645EC}">
                        <a14:shadowObscured xmlns:a14="http://schemas.microsoft.com/office/drawing/2010/main"/>
                      </a:ext>
                    </a:extLst>
                  </pic:spPr>
                </pic:pic>
              </a:graphicData>
            </a:graphic>
          </wp:inline>
        </w:drawing>
      </w:r>
    </w:p>
    <w:p w14:paraId="736AE448" w14:textId="77777777" w:rsidR="00AD37AD" w:rsidRDefault="00AD37AD" w:rsidP="00AD37AD">
      <w:pPr>
        <w:pStyle w:val="ACMANotes"/>
      </w:pPr>
      <w:r w:rsidRPr="006134FA">
        <w:t>Source: ACMA, Telstra.</w:t>
      </w:r>
    </w:p>
    <w:p w14:paraId="66C4827C" w14:textId="77777777" w:rsidR="00AD37AD" w:rsidRPr="006134FA" w:rsidRDefault="00AD37AD" w:rsidP="00AD37AD">
      <w:pPr>
        <w:pStyle w:val="ACMASpaceaftertable"/>
      </w:pPr>
    </w:p>
    <w:p w14:paraId="1BCEB148" w14:textId="77777777" w:rsidR="00AD37AD" w:rsidRPr="006134FA" w:rsidRDefault="00AD37AD" w:rsidP="00AD37AD">
      <w:pPr>
        <w:pStyle w:val="Heading3"/>
      </w:pPr>
      <w:bookmarkStart w:id="784" w:name="_Toc462909508"/>
      <w:bookmarkStart w:id="785" w:name="_Toc465842989"/>
      <w:r w:rsidRPr="006134FA">
        <w:t>Level 2—local cable run remediation</w:t>
      </w:r>
      <w:bookmarkEnd w:id="784"/>
      <w:bookmarkEnd w:id="785"/>
    </w:p>
    <w:p w14:paraId="6373CFA6" w14:textId="77777777" w:rsidR="00AD37AD" w:rsidRPr="006134FA" w:rsidRDefault="00AD37AD" w:rsidP="00AD37AD">
      <w:r w:rsidRPr="006134FA">
        <w:t xml:space="preserve">Level 2 of the NRF requires Telstra to report on and undertake remediation work on the 40 poorest performing cable runs—a set of 10 or 100 copper wire pairs within a physical cable sheath—each month. </w:t>
      </w:r>
    </w:p>
    <w:p w14:paraId="6CF211DB" w14:textId="77777777" w:rsidR="00AD37AD" w:rsidRPr="006134FA" w:rsidRDefault="00AD37AD" w:rsidP="00AD37AD">
      <w:r w:rsidRPr="006134FA">
        <w:t>During 2015–16, Telstra completed remediation and monitoring of 473 cable runs, some of which were identified for remediation in previous reporting periods. For the year, Telstra identified the required 480 cable runs to be remediated. Telstra also remediated an additional 385 cable runs associated with the reported cable runs</w:t>
      </w:r>
      <w:r>
        <w:t xml:space="preserve"> (</w:t>
      </w:r>
      <w:r w:rsidRPr="006134FA">
        <w:t xml:space="preserve">417 </w:t>
      </w:r>
      <w:r>
        <w:t>in 2014–15)</w:t>
      </w:r>
      <w:r w:rsidRPr="006134FA">
        <w:t>. Telstra estimated that remediation work undertaken as part of Level 2 of the NRF in 2015–16 improved the reliability of 24,743</w:t>
      </w:r>
      <w:r>
        <w:t xml:space="preserve"> </w:t>
      </w:r>
      <w:r w:rsidRPr="006134FA">
        <w:t>services</w:t>
      </w:r>
      <w:r>
        <w:t xml:space="preserve"> (</w:t>
      </w:r>
      <w:r w:rsidRPr="006134FA">
        <w:t>26,607 in 2014–15</w:t>
      </w:r>
      <w:r>
        <w:t>)</w:t>
      </w:r>
      <w:r w:rsidRPr="006134FA">
        <w:t>.</w:t>
      </w:r>
    </w:p>
    <w:p w14:paraId="1DA3F6BF" w14:textId="77777777" w:rsidR="00AD37AD" w:rsidRPr="006134FA" w:rsidRDefault="00AD37AD" w:rsidP="00AD37AD">
      <w:pPr>
        <w:pStyle w:val="Heading3"/>
      </w:pPr>
      <w:bookmarkStart w:id="786" w:name="_Toc462909509"/>
      <w:bookmarkStart w:id="787" w:name="_Toc465842990"/>
      <w:r w:rsidRPr="006134FA">
        <w:t>Level 3—individual service performance</w:t>
      </w:r>
      <w:bookmarkEnd w:id="786"/>
      <w:bookmarkEnd w:id="787"/>
    </w:p>
    <w:p w14:paraId="363DBE5A" w14:textId="77777777" w:rsidR="00AD37AD" w:rsidRPr="006134FA" w:rsidRDefault="00AD37AD" w:rsidP="00AD37AD">
      <w:r w:rsidRPr="006134FA">
        <w:t>Telstra is required to take action to prevent an individual CSG Standard-eligible service from experiencing more than either three faults in a rolling 60</w:t>
      </w:r>
      <w:r>
        <w:t>-</w:t>
      </w:r>
      <w:r w:rsidRPr="006134FA">
        <w:t>day period (NRF Level 3a) or four faults in a rolling 365</w:t>
      </w:r>
      <w:r>
        <w:t>-</w:t>
      </w:r>
      <w:r w:rsidRPr="006134FA">
        <w:t>day period (NRF Level 3b).</w:t>
      </w:r>
    </w:p>
    <w:p w14:paraId="79BC48AD" w14:textId="77777777" w:rsidR="00AD37AD" w:rsidRPr="006134FA" w:rsidRDefault="00AD37AD" w:rsidP="00AD37AD">
      <w:r w:rsidRPr="006134FA">
        <w:t>Telstra reports to the ACMA on any services that breach these thresholds, investigates the performance of the service and then undertakes necessary remediation.</w:t>
      </w:r>
    </w:p>
    <w:p w14:paraId="473D07B6" w14:textId="77777777" w:rsidR="00AD37AD" w:rsidRPr="006134FA" w:rsidRDefault="00AD37AD" w:rsidP="00AD37AD">
      <w:r w:rsidRPr="006134FA">
        <w:t>Figure 5.4 shows that the number of services experiencing four or more faults in a rolling 60</w:t>
      </w:r>
      <w:r>
        <w:t>-</w:t>
      </w:r>
      <w:r w:rsidRPr="006134FA">
        <w:t>day period (Level 3a) or five or more faults in a rolling 365-day period (Level 3b).</w:t>
      </w:r>
    </w:p>
    <w:p w14:paraId="0B5DBC7E" w14:textId="77777777" w:rsidR="00AD37AD" w:rsidRPr="006134FA" w:rsidRDefault="00AD37AD" w:rsidP="00AD37AD">
      <w:pPr>
        <w:pStyle w:val="ACMAFigureHeader"/>
        <w:keepNext/>
        <w:ind w:left="1134" w:hanging="1134"/>
      </w:pPr>
      <w:r w:rsidRPr="006134FA">
        <w:lastRenderedPageBreak/>
        <w:t>Figure 5.4</w:t>
      </w:r>
      <w:r>
        <w:tab/>
      </w:r>
      <w:r w:rsidRPr="006134FA">
        <w:t>Telstra CSG Standard services with four</w:t>
      </w:r>
      <w:r>
        <w:t xml:space="preserve"> or more faults in a rolling 60-</w:t>
      </w:r>
      <w:r w:rsidRPr="006134FA">
        <w:t xml:space="preserve">day period (Level 3a) and five or more faults </w:t>
      </w:r>
      <w:r>
        <w:t>in a rolling 365-</w:t>
      </w:r>
      <w:r w:rsidRPr="006134FA">
        <w:t xml:space="preserve">day period (Level 3b) </w:t>
      </w:r>
    </w:p>
    <w:p w14:paraId="2614EC6A" w14:textId="77777777" w:rsidR="00AD37AD" w:rsidRPr="006134FA" w:rsidRDefault="00A47F5C" w:rsidP="00AD37AD">
      <w:pPr>
        <w:keepNext/>
        <w:spacing w:after="0"/>
        <w:rPr>
          <w:rFonts w:cs="Arial"/>
          <w:b/>
          <w:bCs/>
          <w:color w:val="323232"/>
        </w:rPr>
      </w:pPr>
      <w:r>
        <w:rPr>
          <w:rFonts w:cs="Arial"/>
          <w:b/>
          <w:bCs/>
          <w:noProof/>
          <w:color w:val="323232"/>
        </w:rPr>
        <w:drawing>
          <wp:inline distT="0" distB="0" distL="0" distR="0" wp14:anchorId="7187960E" wp14:editId="79947F28">
            <wp:extent cx="5860703" cy="3710455"/>
            <wp:effectExtent l="0" t="0" r="6985" b="4445"/>
            <wp:docPr id="45" name="Picture 45" descr="Data for Figure 5.4 is in the .ods file for Chapter 5 on the landing page ‘Communications report 2015-16’, available from the ACMA website." title="Figure 5.4  Telstra CSG Standard services with four or more faults in a rolling 60-day period (Level 3a)  and five or more faults in a rolling 365-day period (Level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5.4_Figure 5.4.png"/>
                    <pic:cNvPicPr/>
                  </pic:nvPicPr>
                  <pic:blipFill rotWithShape="1">
                    <a:blip r:embed="rId131">
                      <a:extLst>
                        <a:ext uri="{28A0092B-C50C-407E-A947-70E740481C1C}">
                          <a14:useLocalDpi xmlns:a14="http://schemas.microsoft.com/office/drawing/2010/main" val="0"/>
                        </a:ext>
                      </a:extLst>
                    </a:blip>
                    <a:srcRect l="623" t="1528" r="686" b="882"/>
                    <a:stretch/>
                  </pic:blipFill>
                  <pic:spPr bwMode="auto">
                    <a:xfrm>
                      <a:off x="0" y="0"/>
                      <a:ext cx="5862134" cy="3711361"/>
                    </a:xfrm>
                    <a:prstGeom prst="rect">
                      <a:avLst/>
                    </a:prstGeom>
                    <a:ln>
                      <a:noFill/>
                    </a:ln>
                    <a:extLst>
                      <a:ext uri="{53640926-AAD7-44D8-BBD7-CCE9431645EC}">
                        <a14:shadowObscured xmlns:a14="http://schemas.microsoft.com/office/drawing/2010/main"/>
                      </a:ext>
                    </a:extLst>
                  </pic:spPr>
                </pic:pic>
              </a:graphicData>
            </a:graphic>
          </wp:inline>
        </w:drawing>
      </w:r>
    </w:p>
    <w:p w14:paraId="0BBE72A8" w14:textId="77777777" w:rsidR="00AD37AD" w:rsidRPr="006134FA" w:rsidRDefault="00AD37AD" w:rsidP="00AD37AD">
      <w:pPr>
        <w:pStyle w:val="ACMANotes"/>
      </w:pPr>
      <w:r w:rsidRPr="006134FA">
        <w:t>Base: Number of services.</w:t>
      </w:r>
    </w:p>
    <w:p w14:paraId="244149D6" w14:textId="77777777" w:rsidR="00AD37AD" w:rsidRDefault="00AD37AD" w:rsidP="00AD37AD">
      <w:pPr>
        <w:pStyle w:val="ACMANotes"/>
      </w:pPr>
      <w:r w:rsidRPr="006134FA">
        <w:t>Source: Telstra.</w:t>
      </w:r>
    </w:p>
    <w:p w14:paraId="77BA500F" w14:textId="77777777" w:rsidR="00AD37AD" w:rsidRPr="006134FA" w:rsidRDefault="00AD37AD" w:rsidP="00AD37AD">
      <w:pPr>
        <w:pStyle w:val="ACMASpaceaftertable"/>
      </w:pPr>
    </w:p>
    <w:p w14:paraId="419E4DEE" w14:textId="77777777" w:rsidR="00AD37AD" w:rsidRPr="006134FA" w:rsidRDefault="00AD37AD" w:rsidP="00AD37AD">
      <w:r w:rsidRPr="006134FA">
        <w:t>Telstra has reported a decrease in the number of services experiencing breaches of the 60</w:t>
      </w:r>
      <w:r>
        <w:t>-</w:t>
      </w:r>
      <w:r w:rsidRPr="006134FA">
        <w:t>day threshold, with 22 breaches per month (on average) and a total of 258 for 2015–16. In 2014–15, Telstra reported an average of 28 breaches per month and a total of 339 for the year.</w:t>
      </w:r>
    </w:p>
    <w:p w14:paraId="71206E50" w14:textId="77777777" w:rsidR="00AD37AD" w:rsidRPr="006134FA" w:rsidRDefault="00AD37AD" w:rsidP="00AD37AD">
      <w:r w:rsidRPr="006134FA">
        <w:t>Telstra reported a slight increase in the number of services experiencing breaches of the 365</w:t>
      </w:r>
      <w:r>
        <w:t>-</w:t>
      </w:r>
      <w:r w:rsidRPr="006134FA">
        <w:t xml:space="preserve">day threshold, with 187 breaches per month (on average) and a total of 2,248 for 2015–16. </w:t>
      </w:r>
      <w:r>
        <w:t>In 2014–15, Telstra reported an average of</w:t>
      </w:r>
      <w:r w:rsidRPr="006134FA">
        <w:t xml:space="preserve"> 178 breaches per month and a total of 2,141 for the year.</w:t>
      </w:r>
    </w:p>
    <w:p w14:paraId="0434DE83" w14:textId="77777777" w:rsidR="00AD37AD" w:rsidRPr="006134FA" w:rsidRDefault="00AD37AD" w:rsidP="00AD37AD">
      <w:r w:rsidRPr="006134FA">
        <w:t>Telstra is required to remediate any service that breaches the fault thresholds and then monitor that service for an eight</w:t>
      </w:r>
      <w:r>
        <w:t>-</w:t>
      </w:r>
      <w:r w:rsidRPr="006134FA">
        <w:t>month period. If a service experiences another fault (known as a monitoring-period fault) during the monitoring period, Telstra must report this to the ACMA</w:t>
      </w:r>
      <w:r>
        <w:t>,</w:t>
      </w:r>
      <w:r w:rsidRPr="006134FA">
        <w:t xml:space="preserve"> together with an assessment of whether the fault is related or unrelated to the original fault(s) that caused the contravention. In 2015–16, Telstra reported 937 monitoring-period faults (across 767 individual services) and assessed 24 faults as related to the original contravention. This compares to 809 monitoring-period faults (across 633 individual services) reported and 28 faults assessed as related to the original contravention in 2014–15. </w:t>
      </w:r>
    </w:p>
    <w:p w14:paraId="7B490D58" w14:textId="631F29D5" w:rsidR="00AD37AD" w:rsidRPr="006134FA" w:rsidRDefault="00AD37AD" w:rsidP="00AD37AD">
      <w:r w:rsidRPr="006134FA">
        <w:t>Additionally, Telstra is required to report to the ACMA quarterly any services where remediation has not been completed within the expected time frames. In 2015–16, Telstra reported 190 delays to remediation, with an average reported delay of 119 days. This compares to 368 delays to remediation</w:t>
      </w:r>
      <w:r>
        <w:t>,</w:t>
      </w:r>
      <w:r w:rsidRPr="006134FA">
        <w:t xml:space="preserve"> with an average</w:t>
      </w:r>
      <w:r w:rsidR="00C31A6F">
        <w:t> </w:t>
      </w:r>
      <w:r w:rsidRPr="006134FA">
        <w:t>reported delay of 152 days</w:t>
      </w:r>
      <w:r>
        <w:t>,</w:t>
      </w:r>
      <w:r w:rsidRPr="006134FA">
        <w:t xml:space="preserve"> in 2014–15. Some services were reported as experiencing more than one delay.</w:t>
      </w:r>
    </w:p>
    <w:p w14:paraId="3C91ED4B" w14:textId="77777777" w:rsidR="00AD37AD" w:rsidRPr="006134FA" w:rsidRDefault="00AD37AD" w:rsidP="00841849">
      <w:pPr>
        <w:pStyle w:val="Heading2"/>
        <w:numPr>
          <w:ilvl w:val="1"/>
          <w:numId w:val="12"/>
        </w:numPr>
        <w:ind w:hanging="792"/>
      </w:pPr>
      <w:bookmarkStart w:id="788" w:name="_Toc462909510"/>
      <w:bookmarkStart w:id="789" w:name="_Toc465842991"/>
      <w:r w:rsidRPr="006134FA">
        <w:lastRenderedPageBreak/>
        <w:t>Priority assistance</w:t>
      </w:r>
      <w:bookmarkEnd w:id="788"/>
      <w:bookmarkEnd w:id="789"/>
    </w:p>
    <w:p w14:paraId="454927B1" w14:textId="77777777" w:rsidR="00AD37AD" w:rsidRPr="006134FA" w:rsidRDefault="00AD37AD" w:rsidP="00AD37AD">
      <w:pPr>
        <w:keepLines/>
      </w:pPr>
      <w:r w:rsidRPr="006134FA">
        <w:t>Priority assistance is a priority telephone connection and repair service for people with a diagnosed life</w:t>
      </w:r>
      <w:r>
        <w:t>-</w:t>
      </w:r>
      <w:r w:rsidRPr="006134FA">
        <w:t xml:space="preserve">threatening medical condition, who are at risk of suffering a rapid and life-threatening deterioration in their condition. Telstra offers the service as a requirement of its carrier licence condition. Other CSPs may offer priority assistance services but are not obliged by regulation to do so. In 2015–16, </w:t>
      </w:r>
      <w:r>
        <w:t>i</w:t>
      </w:r>
      <w:r w:rsidRPr="006134FA">
        <w:t xml:space="preserve">Primus was the only CSP to voluntarily offer priority assistance services in line with industry code ACIF: C609:2007 </w:t>
      </w:r>
      <w:r w:rsidRPr="006134FA">
        <w:rPr>
          <w:i/>
        </w:rPr>
        <w:t>Priority Assistance for Life Threatening Medical Conditions</w:t>
      </w:r>
      <w:r w:rsidRPr="006134FA">
        <w:t>.</w:t>
      </w:r>
      <w:r>
        <w:t xml:space="preserve"> </w:t>
      </w:r>
      <w:r w:rsidRPr="008A4D94">
        <w:t xml:space="preserve">However, according to the iPrimus website it does not support Priority Assistance for new customers or for customers who do not already have Priority Assistance active on </w:t>
      </w:r>
      <w:r w:rsidRPr="0047043D">
        <w:t xml:space="preserve">their </w:t>
      </w:r>
      <w:r w:rsidR="0047043D" w:rsidRPr="0047043D">
        <w:t>fixed-</w:t>
      </w:r>
      <w:r w:rsidRPr="0047043D">
        <w:t>line service.</w:t>
      </w:r>
      <w:r w:rsidRPr="008A4D94">
        <w:t xml:space="preserve">  </w:t>
      </w:r>
    </w:p>
    <w:p w14:paraId="22849C27" w14:textId="77777777" w:rsidR="00AD37AD" w:rsidRPr="006134FA" w:rsidRDefault="00AD37AD" w:rsidP="00AD37AD">
      <w:r w:rsidRPr="006134FA">
        <w:t>The number of priority assistance customers is presented in Table 5.11. During 2015–16, the number of priority assistance customers increased by 11.6 per cent. Telstra implemented its new priority assistance policy in 2015</w:t>
      </w:r>
      <w:r>
        <w:rPr>
          <w:rFonts w:cs="Arial"/>
        </w:rPr>
        <w:t>–</w:t>
      </w:r>
      <w:r w:rsidRPr="006134FA">
        <w:t>16.</w:t>
      </w:r>
    </w:p>
    <w:p w14:paraId="54673864" w14:textId="77777777" w:rsidR="00AD37AD" w:rsidRPr="006134FA" w:rsidRDefault="00AD37AD" w:rsidP="00AD37AD">
      <w:pPr>
        <w:pStyle w:val="ACMATableHeader"/>
        <w:numPr>
          <w:ilvl w:val="0"/>
          <w:numId w:val="0"/>
        </w:numPr>
      </w:pPr>
      <w:r w:rsidRPr="006134FA">
        <w:t>Table 5.11</w:t>
      </w:r>
      <w:r>
        <w:tab/>
      </w:r>
      <w:r w:rsidRPr="006134FA">
        <w:t>Number of priority assistance customers, at 30 June</w:t>
      </w:r>
    </w:p>
    <w:tbl>
      <w:tblPr>
        <w:tblStyle w:val="Commsreport2014-15TABLE3"/>
        <w:tblW w:w="9429" w:type="dxa"/>
        <w:tblLayout w:type="fixed"/>
        <w:tblCellMar>
          <w:top w:w="57" w:type="dxa"/>
          <w:left w:w="57" w:type="dxa"/>
          <w:bottom w:w="57" w:type="dxa"/>
          <w:right w:w="57" w:type="dxa"/>
        </w:tblCellMar>
        <w:tblLook w:val="01E0" w:firstRow="1" w:lastRow="1" w:firstColumn="1" w:lastColumn="1" w:noHBand="0" w:noVBand="0"/>
        <w:tblCaption w:val="Table 5.11 Number of priority assistance customers, at 30 June"/>
      </w:tblPr>
      <w:tblGrid>
        <w:gridCol w:w="2324"/>
        <w:gridCol w:w="1421"/>
        <w:gridCol w:w="1421"/>
        <w:gridCol w:w="1421"/>
        <w:gridCol w:w="1421"/>
        <w:gridCol w:w="1421"/>
      </w:tblGrid>
      <w:tr w:rsidR="00AD37AD" w:rsidRPr="00515D61" w14:paraId="4EB06A2C" w14:textId="77777777" w:rsidTr="00515D61">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2324" w:type="dxa"/>
            <w:shd w:val="clear" w:color="auto" w:fill="auto"/>
          </w:tcPr>
          <w:p w14:paraId="16EB4553" w14:textId="77777777" w:rsidR="00AD37AD" w:rsidRPr="00515D61" w:rsidRDefault="00AD37AD" w:rsidP="00515D61">
            <w:pPr>
              <w:pStyle w:val="TableHeading"/>
              <w:rPr>
                <w:b/>
              </w:rPr>
            </w:pPr>
          </w:p>
        </w:tc>
        <w:tc>
          <w:tcPr>
            <w:tcW w:w="1421" w:type="dxa"/>
            <w:shd w:val="clear" w:color="auto" w:fill="007298"/>
          </w:tcPr>
          <w:p w14:paraId="5ACF3154"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2012</w:t>
            </w:r>
          </w:p>
        </w:tc>
        <w:tc>
          <w:tcPr>
            <w:tcW w:w="1421" w:type="dxa"/>
            <w:shd w:val="clear" w:color="auto" w:fill="007298"/>
          </w:tcPr>
          <w:p w14:paraId="59A45BD9"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2013</w:t>
            </w:r>
          </w:p>
        </w:tc>
        <w:tc>
          <w:tcPr>
            <w:tcW w:w="1421" w:type="dxa"/>
            <w:shd w:val="clear" w:color="auto" w:fill="007298"/>
          </w:tcPr>
          <w:p w14:paraId="11648919"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2014</w:t>
            </w:r>
          </w:p>
        </w:tc>
        <w:tc>
          <w:tcPr>
            <w:tcW w:w="1421" w:type="dxa"/>
            <w:shd w:val="clear" w:color="auto" w:fill="007298"/>
          </w:tcPr>
          <w:p w14:paraId="58EC41D2"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2015</w:t>
            </w:r>
          </w:p>
        </w:tc>
        <w:tc>
          <w:tcPr>
            <w:tcW w:w="1421" w:type="dxa"/>
            <w:shd w:val="clear" w:color="auto" w:fill="007298"/>
          </w:tcPr>
          <w:p w14:paraId="7AA608E6"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highlight w:val="yellow"/>
              </w:rPr>
            </w:pPr>
            <w:r w:rsidRPr="00515D61">
              <w:rPr>
                <w:b/>
              </w:rPr>
              <w:t>2016</w:t>
            </w:r>
          </w:p>
        </w:tc>
      </w:tr>
      <w:tr w:rsidR="00AD37AD" w:rsidRPr="006134FA" w14:paraId="69ED9B37" w14:textId="77777777" w:rsidTr="00BD5304">
        <w:trPr>
          <w:trHeight w:val="256"/>
        </w:trPr>
        <w:tc>
          <w:tcPr>
            <w:cnfStyle w:val="001000000000" w:firstRow="0" w:lastRow="0" w:firstColumn="1" w:lastColumn="0" w:oddVBand="0" w:evenVBand="0" w:oddHBand="0" w:evenHBand="0" w:firstRowFirstColumn="0" w:firstRowLastColumn="0" w:lastRowFirstColumn="0" w:lastRowLastColumn="0"/>
            <w:tcW w:w="2324" w:type="dxa"/>
            <w:shd w:val="clear" w:color="auto" w:fill="7FB8CB"/>
          </w:tcPr>
          <w:p w14:paraId="60E5F552" w14:textId="77777777" w:rsidR="00AD37AD" w:rsidRPr="00BE6BBB" w:rsidRDefault="00AD37AD" w:rsidP="00ED2504">
            <w:pPr>
              <w:spacing w:after="0"/>
              <w:rPr>
                <w:rFonts w:cs="Arial"/>
                <w:color w:val="FFFFFF" w:themeColor="background1"/>
                <w:szCs w:val="18"/>
              </w:rPr>
            </w:pPr>
            <w:r w:rsidRPr="00BE6BBB">
              <w:rPr>
                <w:rFonts w:cs="Arial"/>
                <w:color w:val="FFFFFF" w:themeColor="background1"/>
                <w:szCs w:val="18"/>
              </w:rPr>
              <w:t>Provisional</w:t>
            </w:r>
          </w:p>
        </w:tc>
        <w:tc>
          <w:tcPr>
            <w:tcW w:w="1421" w:type="dxa"/>
            <w:shd w:val="clear" w:color="auto" w:fill="D2E1E9"/>
          </w:tcPr>
          <w:p w14:paraId="710134BC"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91,009</w:t>
            </w:r>
          </w:p>
        </w:tc>
        <w:tc>
          <w:tcPr>
            <w:tcW w:w="1421" w:type="dxa"/>
            <w:shd w:val="clear" w:color="auto" w:fill="D2E1E9"/>
          </w:tcPr>
          <w:p w14:paraId="56510A5B"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144,435</w:t>
            </w:r>
          </w:p>
        </w:tc>
        <w:tc>
          <w:tcPr>
            <w:tcW w:w="1421" w:type="dxa"/>
            <w:shd w:val="clear" w:color="auto" w:fill="D2E1E9"/>
          </w:tcPr>
          <w:p w14:paraId="7E071AD9"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49,679</w:t>
            </w:r>
          </w:p>
        </w:tc>
        <w:tc>
          <w:tcPr>
            <w:tcW w:w="1421" w:type="dxa"/>
            <w:shd w:val="clear" w:color="auto" w:fill="D2E1E9"/>
          </w:tcPr>
          <w:p w14:paraId="719DF635"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63,505</w:t>
            </w:r>
          </w:p>
        </w:tc>
        <w:tc>
          <w:tcPr>
            <w:tcW w:w="1421" w:type="dxa"/>
            <w:shd w:val="clear" w:color="auto" w:fill="D2E1E9"/>
          </w:tcPr>
          <w:p w14:paraId="53FB475D"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rPr>
                <w:rFonts w:cs="Arial"/>
                <w:szCs w:val="18"/>
              </w:rPr>
              <w:t>94,290</w:t>
            </w:r>
          </w:p>
        </w:tc>
      </w:tr>
      <w:tr w:rsidR="00AD37AD" w:rsidRPr="006134FA" w14:paraId="18AE2FD7" w14:textId="77777777" w:rsidTr="00BD5304">
        <w:trPr>
          <w:trHeight w:val="247"/>
        </w:trPr>
        <w:tc>
          <w:tcPr>
            <w:cnfStyle w:val="001000000000" w:firstRow="0" w:lastRow="0" w:firstColumn="1" w:lastColumn="0" w:oddVBand="0" w:evenVBand="0" w:oddHBand="0" w:evenHBand="0" w:firstRowFirstColumn="0" w:firstRowLastColumn="0" w:lastRowFirstColumn="0" w:lastRowLastColumn="0"/>
            <w:tcW w:w="2324" w:type="dxa"/>
            <w:shd w:val="clear" w:color="auto" w:fill="7FB8CB"/>
          </w:tcPr>
          <w:p w14:paraId="5B68846A" w14:textId="77777777" w:rsidR="00AD37AD" w:rsidRPr="00BE6BBB" w:rsidRDefault="00AD37AD" w:rsidP="00ED2504">
            <w:pPr>
              <w:spacing w:after="0"/>
              <w:rPr>
                <w:rFonts w:cs="Arial"/>
                <w:color w:val="FFFFFF" w:themeColor="background1"/>
                <w:szCs w:val="18"/>
              </w:rPr>
            </w:pPr>
            <w:r w:rsidRPr="00BE6BBB">
              <w:rPr>
                <w:rFonts w:cs="Arial"/>
                <w:color w:val="FFFFFF" w:themeColor="background1"/>
                <w:szCs w:val="18"/>
              </w:rPr>
              <w:t>Validated</w:t>
            </w:r>
          </w:p>
        </w:tc>
        <w:tc>
          <w:tcPr>
            <w:tcW w:w="1421" w:type="dxa"/>
            <w:shd w:val="clear" w:color="auto" w:fill="D2E1E9"/>
          </w:tcPr>
          <w:p w14:paraId="53ACC4E0"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130,341</w:t>
            </w:r>
          </w:p>
        </w:tc>
        <w:tc>
          <w:tcPr>
            <w:tcW w:w="1421" w:type="dxa"/>
            <w:shd w:val="clear" w:color="auto" w:fill="D2E1E9"/>
          </w:tcPr>
          <w:p w14:paraId="2609B492"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112,114</w:t>
            </w:r>
          </w:p>
        </w:tc>
        <w:tc>
          <w:tcPr>
            <w:tcW w:w="1421" w:type="dxa"/>
            <w:shd w:val="clear" w:color="auto" w:fill="D2E1E9"/>
          </w:tcPr>
          <w:p w14:paraId="5D610DCB"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154,940</w:t>
            </w:r>
          </w:p>
        </w:tc>
        <w:tc>
          <w:tcPr>
            <w:tcW w:w="1421" w:type="dxa"/>
            <w:shd w:val="clear" w:color="auto" w:fill="D2E1E9"/>
          </w:tcPr>
          <w:p w14:paraId="6F5B0CE5"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t>123,240</w:t>
            </w:r>
          </w:p>
        </w:tc>
        <w:tc>
          <w:tcPr>
            <w:tcW w:w="1421" w:type="dxa"/>
            <w:shd w:val="clear" w:color="auto" w:fill="D2E1E9"/>
          </w:tcPr>
          <w:p w14:paraId="130A9977"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t>116,969</w:t>
            </w:r>
          </w:p>
        </w:tc>
      </w:tr>
      <w:tr w:rsidR="00AD37AD" w:rsidRPr="006134FA" w14:paraId="4AE29ACB" w14:textId="77777777" w:rsidTr="00BD5304">
        <w:trPr>
          <w:trHeight w:val="254"/>
        </w:trPr>
        <w:tc>
          <w:tcPr>
            <w:cnfStyle w:val="001000000000" w:firstRow="0" w:lastRow="0" w:firstColumn="1" w:lastColumn="0" w:oddVBand="0" w:evenVBand="0" w:oddHBand="0" w:evenHBand="0" w:firstRowFirstColumn="0" w:firstRowLastColumn="0" w:lastRowFirstColumn="0" w:lastRowLastColumn="0"/>
            <w:tcW w:w="2324" w:type="dxa"/>
            <w:shd w:val="clear" w:color="auto" w:fill="7FB8CB"/>
          </w:tcPr>
          <w:p w14:paraId="6D6E1B20" w14:textId="77777777" w:rsidR="00AD37AD" w:rsidRPr="00BE6BBB" w:rsidRDefault="00AD37AD" w:rsidP="00ED2504">
            <w:pPr>
              <w:spacing w:after="0"/>
              <w:rPr>
                <w:rFonts w:cs="Arial"/>
                <w:color w:val="FFFFFF" w:themeColor="background1"/>
                <w:szCs w:val="18"/>
              </w:rPr>
            </w:pPr>
            <w:r w:rsidRPr="00BE6BBB">
              <w:rPr>
                <w:rFonts w:cs="Arial"/>
                <w:b/>
                <w:color w:val="FFFFFF" w:themeColor="background1"/>
                <w:szCs w:val="18"/>
              </w:rPr>
              <w:t>Total</w:t>
            </w:r>
          </w:p>
        </w:tc>
        <w:tc>
          <w:tcPr>
            <w:tcW w:w="1421" w:type="dxa"/>
            <w:shd w:val="clear" w:color="auto" w:fill="7FB8CB"/>
          </w:tcPr>
          <w:p w14:paraId="34139A87" w14:textId="77777777" w:rsidR="00AD37AD" w:rsidRPr="00BE6BBB"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BE6BBB">
              <w:rPr>
                <w:rFonts w:cs="Arial"/>
                <w:b/>
                <w:color w:val="FFFFFF" w:themeColor="background1"/>
                <w:szCs w:val="18"/>
              </w:rPr>
              <w:t>221,350</w:t>
            </w:r>
          </w:p>
        </w:tc>
        <w:tc>
          <w:tcPr>
            <w:tcW w:w="1421" w:type="dxa"/>
            <w:shd w:val="clear" w:color="auto" w:fill="7FB8CB"/>
          </w:tcPr>
          <w:p w14:paraId="6F1C0947" w14:textId="77777777" w:rsidR="00AD37AD" w:rsidRPr="00BE6BBB"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BE6BBB">
              <w:rPr>
                <w:rFonts w:cs="Arial"/>
                <w:b/>
                <w:color w:val="FFFFFF" w:themeColor="background1"/>
                <w:szCs w:val="18"/>
              </w:rPr>
              <w:t>256,549</w:t>
            </w:r>
          </w:p>
        </w:tc>
        <w:tc>
          <w:tcPr>
            <w:tcW w:w="1421" w:type="dxa"/>
            <w:shd w:val="clear" w:color="auto" w:fill="7FB8CB"/>
          </w:tcPr>
          <w:p w14:paraId="219CD9A3" w14:textId="77777777" w:rsidR="00AD37AD" w:rsidRPr="00BE6BBB"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BE6BBB">
              <w:rPr>
                <w:rFonts w:cs="Arial"/>
                <w:b/>
                <w:color w:val="FFFFFF" w:themeColor="background1"/>
                <w:szCs w:val="18"/>
              </w:rPr>
              <w:t>204,619</w:t>
            </w:r>
          </w:p>
        </w:tc>
        <w:tc>
          <w:tcPr>
            <w:tcW w:w="1421" w:type="dxa"/>
            <w:shd w:val="clear" w:color="auto" w:fill="7FB8CB"/>
          </w:tcPr>
          <w:p w14:paraId="19560AF9" w14:textId="77777777" w:rsidR="00AD37AD" w:rsidRPr="00BE6BBB"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rPr>
            </w:pPr>
            <w:r w:rsidRPr="00BE6BBB">
              <w:rPr>
                <w:b/>
                <w:color w:val="FFFFFF" w:themeColor="background1"/>
              </w:rPr>
              <w:t>186,745</w:t>
            </w:r>
          </w:p>
        </w:tc>
        <w:tc>
          <w:tcPr>
            <w:tcW w:w="1421" w:type="dxa"/>
            <w:shd w:val="clear" w:color="auto" w:fill="7FB8CB"/>
          </w:tcPr>
          <w:p w14:paraId="14EFB43F" w14:textId="77777777" w:rsidR="00AD37AD" w:rsidRPr="00BE6BBB"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18"/>
                <w:highlight w:val="yellow"/>
              </w:rPr>
            </w:pPr>
            <w:r w:rsidRPr="00BE6BBB">
              <w:rPr>
                <w:b/>
                <w:color w:val="FFFFFF" w:themeColor="background1"/>
              </w:rPr>
              <w:t>211,259</w:t>
            </w:r>
          </w:p>
        </w:tc>
      </w:tr>
    </w:tbl>
    <w:p w14:paraId="725949A4" w14:textId="77777777" w:rsidR="00AD37AD" w:rsidRDefault="00AD37AD" w:rsidP="00AD37AD">
      <w:pPr>
        <w:pStyle w:val="ACMANotes"/>
      </w:pPr>
      <w:r>
        <w:t>Source: Telstra, iPrimus.</w:t>
      </w:r>
    </w:p>
    <w:p w14:paraId="666B07FF" w14:textId="77777777" w:rsidR="00AD37AD" w:rsidRPr="00733826" w:rsidRDefault="00AD37AD" w:rsidP="00AD37AD">
      <w:pPr>
        <w:pStyle w:val="ACMASpaceaftertable"/>
      </w:pPr>
    </w:p>
    <w:p w14:paraId="331E9F60" w14:textId="77777777" w:rsidR="00AD37AD" w:rsidRPr="006134FA" w:rsidRDefault="00AD37AD" w:rsidP="00AD37AD">
      <w:r w:rsidRPr="006134FA">
        <w:t>Priority assistance customers are given faster connections and fault repairs of their fixed-line telephone service than the connection and fault repair time frames mandated in the CSG Standard. A service must be connected or a fault repaired within 24 hours in urban and rural areas</w:t>
      </w:r>
      <w:r>
        <w:t>,</w:t>
      </w:r>
      <w:r w:rsidRPr="006134FA">
        <w:t xml:space="preserve"> or</w:t>
      </w:r>
      <w:r>
        <w:t xml:space="preserve"> within </w:t>
      </w:r>
      <w:r w:rsidRPr="006134FA">
        <w:t xml:space="preserve">48 hours in remote areas. Tables 5.12 and 5.13 provide information about the performance of Telstra and </w:t>
      </w:r>
      <w:r>
        <w:t>i</w:t>
      </w:r>
      <w:r w:rsidRPr="006134FA">
        <w:t xml:space="preserve">Primus in meeting priority assistance time frames for connections and fault repairs since 2011–12. </w:t>
      </w:r>
    </w:p>
    <w:p w14:paraId="38D4E245" w14:textId="77777777" w:rsidR="00AD37AD" w:rsidRPr="006134FA" w:rsidRDefault="00AD37AD" w:rsidP="00AD37AD">
      <w:pPr>
        <w:pStyle w:val="ACMATableHeader"/>
        <w:keepNext/>
        <w:numPr>
          <w:ilvl w:val="0"/>
          <w:numId w:val="0"/>
        </w:numPr>
        <w:ind w:left="1134" w:hanging="1134"/>
        <w:rPr>
          <w:i/>
        </w:rPr>
      </w:pPr>
      <w:r w:rsidRPr="006134FA">
        <w:lastRenderedPageBreak/>
        <w:t>Table 5.12</w:t>
      </w:r>
      <w:r>
        <w:tab/>
      </w:r>
      <w:r w:rsidRPr="006134FA">
        <w:t>Priority assistance—percentage and volume of connection requests completed on time, by financial year</w:t>
      </w:r>
    </w:p>
    <w:tbl>
      <w:tblPr>
        <w:tblStyle w:val="Commsreport2015-16TABLE"/>
        <w:tblW w:w="9429" w:type="dxa"/>
        <w:tblLayout w:type="fixed"/>
        <w:tblCellMar>
          <w:top w:w="57" w:type="dxa"/>
          <w:left w:w="57" w:type="dxa"/>
          <w:bottom w:w="57" w:type="dxa"/>
          <w:right w:w="57" w:type="dxa"/>
        </w:tblCellMar>
        <w:tblLook w:val="04A0" w:firstRow="1" w:lastRow="0" w:firstColumn="1" w:lastColumn="0" w:noHBand="0" w:noVBand="1"/>
        <w:tblCaption w:val="Table 5.12  Priority assistance—percentage and volume of connection requests completed on time, by financial year"/>
      </w:tblPr>
      <w:tblGrid>
        <w:gridCol w:w="971"/>
        <w:gridCol w:w="960"/>
        <w:gridCol w:w="937"/>
        <w:gridCol w:w="937"/>
        <w:gridCol w:w="937"/>
        <w:gridCol w:w="938"/>
        <w:gridCol w:w="937"/>
        <w:gridCol w:w="937"/>
        <w:gridCol w:w="937"/>
        <w:gridCol w:w="938"/>
      </w:tblGrid>
      <w:tr w:rsidR="00AD37AD" w:rsidRPr="00515D61" w14:paraId="2DC229A4" w14:textId="77777777" w:rsidTr="00515D61">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971" w:type="dxa"/>
            <w:shd w:val="clear" w:color="auto" w:fill="FFFFFF"/>
          </w:tcPr>
          <w:p w14:paraId="59F933FA" w14:textId="77777777" w:rsidR="00AD37AD" w:rsidRPr="00515D61" w:rsidRDefault="00AD37AD" w:rsidP="00515D61">
            <w:pPr>
              <w:pStyle w:val="TableHeading"/>
              <w:jc w:val="center"/>
              <w:rPr>
                <w:b/>
              </w:rPr>
            </w:pPr>
          </w:p>
        </w:tc>
        <w:tc>
          <w:tcPr>
            <w:tcW w:w="960" w:type="dxa"/>
            <w:shd w:val="clear" w:color="auto" w:fill="FFFFFF"/>
          </w:tcPr>
          <w:p w14:paraId="484BDF87"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p>
        </w:tc>
        <w:tc>
          <w:tcPr>
            <w:tcW w:w="1874" w:type="dxa"/>
            <w:gridSpan w:val="2"/>
          </w:tcPr>
          <w:p w14:paraId="21CB127D"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515D61">
              <w:rPr>
                <w:b/>
              </w:rPr>
              <w:t>National</w:t>
            </w:r>
          </w:p>
        </w:tc>
        <w:tc>
          <w:tcPr>
            <w:tcW w:w="1875" w:type="dxa"/>
            <w:gridSpan w:val="2"/>
          </w:tcPr>
          <w:p w14:paraId="06911417"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515D61">
              <w:rPr>
                <w:b/>
              </w:rPr>
              <w:t>Urban</w:t>
            </w:r>
          </w:p>
        </w:tc>
        <w:tc>
          <w:tcPr>
            <w:tcW w:w="1874" w:type="dxa"/>
            <w:gridSpan w:val="2"/>
          </w:tcPr>
          <w:p w14:paraId="06BC5F32"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515D61">
              <w:rPr>
                <w:b/>
              </w:rPr>
              <w:t>Rural</w:t>
            </w:r>
          </w:p>
        </w:tc>
        <w:tc>
          <w:tcPr>
            <w:tcW w:w="1875" w:type="dxa"/>
            <w:gridSpan w:val="2"/>
          </w:tcPr>
          <w:p w14:paraId="039CB46B"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515D61">
              <w:rPr>
                <w:b/>
              </w:rPr>
              <w:t>Remote</w:t>
            </w:r>
          </w:p>
        </w:tc>
      </w:tr>
      <w:tr w:rsidR="00AD37AD" w:rsidRPr="006134FA" w14:paraId="58BFC5EC" w14:textId="77777777" w:rsidTr="00BD5304">
        <w:trPr>
          <w:trHeight w:val="253"/>
        </w:trPr>
        <w:tc>
          <w:tcPr>
            <w:cnfStyle w:val="001000000000" w:firstRow="0" w:lastRow="0" w:firstColumn="1" w:lastColumn="0" w:oddVBand="0" w:evenVBand="0" w:oddHBand="0" w:evenHBand="0" w:firstRowFirstColumn="0" w:firstRowLastColumn="0" w:lastRowFirstColumn="0" w:lastRowLastColumn="0"/>
            <w:tcW w:w="971" w:type="dxa"/>
            <w:shd w:val="clear" w:color="auto" w:fill="FFFFFF"/>
          </w:tcPr>
          <w:p w14:paraId="0CC437F9" w14:textId="77777777" w:rsidR="00AD37AD" w:rsidRPr="006134FA" w:rsidRDefault="00AD37AD" w:rsidP="00BD5304">
            <w:pPr>
              <w:keepNext/>
              <w:keepLines/>
              <w:spacing w:after="0"/>
              <w:rPr>
                <w:rFonts w:cs="Arial"/>
                <w:b/>
                <w:szCs w:val="18"/>
              </w:rPr>
            </w:pPr>
          </w:p>
        </w:tc>
        <w:tc>
          <w:tcPr>
            <w:tcW w:w="960" w:type="dxa"/>
            <w:shd w:val="clear" w:color="auto" w:fill="FFFFFF"/>
          </w:tcPr>
          <w:p w14:paraId="5EA3F232" w14:textId="77777777" w:rsidR="00AD37AD" w:rsidRPr="006134FA" w:rsidRDefault="00AD37AD" w:rsidP="00BD5304">
            <w:pPr>
              <w:keepNext/>
              <w:keepLines/>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p>
        </w:tc>
        <w:tc>
          <w:tcPr>
            <w:tcW w:w="937" w:type="dxa"/>
            <w:shd w:val="clear" w:color="auto" w:fill="007298"/>
          </w:tcPr>
          <w:p w14:paraId="528F3E7B"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w:t>
            </w:r>
          </w:p>
        </w:tc>
        <w:tc>
          <w:tcPr>
            <w:tcW w:w="937" w:type="dxa"/>
            <w:shd w:val="clear" w:color="auto" w:fill="007298"/>
          </w:tcPr>
          <w:p w14:paraId="5C5CD81D"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c>
          <w:tcPr>
            <w:tcW w:w="937" w:type="dxa"/>
            <w:shd w:val="clear" w:color="auto" w:fill="007298"/>
          </w:tcPr>
          <w:p w14:paraId="70DBABCC"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w:t>
            </w:r>
          </w:p>
        </w:tc>
        <w:tc>
          <w:tcPr>
            <w:tcW w:w="938" w:type="dxa"/>
            <w:shd w:val="clear" w:color="auto" w:fill="007298"/>
          </w:tcPr>
          <w:p w14:paraId="365A9417"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c>
          <w:tcPr>
            <w:tcW w:w="937" w:type="dxa"/>
            <w:shd w:val="clear" w:color="auto" w:fill="007298"/>
          </w:tcPr>
          <w:p w14:paraId="4BF00E3F"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w:t>
            </w:r>
          </w:p>
        </w:tc>
        <w:tc>
          <w:tcPr>
            <w:tcW w:w="937" w:type="dxa"/>
            <w:shd w:val="clear" w:color="auto" w:fill="007298"/>
          </w:tcPr>
          <w:p w14:paraId="535F633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c>
          <w:tcPr>
            <w:tcW w:w="937" w:type="dxa"/>
            <w:shd w:val="clear" w:color="auto" w:fill="007298"/>
          </w:tcPr>
          <w:p w14:paraId="0D6D6CFA"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w:t>
            </w:r>
          </w:p>
        </w:tc>
        <w:tc>
          <w:tcPr>
            <w:tcW w:w="938" w:type="dxa"/>
            <w:shd w:val="clear" w:color="auto" w:fill="007298"/>
          </w:tcPr>
          <w:p w14:paraId="39FA774E"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r>
      <w:tr w:rsidR="00AD37AD" w:rsidRPr="006134FA" w14:paraId="3A73956A" w14:textId="77777777" w:rsidTr="00BD5304">
        <w:trPr>
          <w:trHeight w:val="245"/>
        </w:trPr>
        <w:tc>
          <w:tcPr>
            <w:cnfStyle w:val="001000000000" w:firstRow="0" w:lastRow="0" w:firstColumn="1" w:lastColumn="0" w:oddVBand="0" w:evenVBand="0" w:oddHBand="0" w:evenHBand="0" w:firstRowFirstColumn="0" w:firstRowLastColumn="0" w:lastRowFirstColumn="0" w:lastRowLastColumn="0"/>
            <w:tcW w:w="971" w:type="dxa"/>
            <w:vMerge w:val="restart"/>
            <w:shd w:val="clear" w:color="auto" w:fill="7FB8CB"/>
          </w:tcPr>
          <w:p w14:paraId="5018DFBA" w14:textId="77777777" w:rsidR="00AD37AD" w:rsidRPr="00BE6BBB" w:rsidRDefault="00AD37AD" w:rsidP="00BD5304">
            <w:pPr>
              <w:keepNext/>
              <w:keepLines/>
              <w:spacing w:after="0"/>
              <w:rPr>
                <w:rFonts w:cs="Arial"/>
                <w:b/>
                <w:color w:val="FFFFFF" w:themeColor="background1"/>
                <w:szCs w:val="18"/>
              </w:rPr>
            </w:pPr>
            <w:r w:rsidRPr="00BE6BBB">
              <w:rPr>
                <w:rFonts w:cs="Arial"/>
                <w:b/>
                <w:color w:val="FFFFFF" w:themeColor="background1"/>
                <w:szCs w:val="18"/>
              </w:rPr>
              <w:t>Telstra</w:t>
            </w:r>
          </w:p>
        </w:tc>
        <w:tc>
          <w:tcPr>
            <w:tcW w:w="960" w:type="dxa"/>
            <w:shd w:val="clear" w:color="auto" w:fill="7FB8CB"/>
          </w:tcPr>
          <w:p w14:paraId="654BB91C"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2011–12</w:t>
            </w:r>
          </w:p>
        </w:tc>
        <w:tc>
          <w:tcPr>
            <w:tcW w:w="937" w:type="dxa"/>
          </w:tcPr>
          <w:p w14:paraId="25095F82"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91.6</w:t>
            </w:r>
          </w:p>
        </w:tc>
        <w:tc>
          <w:tcPr>
            <w:tcW w:w="937" w:type="dxa"/>
          </w:tcPr>
          <w:p w14:paraId="73A1CD20"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40,881</w:t>
            </w:r>
          </w:p>
        </w:tc>
        <w:tc>
          <w:tcPr>
            <w:tcW w:w="937" w:type="dxa"/>
          </w:tcPr>
          <w:p w14:paraId="214728BB"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91.8</w:t>
            </w:r>
          </w:p>
        </w:tc>
        <w:tc>
          <w:tcPr>
            <w:tcW w:w="938" w:type="dxa"/>
          </w:tcPr>
          <w:p w14:paraId="41F25B2F"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30,618</w:t>
            </w:r>
          </w:p>
        </w:tc>
        <w:tc>
          <w:tcPr>
            <w:tcW w:w="937" w:type="dxa"/>
          </w:tcPr>
          <w:p w14:paraId="09A0FE55"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91.5</w:t>
            </w:r>
          </w:p>
        </w:tc>
        <w:tc>
          <w:tcPr>
            <w:tcW w:w="937" w:type="dxa"/>
          </w:tcPr>
          <w:p w14:paraId="0049B7B5"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9,970</w:t>
            </w:r>
          </w:p>
        </w:tc>
        <w:tc>
          <w:tcPr>
            <w:tcW w:w="937" w:type="dxa"/>
          </w:tcPr>
          <w:p w14:paraId="27195068"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83.8</w:t>
            </w:r>
          </w:p>
        </w:tc>
        <w:tc>
          <w:tcPr>
            <w:tcW w:w="938" w:type="dxa"/>
          </w:tcPr>
          <w:p w14:paraId="112E5B5C"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295</w:t>
            </w:r>
          </w:p>
        </w:tc>
      </w:tr>
      <w:tr w:rsidR="00AD37AD" w:rsidRPr="006134FA" w14:paraId="3ED25532" w14:textId="77777777" w:rsidTr="00BD5304">
        <w:trPr>
          <w:trHeight w:val="250"/>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7F37D7CC" w14:textId="77777777" w:rsidR="00AD37AD" w:rsidRPr="00BE6BBB" w:rsidRDefault="00AD37AD" w:rsidP="00BD5304">
            <w:pPr>
              <w:keepNext/>
              <w:keepLines/>
              <w:spacing w:after="0"/>
              <w:rPr>
                <w:rFonts w:cs="Arial"/>
                <w:b/>
                <w:color w:val="FFFFFF" w:themeColor="background1"/>
                <w:szCs w:val="18"/>
              </w:rPr>
            </w:pPr>
          </w:p>
        </w:tc>
        <w:tc>
          <w:tcPr>
            <w:tcW w:w="960" w:type="dxa"/>
            <w:shd w:val="clear" w:color="auto" w:fill="7FB8CB"/>
          </w:tcPr>
          <w:p w14:paraId="1C5EBA94"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2012–13</w:t>
            </w:r>
          </w:p>
        </w:tc>
        <w:tc>
          <w:tcPr>
            <w:tcW w:w="937" w:type="dxa"/>
          </w:tcPr>
          <w:p w14:paraId="792870D7"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92.9</w:t>
            </w:r>
          </w:p>
        </w:tc>
        <w:tc>
          <w:tcPr>
            <w:tcW w:w="937" w:type="dxa"/>
          </w:tcPr>
          <w:p w14:paraId="1F7DE756"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42,700</w:t>
            </w:r>
          </w:p>
        </w:tc>
        <w:tc>
          <w:tcPr>
            <w:tcW w:w="937" w:type="dxa"/>
          </w:tcPr>
          <w:p w14:paraId="3C209234"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92.9</w:t>
            </w:r>
          </w:p>
        </w:tc>
        <w:tc>
          <w:tcPr>
            <w:tcW w:w="938" w:type="dxa"/>
          </w:tcPr>
          <w:p w14:paraId="4895A510"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32,536</w:t>
            </w:r>
          </w:p>
        </w:tc>
        <w:tc>
          <w:tcPr>
            <w:tcW w:w="937" w:type="dxa"/>
          </w:tcPr>
          <w:p w14:paraId="2FEA3E4A"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92.9</w:t>
            </w:r>
          </w:p>
        </w:tc>
        <w:tc>
          <w:tcPr>
            <w:tcW w:w="937" w:type="dxa"/>
          </w:tcPr>
          <w:p w14:paraId="486470CD"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9,886</w:t>
            </w:r>
          </w:p>
        </w:tc>
        <w:tc>
          <w:tcPr>
            <w:tcW w:w="937" w:type="dxa"/>
          </w:tcPr>
          <w:p w14:paraId="50485318"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89.1</w:t>
            </w:r>
          </w:p>
        </w:tc>
        <w:tc>
          <w:tcPr>
            <w:tcW w:w="938" w:type="dxa"/>
          </w:tcPr>
          <w:p w14:paraId="01A8ABC5"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277</w:t>
            </w:r>
          </w:p>
        </w:tc>
      </w:tr>
      <w:tr w:rsidR="00AD37AD" w:rsidRPr="006134FA" w14:paraId="102DBDB4" w14:textId="77777777" w:rsidTr="00BD5304">
        <w:trPr>
          <w:trHeight w:val="256"/>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261B3496" w14:textId="77777777" w:rsidR="00AD37AD" w:rsidRPr="00BE6BBB" w:rsidRDefault="00AD37AD" w:rsidP="00BD5304">
            <w:pPr>
              <w:keepNext/>
              <w:keepLines/>
              <w:spacing w:after="0"/>
              <w:rPr>
                <w:rFonts w:cs="Arial"/>
                <w:b/>
                <w:color w:val="FFFFFF" w:themeColor="background1"/>
                <w:szCs w:val="18"/>
              </w:rPr>
            </w:pPr>
          </w:p>
        </w:tc>
        <w:tc>
          <w:tcPr>
            <w:tcW w:w="960" w:type="dxa"/>
            <w:shd w:val="clear" w:color="auto" w:fill="7FB8CB"/>
          </w:tcPr>
          <w:p w14:paraId="7CBD2020"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2013–14</w:t>
            </w:r>
          </w:p>
        </w:tc>
        <w:tc>
          <w:tcPr>
            <w:tcW w:w="937" w:type="dxa"/>
          </w:tcPr>
          <w:p w14:paraId="7E867052"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93.2</w:t>
            </w:r>
          </w:p>
        </w:tc>
        <w:tc>
          <w:tcPr>
            <w:tcW w:w="937" w:type="dxa"/>
          </w:tcPr>
          <w:p w14:paraId="068FEE02"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34,675</w:t>
            </w:r>
          </w:p>
        </w:tc>
        <w:tc>
          <w:tcPr>
            <w:tcW w:w="937" w:type="dxa"/>
          </w:tcPr>
          <w:p w14:paraId="5AAA6BB6"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93.3</w:t>
            </w:r>
          </w:p>
        </w:tc>
        <w:tc>
          <w:tcPr>
            <w:tcW w:w="938" w:type="dxa"/>
          </w:tcPr>
          <w:p w14:paraId="56F30CAB"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26,980</w:t>
            </w:r>
          </w:p>
        </w:tc>
        <w:tc>
          <w:tcPr>
            <w:tcW w:w="937" w:type="dxa"/>
          </w:tcPr>
          <w:p w14:paraId="4539D702"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92.9</w:t>
            </w:r>
          </w:p>
        </w:tc>
        <w:tc>
          <w:tcPr>
            <w:tcW w:w="937" w:type="dxa"/>
          </w:tcPr>
          <w:p w14:paraId="56FA4E3A"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7,467</w:t>
            </w:r>
          </w:p>
        </w:tc>
        <w:tc>
          <w:tcPr>
            <w:tcW w:w="937" w:type="dxa"/>
          </w:tcPr>
          <w:p w14:paraId="5B97F37D"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88.8</w:t>
            </w:r>
          </w:p>
        </w:tc>
        <w:tc>
          <w:tcPr>
            <w:tcW w:w="938" w:type="dxa"/>
          </w:tcPr>
          <w:p w14:paraId="6F64FC3E"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222</w:t>
            </w:r>
          </w:p>
        </w:tc>
      </w:tr>
      <w:tr w:rsidR="00AD37AD" w:rsidRPr="006134FA" w14:paraId="4A64DB37" w14:textId="77777777" w:rsidTr="00BD5304">
        <w:trPr>
          <w:trHeight w:val="262"/>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45D35A83" w14:textId="77777777" w:rsidR="00AD37AD" w:rsidRPr="00BE6BBB" w:rsidRDefault="00AD37AD" w:rsidP="00BD5304">
            <w:pPr>
              <w:keepNext/>
              <w:keepLines/>
              <w:spacing w:after="0"/>
              <w:rPr>
                <w:rFonts w:cs="Arial"/>
                <w:b/>
                <w:color w:val="FFFFFF" w:themeColor="background1"/>
                <w:szCs w:val="18"/>
              </w:rPr>
            </w:pPr>
          </w:p>
        </w:tc>
        <w:tc>
          <w:tcPr>
            <w:tcW w:w="960" w:type="dxa"/>
            <w:shd w:val="clear" w:color="auto" w:fill="7FB8CB"/>
          </w:tcPr>
          <w:p w14:paraId="58442F4D"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2014–15</w:t>
            </w:r>
          </w:p>
        </w:tc>
        <w:tc>
          <w:tcPr>
            <w:tcW w:w="937" w:type="dxa"/>
          </w:tcPr>
          <w:p w14:paraId="4AD78366"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92.4</w:t>
            </w:r>
          </w:p>
        </w:tc>
        <w:tc>
          <w:tcPr>
            <w:tcW w:w="937" w:type="dxa"/>
          </w:tcPr>
          <w:p w14:paraId="48D8C582"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34,185</w:t>
            </w:r>
          </w:p>
        </w:tc>
        <w:tc>
          <w:tcPr>
            <w:tcW w:w="937" w:type="dxa"/>
          </w:tcPr>
          <w:p w14:paraId="3F1DE3D1"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92.3</w:t>
            </w:r>
          </w:p>
        </w:tc>
        <w:tc>
          <w:tcPr>
            <w:tcW w:w="938" w:type="dxa"/>
          </w:tcPr>
          <w:p w14:paraId="78B9AFB9"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26,495</w:t>
            </w:r>
          </w:p>
        </w:tc>
        <w:tc>
          <w:tcPr>
            <w:tcW w:w="937" w:type="dxa"/>
          </w:tcPr>
          <w:p w14:paraId="06975481"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92.6</w:t>
            </w:r>
          </w:p>
        </w:tc>
        <w:tc>
          <w:tcPr>
            <w:tcW w:w="937" w:type="dxa"/>
          </w:tcPr>
          <w:p w14:paraId="76919BEC"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7,504</w:t>
            </w:r>
          </w:p>
        </w:tc>
        <w:tc>
          <w:tcPr>
            <w:tcW w:w="937" w:type="dxa"/>
          </w:tcPr>
          <w:p w14:paraId="4B179C61"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93.1</w:t>
            </w:r>
          </w:p>
        </w:tc>
        <w:tc>
          <w:tcPr>
            <w:tcW w:w="938" w:type="dxa"/>
          </w:tcPr>
          <w:p w14:paraId="63D70197"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175</w:t>
            </w:r>
          </w:p>
        </w:tc>
      </w:tr>
      <w:tr w:rsidR="00AD37AD" w:rsidRPr="006134FA" w14:paraId="6106C3FD" w14:textId="77777777" w:rsidTr="00BD5304">
        <w:trPr>
          <w:trHeight w:val="240"/>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1A3AB343" w14:textId="77777777" w:rsidR="00AD37AD" w:rsidRPr="00BE6BBB" w:rsidRDefault="00AD37AD" w:rsidP="00BD5304">
            <w:pPr>
              <w:keepNext/>
              <w:keepLines/>
              <w:spacing w:after="0"/>
              <w:rPr>
                <w:rFonts w:cs="Arial"/>
                <w:b/>
                <w:color w:val="FFFFFF" w:themeColor="background1"/>
                <w:szCs w:val="18"/>
              </w:rPr>
            </w:pPr>
          </w:p>
        </w:tc>
        <w:tc>
          <w:tcPr>
            <w:tcW w:w="960" w:type="dxa"/>
            <w:shd w:val="clear" w:color="auto" w:fill="7FB8CB"/>
          </w:tcPr>
          <w:p w14:paraId="58FBC27E"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2015–16</w:t>
            </w:r>
          </w:p>
        </w:tc>
        <w:tc>
          <w:tcPr>
            <w:tcW w:w="937" w:type="dxa"/>
          </w:tcPr>
          <w:p w14:paraId="4D613B9B"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rPr>
                <w:rFonts w:cs="Arial"/>
                <w:szCs w:val="18"/>
              </w:rPr>
              <w:t>90.8</w:t>
            </w:r>
          </w:p>
        </w:tc>
        <w:tc>
          <w:tcPr>
            <w:tcW w:w="937" w:type="dxa"/>
          </w:tcPr>
          <w:p w14:paraId="26388F5D"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rPr>
                <w:rFonts w:cs="Arial"/>
                <w:szCs w:val="18"/>
              </w:rPr>
              <w:t>41,418</w:t>
            </w:r>
          </w:p>
        </w:tc>
        <w:tc>
          <w:tcPr>
            <w:tcW w:w="937" w:type="dxa"/>
          </w:tcPr>
          <w:p w14:paraId="62E0A565"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rPr>
                <w:rFonts w:cs="Arial"/>
                <w:szCs w:val="18"/>
              </w:rPr>
              <w:t>90.2</w:t>
            </w:r>
          </w:p>
        </w:tc>
        <w:tc>
          <w:tcPr>
            <w:tcW w:w="938" w:type="dxa"/>
          </w:tcPr>
          <w:p w14:paraId="5F35FFE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rPr>
                <w:rFonts w:cs="Arial"/>
                <w:szCs w:val="18"/>
              </w:rPr>
              <w:t xml:space="preserve">31,995 </w:t>
            </w:r>
          </w:p>
        </w:tc>
        <w:tc>
          <w:tcPr>
            <w:tcW w:w="937" w:type="dxa"/>
          </w:tcPr>
          <w:p w14:paraId="35A68C65"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rPr>
                <w:rFonts w:cs="Arial"/>
                <w:szCs w:val="18"/>
              </w:rPr>
              <w:t>92.8</w:t>
            </w:r>
          </w:p>
        </w:tc>
        <w:tc>
          <w:tcPr>
            <w:tcW w:w="937" w:type="dxa"/>
          </w:tcPr>
          <w:p w14:paraId="5164CBDE"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rPr>
                <w:rFonts w:cs="Arial"/>
                <w:szCs w:val="18"/>
              </w:rPr>
              <w:t xml:space="preserve">9,229 </w:t>
            </w:r>
          </w:p>
        </w:tc>
        <w:tc>
          <w:tcPr>
            <w:tcW w:w="937" w:type="dxa"/>
          </w:tcPr>
          <w:p w14:paraId="22EDE0F0"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rPr>
                <w:rFonts w:cs="Arial"/>
                <w:szCs w:val="18"/>
              </w:rPr>
              <w:t>89.9</w:t>
            </w:r>
          </w:p>
        </w:tc>
        <w:tc>
          <w:tcPr>
            <w:tcW w:w="938" w:type="dxa"/>
          </w:tcPr>
          <w:p w14:paraId="1ADB102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6134FA">
              <w:rPr>
                <w:rFonts w:cs="Arial"/>
                <w:szCs w:val="18"/>
              </w:rPr>
              <w:t xml:space="preserve">178 </w:t>
            </w:r>
          </w:p>
        </w:tc>
      </w:tr>
      <w:tr w:rsidR="00AD37AD" w:rsidRPr="006134FA" w14:paraId="5A93170C" w14:textId="77777777" w:rsidTr="00BD5304">
        <w:trPr>
          <w:trHeight w:val="192"/>
        </w:trPr>
        <w:tc>
          <w:tcPr>
            <w:cnfStyle w:val="001000000000" w:firstRow="0" w:lastRow="0" w:firstColumn="1" w:lastColumn="0" w:oddVBand="0" w:evenVBand="0" w:oddHBand="0" w:evenHBand="0" w:firstRowFirstColumn="0" w:firstRowLastColumn="0" w:lastRowFirstColumn="0" w:lastRowLastColumn="0"/>
            <w:tcW w:w="971" w:type="dxa"/>
            <w:vMerge w:val="restart"/>
            <w:shd w:val="clear" w:color="auto" w:fill="7FB8CB"/>
          </w:tcPr>
          <w:p w14:paraId="5B99A05E" w14:textId="77777777" w:rsidR="00AD37AD" w:rsidRPr="00BE6BBB" w:rsidRDefault="00AD37AD" w:rsidP="00BD5304">
            <w:pPr>
              <w:keepNext/>
              <w:keepLines/>
              <w:spacing w:after="0"/>
              <w:rPr>
                <w:rFonts w:cs="Arial"/>
                <w:b/>
                <w:color w:val="FFFFFF" w:themeColor="background1"/>
                <w:szCs w:val="18"/>
              </w:rPr>
            </w:pPr>
            <w:r w:rsidRPr="00BE6BBB">
              <w:rPr>
                <w:rFonts w:cs="Arial"/>
                <w:b/>
                <w:color w:val="FFFFFF" w:themeColor="background1"/>
                <w:szCs w:val="18"/>
              </w:rPr>
              <w:t>iPrimus</w:t>
            </w:r>
          </w:p>
        </w:tc>
        <w:tc>
          <w:tcPr>
            <w:tcW w:w="960" w:type="dxa"/>
            <w:shd w:val="clear" w:color="auto" w:fill="7FB8CB"/>
          </w:tcPr>
          <w:p w14:paraId="2FAA1FB9"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2011–12</w:t>
            </w:r>
          </w:p>
        </w:tc>
        <w:tc>
          <w:tcPr>
            <w:tcW w:w="937" w:type="dxa"/>
          </w:tcPr>
          <w:p w14:paraId="2C8FD36D"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24AEC08F"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63</w:t>
            </w:r>
          </w:p>
        </w:tc>
        <w:tc>
          <w:tcPr>
            <w:tcW w:w="937" w:type="dxa"/>
          </w:tcPr>
          <w:p w14:paraId="5F1DFE1F"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8" w:type="dxa"/>
          </w:tcPr>
          <w:p w14:paraId="1CAAD2BD"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56</w:t>
            </w:r>
          </w:p>
        </w:tc>
        <w:tc>
          <w:tcPr>
            <w:tcW w:w="937" w:type="dxa"/>
          </w:tcPr>
          <w:p w14:paraId="60637094"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61E2C86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w:t>
            </w:r>
          </w:p>
        </w:tc>
        <w:tc>
          <w:tcPr>
            <w:tcW w:w="937" w:type="dxa"/>
          </w:tcPr>
          <w:p w14:paraId="542E6A0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8" w:type="dxa"/>
          </w:tcPr>
          <w:p w14:paraId="13A5CC16"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r>
      <w:tr w:rsidR="00AD37AD" w:rsidRPr="006134FA" w14:paraId="524EE4E9" w14:textId="77777777" w:rsidTr="00BD5304">
        <w:trPr>
          <w:trHeight w:val="294"/>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57E803E5" w14:textId="77777777" w:rsidR="00AD37AD" w:rsidRPr="00BE6BBB" w:rsidRDefault="00AD37AD" w:rsidP="00BD5304">
            <w:pPr>
              <w:keepNext/>
              <w:keepLines/>
              <w:spacing w:after="0"/>
              <w:rPr>
                <w:rFonts w:cs="Arial"/>
                <w:b/>
                <w:color w:val="FFFFFF" w:themeColor="background1"/>
                <w:szCs w:val="18"/>
              </w:rPr>
            </w:pPr>
          </w:p>
        </w:tc>
        <w:tc>
          <w:tcPr>
            <w:tcW w:w="960" w:type="dxa"/>
            <w:shd w:val="clear" w:color="auto" w:fill="7FB8CB"/>
          </w:tcPr>
          <w:p w14:paraId="7AEA4E8A"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2012–13</w:t>
            </w:r>
          </w:p>
        </w:tc>
        <w:tc>
          <w:tcPr>
            <w:tcW w:w="937" w:type="dxa"/>
          </w:tcPr>
          <w:p w14:paraId="09D408FC"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266960F9"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112</w:t>
            </w:r>
          </w:p>
        </w:tc>
        <w:tc>
          <w:tcPr>
            <w:tcW w:w="937" w:type="dxa"/>
          </w:tcPr>
          <w:p w14:paraId="33B9F77D"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8" w:type="dxa"/>
          </w:tcPr>
          <w:p w14:paraId="005857BF"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90</w:t>
            </w:r>
          </w:p>
        </w:tc>
        <w:tc>
          <w:tcPr>
            <w:tcW w:w="937" w:type="dxa"/>
          </w:tcPr>
          <w:p w14:paraId="582AEBFD"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01AC2C32"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22</w:t>
            </w:r>
          </w:p>
        </w:tc>
        <w:tc>
          <w:tcPr>
            <w:tcW w:w="937" w:type="dxa"/>
          </w:tcPr>
          <w:p w14:paraId="45282F8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8" w:type="dxa"/>
          </w:tcPr>
          <w:p w14:paraId="31B39B05"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r>
      <w:tr w:rsidR="00AD37AD" w:rsidRPr="006134FA" w14:paraId="632609C4" w14:textId="77777777" w:rsidTr="00BD5304">
        <w:trPr>
          <w:trHeight w:val="258"/>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37B08D2C" w14:textId="77777777" w:rsidR="00AD37AD" w:rsidRPr="00BE6BBB" w:rsidRDefault="00AD37AD" w:rsidP="00BD5304">
            <w:pPr>
              <w:keepNext/>
              <w:keepLines/>
              <w:spacing w:after="0"/>
              <w:rPr>
                <w:rFonts w:cs="Arial"/>
                <w:b/>
                <w:color w:val="FFFFFF" w:themeColor="background1"/>
                <w:szCs w:val="18"/>
              </w:rPr>
            </w:pPr>
          </w:p>
        </w:tc>
        <w:tc>
          <w:tcPr>
            <w:tcW w:w="960" w:type="dxa"/>
            <w:shd w:val="clear" w:color="auto" w:fill="7FB8CB"/>
          </w:tcPr>
          <w:p w14:paraId="0B249240"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2013–14</w:t>
            </w:r>
          </w:p>
        </w:tc>
        <w:tc>
          <w:tcPr>
            <w:tcW w:w="937" w:type="dxa"/>
          </w:tcPr>
          <w:p w14:paraId="150B5CBF"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6FF1C767"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297BA737"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8" w:type="dxa"/>
          </w:tcPr>
          <w:p w14:paraId="07CAB8EF"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07255509"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3E3BF431"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1D13BEF0"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8" w:type="dxa"/>
          </w:tcPr>
          <w:p w14:paraId="1990CD70"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r>
      <w:tr w:rsidR="00AD37AD" w:rsidRPr="006134FA" w14:paraId="0DB016F3" w14:textId="77777777" w:rsidTr="00BD5304">
        <w:trPr>
          <w:trHeight w:val="236"/>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45519A5D" w14:textId="77777777" w:rsidR="00AD37AD" w:rsidRPr="00BE6BBB" w:rsidRDefault="00AD37AD" w:rsidP="00BD5304">
            <w:pPr>
              <w:keepNext/>
              <w:keepLines/>
              <w:spacing w:after="0"/>
              <w:rPr>
                <w:rFonts w:cs="Arial"/>
                <w:b/>
                <w:color w:val="FFFFFF" w:themeColor="background1"/>
                <w:szCs w:val="18"/>
              </w:rPr>
            </w:pPr>
          </w:p>
        </w:tc>
        <w:tc>
          <w:tcPr>
            <w:tcW w:w="960" w:type="dxa"/>
            <w:shd w:val="clear" w:color="auto" w:fill="7FB8CB"/>
          </w:tcPr>
          <w:p w14:paraId="669BCCC8"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2014–15</w:t>
            </w:r>
          </w:p>
        </w:tc>
        <w:tc>
          <w:tcPr>
            <w:tcW w:w="937" w:type="dxa"/>
          </w:tcPr>
          <w:p w14:paraId="020BFD2F"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20FCB677"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w:t>
            </w:r>
          </w:p>
        </w:tc>
        <w:tc>
          <w:tcPr>
            <w:tcW w:w="937" w:type="dxa"/>
          </w:tcPr>
          <w:p w14:paraId="19F0A42A"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8" w:type="dxa"/>
          </w:tcPr>
          <w:p w14:paraId="3FD69AD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c>
          <w:tcPr>
            <w:tcW w:w="937" w:type="dxa"/>
          </w:tcPr>
          <w:p w14:paraId="26FE7A01"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0B9B3AAE"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w:t>
            </w:r>
          </w:p>
        </w:tc>
        <w:tc>
          <w:tcPr>
            <w:tcW w:w="937" w:type="dxa"/>
          </w:tcPr>
          <w:p w14:paraId="5D26CF2B"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8" w:type="dxa"/>
          </w:tcPr>
          <w:p w14:paraId="34E69A09"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r>
      <w:tr w:rsidR="00AD37AD" w:rsidRPr="006134FA" w14:paraId="299C3232" w14:textId="77777777" w:rsidTr="00BD5304">
        <w:trPr>
          <w:trHeight w:val="270"/>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376D2D4A" w14:textId="77777777" w:rsidR="00AD37AD" w:rsidRPr="00BE6BBB" w:rsidRDefault="00AD37AD" w:rsidP="00BD5304">
            <w:pPr>
              <w:keepNext/>
              <w:keepLines/>
              <w:spacing w:after="0"/>
              <w:rPr>
                <w:rFonts w:cs="Arial"/>
                <w:b/>
                <w:color w:val="FFFFFF" w:themeColor="background1"/>
                <w:szCs w:val="18"/>
              </w:rPr>
            </w:pPr>
          </w:p>
        </w:tc>
        <w:tc>
          <w:tcPr>
            <w:tcW w:w="960" w:type="dxa"/>
            <w:shd w:val="clear" w:color="auto" w:fill="7FB8CB"/>
          </w:tcPr>
          <w:p w14:paraId="726F2E85" w14:textId="77777777" w:rsidR="00AD37AD" w:rsidRPr="00BE6BBB" w:rsidRDefault="00AD37AD" w:rsidP="00BD5304">
            <w:pPr>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2015–16</w:t>
            </w:r>
          </w:p>
        </w:tc>
        <w:tc>
          <w:tcPr>
            <w:tcW w:w="937" w:type="dxa"/>
          </w:tcPr>
          <w:p w14:paraId="2E589ED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18D1DDE5"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w:t>
            </w:r>
          </w:p>
        </w:tc>
        <w:tc>
          <w:tcPr>
            <w:tcW w:w="937" w:type="dxa"/>
          </w:tcPr>
          <w:p w14:paraId="463A5A7B"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8" w:type="dxa"/>
          </w:tcPr>
          <w:p w14:paraId="47ADF4AE"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c>
          <w:tcPr>
            <w:tcW w:w="937" w:type="dxa"/>
          </w:tcPr>
          <w:p w14:paraId="77908270"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7DE8EA9C"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w:t>
            </w:r>
          </w:p>
        </w:tc>
        <w:tc>
          <w:tcPr>
            <w:tcW w:w="937" w:type="dxa"/>
          </w:tcPr>
          <w:p w14:paraId="6B7D6079"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8" w:type="dxa"/>
          </w:tcPr>
          <w:p w14:paraId="43EB014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r>
    </w:tbl>
    <w:p w14:paraId="683E6D3F" w14:textId="77777777" w:rsidR="00AD37AD" w:rsidRPr="006134FA" w:rsidRDefault="00AD37AD" w:rsidP="00AD37AD">
      <w:pPr>
        <w:pStyle w:val="ACMANotes"/>
      </w:pPr>
      <w:r w:rsidRPr="006134FA">
        <w:t xml:space="preserve">n/a=not available. </w:t>
      </w:r>
    </w:p>
    <w:p w14:paraId="3DF1F5DC" w14:textId="77777777" w:rsidR="00AD37AD" w:rsidRPr="006134FA" w:rsidRDefault="00AD37AD" w:rsidP="00AD37AD">
      <w:pPr>
        <w:pStyle w:val="ACMANotes"/>
      </w:pPr>
      <w:r w:rsidRPr="006134FA">
        <w:t>n/r=not requested.</w:t>
      </w:r>
    </w:p>
    <w:p w14:paraId="0671C8F3" w14:textId="77777777" w:rsidR="00AD37AD" w:rsidRPr="006134FA" w:rsidRDefault="00AD37AD" w:rsidP="00AD37AD">
      <w:pPr>
        <w:pStyle w:val="ACMANotes"/>
      </w:pPr>
      <w:r w:rsidRPr="006134FA">
        <w:t xml:space="preserve">Note: ‘Urban’ is defined as communities with 10,000 or more people, ‘rural’ is defined as communities with between 200 and 10,000 people, ‘remote’ is defined as communities with up to 200 people. </w:t>
      </w:r>
    </w:p>
    <w:p w14:paraId="5636C574" w14:textId="77777777" w:rsidR="00AD37AD" w:rsidRDefault="00AD37AD" w:rsidP="00AD37AD">
      <w:pPr>
        <w:pStyle w:val="ACMANotes"/>
      </w:pPr>
      <w:r w:rsidRPr="006134FA">
        <w:t>Source: Telstra</w:t>
      </w:r>
      <w:r>
        <w:t>, iPrimus</w:t>
      </w:r>
      <w:r w:rsidRPr="006134FA">
        <w:t>.</w:t>
      </w:r>
    </w:p>
    <w:p w14:paraId="0E41CF4E" w14:textId="77777777" w:rsidR="00AD37AD" w:rsidRPr="006134FA" w:rsidRDefault="00AD37AD" w:rsidP="00AD37AD">
      <w:pPr>
        <w:pStyle w:val="ACMASpaceaftertable"/>
      </w:pPr>
    </w:p>
    <w:p w14:paraId="0DBAA6DA" w14:textId="77777777" w:rsidR="00AD37AD" w:rsidRPr="006134FA" w:rsidRDefault="00AD37AD" w:rsidP="00BD5304">
      <w:pPr>
        <w:pStyle w:val="ACMATableHeader"/>
        <w:keepNext/>
        <w:keepLines/>
        <w:numPr>
          <w:ilvl w:val="0"/>
          <w:numId w:val="0"/>
        </w:numPr>
        <w:ind w:left="1134" w:hanging="1134"/>
        <w:rPr>
          <w:i/>
        </w:rPr>
      </w:pPr>
      <w:r w:rsidRPr="006134FA">
        <w:lastRenderedPageBreak/>
        <w:t>Table 5.13</w:t>
      </w:r>
      <w:r>
        <w:tab/>
      </w:r>
      <w:r w:rsidRPr="006134FA">
        <w:t>Priority assistance—percentage and volume of fault restoration requests completed on time, by financial year</w:t>
      </w:r>
    </w:p>
    <w:tbl>
      <w:tblPr>
        <w:tblStyle w:val="Commsreport2015-16TABLE"/>
        <w:tblW w:w="9429" w:type="dxa"/>
        <w:tblLayout w:type="fixed"/>
        <w:tblCellMar>
          <w:top w:w="57" w:type="dxa"/>
          <w:left w:w="57" w:type="dxa"/>
          <w:bottom w:w="57" w:type="dxa"/>
          <w:right w:w="57" w:type="dxa"/>
        </w:tblCellMar>
        <w:tblLook w:val="04A0" w:firstRow="1" w:lastRow="0" w:firstColumn="1" w:lastColumn="0" w:noHBand="0" w:noVBand="1"/>
        <w:tblCaption w:val="Table 5.13 Priority assistance—percentage and volume of fault restoration requests completed on time, by financial year"/>
      </w:tblPr>
      <w:tblGrid>
        <w:gridCol w:w="971"/>
        <w:gridCol w:w="960"/>
        <w:gridCol w:w="937"/>
        <w:gridCol w:w="937"/>
        <w:gridCol w:w="937"/>
        <w:gridCol w:w="938"/>
        <w:gridCol w:w="937"/>
        <w:gridCol w:w="937"/>
        <w:gridCol w:w="937"/>
        <w:gridCol w:w="938"/>
      </w:tblGrid>
      <w:tr w:rsidR="00AD37AD" w:rsidRPr="00515D61" w14:paraId="05E34A17" w14:textId="77777777" w:rsidTr="00515D61">
        <w:trPr>
          <w:cnfStyle w:val="100000000000" w:firstRow="1" w:lastRow="0" w:firstColumn="0" w:lastColumn="0" w:oddVBand="0" w:evenVBand="0" w:oddHBand="0" w:evenHBand="0" w:firstRowFirstColumn="0" w:firstRowLastColumn="0" w:lastRowFirstColumn="0" w:lastRowLastColumn="0"/>
          <w:trHeight w:val="98"/>
          <w:tblHeader/>
        </w:trPr>
        <w:tc>
          <w:tcPr>
            <w:cnfStyle w:val="001000000000" w:firstRow="0" w:lastRow="0" w:firstColumn="1" w:lastColumn="0" w:oddVBand="0" w:evenVBand="0" w:oddHBand="0" w:evenHBand="0" w:firstRowFirstColumn="0" w:firstRowLastColumn="0" w:lastRowFirstColumn="0" w:lastRowLastColumn="0"/>
            <w:tcW w:w="971" w:type="dxa"/>
            <w:shd w:val="clear" w:color="auto" w:fill="FFFFFF"/>
          </w:tcPr>
          <w:p w14:paraId="4C9F9F8F" w14:textId="77777777" w:rsidR="00AD37AD" w:rsidRPr="00515D61" w:rsidRDefault="00AD37AD" w:rsidP="00515D61">
            <w:pPr>
              <w:pStyle w:val="TableHeading"/>
              <w:jc w:val="center"/>
              <w:rPr>
                <w:b/>
              </w:rPr>
            </w:pPr>
          </w:p>
        </w:tc>
        <w:tc>
          <w:tcPr>
            <w:tcW w:w="960" w:type="dxa"/>
            <w:shd w:val="clear" w:color="auto" w:fill="FFFFFF"/>
          </w:tcPr>
          <w:p w14:paraId="22B90ACA"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p>
        </w:tc>
        <w:tc>
          <w:tcPr>
            <w:tcW w:w="1874" w:type="dxa"/>
            <w:gridSpan w:val="2"/>
          </w:tcPr>
          <w:p w14:paraId="2FDFB90E"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515D61">
              <w:rPr>
                <w:b/>
              </w:rPr>
              <w:t>National</w:t>
            </w:r>
          </w:p>
        </w:tc>
        <w:tc>
          <w:tcPr>
            <w:tcW w:w="1875" w:type="dxa"/>
            <w:gridSpan w:val="2"/>
          </w:tcPr>
          <w:p w14:paraId="34CB277A"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515D61">
              <w:rPr>
                <w:b/>
              </w:rPr>
              <w:t>Urban</w:t>
            </w:r>
          </w:p>
        </w:tc>
        <w:tc>
          <w:tcPr>
            <w:tcW w:w="1874" w:type="dxa"/>
            <w:gridSpan w:val="2"/>
          </w:tcPr>
          <w:p w14:paraId="70B6418B"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515D61">
              <w:rPr>
                <w:b/>
              </w:rPr>
              <w:t>Rural</w:t>
            </w:r>
          </w:p>
        </w:tc>
        <w:tc>
          <w:tcPr>
            <w:tcW w:w="1875" w:type="dxa"/>
            <w:gridSpan w:val="2"/>
          </w:tcPr>
          <w:p w14:paraId="1AFD639D" w14:textId="77777777" w:rsidR="00AD37AD" w:rsidRPr="00515D61" w:rsidRDefault="00AD37AD" w:rsidP="00515D61">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515D61">
              <w:rPr>
                <w:b/>
              </w:rPr>
              <w:t>Remote</w:t>
            </w:r>
          </w:p>
        </w:tc>
      </w:tr>
      <w:tr w:rsidR="00AD37AD" w:rsidRPr="006134FA" w14:paraId="014A4713" w14:textId="77777777" w:rsidTr="00BD5304">
        <w:trPr>
          <w:trHeight w:val="146"/>
        </w:trPr>
        <w:tc>
          <w:tcPr>
            <w:cnfStyle w:val="001000000000" w:firstRow="0" w:lastRow="0" w:firstColumn="1" w:lastColumn="0" w:oddVBand="0" w:evenVBand="0" w:oddHBand="0" w:evenHBand="0" w:firstRowFirstColumn="0" w:firstRowLastColumn="0" w:lastRowFirstColumn="0" w:lastRowLastColumn="0"/>
            <w:tcW w:w="971" w:type="dxa"/>
            <w:shd w:val="clear" w:color="auto" w:fill="FFFFFF"/>
          </w:tcPr>
          <w:p w14:paraId="7B9E15D7" w14:textId="77777777" w:rsidR="00AD37AD" w:rsidRPr="006134FA" w:rsidRDefault="00AD37AD" w:rsidP="00BD5304">
            <w:pPr>
              <w:keepNext/>
              <w:keepLines/>
              <w:widowControl w:val="0"/>
              <w:spacing w:after="0"/>
              <w:rPr>
                <w:rFonts w:cs="Arial"/>
                <w:b/>
                <w:szCs w:val="18"/>
              </w:rPr>
            </w:pPr>
          </w:p>
        </w:tc>
        <w:tc>
          <w:tcPr>
            <w:tcW w:w="960" w:type="dxa"/>
            <w:shd w:val="clear" w:color="auto" w:fill="FFFFFF"/>
          </w:tcPr>
          <w:p w14:paraId="7AB8CFDD" w14:textId="77777777" w:rsidR="00AD37AD" w:rsidRPr="006134FA" w:rsidRDefault="00AD37AD" w:rsidP="00BD5304">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p>
        </w:tc>
        <w:tc>
          <w:tcPr>
            <w:tcW w:w="937" w:type="dxa"/>
            <w:shd w:val="clear" w:color="auto" w:fill="007298"/>
          </w:tcPr>
          <w:p w14:paraId="1F0B4DBE"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w:t>
            </w:r>
          </w:p>
        </w:tc>
        <w:tc>
          <w:tcPr>
            <w:tcW w:w="937" w:type="dxa"/>
            <w:shd w:val="clear" w:color="auto" w:fill="007298"/>
          </w:tcPr>
          <w:p w14:paraId="0FB240A0"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c>
          <w:tcPr>
            <w:tcW w:w="937" w:type="dxa"/>
            <w:shd w:val="clear" w:color="auto" w:fill="007298"/>
          </w:tcPr>
          <w:p w14:paraId="4466025B"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w:t>
            </w:r>
          </w:p>
        </w:tc>
        <w:tc>
          <w:tcPr>
            <w:tcW w:w="938" w:type="dxa"/>
            <w:shd w:val="clear" w:color="auto" w:fill="007298"/>
          </w:tcPr>
          <w:p w14:paraId="18753ACC"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c>
          <w:tcPr>
            <w:tcW w:w="937" w:type="dxa"/>
            <w:shd w:val="clear" w:color="auto" w:fill="007298"/>
          </w:tcPr>
          <w:p w14:paraId="645D6080"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w:t>
            </w:r>
          </w:p>
        </w:tc>
        <w:tc>
          <w:tcPr>
            <w:tcW w:w="937" w:type="dxa"/>
            <w:shd w:val="clear" w:color="auto" w:fill="007298"/>
          </w:tcPr>
          <w:p w14:paraId="6D4BF7C6"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c>
          <w:tcPr>
            <w:tcW w:w="937" w:type="dxa"/>
            <w:shd w:val="clear" w:color="auto" w:fill="007298"/>
          </w:tcPr>
          <w:p w14:paraId="166D48A4"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w:t>
            </w:r>
          </w:p>
        </w:tc>
        <w:tc>
          <w:tcPr>
            <w:tcW w:w="938" w:type="dxa"/>
            <w:shd w:val="clear" w:color="auto" w:fill="007298"/>
          </w:tcPr>
          <w:p w14:paraId="798869A8"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b/>
                <w:color w:val="FFFFFF"/>
                <w:szCs w:val="18"/>
              </w:rPr>
            </w:pPr>
            <w:r w:rsidRPr="006134FA">
              <w:rPr>
                <w:rFonts w:cs="Arial"/>
                <w:b/>
                <w:color w:val="FFFFFF"/>
                <w:szCs w:val="18"/>
              </w:rPr>
              <w:t>Volume</w:t>
            </w:r>
          </w:p>
        </w:tc>
      </w:tr>
      <w:tr w:rsidR="00AD37AD" w:rsidRPr="006134FA" w14:paraId="3E96B1CE" w14:textId="77777777" w:rsidTr="00BD5304">
        <w:trPr>
          <w:trHeight w:val="180"/>
        </w:trPr>
        <w:tc>
          <w:tcPr>
            <w:cnfStyle w:val="001000000000" w:firstRow="0" w:lastRow="0" w:firstColumn="1" w:lastColumn="0" w:oddVBand="0" w:evenVBand="0" w:oddHBand="0" w:evenHBand="0" w:firstRowFirstColumn="0" w:firstRowLastColumn="0" w:lastRowFirstColumn="0" w:lastRowLastColumn="0"/>
            <w:tcW w:w="971" w:type="dxa"/>
            <w:vMerge w:val="restart"/>
            <w:shd w:val="clear" w:color="auto" w:fill="7FB8CB"/>
          </w:tcPr>
          <w:p w14:paraId="19954CE4" w14:textId="77777777" w:rsidR="00AD37AD" w:rsidRPr="00BE6BBB" w:rsidRDefault="00AD37AD" w:rsidP="00BD5304">
            <w:pPr>
              <w:keepNext/>
              <w:keepLines/>
              <w:widowControl w:val="0"/>
              <w:spacing w:after="0"/>
              <w:rPr>
                <w:rFonts w:cs="Arial"/>
                <w:b/>
                <w:color w:val="FFFFFF" w:themeColor="background1"/>
                <w:szCs w:val="18"/>
              </w:rPr>
            </w:pPr>
            <w:r w:rsidRPr="00BE6BBB">
              <w:rPr>
                <w:rFonts w:cs="Arial"/>
                <w:b/>
                <w:color w:val="FFFFFF" w:themeColor="background1"/>
                <w:szCs w:val="18"/>
              </w:rPr>
              <w:t>Telstra</w:t>
            </w:r>
          </w:p>
        </w:tc>
        <w:tc>
          <w:tcPr>
            <w:tcW w:w="960" w:type="dxa"/>
            <w:shd w:val="clear" w:color="auto" w:fill="7FB8CB"/>
          </w:tcPr>
          <w:p w14:paraId="0FB38805"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2011–12</w:t>
            </w:r>
          </w:p>
        </w:tc>
        <w:tc>
          <w:tcPr>
            <w:tcW w:w="937" w:type="dxa"/>
          </w:tcPr>
          <w:p w14:paraId="7575E7D7"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94.6</w:t>
            </w:r>
          </w:p>
        </w:tc>
        <w:tc>
          <w:tcPr>
            <w:tcW w:w="937" w:type="dxa"/>
          </w:tcPr>
          <w:p w14:paraId="474C184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130,946</w:t>
            </w:r>
          </w:p>
        </w:tc>
        <w:tc>
          <w:tcPr>
            <w:tcW w:w="937" w:type="dxa"/>
          </w:tcPr>
          <w:p w14:paraId="4D4B627C"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95.7</w:t>
            </w:r>
          </w:p>
        </w:tc>
        <w:tc>
          <w:tcPr>
            <w:tcW w:w="938" w:type="dxa"/>
          </w:tcPr>
          <w:p w14:paraId="600E05F6"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95,586</w:t>
            </w:r>
          </w:p>
        </w:tc>
        <w:tc>
          <w:tcPr>
            <w:tcW w:w="937" w:type="dxa"/>
          </w:tcPr>
          <w:p w14:paraId="1507A32F" w14:textId="77777777" w:rsidR="00AD37AD" w:rsidRPr="006134FA" w:rsidRDefault="008B0114"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92</w:t>
            </w:r>
          </w:p>
        </w:tc>
        <w:tc>
          <w:tcPr>
            <w:tcW w:w="937" w:type="dxa"/>
          </w:tcPr>
          <w:p w14:paraId="610BFC5E"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34,855</w:t>
            </w:r>
          </w:p>
        </w:tc>
        <w:tc>
          <w:tcPr>
            <w:tcW w:w="937" w:type="dxa"/>
          </w:tcPr>
          <w:p w14:paraId="23DD882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93.8</w:t>
            </w:r>
          </w:p>
        </w:tc>
        <w:tc>
          <w:tcPr>
            <w:tcW w:w="938" w:type="dxa"/>
          </w:tcPr>
          <w:p w14:paraId="04BC15A3"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469</w:t>
            </w:r>
          </w:p>
        </w:tc>
      </w:tr>
      <w:tr w:rsidR="00AD37AD" w:rsidRPr="006134FA" w14:paraId="1B1F8DAD" w14:textId="77777777" w:rsidTr="00BD5304">
        <w:trPr>
          <w:trHeight w:val="86"/>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36301064" w14:textId="77777777" w:rsidR="00AD37AD" w:rsidRPr="00BE6BBB" w:rsidRDefault="00AD37AD" w:rsidP="00BD5304">
            <w:pPr>
              <w:keepNext/>
              <w:keepLines/>
              <w:widowControl w:val="0"/>
              <w:spacing w:after="0"/>
              <w:rPr>
                <w:rFonts w:cs="Arial"/>
                <w:b/>
                <w:color w:val="FFFFFF" w:themeColor="background1"/>
                <w:szCs w:val="18"/>
              </w:rPr>
            </w:pPr>
          </w:p>
        </w:tc>
        <w:tc>
          <w:tcPr>
            <w:tcW w:w="960" w:type="dxa"/>
            <w:shd w:val="clear" w:color="auto" w:fill="7FB8CB"/>
          </w:tcPr>
          <w:p w14:paraId="6CF19D06"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2012–13</w:t>
            </w:r>
          </w:p>
        </w:tc>
        <w:tc>
          <w:tcPr>
            <w:tcW w:w="937" w:type="dxa"/>
          </w:tcPr>
          <w:p w14:paraId="0C21E113"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95.5</w:t>
            </w:r>
          </w:p>
        </w:tc>
        <w:tc>
          <w:tcPr>
            <w:tcW w:w="937" w:type="dxa"/>
          </w:tcPr>
          <w:p w14:paraId="0AC44CFA"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155,378</w:t>
            </w:r>
          </w:p>
        </w:tc>
        <w:tc>
          <w:tcPr>
            <w:tcW w:w="937" w:type="dxa"/>
          </w:tcPr>
          <w:p w14:paraId="27C9D9B4"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96.6</w:t>
            </w:r>
          </w:p>
        </w:tc>
        <w:tc>
          <w:tcPr>
            <w:tcW w:w="938" w:type="dxa"/>
          </w:tcPr>
          <w:p w14:paraId="05B1A1CA"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114,800</w:t>
            </w:r>
          </w:p>
        </w:tc>
        <w:tc>
          <w:tcPr>
            <w:tcW w:w="937" w:type="dxa"/>
          </w:tcPr>
          <w:p w14:paraId="0A987C3B"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92.3</w:t>
            </w:r>
          </w:p>
        </w:tc>
        <w:tc>
          <w:tcPr>
            <w:tcW w:w="937" w:type="dxa"/>
          </w:tcPr>
          <w:p w14:paraId="16E29F9B"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40,045</w:t>
            </w:r>
          </w:p>
        </w:tc>
        <w:tc>
          <w:tcPr>
            <w:tcW w:w="937" w:type="dxa"/>
          </w:tcPr>
          <w:p w14:paraId="0F11AB5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w:t>
            </w:r>
          </w:p>
        </w:tc>
        <w:tc>
          <w:tcPr>
            <w:tcW w:w="938" w:type="dxa"/>
          </w:tcPr>
          <w:p w14:paraId="33E60A22"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502</w:t>
            </w:r>
          </w:p>
        </w:tc>
      </w:tr>
      <w:tr w:rsidR="00AD37AD" w:rsidRPr="006134FA" w14:paraId="159D1BC2" w14:textId="77777777" w:rsidTr="00BD5304">
        <w:trPr>
          <w:trHeight w:val="20"/>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248AD8BA" w14:textId="77777777" w:rsidR="00AD37AD" w:rsidRPr="00BE6BBB" w:rsidRDefault="00AD37AD" w:rsidP="00BD5304">
            <w:pPr>
              <w:keepNext/>
              <w:keepLines/>
              <w:widowControl w:val="0"/>
              <w:spacing w:after="0"/>
              <w:rPr>
                <w:rFonts w:cs="Arial"/>
                <w:b/>
                <w:color w:val="FFFFFF" w:themeColor="background1"/>
                <w:szCs w:val="18"/>
              </w:rPr>
            </w:pPr>
          </w:p>
        </w:tc>
        <w:tc>
          <w:tcPr>
            <w:tcW w:w="960" w:type="dxa"/>
            <w:shd w:val="clear" w:color="auto" w:fill="7FB8CB"/>
          </w:tcPr>
          <w:p w14:paraId="7DA917DB"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2013–14</w:t>
            </w:r>
          </w:p>
        </w:tc>
        <w:tc>
          <w:tcPr>
            <w:tcW w:w="937" w:type="dxa"/>
          </w:tcPr>
          <w:p w14:paraId="5B0526EA"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95.1</w:t>
            </w:r>
          </w:p>
        </w:tc>
        <w:tc>
          <w:tcPr>
            <w:tcW w:w="937" w:type="dxa"/>
          </w:tcPr>
          <w:p w14:paraId="6FB2D0AC"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116,552</w:t>
            </w:r>
          </w:p>
        </w:tc>
        <w:tc>
          <w:tcPr>
            <w:tcW w:w="937" w:type="dxa"/>
          </w:tcPr>
          <w:p w14:paraId="39FC456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96.1</w:t>
            </w:r>
          </w:p>
        </w:tc>
        <w:tc>
          <w:tcPr>
            <w:tcW w:w="938" w:type="dxa"/>
          </w:tcPr>
          <w:p w14:paraId="1DFE6D7C"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89,205</w:t>
            </w:r>
          </w:p>
        </w:tc>
        <w:tc>
          <w:tcPr>
            <w:tcW w:w="937" w:type="dxa"/>
          </w:tcPr>
          <w:p w14:paraId="44BB005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92.1</w:t>
            </w:r>
          </w:p>
        </w:tc>
        <w:tc>
          <w:tcPr>
            <w:tcW w:w="937" w:type="dxa"/>
          </w:tcPr>
          <w:p w14:paraId="55080E33"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26,988</w:t>
            </w:r>
          </w:p>
        </w:tc>
        <w:tc>
          <w:tcPr>
            <w:tcW w:w="937" w:type="dxa"/>
          </w:tcPr>
          <w:p w14:paraId="31158E26"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90.9</w:t>
            </w:r>
          </w:p>
        </w:tc>
        <w:tc>
          <w:tcPr>
            <w:tcW w:w="938" w:type="dxa"/>
          </w:tcPr>
          <w:p w14:paraId="22FB168E"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390</w:t>
            </w:r>
          </w:p>
        </w:tc>
      </w:tr>
      <w:tr w:rsidR="00AD37AD" w:rsidRPr="006134FA" w14:paraId="77EFD48E" w14:textId="77777777" w:rsidTr="00BD5304">
        <w:trPr>
          <w:trHeight w:val="168"/>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473E909B" w14:textId="77777777" w:rsidR="00AD37AD" w:rsidRPr="00BE6BBB" w:rsidRDefault="00AD37AD" w:rsidP="00BD5304">
            <w:pPr>
              <w:keepNext/>
              <w:keepLines/>
              <w:widowControl w:val="0"/>
              <w:spacing w:after="0"/>
              <w:rPr>
                <w:rFonts w:cs="Arial"/>
                <w:b/>
                <w:color w:val="FFFFFF" w:themeColor="background1"/>
                <w:szCs w:val="18"/>
              </w:rPr>
            </w:pPr>
          </w:p>
        </w:tc>
        <w:tc>
          <w:tcPr>
            <w:tcW w:w="960" w:type="dxa"/>
            <w:shd w:val="clear" w:color="auto" w:fill="7FB8CB"/>
          </w:tcPr>
          <w:p w14:paraId="463E6DD0"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2014–15</w:t>
            </w:r>
          </w:p>
        </w:tc>
        <w:tc>
          <w:tcPr>
            <w:tcW w:w="937" w:type="dxa"/>
          </w:tcPr>
          <w:p w14:paraId="6407A6CB"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94.6</w:t>
            </w:r>
          </w:p>
        </w:tc>
        <w:tc>
          <w:tcPr>
            <w:tcW w:w="937" w:type="dxa"/>
          </w:tcPr>
          <w:p w14:paraId="1496989C"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133,563</w:t>
            </w:r>
          </w:p>
        </w:tc>
        <w:tc>
          <w:tcPr>
            <w:tcW w:w="937" w:type="dxa"/>
          </w:tcPr>
          <w:p w14:paraId="70694A7F"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95.7</w:t>
            </w:r>
          </w:p>
        </w:tc>
        <w:tc>
          <w:tcPr>
            <w:tcW w:w="938" w:type="dxa"/>
          </w:tcPr>
          <w:p w14:paraId="125BE253"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102,803</w:t>
            </w:r>
          </w:p>
        </w:tc>
        <w:tc>
          <w:tcPr>
            <w:tcW w:w="937" w:type="dxa"/>
          </w:tcPr>
          <w:p w14:paraId="6A064B1D"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91.1</w:t>
            </w:r>
          </w:p>
        </w:tc>
        <w:tc>
          <w:tcPr>
            <w:tcW w:w="937" w:type="dxa"/>
          </w:tcPr>
          <w:p w14:paraId="0E7C83E3"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30,348</w:t>
            </w:r>
          </w:p>
        </w:tc>
        <w:tc>
          <w:tcPr>
            <w:tcW w:w="937" w:type="dxa"/>
          </w:tcPr>
          <w:p w14:paraId="59DC419A" w14:textId="77777777" w:rsidR="00AD37AD" w:rsidRPr="006134FA" w:rsidRDefault="008B0114"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94</w:t>
            </w:r>
          </w:p>
        </w:tc>
        <w:tc>
          <w:tcPr>
            <w:tcW w:w="938" w:type="dxa"/>
          </w:tcPr>
          <w:p w14:paraId="71CD9C3D"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425</w:t>
            </w:r>
          </w:p>
        </w:tc>
      </w:tr>
      <w:tr w:rsidR="00AD37AD" w:rsidRPr="006134FA" w14:paraId="332BBAC7" w14:textId="77777777" w:rsidTr="00BD5304">
        <w:trPr>
          <w:trHeight w:val="74"/>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46BA4A4A" w14:textId="77777777" w:rsidR="00AD37AD" w:rsidRPr="00BE6BBB" w:rsidRDefault="00AD37AD" w:rsidP="00BD5304">
            <w:pPr>
              <w:keepNext/>
              <w:keepLines/>
              <w:widowControl w:val="0"/>
              <w:spacing w:after="0"/>
              <w:rPr>
                <w:rFonts w:cs="Arial"/>
                <w:b/>
                <w:color w:val="FFFFFF" w:themeColor="background1"/>
                <w:szCs w:val="18"/>
              </w:rPr>
            </w:pPr>
          </w:p>
        </w:tc>
        <w:tc>
          <w:tcPr>
            <w:tcW w:w="960" w:type="dxa"/>
            <w:shd w:val="clear" w:color="auto" w:fill="7FB8CB"/>
          </w:tcPr>
          <w:p w14:paraId="73C0D8B7"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2015–16</w:t>
            </w:r>
          </w:p>
        </w:tc>
        <w:tc>
          <w:tcPr>
            <w:tcW w:w="937" w:type="dxa"/>
          </w:tcPr>
          <w:p w14:paraId="4846CA88"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94.6</w:t>
            </w:r>
          </w:p>
        </w:tc>
        <w:tc>
          <w:tcPr>
            <w:tcW w:w="937" w:type="dxa"/>
          </w:tcPr>
          <w:p w14:paraId="5ED4AC87"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127,618</w:t>
            </w:r>
          </w:p>
        </w:tc>
        <w:tc>
          <w:tcPr>
            <w:tcW w:w="937" w:type="dxa"/>
          </w:tcPr>
          <w:p w14:paraId="1FEBB12E"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95.3</w:t>
            </w:r>
          </w:p>
        </w:tc>
        <w:tc>
          <w:tcPr>
            <w:tcW w:w="938" w:type="dxa"/>
          </w:tcPr>
          <w:p w14:paraId="2FF8E809"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96,977</w:t>
            </w:r>
          </w:p>
        </w:tc>
        <w:tc>
          <w:tcPr>
            <w:tcW w:w="937" w:type="dxa"/>
          </w:tcPr>
          <w:p w14:paraId="7AEA6F3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90.8</w:t>
            </w:r>
          </w:p>
        </w:tc>
        <w:tc>
          <w:tcPr>
            <w:tcW w:w="937" w:type="dxa"/>
          </w:tcPr>
          <w:p w14:paraId="0EB8A769"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29,692</w:t>
            </w:r>
          </w:p>
        </w:tc>
        <w:tc>
          <w:tcPr>
            <w:tcW w:w="937" w:type="dxa"/>
          </w:tcPr>
          <w:p w14:paraId="5CFB1D5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90.1</w:t>
            </w:r>
          </w:p>
        </w:tc>
        <w:tc>
          <w:tcPr>
            <w:tcW w:w="938" w:type="dxa"/>
          </w:tcPr>
          <w:p w14:paraId="28A092C8"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399</w:t>
            </w:r>
          </w:p>
        </w:tc>
      </w:tr>
      <w:tr w:rsidR="00AD37AD" w:rsidRPr="006134FA" w14:paraId="10507E18" w14:textId="77777777" w:rsidTr="00BD5304">
        <w:trPr>
          <w:trHeight w:val="20"/>
        </w:trPr>
        <w:tc>
          <w:tcPr>
            <w:cnfStyle w:val="001000000000" w:firstRow="0" w:lastRow="0" w:firstColumn="1" w:lastColumn="0" w:oddVBand="0" w:evenVBand="0" w:oddHBand="0" w:evenHBand="0" w:firstRowFirstColumn="0" w:firstRowLastColumn="0" w:lastRowFirstColumn="0" w:lastRowLastColumn="0"/>
            <w:tcW w:w="971" w:type="dxa"/>
            <w:vMerge w:val="restart"/>
            <w:shd w:val="clear" w:color="auto" w:fill="7FB8CB"/>
          </w:tcPr>
          <w:p w14:paraId="2FA94002" w14:textId="77777777" w:rsidR="00AD37AD" w:rsidRPr="00BE6BBB" w:rsidRDefault="00AD37AD" w:rsidP="00BD5304">
            <w:pPr>
              <w:keepNext/>
              <w:keepLines/>
              <w:widowControl w:val="0"/>
              <w:spacing w:after="0"/>
              <w:rPr>
                <w:rFonts w:cs="Arial"/>
                <w:b/>
                <w:color w:val="FFFFFF" w:themeColor="background1"/>
                <w:szCs w:val="18"/>
              </w:rPr>
            </w:pPr>
            <w:r w:rsidRPr="00BE6BBB">
              <w:rPr>
                <w:rFonts w:cs="Arial"/>
                <w:b/>
                <w:color w:val="FFFFFF" w:themeColor="background1"/>
                <w:szCs w:val="18"/>
              </w:rPr>
              <w:t>iPrimus</w:t>
            </w:r>
          </w:p>
        </w:tc>
        <w:tc>
          <w:tcPr>
            <w:tcW w:w="960" w:type="dxa"/>
            <w:shd w:val="clear" w:color="auto" w:fill="7FB8CB"/>
          </w:tcPr>
          <w:p w14:paraId="0B094CCB"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2011–12</w:t>
            </w:r>
          </w:p>
        </w:tc>
        <w:tc>
          <w:tcPr>
            <w:tcW w:w="937" w:type="dxa"/>
          </w:tcPr>
          <w:p w14:paraId="7ED3C6D5"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92.9</w:t>
            </w:r>
          </w:p>
        </w:tc>
        <w:tc>
          <w:tcPr>
            <w:tcW w:w="937" w:type="dxa"/>
          </w:tcPr>
          <w:p w14:paraId="1D7FD756"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113</w:t>
            </w:r>
          </w:p>
        </w:tc>
        <w:tc>
          <w:tcPr>
            <w:tcW w:w="937" w:type="dxa"/>
          </w:tcPr>
          <w:p w14:paraId="4C74BEC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93.2</w:t>
            </w:r>
          </w:p>
        </w:tc>
        <w:tc>
          <w:tcPr>
            <w:tcW w:w="938" w:type="dxa"/>
          </w:tcPr>
          <w:p w14:paraId="35C6DB04"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88</w:t>
            </w:r>
          </w:p>
        </w:tc>
        <w:tc>
          <w:tcPr>
            <w:tcW w:w="937" w:type="dxa"/>
          </w:tcPr>
          <w:p w14:paraId="28CCE752" w14:textId="77777777" w:rsidR="00AD37AD" w:rsidRPr="006134FA" w:rsidRDefault="003B610E"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92</w:t>
            </w:r>
          </w:p>
        </w:tc>
        <w:tc>
          <w:tcPr>
            <w:tcW w:w="937" w:type="dxa"/>
          </w:tcPr>
          <w:p w14:paraId="57D2F779"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25</w:t>
            </w:r>
          </w:p>
        </w:tc>
        <w:tc>
          <w:tcPr>
            <w:tcW w:w="937" w:type="dxa"/>
          </w:tcPr>
          <w:p w14:paraId="536CD01F"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8" w:type="dxa"/>
          </w:tcPr>
          <w:p w14:paraId="10791613"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r>
      <w:tr w:rsidR="00AD37AD" w:rsidRPr="006134FA" w14:paraId="449BC423" w14:textId="77777777" w:rsidTr="00BD5304">
        <w:trPr>
          <w:trHeight w:val="170"/>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7B02121E" w14:textId="77777777" w:rsidR="00AD37AD" w:rsidRPr="00BE6BBB" w:rsidRDefault="00AD37AD" w:rsidP="00BD5304">
            <w:pPr>
              <w:keepNext/>
              <w:keepLines/>
              <w:widowControl w:val="0"/>
              <w:spacing w:after="0"/>
              <w:rPr>
                <w:rFonts w:cs="Arial"/>
                <w:b/>
                <w:color w:val="FFFFFF" w:themeColor="background1"/>
                <w:szCs w:val="18"/>
              </w:rPr>
            </w:pPr>
          </w:p>
        </w:tc>
        <w:tc>
          <w:tcPr>
            <w:tcW w:w="960" w:type="dxa"/>
            <w:shd w:val="clear" w:color="auto" w:fill="7FB8CB"/>
          </w:tcPr>
          <w:p w14:paraId="197DF9F8"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2012–13</w:t>
            </w:r>
          </w:p>
        </w:tc>
        <w:tc>
          <w:tcPr>
            <w:tcW w:w="937" w:type="dxa"/>
          </w:tcPr>
          <w:p w14:paraId="10EB5652" w14:textId="77777777" w:rsidR="00AD37AD" w:rsidRPr="006134FA" w:rsidRDefault="003B610E"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84</w:t>
            </w:r>
          </w:p>
        </w:tc>
        <w:tc>
          <w:tcPr>
            <w:tcW w:w="937" w:type="dxa"/>
          </w:tcPr>
          <w:p w14:paraId="2F5B363F"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58</w:t>
            </w:r>
          </w:p>
        </w:tc>
        <w:tc>
          <w:tcPr>
            <w:tcW w:w="937" w:type="dxa"/>
          </w:tcPr>
          <w:p w14:paraId="593CDA0A" w14:textId="77777777" w:rsidR="00AD37AD" w:rsidRPr="006134FA" w:rsidRDefault="008B0114"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90</w:t>
            </w:r>
          </w:p>
        </w:tc>
        <w:tc>
          <w:tcPr>
            <w:tcW w:w="938" w:type="dxa"/>
          </w:tcPr>
          <w:p w14:paraId="0E859298"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40</w:t>
            </w:r>
          </w:p>
        </w:tc>
        <w:tc>
          <w:tcPr>
            <w:tcW w:w="937" w:type="dxa"/>
          </w:tcPr>
          <w:p w14:paraId="35558658"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72.2</w:t>
            </w:r>
          </w:p>
        </w:tc>
        <w:tc>
          <w:tcPr>
            <w:tcW w:w="937" w:type="dxa"/>
          </w:tcPr>
          <w:p w14:paraId="2D0FAF7E"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18</w:t>
            </w:r>
          </w:p>
        </w:tc>
        <w:tc>
          <w:tcPr>
            <w:tcW w:w="937" w:type="dxa"/>
          </w:tcPr>
          <w:p w14:paraId="4DCC403A"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8" w:type="dxa"/>
          </w:tcPr>
          <w:p w14:paraId="2FC8C78A"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r>
      <w:tr w:rsidR="00AD37AD" w:rsidRPr="006134FA" w14:paraId="4C5197AD" w14:textId="77777777" w:rsidTr="00BD5304">
        <w:trPr>
          <w:trHeight w:val="62"/>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26C045BD" w14:textId="77777777" w:rsidR="00AD37AD" w:rsidRPr="00BE6BBB" w:rsidRDefault="00AD37AD" w:rsidP="00BD5304">
            <w:pPr>
              <w:keepNext/>
              <w:keepLines/>
              <w:widowControl w:val="0"/>
              <w:spacing w:after="0"/>
              <w:rPr>
                <w:rFonts w:cs="Arial"/>
                <w:b/>
                <w:color w:val="FFFFFF" w:themeColor="background1"/>
                <w:szCs w:val="18"/>
              </w:rPr>
            </w:pPr>
          </w:p>
        </w:tc>
        <w:tc>
          <w:tcPr>
            <w:tcW w:w="960" w:type="dxa"/>
            <w:shd w:val="clear" w:color="auto" w:fill="7FB8CB"/>
          </w:tcPr>
          <w:p w14:paraId="39402107"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2013–14</w:t>
            </w:r>
          </w:p>
        </w:tc>
        <w:tc>
          <w:tcPr>
            <w:tcW w:w="937" w:type="dxa"/>
          </w:tcPr>
          <w:p w14:paraId="6C3FDA50"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68A727EB"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6FB3621F"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8" w:type="dxa"/>
          </w:tcPr>
          <w:p w14:paraId="4FC833D9"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4E79FDF2"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39101F4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7" w:type="dxa"/>
          </w:tcPr>
          <w:p w14:paraId="3A8BE17F"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n/r</w:t>
            </w:r>
          </w:p>
        </w:tc>
        <w:tc>
          <w:tcPr>
            <w:tcW w:w="938" w:type="dxa"/>
          </w:tcPr>
          <w:p w14:paraId="235699A8"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r>
      <w:tr w:rsidR="00AD37AD" w:rsidRPr="006134FA" w14:paraId="7F0FF37B" w14:textId="77777777" w:rsidTr="00BD5304">
        <w:trPr>
          <w:trHeight w:val="110"/>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713492EC" w14:textId="77777777" w:rsidR="00AD37AD" w:rsidRPr="00BE6BBB" w:rsidRDefault="00AD37AD" w:rsidP="00BD5304">
            <w:pPr>
              <w:keepNext/>
              <w:keepLines/>
              <w:widowControl w:val="0"/>
              <w:spacing w:after="0"/>
              <w:rPr>
                <w:rFonts w:cs="Arial"/>
                <w:b/>
                <w:color w:val="FFFFFF" w:themeColor="background1"/>
                <w:szCs w:val="18"/>
              </w:rPr>
            </w:pPr>
          </w:p>
        </w:tc>
        <w:tc>
          <w:tcPr>
            <w:tcW w:w="960" w:type="dxa"/>
            <w:shd w:val="clear" w:color="auto" w:fill="7FB8CB"/>
          </w:tcPr>
          <w:p w14:paraId="08F56817"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2014–15</w:t>
            </w:r>
          </w:p>
        </w:tc>
        <w:tc>
          <w:tcPr>
            <w:tcW w:w="937" w:type="dxa"/>
          </w:tcPr>
          <w:p w14:paraId="49A6F3AD"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24DF0BF7"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w:t>
            </w:r>
          </w:p>
        </w:tc>
        <w:tc>
          <w:tcPr>
            <w:tcW w:w="937" w:type="dxa"/>
          </w:tcPr>
          <w:p w14:paraId="1BDACD96"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8" w:type="dxa"/>
          </w:tcPr>
          <w:p w14:paraId="340DB894"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6</w:t>
            </w:r>
          </w:p>
        </w:tc>
        <w:tc>
          <w:tcPr>
            <w:tcW w:w="937" w:type="dxa"/>
          </w:tcPr>
          <w:p w14:paraId="0D6ECB61"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7" w:type="dxa"/>
          </w:tcPr>
          <w:p w14:paraId="6E7CF1E5"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c>
          <w:tcPr>
            <w:tcW w:w="937" w:type="dxa"/>
          </w:tcPr>
          <w:p w14:paraId="4A58DE18"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8" w:type="dxa"/>
          </w:tcPr>
          <w:p w14:paraId="4E4D1AF4"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w:t>
            </w:r>
          </w:p>
        </w:tc>
      </w:tr>
      <w:tr w:rsidR="00AD37AD" w:rsidRPr="006134FA" w14:paraId="6E3EB8D1" w14:textId="77777777" w:rsidTr="00BD5304">
        <w:trPr>
          <w:trHeight w:val="20"/>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7FB8CB"/>
          </w:tcPr>
          <w:p w14:paraId="21FCA4A8" w14:textId="77777777" w:rsidR="00AD37AD" w:rsidRPr="00BE6BBB" w:rsidRDefault="00AD37AD" w:rsidP="00BD5304">
            <w:pPr>
              <w:keepNext/>
              <w:keepLines/>
              <w:widowControl w:val="0"/>
              <w:spacing w:after="0"/>
              <w:rPr>
                <w:rFonts w:cs="Arial"/>
                <w:b/>
                <w:color w:val="FFFFFF" w:themeColor="background1"/>
                <w:szCs w:val="18"/>
              </w:rPr>
            </w:pPr>
          </w:p>
        </w:tc>
        <w:tc>
          <w:tcPr>
            <w:tcW w:w="960" w:type="dxa"/>
            <w:shd w:val="clear" w:color="auto" w:fill="7FB8CB"/>
          </w:tcPr>
          <w:p w14:paraId="744574F4" w14:textId="77777777" w:rsidR="00AD37AD" w:rsidRPr="00BE6BBB" w:rsidRDefault="00AD37AD" w:rsidP="00BD5304">
            <w:pPr>
              <w:keepNext/>
              <w:keepLines/>
              <w:widowControl w:val="0"/>
              <w:spacing w:after="0"/>
              <w:jc w:val="left"/>
              <w:cnfStyle w:val="000000000000" w:firstRow="0" w:lastRow="0" w:firstColumn="0" w:lastColumn="0" w:oddVBand="0" w:evenVBand="0" w:oddHBand="0" w:evenHBand="0" w:firstRowFirstColumn="0" w:firstRowLastColumn="0" w:lastRowFirstColumn="0" w:lastRowLastColumn="0"/>
              <w:rPr>
                <w:rFonts w:cs="Arial"/>
                <w:color w:val="FFFFFF" w:themeColor="background1"/>
                <w:szCs w:val="18"/>
              </w:rPr>
            </w:pPr>
            <w:r w:rsidRPr="00BE6BBB">
              <w:rPr>
                <w:rFonts w:cs="Arial"/>
                <w:color w:val="FFFFFF" w:themeColor="background1"/>
                <w:szCs w:val="18"/>
              </w:rPr>
              <w:t>2015–16</w:t>
            </w:r>
          </w:p>
        </w:tc>
        <w:tc>
          <w:tcPr>
            <w:tcW w:w="937" w:type="dxa"/>
          </w:tcPr>
          <w:p w14:paraId="27A4B020"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7" w:type="dxa"/>
          </w:tcPr>
          <w:p w14:paraId="74057C49"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w:t>
            </w:r>
          </w:p>
        </w:tc>
        <w:tc>
          <w:tcPr>
            <w:tcW w:w="937" w:type="dxa"/>
          </w:tcPr>
          <w:p w14:paraId="117DF35C"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100</w:t>
            </w:r>
          </w:p>
        </w:tc>
        <w:tc>
          <w:tcPr>
            <w:tcW w:w="938" w:type="dxa"/>
          </w:tcPr>
          <w:p w14:paraId="27EDC732"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5</w:t>
            </w:r>
          </w:p>
        </w:tc>
        <w:tc>
          <w:tcPr>
            <w:tcW w:w="937" w:type="dxa"/>
          </w:tcPr>
          <w:p w14:paraId="67FF9A89"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7" w:type="dxa"/>
          </w:tcPr>
          <w:p w14:paraId="53D85DA6"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c>
          <w:tcPr>
            <w:tcW w:w="937" w:type="dxa"/>
          </w:tcPr>
          <w:p w14:paraId="2E8D8804"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n/a</w:t>
            </w:r>
          </w:p>
        </w:tc>
        <w:tc>
          <w:tcPr>
            <w:tcW w:w="938" w:type="dxa"/>
          </w:tcPr>
          <w:p w14:paraId="06A7CBB6" w14:textId="77777777" w:rsidR="00AD37AD" w:rsidRPr="006134FA" w:rsidRDefault="00AD37AD" w:rsidP="005D6F3C">
            <w:pPr>
              <w:keepNext/>
              <w:keepLines/>
              <w:widowControl w:val="0"/>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0</w:t>
            </w:r>
          </w:p>
        </w:tc>
      </w:tr>
    </w:tbl>
    <w:p w14:paraId="77451080" w14:textId="77777777" w:rsidR="00AD37AD" w:rsidRPr="006134FA" w:rsidRDefault="00AD37AD" w:rsidP="00BD5304">
      <w:pPr>
        <w:pStyle w:val="ACMANotes"/>
        <w:keepNext/>
        <w:keepLines/>
      </w:pPr>
      <w:r w:rsidRPr="006134FA">
        <w:t xml:space="preserve">n/a=not available. </w:t>
      </w:r>
    </w:p>
    <w:p w14:paraId="2F96F1F7" w14:textId="77777777" w:rsidR="00AD37AD" w:rsidRPr="006134FA" w:rsidRDefault="00AD37AD" w:rsidP="00BD5304">
      <w:pPr>
        <w:pStyle w:val="ACMANotes"/>
        <w:keepNext/>
        <w:keepLines/>
      </w:pPr>
      <w:r w:rsidRPr="006134FA">
        <w:t>n/r=not requested.</w:t>
      </w:r>
    </w:p>
    <w:p w14:paraId="4CCD671F" w14:textId="77777777" w:rsidR="00AD37AD" w:rsidRPr="006134FA" w:rsidRDefault="00AD37AD" w:rsidP="00BD5304">
      <w:pPr>
        <w:pStyle w:val="ACMANotes"/>
        <w:keepNext/>
        <w:keepLines/>
      </w:pPr>
      <w:r w:rsidRPr="006134FA">
        <w:t xml:space="preserve">Note: ‘Urban’ is defined as communities with 10,000 or more people, ‘rural’ is defined as communities with between 200 and 10,000 people, ‘remote’ is defined as communities with up to 200 people. </w:t>
      </w:r>
    </w:p>
    <w:p w14:paraId="7EF9FAA8" w14:textId="77777777" w:rsidR="00AD37AD" w:rsidRDefault="00AD37AD" w:rsidP="00AD37AD">
      <w:pPr>
        <w:pStyle w:val="ACMANotes"/>
      </w:pPr>
      <w:r w:rsidRPr="006134FA">
        <w:t>Source: Telstra</w:t>
      </w:r>
      <w:r>
        <w:t>, iPrimus</w:t>
      </w:r>
    </w:p>
    <w:p w14:paraId="5711FC89" w14:textId="77777777" w:rsidR="00AD37AD" w:rsidRPr="006134FA" w:rsidRDefault="00AD37AD" w:rsidP="00AD37AD">
      <w:pPr>
        <w:pStyle w:val="ACMASpaceaftertable"/>
      </w:pPr>
    </w:p>
    <w:p w14:paraId="6811F732" w14:textId="77777777" w:rsidR="00AD37AD" w:rsidRPr="006134FA" w:rsidRDefault="00AD37AD" w:rsidP="00841849">
      <w:pPr>
        <w:pStyle w:val="Heading2"/>
        <w:numPr>
          <w:ilvl w:val="1"/>
          <w:numId w:val="12"/>
        </w:numPr>
        <w:ind w:hanging="792"/>
      </w:pPr>
      <w:bookmarkStart w:id="790" w:name="_Toc462909511"/>
      <w:bookmarkStart w:id="791" w:name="_Toc465842992"/>
      <w:r w:rsidRPr="006134FA">
        <w:t>Number portability</w:t>
      </w:r>
      <w:bookmarkEnd w:id="790"/>
      <w:bookmarkEnd w:id="791"/>
    </w:p>
    <w:p w14:paraId="14453ACB" w14:textId="77777777" w:rsidR="00AD37AD" w:rsidRPr="006134FA" w:rsidRDefault="00AD37AD" w:rsidP="00AD37AD">
      <w:pPr>
        <w:keepNext/>
        <w:spacing w:after="80"/>
        <w:rPr>
          <w:rFonts w:cs="Arial"/>
        </w:rPr>
      </w:pPr>
      <w:r w:rsidRPr="006134FA">
        <w:rPr>
          <w:rFonts w:cs="Arial"/>
        </w:rPr>
        <w:t>Number portability allows a customer to take (keep) their existing telephone number when changing from one service provider to another. Number portability is available for:</w:t>
      </w:r>
    </w:p>
    <w:p w14:paraId="3EED3A5D" w14:textId="77777777" w:rsidR="00AD37AD" w:rsidRPr="006134FA" w:rsidRDefault="00AD37AD" w:rsidP="00AD37AD">
      <w:pPr>
        <w:pStyle w:val="ListBullet"/>
      </w:pPr>
      <w:r w:rsidRPr="006134FA">
        <w:t>local numbers (numbers beginning with the area codes 02, 03, 07 and 08)</w:t>
      </w:r>
    </w:p>
    <w:p w14:paraId="2DE4D99A" w14:textId="77777777" w:rsidR="00AD37AD" w:rsidRPr="006134FA" w:rsidRDefault="00AD37AD" w:rsidP="00AD37AD">
      <w:pPr>
        <w:pStyle w:val="ListBullet"/>
      </w:pPr>
      <w:r w:rsidRPr="006134FA">
        <w:t>freephone (1800 numbers) and local rate numbers (13 and 1300 numbers)</w:t>
      </w:r>
    </w:p>
    <w:p w14:paraId="3F7CBE4A" w14:textId="77777777" w:rsidR="00AD37AD" w:rsidRPr="006134FA" w:rsidRDefault="00AD37AD" w:rsidP="00AD37AD">
      <w:pPr>
        <w:pStyle w:val="ListBulletLast"/>
      </w:pPr>
      <w:r w:rsidRPr="006134FA">
        <w:t>mobile numbers.</w:t>
      </w:r>
    </w:p>
    <w:p w14:paraId="2F9CF274" w14:textId="77777777" w:rsidR="00AD37AD" w:rsidRPr="006134FA" w:rsidRDefault="00AD37AD" w:rsidP="00AD37AD">
      <w:pPr>
        <w:pStyle w:val="Heading3"/>
      </w:pPr>
      <w:bookmarkStart w:id="792" w:name="_Toc462909512"/>
      <w:bookmarkStart w:id="793" w:name="_Toc465842993"/>
      <w:r w:rsidRPr="006134FA">
        <w:t>Local number portability</w:t>
      </w:r>
      <w:bookmarkEnd w:id="792"/>
      <w:bookmarkEnd w:id="793"/>
    </w:p>
    <w:p w14:paraId="330E1040" w14:textId="77777777" w:rsidR="00AD37AD" w:rsidRPr="006134FA" w:rsidRDefault="00AD37AD" w:rsidP="00AD37AD">
      <w:r w:rsidRPr="006134FA">
        <w:t>During 2015–16, 991,011 local numbers were ported</w:t>
      </w:r>
      <w:r>
        <w:t xml:space="preserve">, </w:t>
      </w:r>
      <w:r w:rsidRPr="006134FA">
        <w:t xml:space="preserve">a 19 per cent decrease </w:t>
      </w:r>
      <w:r>
        <w:t>on</w:t>
      </w:r>
      <w:r w:rsidRPr="006134FA">
        <w:t xml:space="preserve"> the </w:t>
      </w:r>
      <w:r w:rsidRPr="006134FA">
        <w:rPr>
          <w:rFonts w:cs="Arial"/>
          <w:szCs w:val="18"/>
        </w:rPr>
        <w:t xml:space="preserve">1,223,599 </w:t>
      </w:r>
      <w:r w:rsidRPr="006134FA">
        <w:t xml:space="preserve">local numbers ported in 2014–15. Table 5.13 shows this is the first year </w:t>
      </w:r>
      <w:r>
        <w:t>with</w:t>
      </w:r>
      <w:r w:rsidRPr="006134FA">
        <w:t xml:space="preserve"> a decrease in local number ports</w:t>
      </w:r>
      <w:r>
        <w:t xml:space="preserve">, with </w:t>
      </w:r>
      <w:r w:rsidRPr="006134FA">
        <w:t xml:space="preserve">local number ports </w:t>
      </w:r>
      <w:r>
        <w:t xml:space="preserve">previously </w:t>
      </w:r>
      <w:r w:rsidRPr="006134FA">
        <w:t>increasing each year since 2011–12.</w:t>
      </w:r>
      <w:r>
        <w:t xml:space="preserve"> </w:t>
      </w:r>
      <w:r w:rsidRPr="006134FA">
        <w:t xml:space="preserve">The Communications Alliance </w:t>
      </w:r>
      <w:r>
        <w:t xml:space="preserve">(CA) </w:t>
      </w:r>
      <w:r w:rsidRPr="006134FA">
        <w:t xml:space="preserve">C540:2013 </w:t>
      </w:r>
      <w:r w:rsidRPr="00F30AE3">
        <w:rPr>
          <w:i/>
        </w:rPr>
        <w:t>Local Number Portability Code</w:t>
      </w:r>
      <w:r w:rsidRPr="006134FA">
        <w:t xml:space="preserve"> sets out carrier/CSP operational procedures for porting local numbers. </w:t>
      </w:r>
    </w:p>
    <w:p w14:paraId="3D92455C" w14:textId="77777777" w:rsidR="00AD37AD" w:rsidRPr="006134FA" w:rsidRDefault="00AD37AD" w:rsidP="00AD37AD">
      <w:pPr>
        <w:pStyle w:val="Heading3"/>
      </w:pPr>
      <w:bookmarkStart w:id="794" w:name="_Toc462909513"/>
      <w:bookmarkStart w:id="795" w:name="_Toc465842994"/>
      <w:r w:rsidRPr="006134FA">
        <w:t>Freephone and local rate number portability</w:t>
      </w:r>
      <w:bookmarkEnd w:id="794"/>
      <w:bookmarkEnd w:id="795"/>
    </w:p>
    <w:p w14:paraId="2F7BB9A8" w14:textId="77777777" w:rsidR="00AD37AD" w:rsidRPr="006134FA" w:rsidRDefault="00AD37AD" w:rsidP="00841849">
      <w:pPr>
        <w:keepLines/>
      </w:pPr>
      <w:r w:rsidRPr="006134FA">
        <w:t xml:space="preserve">The portability of </w:t>
      </w:r>
      <w:r>
        <w:t>f</w:t>
      </w:r>
      <w:r w:rsidRPr="006134FA">
        <w:t xml:space="preserve">reephone and </w:t>
      </w:r>
      <w:r>
        <w:t>l</w:t>
      </w:r>
      <w:r w:rsidRPr="006134FA">
        <w:t xml:space="preserve">ocal </w:t>
      </w:r>
      <w:r>
        <w:t>r</w:t>
      </w:r>
      <w:r w:rsidRPr="006134FA">
        <w:t xml:space="preserve">ate </w:t>
      </w:r>
      <w:r>
        <w:t>n</w:t>
      </w:r>
      <w:r w:rsidRPr="006134FA">
        <w:t xml:space="preserve">umbers </w:t>
      </w:r>
      <w:r>
        <w:t xml:space="preserve">(FLRNs) </w:t>
      </w:r>
      <w:r w:rsidRPr="006134FA">
        <w:t xml:space="preserve">is referred to as Inbound Number Portability (INP). Since August 2015, ZOAK Pty Ltd has facilitated the portability of FLRNs on behalf of industry. There were 11,911 FLRNs ported during 2015–16, a </w:t>
      </w:r>
      <w:r>
        <w:t>four</w:t>
      </w:r>
      <w:r w:rsidRPr="006134FA">
        <w:t xml:space="preserve"> per cent decrease on the 12,495 FLRNs ported during 2014–15 (Table 5.14). </w:t>
      </w:r>
    </w:p>
    <w:p w14:paraId="388E36B3" w14:textId="77777777" w:rsidR="00AD37AD" w:rsidRPr="006134FA" w:rsidRDefault="00AD37AD" w:rsidP="00AD37AD">
      <w:r w:rsidRPr="006134FA">
        <w:t xml:space="preserve">The </w:t>
      </w:r>
      <w:r w:rsidRPr="008A4D94">
        <w:t>C657:2015</w:t>
      </w:r>
      <w:r w:rsidRPr="006134FA">
        <w:rPr>
          <w:i/>
        </w:rPr>
        <w:t xml:space="preserve"> </w:t>
      </w:r>
      <w:r w:rsidRPr="00F30AE3">
        <w:rPr>
          <w:i/>
        </w:rPr>
        <w:t>Inbound Number Portability Code</w:t>
      </w:r>
      <w:r w:rsidRPr="006134FA">
        <w:t xml:space="preserve"> (INP Code) was developed by CA and registered with the ACMA on 21 March 2016. The INP Code filled a regulatory gap by codifying the operational requirements for porting inbound numbers.</w:t>
      </w:r>
    </w:p>
    <w:p w14:paraId="42D5549B" w14:textId="77777777" w:rsidR="00AD37AD" w:rsidRPr="006134FA" w:rsidRDefault="00AD37AD" w:rsidP="00AD37AD">
      <w:pPr>
        <w:pStyle w:val="Heading3"/>
      </w:pPr>
      <w:bookmarkStart w:id="796" w:name="_Toc462909514"/>
      <w:bookmarkStart w:id="797" w:name="_Toc465842995"/>
      <w:r w:rsidRPr="006134FA">
        <w:lastRenderedPageBreak/>
        <w:t>Mobile number portability</w:t>
      </w:r>
      <w:bookmarkEnd w:id="796"/>
      <w:bookmarkEnd w:id="797"/>
    </w:p>
    <w:p w14:paraId="0D1BA783" w14:textId="77777777" w:rsidR="00AD37AD" w:rsidRPr="006134FA" w:rsidRDefault="00AD37AD" w:rsidP="00AD37AD">
      <w:r w:rsidRPr="006134FA">
        <w:t>The portability of mobile numbers is referred to as Mobile Number Portability (MNP)</w:t>
      </w:r>
      <w:r>
        <w:t xml:space="preserve">, which is </w:t>
      </w:r>
      <w:r w:rsidRPr="006134FA">
        <w:t xml:space="preserve">regulated by the </w:t>
      </w:r>
      <w:r w:rsidRPr="008A4D94">
        <w:t>C570:2009</w:t>
      </w:r>
      <w:r w:rsidRPr="006134FA">
        <w:t xml:space="preserve"> </w:t>
      </w:r>
      <w:r w:rsidRPr="00F30AE3">
        <w:rPr>
          <w:i/>
        </w:rPr>
        <w:t>Mobile Number Portability Code</w:t>
      </w:r>
      <w:r w:rsidRPr="006134FA">
        <w:t>. During 2015–16, there were 1.41 million mobile numbers ported, a decrease of 18 per cent on the 1.72 million mobile numbers ported in 2014–15. Most mobile ports are completed within a few hours.</w:t>
      </w:r>
    </w:p>
    <w:p w14:paraId="78F600F6" w14:textId="77777777" w:rsidR="00AD37AD" w:rsidRPr="006134FA" w:rsidRDefault="00AD37AD" w:rsidP="00AD37AD">
      <w:pPr>
        <w:pStyle w:val="ACMATableHeader"/>
        <w:numPr>
          <w:ilvl w:val="0"/>
          <w:numId w:val="0"/>
        </w:numPr>
        <w:rPr>
          <w:i/>
        </w:rPr>
      </w:pPr>
      <w:r w:rsidRPr="006134FA">
        <w:t>Table 5.14</w:t>
      </w:r>
      <w:r>
        <w:tab/>
      </w:r>
      <w:r w:rsidRPr="006134FA">
        <w:t>Number portability</w:t>
      </w:r>
    </w:p>
    <w:tbl>
      <w:tblPr>
        <w:tblStyle w:val="Commsreport2015-16TABLE"/>
        <w:tblW w:w="9429" w:type="dxa"/>
        <w:tblLayout w:type="fixed"/>
        <w:tblCellMar>
          <w:top w:w="57" w:type="dxa"/>
          <w:left w:w="57" w:type="dxa"/>
          <w:bottom w:w="57" w:type="dxa"/>
          <w:right w:w="57" w:type="dxa"/>
        </w:tblCellMar>
        <w:tblLook w:val="01E0" w:firstRow="1" w:lastRow="1" w:firstColumn="1" w:lastColumn="1" w:noHBand="0" w:noVBand="0"/>
        <w:tblCaption w:val="Table 5.14 Number portability"/>
      </w:tblPr>
      <w:tblGrid>
        <w:gridCol w:w="2614"/>
        <w:gridCol w:w="1363"/>
        <w:gridCol w:w="1363"/>
        <w:gridCol w:w="1363"/>
        <w:gridCol w:w="1363"/>
        <w:gridCol w:w="1363"/>
      </w:tblGrid>
      <w:tr w:rsidR="00AD37AD" w:rsidRPr="00515D61" w14:paraId="0DC4AF19" w14:textId="77777777" w:rsidTr="00515D61">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2665" w:type="dxa"/>
          </w:tcPr>
          <w:p w14:paraId="108FDC4D" w14:textId="77777777" w:rsidR="00AD37AD" w:rsidRPr="00515D61" w:rsidRDefault="00AD37AD" w:rsidP="00515D61">
            <w:pPr>
              <w:pStyle w:val="TableHeading"/>
              <w:rPr>
                <w:b/>
              </w:rPr>
            </w:pPr>
            <w:r w:rsidRPr="00515D61">
              <w:rPr>
                <w:b/>
              </w:rPr>
              <w:t xml:space="preserve">Numbers ported </w:t>
            </w:r>
          </w:p>
        </w:tc>
        <w:tc>
          <w:tcPr>
            <w:tcW w:w="1389" w:type="dxa"/>
          </w:tcPr>
          <w:p w14:paraId="7A031E0E"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2011–12</w:t>
            </w:r>
          </w:p>
        </w:tc>
        <w:tc>
          <w:tcPr>
            <w:tcW w:w="1389" w:type="dxa"/>
          </w:tcPr>
          <w:p w14:paraId="64A5061B"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2012–13</w:t>
            </w:r>
          </w:p>
        </w:tc>
        <w:tc>
          <w:tcPr>
            <w:tcW w:w="1389" w:type="dxa"/>
          </w:tcPr>
          <w:p w14:paraId="29E81FF0"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2013–14</w:t>
            </w:r>
          </w:p>
        </w:tc>
        <w:tc>
          <w:tcPr>
            <w:tcW w:w="1389" w:type="dxa"/>
          </w:tcPr>
          <w:p w14:paraId="491E03C4"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2014–15</w:t>
            </w:r>
          </w:p>
        </w:tc>
        <w:tc>
          <w:tcPr>
            <w:tcW w:w="1389" w:type="dxa"/>
          </w:tcPr>
          <w:p w14:paraId="1F835E48" w14:textId="77777777" w:rsidR="00AD37AD" w:rsidRPr="00515D61" w:rsidRDefault="00AD37AD" w:rsidP="00515D61">
            <w:pPr>
              <w:pStyle w:val="TableHeading"/>
              <w:cnfStyle w:val="100000000000" w:firstRow="1" w:lastRow="0" w:firstColumn="0" w:lastColumn="0" w:oddVBand="0" w:evenVBand="0" w:oddHBand="0" w:evenHBand="0" w:firstRowFirstColumn="0" w:firstRowLastColumn="0" w:lastRowFirstColumn="0" w:lastRowLastColumn="0"/>
              <w:rPr>
                <w:b/>
              </w:rPr>
            </w:pPr>
            <w:r w:rsidRPr="00515D61">
              <w:rPr>
                <w:b/>
              </w:rPr>
              <w:t>2015–16</w:t>
            </w:r>
          </w:p>
        </w:tc>
      </w:tr>
      <w:tr w:rsidR="00AD37AD" w:rsidRPr="006134FA" w14:paraId="4C3B4122" w14:textId="77777777" w:rsidTr="00BD5304">
        <w:trPr>
          <w:trHeight w:val="114"/>
        </w:trPr>
        <w:tc>
          <w:tcPr>
            <w:cnfStyle w:val="001000000000" w:firstRow="0" w:lastRow="0" w:firstColumn="1" w:lastColumn="0" w:oddVBand="0" w:evenVBand="0" w:oddHBand="0" w:evenHBand="0" w:firstRowFirstColumn="0" w:firstRowLastColumn="0" w:lastRowFirstColumn="0" w:lastRowLastColumn="0"/>
            <w:tcW w:w="2665" w:type="dxa"/>
            <w:shd w:val="clear" w:color="auto" w:fill="7FB8CB"/>
          </w:tcPr>
          <w:p w14:paraId="4D7E1BBC" w14:textId="77777777" w:rsidR="00AD37AD" w:rsidRPr="00BE6BBB" w:rsidRDefault="00AD37AD" w:rsidP="00BD5304">
            <w:pPr>
              <w:spacing w:after="0"/>
              <w:rPr>
                <w:rFonts w:cs="Arial"/>
                <w:color w:val="FFFFFF" w:themeColor="background1"/>
                <w:szCs w:val="18"/>
              </w:rPr>
            </w:pPr>
            <w:r w:rsidRPr="00BE6BBB">
              <w:rPr>
                <w:rFonts w:cs="Arial"/>
                <w:color w:val="FFFFFF" w:themeColor="background1"/>
                <w:szCs w:val="18"/>
              </w:rPr>
              <w:t xml:space="preserve">Local </w:t>
            </w:r>
          </w:p>
        </w:tc>
        <w:tc>
          <w:tcPr>
            <w:tcW w:w="1389" w:type="dxa"/>
          </w:tcPr>
          <w:p w14:paraId="79FAEA56"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627,160</w:t>
            </w:r>
          </w:p>
        </w:tc>
        <w:tc>
          <w:tcPr>
            <w:tcW w:w="1389" w:type="dxa"/>
          </w:tcPr>
          <w:p w14:paraId="29FCECCA"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763,422</w:t>
            </w:r>
          </w:p>
        </w:tc>
        <w:tc>
          <w:tcPr>
            <w:tcW w:w="1389" w:type="dxa"/>
          </w:tcPr>
          <w:p w14:paraId="6714CB7C"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 xml:space="preserve">865,522* </w:t>
            </w:r>
          </w:p>
        </w:tc>
        <w:tc>
          <w:tcPr>
            <w:tcW w:w="1389" w:type="dxa"/>
          </w:tcPr>
          <w:p w14:paraId="23CF468A"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1,223,599</w:t>
            </w:r>
          </w:p>
        </w:tc>
        <w:tc>
          <w:tcPr>
            <w:tcW w:w="1389" w:type="dxa"/>
          </w:tcPr>
          <w:p w14:paraId="61D1E496"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991,011</w:t>
            </w:r>
          </w:p>
        </w:tc>
      </w:tr>
      <w:tr w:rsidR="00AD37AD" w:rsidRPr="006134FA" w14:paraId="31014CED" w14:textId="77777777" w:rsidTr="00BD5304">
        <w:trPr>
          <w:trHeight w:val="148"/>
        </w:trPr>
        <w:tc>
          <w:tcPr>
            <w:cnfStyle w:val="001000000000" w:firstRow="0" w:lastRow="0" w:firstColumn="1" w:lastColumn="0" w:oddVBand="0" w:evenVBand="0" w:oddHBand="0" w:evenHBand="0" w:firstRowFirstColumn="0" w:firstRowLastColumn="0" w:lastRowFirstColumn="0" w:lastRowLastColumn="0"/>
            <w:tcW w:w="2665" w:type="dxa"/>
            <w:shd w:val="clear" w:color="auto" w:fill="7FB8CB"/>
          </w:tcPr>
          <w:p w14:paraId="183E8BBF" w14:textId="77777777" w:rsidR="00AD37AD" w:rsidRPr="00BE6BBB" w:rsidRDefault="00AD37AD" w:rsidP="00BD5304">
            <w:pPr>
              <w:spacing w:after="0"/>
              <w:rPr>
                <w:rFonts w:cs="Arial"/>
                <w:color w:val="FFFFFF" w:themeColor="background1"/>
                <w:szCs w:val="18"/>
              </w:rPr>
            </w:pPr>
            <w:r w:rsidRPr="00BE6BBB">
              <w:rPr>
                <w:rFonts w:cs="Arial"/>
                <w:color w:val="FFFFFF" w:themeColor="background1"/>
                <w:szCs w:val="18"/>
              </w:rPr>
              <w:t>Freephone and local rate</w:t>
            </w:r>
          </w:p>
        </w:tc>
        <w:tc>
          <w:tcPr>
            <w:tcW w:w="1389" w:type="dxa"/>
          </w:tcPr>
          <w:p w14:paraId="3283E26C"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12,814</w:t>
            </w:r>
          </w:p>
        </w:tc>
        <w:tc>
          <w:tcPr>
            <w:tcW w:w="1389" w:type="dxa"/>
          </w:tcPr>
          <w:p w14:paraId="08922061"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13,096</w:t>
            </w:r>
          </w:p>
        </w:tc>
        <w:tc>
          <w:tcPr>
            <w:tcW w:w="1389" w:type="dxa"/>
          </w:tcPr>
          <w:p w14:paraId="68F0E63A"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11,088</w:t>
            </w:r>
          </w:p>
        </w:tc>
        <w:tc>
          <w:tcPr>
            <w:tcW w:w="1389" w:type="dxa"/>
          </w:tcPr>
          <w:p w14:paraId="7CBD39B9"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12,495</w:t>
            </w:r>
          </w:p>
        </w:tc>
        <w:tc>
          <w:tcPr>
            <w:tcW w:w="1389" w:type="dxa"/>
          </w:tcPr>
          <w:p w14:paraId="025C7BAD"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11,991</w:t>
            </w:r>
          </w:p>
        </w:tc>
      </w:tr>
      <w:tr w:rsidR="00AD37AD" w:rsidRPr="006134FA" w14:paraId="2BB5CAD3" w14:textId="77777777" w:rsidTr="00BD5304">
        <w:trPr>
          <w:trHeight w:val="23"/>
        </w:trPr>
        <w:tc>
          <w:tcPr>
            <w:cnfStyle w:val="001000000000" w:firstRow="0" w:lastRow="0" w:firstColumn="1" w:lastColumn="0" w:oddVBand="0" w:evenVBand="0" w:oddHBand="0" w:evenHBand="0" w:firstRowFirstColumn="0" w:firstRowLastColumn="0" w:lastRowFirstColumn="0" w:lastRowLastColumn="0"/>
            <w:tcW w:w="2665" w:type="dxa"/>
            <w:shd w:val="clear" w:color="auto" w:fill="7FB8CB"/>
          </w:tcPr>
          <w:p w14:paraId="19F0F8F8" w14:textId="77777777" w:rsidR="00AD37AD" w:rsidRPr="00BE6BBB" w:rsidRDefault="00AD37AD" w:rsidP="00BD5304">
            <w:pPr>
              <w:spacing w:after="0"/>
              <w:rPr>
                <w:rFonts w:cs="Arial"/>
                <w:color w:val="FFFFFF" w:themeColor="background1"/>
                <w:szCs w:val="18"/>
              </w:rPr>
            </w:pPr>
            <w:r w:rsidRPr="00BE6BBB">
              <w:rPr>
                <w:rFonts w:cs="Arial"/>
                <w:color w:val="FFFFFF" w:themeColor="background1"/>
                <w:szCs w:val="18"/>
              </w:rPr>
              <w:t>Mobile</w:t>
            </w:r>
          </w:p>
        </w:tc>
        <w:tc>
          <w:tcPr>
            <w:tcW w:w="1389" w:type="dxa"/>
          </w:tcPr>
          <w:p w14:paraId="4C8BF68B"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2,627,350</w:t>
            </w:r>
          </w:p>
        </w:tc>
        <w:tc>
          <w:tcPr>
            <w:tcW w:w="1389" w:type="dxa"/>
          </w:tcPr>
          <w:p w14:paraId="307E1208"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1,743,485</w:t>
            </w:r>
          </w:p>
        </w:tc>
        <w:tc>
          <w:tcPr>
            <w:tcW w:w="1389" w:type="dxa"/>
          </w:tcPr>
          <w:p w14:paraId="6F868715"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1,668,163</w:t>
            </w:r>
          </w:p>
        </w:tc>
        <w:tc>
          <w:tcPr>
            <w:tcW w:w="1389" w:type="dxa"/>
          </w:tcPr>
          <w:p w14:paraId="16F92A17"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1,721,284</w:t>
            </w:r>
          </w:p>
        </w:tc>
        <w:tc>
          <w:tcPr>
            <w:tcW w:w="1389" w:type="dxa"/>
          </w:tcPr>
          <w:p w14:paraId="6FD078C3" w14:textId="77777777" w:rsidR="00AD37AD" w:rsidRPr="006134FA" w:rsidRDefault="00AD37AD" w:rsidP="005D6F3C">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1,733,834</w:t>
            </w:r>
          </w:p>
        </w:tc>
      </w:tr>
    </w:tbl>
    <w:p w14:paraId="7832CF66" w14:textId="77777777" w:rsidR="00AD37AD" w:rsidRPr="006134FA" w:rsidDel="00720631" w:rsidRDefault="00AD37AD" w:rsidP="00AD37AD">
      <w:pPr>
        <w:pStyle w:val="ACMANotes"/>
      </w:pPr>
      <w:r w:rsidRPr="006134FA" w:rsidDel="00720631">
        <w:t>*Figure revised due to one CSP submitting updated data.</w:t>
      </w:r>
    </w:p>
    <w:p w14:paraId="504B7896" w14:textId="77777777" w:rsidR="00AD37AD" w:rsidRDefault="00AD37AD" w:rsidP="00AD37AD">
      <w:pPr>
        <w:pStyle w:val="ACMANotes"/>
      </w:pPr>
      <w:r w:rsidRPr="006134FA">
        <w:t>Source: ACMA and INMS.</w:t>
      </w:r>
    </w:p>
    <w:p w14:paraId="7A5DE822" w14:textId="77777777" w:rsidR="00AD37AD" w:rsidRPr="006134FA" w:rsidRDefault="00AD37AD" w:rsidP="00AD37AD">
      <w:pPr>
        <w:pStyle w:val="ACMASpaceaftertable"/>
      </w:pPr>
    </w:p>
    <w:p w14:paraId="7F9F51CA" w14:textId="77777777" w:rsidR="00AD37AD" w:rsidRPr="006134FA" w:rsidRDefault="00AD37AD" w:rsidP="00841849">
      <w:pPr>
        <w:pStyle w:val="Heading2"/>
        <w:numPr>
          <w:ilvl w:val="1"/>
          <w:numId w:val="12"/>
        </w:numPr>
        <w:ind w:hanging="792"/>
      </w:pPr>
      <w:bookmarkStart w:id="798" w:name="_Toc462909515"/>
      <w:bookmarkStart w:id="799" w:name="_Toc465842996"/>
      <w:r w:rsidRPr="006134FA">
        <w:t>Telecommunications codes—development and review</w:t>
      </w:r>
      <w:bookmarkEnd w:id="798"/>
      <w:bookmarkEnd w:id="799"/>
      <w:r w:rsidRPr="006134FA">
        <w:t xml:space="preserve"> </w:t>
      </w:r>
    </w:p>
    <w:p w14:paraId="1E11B2E3" w14:textId="77777777" w:rsidR="00AD37AD" w:rsidRPr="006134FA" w:rsidRDefault="00AD37AD" w:rsidP="00AD37AD">
      <w:pPr>
        <w:keepNext/>
        <w:spacing w:after="80"/>
        <w:rPr>
          <w:rFonts w:cs="Arial"/>
          <w:szCs w:val="20"/>
        </w:rPr>
      </w:pPr>
      <w:r w:rsidRPr="006134FA">
        <w:rPr>
          <w:rFonts w:cs="Arial"/>
          <w:szCs w:val="20"/>
        </w:rPr>
        <w:t xml:space="preserve">Under Part 6 of </w:t>
      </w:r>
      <w:r>
        <w:rPr>
          <w:rFonts w:cs="Arial"/>
          <w:i/>
          <w:szCs w:val="20"/>
        </w:rPr>
        <w:t xml:space="preserve">Telecommunications Act 1997, </w:t>
      </w:r>
      <w:r w:rsidRPr="006134FA">
        <w:rPr>
          <w:rFonts w:cs="Arial"/>
          <w:szCs w:val="20"/>
        </w:rPr>
        <w:t>the ACMA may register codes developed by indu</w:t>
      </w:r>
      <w:r>
        <w:rPr>
          <w:rFonts w:cs="Arial"/>
          <w:szCs w:val="20"/>
        </w:rPr>
        <w:t>stry bodies. At 30 June 2016,</w:t>
      </w:r>
      <w:r w:rsidR="004E72CB">
        <w:rPr>
          <w:rFonts w:cs="Arial"/>
          <w:szCs w:val="20"/>
        </w:rPr>
        <w:t xml:space="preserve"> </w:t>
      </w:r>
      <w:r>
        <w:rPr>
          <w:rFonts w:cs="Arial"/>
          <w:szCs w:val="20"/>
        </w:rPr>
        <w:t>21</w:t>
      </w:r>
      <w:r w:rsidRPr="006134FA">
        <w:rPr>
          <w:rFonts w:cs="Arial"/>
          <w:szCs w:val="20"/>
        </w:rPr>
        <w:t> codes were registered, comprising:</w:t>
      </w:r>
    </w:p>
    <w:p w14:paraId="280875B9" w14:textId="77777777" w:rsidR="00AD37AD" w:rsidRPr="00094829" w:rsidRDefault="00AD37AD" w:rsidP="00AD37AD">
      <w:pPr>
        <w:pStyle w:val="ListBullet"/>
      </w:pPr>
      <w:r>
        <w:t>20</w:t>
      </w:r>
      <w:r w:rsidRPr="00094829">
        <w:t xml:space="preserve"> codes developed by Communications Alliance (CA)</w:t>
      </w:r>
    </w:p>
    <w:p w14:paraId="67990A14" w14:textId="77777777" w:rsidR="00AD37AD" w:rsidRPr="00112929" w:rsidRDefault="00AD37AD" w:rsidP="00AD37AD">
      <w:pPr>
        <w:pStyle w:val="ListBulletLast"/>
      </w:pPr>
      <w:r w:rsidRPr="00940AB7">
        <w:t xml:space="preserve">the Cabling Requirements for Business </w:t>
      </w:r>
      <w:r>
        <w:t>Industry</w:t>
      </w:r>
      <w:r w:rsidRPr="00940AB7">
        <w:t xml:space="preserve"> Code, developed by the Cabling Industry Committee.</w:t>
      </w:r>
    </w:p>
    <w:p w14:paraId="7524933B" w14:textId="77777777" w:rsidR="00AD37AD" w:rsidRPr="006134FA" w:rsidRDefault="00AD37AD" w:rsidP="00AD37AD">
      <w:pPr>
        <w:keepNext/>
        <w:spacing w:after="80"/>
        <w:rPr>
          <w:rFonts w:cs="Arial"/>
          <w:szCs w:val="20"/>
        </w:rPr>
      </w:pPr>
      <w:r w:rsidRPr="006134FA">
        <w:rPr>
          <w:rFonts w:cs="Arial"/>
          <w:szCs w:val="20"/>
        </w:rPr>
        <w:t>In 2015–16:</w:t>
      </w:r>
    </w:p>
    <w:p w14:paraId="173122D7" w14:textId="77777777" w:rsidR="00AD37AD" w:rsidRPr="00DA3FD4" w:rsidRDefault="00AD37AD" w:rsidP="00AD37AD">
      <w:pPr>
        <w:pStyle w:val="ListBullet"/>
      </w:pPr>
      <w:r w:rsidRPr="00094829">
        <w:t xml:space="preserve">CA finalised a review of the </w:t>
      </w:r>
      <w:r w:rsidRPr="008A4D94">
        <w:t>Telecommunications Consumer Protections Code 2012</w:t>
      </w:r>
      <w:r w:rsidRPr="00940AB7">
        <w:t xml:space="preserve"> (TCP Code). This </w:t>
      </w:r>
      <w:r w:rsidRPr="00625A58">
        <w:t xml:space="preserve">led to the ACMA registering an updated TCP Code on 3 December 2015, </w:t>
      </w:r>
      <w:r w:rsidRPr="00112929">
        <w:rPr>
          <w:lang w:val="en"/>
        </w:rPr>
        <w:t>reducing unnecessary duplication with other legislation</w:t>
      </w:r>
      <w:r>
        <w:rPr>
          <w:lang w:val="en"/>
        </w:rPr>
        <w:t>,</w:t>
      </w:r>
      <w:r w:rsidRPr="00112929">
        <w:rPr>
          <w:lang w:val="en"/>
        </w:rPr>
        <w:t xml:space="preserve"> and giving telecommunications companies greater flexibility in when and how key information is provided to customers.</w:t>
      </w:r>
    </w:p>
    <w:p w14:paraId="531254DE" w14:textId="77777777" w:rsidR="00AD37AD" w:rsidRPr="00DA3FD4" w:rsidRDefault="00AD37AD" w:rsidP="00AD37AD">
      <w:pPr>
        <w:pStyle w:val="ListBullet"/>
      </w:pPr>
      <w:r w:rsidRPr="00DA3FD4">
        <w:t xml:space="preserve">A minor update of Chapter 9 of the TCP Code was </w:t>
      </w:r>
      <w:r>
        <w:t>registered by the</w:t>
      </w:r>
      <w:r w:rsidRPr="00DA3FD4">
        <w:t xml:space="preserve"> ACMA on 3 March 2016.</w:t>
      </w:r>
    </w:p>
    <w:p w14:paraId="014E9C6C" w14:textId="77777777" w:rsidR="00AD37AD" w:rsidRPr="004A6310" w:rsidRDefault="00AD37AD" w:rsidP="00AD37AD">
      <w:pPr>
        <w:pStyle w:val="ListBullet"/>
      </w:pPr>
      <w:r w:rsidRPr="00DA3FD4">
        <w:t xml:space="preserve">CA developed the </w:t>
      </w:r>
      <w:r>
        <w:rPr>
          <w:iCs/>
        </w:rPr>
        <w:t>INP</w:t>
      </w:r>
      <w:r w:rsidRPr="00DA3FD4">
        <w:rPr>
          <w:i/>
          <w:iCs/>
        </w:rPr>
        <w:t xml:space="preserve"> </w:t>
      </w:r>
      <w:r w:rsidRPr="0047043D">
        <w:rPr>
          <w:iCs/>
        </w:rPr>
        <w:t>Code</w:t>
      </w:r>
      <w:r w:rsidRPr="008A4D94">
        <w:rPr>
          <w:iCs/>
        </w:rPr>
        <w:t>, which</w:t>
      </w:r>
      <w:r w:rsidRPr="00EE70F8">
        <w:t xml:space="preserve"> codifies the operational requirements for porting inbound numbers with the prefixes 13,</w:t>
      </w:r>
      <w:r w:rsidRPr="004A6310">
        <w:t xml:space="preserve"> 1300 and 1800. It was registered by the ACMA on 21 March 2016.</w:t>
      </w:r>
    </w:p>
    <w:p w14:paraId="3FD3918F" w14:textId="77777777" w:rsidR="00AD37AD" w:rsidRPr="00112929" w:rsidRDefault="00AD37AD" w:rsidP="00AD37AD">
      <w:pPr>
        <w:pStyle w:val="ListBullet"/>
      </w:pPr>
      <w:r w:rsidRPr="004A6310">
        <w:t xml:space="preserve">The </w:t>
      </w:r>
      <w:r w:rsidRPr="00094829">
        <w:t xml:space="preserve">C513:2015 </w:t>
      </w:r>
      <w:r w:rsidRPr="00F30AE3">
        <w:rPr>
          <w:i/>
          <w:iCs/>
        </w:rPr>
        <w:t xml:space="preserve">Customer and Network Fault Management </w:t>
      </w:r>
      <w:r w:rsidRPr="00F30AE3">
        <w:rPr>
          <w:i/>
        </w:rPr>
        <w:t>Industry Code</w:t>
      </w:r>
      <w:r w:rsidRPr="00094829">
        <w:t xml:space="preserve"> was changed to remove references</w:t>
      </w:r>
      <w:r w:rsidRPr="00940AB7">
        <w:t xml:space="preserve"> to an unused local number porting process and some duplications. It was registered by the ACMA on 19 February 2016.</w:t>
      </w:r>
    </w:p>
    <w:p w14:paraId="3283E8E1" w14:textId="77777777" w:rsidR="00AD37AD" w:rsidRPr="00940AB7" w:rsidRDefault="00AD37AD" w:rsidP="00AD37AD">
      <w:pPr>
        <w:pStyle w:val="ListBullet"/>
      </w:pPr>
      <w:r w:rsidRPr="00112929">
        <w:t xml:space="preserve">The </w:t>
      </w:r>
      <w:r w:rsidRPr="00AF5379">
        <w:t>C515:2015</w:t>
      </w:r>
      <w:r>
        <w:t xml:space="preserve"> </w:t>
      </w:r>
      <w:r w:rsidRPr="00F30AE3">
        <w:rPr>
          <w:i/>
        </w:rPr>
        <w:t>Pre-selection Industry Code</w:t>
      </w:r>
      <w:r w:rsidRPr="00094829">
        <w:t xml:space="preserve">, </w:t>
      </w:r>
      <w:r w:rsidRPr="00AF5379">
        <w:t>C540:2013</w:t>
      </w:r>
      <w:r w:rsidRPr="00094829">
        <w:t xml:space="preserve"> </w:t>
      </w:r>
      <w:r w:rsidRPr="00F30AE3">
        <w:rPr>
          <w:i/>
        </w:rPr>
        <w:t>Local Number Portability Industry Code</w:t>
      </w:r>
      <w:r w:rsidRPr="00AF5379">
        <w:t xml:space="preserve"> </w:t>
      </w:r>
      <w:r w:rsidRPr="00094829">
        <w:t xml:space="preserve">and </w:t>
      </w:r>
      <w:r w:rsidRPr="00AF5379">
        <w:t>C570:2009</w:t>
      </w:r>
      <w:r w:rsidRPr="00094829">
        <w:t xml:space="preserve"> </w:t>
      </w:r>
      <w:r w:rsidRPr="00F30AE3">
        <w:rPr>
          <w:i/>
        </w:rPr>
        <w:t>Mobile Number Portability Industry Code</w:t>
      </w:r>
      <w:r w:rsidRPr="00AF5379">
        <w:t xml:space="preserve"> </w:t>
      </w:r>
      <w:r w:rsidRPr="00094829">
        <w:t>were each amended to align with the customer authorisation process outlined in the TCP Code and the CA Customer Authorisation Guideline. All three codes were registered by the ACMA on 19 February 2016.</w:t>
      </w:r>
    </w:p>
    <w:p w14:paraId="0989BB16" w14:textId="77777777" w:rsidR="00AD37AD" w:rsidRPr="00DA3FD4" w:rsidRDefault="00AD37AD" w:rsidP="00AD37AD">
      <w:pPr>
        <w:pStyle w:val="ListBulletLast"/>
      </w:pPr>
      <w:r w:rsidRPr="00112929">
        <w:t xml:space="preserve">The </w:t>
      </w:r>
      <w:r w:rsidRPr="008A4D94">
        <w:rPr>
          <w:iCs/>
        </w:rPr>
        <w:t>C536:2011</w:t>
      </w:r>
      <w:r>
        <w:rPr>
          <w:i/>
          <w:iCs/>
        </w:rPr>
        <w:t xml:space="preserve"> </w:t>
      </w:r>
      <w:r w:rsidRPr="00F30AE3">
        <w:rPr>
          <w:i/>
          <w:iCs/>
        </w:rPr>
        <w:t>Emergency Call Services Requirements Industry Code</w:t>
      </w:r>
      <w:r w:rsidRPr="00DA3FD4">
        <w:rPr>
          <w:i/>
          <w:iCs/>
        </w:rPr>
        <w:t xml:space="preserve"> </w:t>
      </w:r>
      <w:r w:rsidRPr="00DA3FD4">
        <w:t xml:space="preserve">(incorporating Amendment No.1/2015) was amended to alter a reporting requirement and remove duplication of a customer information requirement that is included in the CA </w:t>
      </w:r>
      <w:r w:rsidRPr="0047043D">
        <w:rPr>
          <w:iCs/>
        </w:rPr>
        <w:t>Prepaid Calling Card Guideline</w:t>
      </w:r>
      <w:r w:rsidRPr="00DA3FD4">
        <w:t>.</w:t>
      </w:r>
      <w:r>
        <w:t xml:space="preserve"> The code was registered by the ACMA on 19 February 2016.</w:t>
      </w:r>
    </w:p>
    <w:p w14:paraId="03DAE914" w14:textId="77777777" w:rsidR="00AD37AD" w:rsidRPr="006134FA" w:rsidRDefault="00AD37AD" w:rsidP="00841849">
      <w:pPr>
        <w:pStyle w:val="Heading2"/>
        <w:numPr>
          <w:ilvl w:val="1"/>
          <w:numId w:val="12"/>
        </w:numPr>
        <w:ind w:hanging="792"/>
      </w:pPr>
      <w:bookmarkStart w:id="800" w:name="_Toc462909516"/>
      <w:bookmarkStart w:id="801" w:name="_Toc465842997"/>
      <w:r w:rsidRPr="006134FA">
        <w:t>Industry compliance with telecommunications codes</w:t>
      </w:r>
      <w:bookmarkEnd w:id="800"/>
      <w:bookmarkEnd w:id="801"/>
    </w:p>
    <w:p w14:paraId="002C4C95" w14:textId="77777777" w:rsidR="00AD37AD" w:rsidRPr="006134FA" w:rsidRDefault="00AD37AD" w:rsidP="00AD37AD">
      <w:pPr>
        <w:pStyle w:val="Heading3"/>
      </w:pPr>
      <w:bookmarkStart w:id="802" w:name="_Toc462909517"/>
      <w:bookmarkStart w:id="803" w:name="_Toc465842998"/>
      <w:r w:rsidRPr="006134FA">
        <w:t>Compliance with the TCP Code</w:t>
      </w:r>
      <w:bookmarkEnd w:id="802"/>
      <w:bookmarkEnd w:id="803"/>
    </w:p>
    <w:p w14:paraId="3E8298F7" w14:textId="77777777" w:rsidR="00AD37AD" w:rsidRPr="006134FA" w:rsidRDefault="00AD37AD" w:rsidP="00AD37AD">
      <w:pPr>
        <w:spacing w:after="80" w:line="240" w:lineRule="auto"/>
        <w:rPr>
          <w:rFonts w:cs="Arial"/>
          <w:szCs w:val="20"/>
        </w:rPr>
      </w:pPr>
      <w:r w:rsidRPr="006134FA">
        <w:rPr>
          <w:rFonts w:cs="Arial"/>
          <w:szCs w:val="20"/>
        </w:rPr>
        <w:t>Telecommunications companies demonstrated high levels of compliance with the TCP Code across a range of audits and investigations. For the period 1 July 2015 to 30 June 2016:</w:t>
      </w:r>
    </w:p>
    <w:p w14:paraId="33331559" w14:textId="77777777" w:rsidR="00AD37AD" w:rsidRPr="00112929" w:rsidRDefault="00AD37AD" w:rsidP="00AD37AD">
      <w:pPr>
        <w:pStyle w:val="ListBullet"/>
      </w:pPr>
      <w:r>
        <w:t>Twenty-seven</w:t>
      </w:r>
      <w:r w:rsidRPr="00940AB7">
        <w:t xml:space="preserve"> advertisements from 18 different providers were reviewed. Of these, 25 were found to be compliant with the advertising requirements of the TCP Code. Two providers were contacted</w:t>
      </w:r>
      <w:r>
        <w:t>,</w:t>
      </w:r>
      <w:r w:rsidRPr="00940AB7">
        <w:t xml:space="preserve"> who amended their advertising to ensure compliance with the TCP Code. </w:t>
      </w:r>
    </w:p>
    <w:p w14:paraId="49C6C27C" w14:textId="77777777" w:rsidR="00AD37AD" w:rsidRPr="00DA3FD4" w:rsidRDefault="00AD37AD" w:rsidP="00AD37AD">
      <w:pPr>
        <w:pStyle w:val="ListBulletLast"/>
      </w:pPr>
      <w:r>
        <w:lastRenderedPageBreak/>
        <w:t>C</w:t>
      </w:r>
      <w:r w:rsidRPr="00DA3FD4">
        <w:t xml:space="preserve">ompliance with Critical Information Summary (CIS) requirements increased from 69 per cent </w:t>
      </w:r>
      <w:r>
        <w:t>in 2014–15</w:t>
      </w:r>
      <w:r w:rsidRPr="00DA3FD4">
        <w:t xml:space="preserve"> to over 75 per cent. Most of the non-compliant CISs required only minor changes to make them compliant. The ACMA will continue to monitor compliance in this area.</w:t>
      </w:r>
    </w:p>
    <w:p w14:paraId="691FF000" w14:textId="77777777" w:rsidR="00AD37AD" w:rsidRPr="002732D7" w:rsidRDefault="00AD37AD" w:rsidP="00AD37AD">
      <w:r w:rsidRPr="006134FA">
        <w:t xml:space="preserve">Communications Compliance (CommCom) requires providers to promote code awareness, lodge annual compliance documents, and prepare and maintain a compliance plan. </w:t>
      </w:r>
      <w:r>
        <w:t>I</w:t>
      </w:r>
      <w:r w:rsidRPr="006134FA">
        <w:t xml:space="preserve">n </w:t>
      </w:r>
      <w:r>
        <w:t>2015–16, a</w:t>
      </w:r>
      <w:r w:rsidRPr="006134FA">
        <w:t xml:space="preserve"> review of Chapter 9 of the TCP Code was concluded </w:t>
      </w:r>
      <w:r>
        <w:t>that</w:t>
      </w:r>
      <w:r w:rsidRPr="006134FA">
        <w:t xml:space="preserve"> resulted in the ACMA approving a variation to </w:t>
      </w:r>
      <w:r>
        <w:t>this c</w:t>
      </w:r>
      <w:r w:rsidRPr="006134FA">
        <w:t>hapter</w:t>
      </w:r>
      <w:r>
        <w:t>,</w:t>
      </w:r>
      <w:r w:rsidRPr="006134FA">
        <w:t xml:space="preserve"> effective from 3 March 2016. Key changes to Chapter 9 include improving the operational effectiveness of CommCom and increasing the flexibility in reporting arrangements for smaller providers. During the reporting period, the ACMA</w:t>
      </w:r>
      <w:r>
        <w:t xml:space="preserve"> also</w:t>
      </w:r>
      <w:r w:rsidRPr="006134FA">
        <w:t xml:space="preserve"> issued six directions and 25 formal warnings to providers who failed to lodge compliance attestations by 1 April 2015</w:t>
      </w:r>
      <w:r w:rsidRPr="002732D7">
        <w:t xml:space="preserve">. </w:t>
      </w:r>
    </w:p>
    <w:p w14:paraId="094731DB" w14:textId="77777777" w:rsidR="00AD37AD" w:rsidRPr="006134FA" w:rsidRDefault="00AD37AD" w:rsidP="00AD37AD">
      <w:r w:rsidRPr="006134FA">
        <w:t xml:space="preserve">From 2016 onwards, all suppliers regulated by the TCP Code </w:t>
      </w:r>
      <w:r w:rsidRPr="003D21F4">
        <w:t>are</w:t>
      </w:r>
      <w:r w:rsidRPr="006134FA">
        <w:t xml:space="preserve"> required to undertake a ‘once-only’ registration with CA by 3 May 2016. In addition, smaller providers (those with fewer than 3,000 services in operation) are required to lodge their attestation documents in CommCom’s first lodgement window (29</w:t>
      </w:r>
      <w:r>
        <w:t> </w:t>
      </w:r>
      <w:r w:rsidRPr="006134FA">
        <w:t>April 2016</w:t>
      </w:r>
      <w:r>
        <w:t xml:space="preserve"> for this reporting period</w:t>
      </w:r>
      <w:r w:rsidRPr="006134FA">
        <w:t>) or submit a deferral notice in that first window</w:t>
      </w:r>
      <w:r>
        <w:t xml:space="preserve"> that</w:t>
      </w:r>
      <w:r w:rsidRPr="006134FA">
        <w:t xml:space="preserve"> allows them to lodge in a (new) second lodgement window (ending on 1 September 2016). Large providers are required to lodge documents in the second lodgement period.</w:t>
      </w:r>
    </w:p>
    <w:p w14:paraId="0B5049B9" w14:textId="77777777" w:rsidR="00AD37AD" w:rsidRPr="006134FA" w:rsidRDefault="00AD37AD" w:rsidP="00AD37AD">
      <w:r w:rsidRPr="006134FA">
        <w:t xml:space="preserve">In June 2016, the ACMA wrote to 23 providers who had not registered with CA by the due date to request that they </w:t>
      </w:r>
      <w:r>
        <w:t>do so immediately</w:t>
      </w:r>
      <w:r w:rsidRPr="006134FA">
        <w:t>. The ACMA will monitor compliance with this requirement.</w:t>
      </w:r>
    </w:p>
    <w:p w14:paraId="2228E34C" w14:textId="77777777" w:rsidR="00AD37AD" w:rsidRPr="006134FA" w:rsidRDefault="00AD37AD" w:rsidP="00D86662">
      <w:r w:rsidRPr="006134FA">
        <w:t xml:space="preserve">For the period 1 July 2015 to 30 June 2016, </w:t>
      </w:r>
      <w:r w:rsidRPr="006134FA">
        <w:rPr>
          <w:rFonts w:cs="Arial"/>
        </w:rPr>
        <w:t xml:space="preserve">27 formal warnings were issued and </w:t>
      </w:r>
      <w:r w:rsidRPr="006134FA">
        <w:t>six telecommunications companies</w:t>
      </w:r>
      <w:r w:rsidRPr="006134FA" w:rsidDel="0059794E">
        <w:t xml:space="preserve"> </w:t>
      </w:r>
      <w:r w:rsidRPr="006134FA">
        <w:t xml:space="preserve">received directions to comply with the TCP Code for failing to lodge CommCom documentation the prior financial year (Table 5.15). </w:t>
      </w:r>
    </w:p>
    <w:p w14:paraId="15A4B114" w14:textId="77777777" w:rsidR="00AD37AD" w:rsidRPr="006134FA" w:rsidRDefault="00AD37AD" w:rsidP="00AD37AD">
      <w:pPr>
        <w:pStyle w:val="ACMATableHeader"/>
        <w:keepNext/>
        <w:numPr>
          <w:ilvl w:val="0"/>
          <w:numId w:val="0"/>
        </w:numPr>
        <w:rPr>
          <w:i/>
        </w:rPr>
      </w:pPr>
      <w:r w:rsidRPr="006134FA">
        <w:t>Table 5.15</w:t>
      </w:r>
      <w:r>
        <w:tab/>
      </w:r>
      <w:r w:rsidRPr="006134FA">
        <w:t xml:space="preserve">ACMA compliance activity </w:t>
      </w:r>
      <w:r>
        <w:t>for</w:t>
      </w:r>
      <w:r w:rsidRPr="006134FA">
        <w:t xml:space="preserve"> the TCP Code</w:t>
      </w:r>
    </w:p>
    <w:tbl>
      <w:tblPr>
        <w:tblStyle w:val="Commsreport2015-16TABLE"/>
        <w:tblW w:w="9042" w:type="dxa"/>
        <w:tblCellMar>
          <w:top w:w="57" w:type="dxa"/>
          <w:left w:w="57" w:type="dxa"/>
          <w:bottom w:w="57" w:type="dxa"/>
          <w:right w:w="57" w:type="dxa"/>
        </w:tblCellMar>
        <w:tblLook w:val="04A0" w:firstRow="1" w:lastRow="0" w:firstColumn="1" w:lastColumn="0" w:noHBand="0" w:noVBand="1"/>
        <w:tblCaption w:val="Table 5.15 ACMA compliance activity for the TCP code"/>
      </w:tblPr>
      <w:tblGrid>
        <w:gridCol w:w="4081"/>
        <w:gridCol w:w="1985"/>
        <w:gridCol w:w="2976"/>
      </w:tblGrid>
      <w:tr w:rsidR="00AD37AD" w:rsidRPr="00515D61" w14:paraId="76000A0D" w14:textId="77777777" w:rsidTr="00515D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1" w:type="dxa"/>
          </w:tcPr>
          <w:p w14:paraId="6A2A1744" w14:textId="77777777" w:rsidR="00AD37AD" w:rsidRPr="00515D61" w:rsidRDefault="00AD37AD" w:rsidP="00515D61">
            <w:pPr>
              <w:pStyle w:val="TableHeading"/>
              <w:rPr>
                <w:b/>
              </w:rPr>
            </w:pPr>
            <w:r w:rsidRPr="00515D61">
              <w:rPr>
                <w:b/>
              </w:rPr>
              <w:t>TCP Code provision</w:t>
            </w:r>
          </w:p>
        </w:tc>
        <w:tc>
          <w:tcPr>
            <w:tcW w:w="1985" w:type="dxa"/>
          </w:tcPr>
          <w:p w14:paraId="6BCB8516" w14:textId="77777777" w:rsidR="00AD37AD" w:rsidRPr="00515D61" w:rsidRDefault="00AD37AD" w:rsidP="00515D61">
            <w:pPr>
              <w:pStyle w:val="TableHeading"/>
              <w:jc w:val="left"/>
              <w:cnfStyle w:val="100000000000" w:firstRow="1" w:lastRow="0" w:firstColumn="0" w:lastColumn="0" w:oddVBand="0" w:evenVBand="0" w:oddHBand="0" w:evenHBand="0" w:firstRowFirstColumn="0" w:firstRowLastColumn="0" w:lastRowFirstColumn="0" w:lastRowLastColumn="0"/>
              <w:rPr>
                <w:b/>
              </w:rPr>
            </w:pPr>
            <w:r w:rsidRPr="00515D61">
              <w:rPr>
                <w:b/>
              </w:rPr>
              <w:t>Enforcement action</w:t>
            </w:r>
          </w:p>
        </w:tc>
        <w:tc>
          <w:tcPr>
            <w:tcW w:w="2976" w:type="dxa"/>
          </w:tcPr>
          <w:p w14:paraId="79BD80B8" w14:textId="77777777" w:rsidR="00AD37AD" w:rsidRPr="00515D61" w:rsidRDefault="00AD37AD" w:rsidP="00515D61">
            <w:pPr>
              <w:pStyle w:val="TableHeading"/>
              <w:jc w:val="left"/>
              <w:cnfStyle w:val="100000000000" w:firstRow="1" w:lastRow="0" w:firstColumn="0" w:lastColumn="0" w:oddVBand="0" w:evenVBand="0" w:oddHBand="0" w:evenHBand="0" w:firstRowFirstColumn="0" w:firstRowLastColumn="0" w:lastRowFirstColumn="0" w:lastRowLastColumn="0"/>
              <w:rPr>
                <w:b/>
              </w:rPr>
            </w:pPr>
            <w:r w:rsidRPr="00515D61">
              <w:rPr>
                <w:b/>
              </w:rPr>
              <w:t xml:space="preserve">Telecommunication company </w:t>
            </w:r>
          </w:p>
        </w:tc>
      </w:tr>
      <w:tr w:rsidR="00AD37AD" w:rsidRPr="006134FA" w14:paraId="5BBE552E" w14:textId="77777777" w:rsidTr="00D86662">
        <w:tc>
          <w:tcPr>
            <w:cnfStyle w:val="001000000000" w:firstRow="0" w:lastRow="0" w:firstColumn="1" w:lastColumn="0" w:oddVBand="0" w:evenVBand="0" w:oddHBand="0" w:evenHBand="0" w:firstRowFirstColumn="0" w:firstRowLastColumn="0" w:lastRowFirstColumn="0" w:lastRowLastColumn="0"/>
            <w:tcW w:w="4081" w:type="dxa"/>
            <w:shd w:val="clear" w:color="auto" w:fill="7FB8CB"/>
          </w:tcPr>
          <w:p w14:paraId="7A8E949F" w14:textId="77777777" w:rsidR="00AD37AD" w:rsidRPr="00BE6BBB" w:rsidRDefault="00AD37AD" w:rsidP="00D86662">
            <w:pPr>
              <w:keepNext/>
              <w:keepLines/>
              <w:spacing w:after="0"/>
              <w:rPr>
                <w:rFonts w:cs="Arial"/>
                <w:color w:val="FFFFFF" w:themeColor="background1"/>
              </w:rPr>
            </w:pPr>
            <w:r w:rsidRPr="00BE6BBB">
              <w:rPr>
                <w:rFonts w:cs="Arial"/>
                <w:color w:val="FFFFFF" w:themeColor="background1"/>
              </w:rPr>
              <w:t>Failing to comply with requirements to provide compliance statements to CommCom in 2015</w:t>
            </w:r>
          </w:p>
        </w:tc>
        <w:tc>
          <w:tcPr>
            <w:tcW w:w="1985" w:type="dxa"/>
          </w:tcPr>
          <w:p w14:paraId="4AE89A5D"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Direction</w:t>
            </w:r>
          </w:p>
        </w:tc>
        <w:tc>
          <w:tcPr>
            <w:tcW w:w="2976" w:type="dxa"/>
          </w:tcPr>
          <w:p w14:paraId="5876AC56"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color w:val="000000"/>
              </w:rPr>
              <w:t>AussieSim Pty Ltd</w:t>
            </w:r>
          </w:p>
        </w:tc>
      </w:tr>
      <w:tr w:rsidR="00AD37AD" w:rsidRPr="006134FA" w14:paraId="6A53D737" w14:textId="77777777" w:rsidTr="00D86662">
        <w:tc>
          <w:tcPr>
            <w:cnfStyle w:val="001000000000" w:firstRow="0" w:lastRow="0" w:firstColumn="1" w:lastColumn="0" w:oddVBand="0" w:evenVBand="0" w:oddHBand="0" w:evenHBand="0" w:firstRowFirstColumn="0" w:firstRowLastColumn="0" w:lastRowFirstColumn="0" w:lastRowLastColumn="0"/>
            <w:tcW w:w="4081" w:type="dxa"/>
            <w:shd w:val="clear" w:color="auto" w:fill="7FB8CB"/>
          </w:tcPr>
          <w:p w14:paraId="2FD69BCE" w14:textId="77777777" w:rsidR="00AD37AD" w:rsidRPr="00BE6BBB" w:rsidRDefault="00AD37AD" w:rsidP="00D86662">
            <w:pPr>
              <w:keepNext/>
              <w:keepLines/>
              <w:spacing w:after="0"/>
              <w:rPr>
                <w:rFonts w:cs="Arial"/>
                <w:color w:val="FFFFFF" w:themeColor="background1"/>
              </w:rPr>
            </w:pPr>
            <w:r w:rsidRPr="00BE6BBB">
              <w:rPr>
                <w:rFonts w:cs="Arial"/>
                <w:color w:val="FFFFFF" w:themeColor="background1"/>
              </w:rPr>
              <w:t>Failing to comply with requirements to provide compliance statements to CommCom in 2015</w:t>
            </w:r>
          </w:p>
        </w:tc>
        <w:tc>
          <w:tcPr>
            <w:tcW w:w="1985" w:type="dxa"/>
          </w:tcPr>
          <w:p w14:paraId="5723FC5C"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Direction</w:t>
            </w:r>
          </w:p>
        </w:tc>
        <w:tc>
          <w:tcPr>
            <w:tcW w:w="2976" w:type="dxa"/>
          </w:tcPr>
          <w:p w14:paraId="1A953D0D"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color w:val="000000"/>
              </w:rPr>
              <w:t>Btel Communications Pty Ltd</w:t>
            </w:r>
          </w:p>
        </w:tc>
      </w:tr>
      <w:tr w:rsidR="00AD37AD" w:rsidRPr="006134FA" w14:paraId="343800D1" w14:textId="77777777" w:rsidTr="00D86662">
        <w:tc>
          <w:tcPr>
            <w:cnfStyle w:val="001000000000" w:firstRow="0" w:lastRow="0" w:firstColumn="1" w:lastColumn="0" w:oddVBand="0" w:evenVBand="0" w:oddHBand="0" w:evenHBand="0" w:firstRowFirstColumn="0" w:firstRowLastColumn="0" w:lastRowFirstColumn="0" w:lastRowLastColumn="0"/>
            <w:tcW w:w="4081" w:type="dxa"/>
            <w:shd w:val="clear" w:color="auto" w:fill="7FB8CB"/>
          </w:tcPr>
          <w:p w14:paraId="2D743B5D" w14:textId="77777777" w:rsidR="00AD37AD" w:rsidRPr="00BE6BBB" w:rsidRDefault="00AD37AD" w:rsidP="00D86662">
            <w:pPr>
              <w:keepNext/>
              <w:keepLines/>
              <w:spacing w:after="0"/>
              <w:rPr>
                <w:rFonts w:cs="Arial"/>
                <w:color w:val="FFFFFF" w:themeColor="background1"/>
              </w:rPr>
            </w:pPr>
            <w:r w:rsidRPr="00BE6BBB">
              <w:rPr>
                <w:rFonts w:cs="Arial"/>
                <w:color w:val="FFFFFF" w:themeColor="background1"/>
              </w:rPr>
              <w:t>Failing to comply with requirements to provide compliance statements to CommCom in 2015</w:t>
            </w:r>
          </w:p>
        </w:tc>
        <w:tc>
          <w:tcPr>
            <w:tcW w:w="1985" w:type="dxa"/>
          </w:tcPr>
          <w:p w14:paraId="5F162537"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Direction</w:t>
            </w:r>
          </w:p>
        </w:tc>
        <w:tc>
          <w:tcPr>
            <w:tcW w:w="2976" w:type="dxa"/>
          </w:tcPr>
          <w:p w14:paraId="6F9EA54A"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color w:val="000000"/>
              </w:rPr>
              <w:t>Datawave Internet Pty Ltd</w:t>
            </w:r>
          </w:p>
        </w:tc>
      </w:tr>
      <w:tr w:rsidR="00AD37AD" w:rsidRPr="006134FA" w14:paraId="6EBAC845" w14:textId="77777777" w:rsidTr="00D86662">
        <w:tc>
          <w:tcPr>
            <w:cnfStyle w:val="001000000000" w:firstRow="0" w:lastRow="0" w:firstColumn="1" w:lastColumn="0" w:oddVBand="0" w:evenVBand="0" w:oddHBand="0" w:evenHBand="0" w:firstRowFirstColumn="0" w:firstRowLastColumn="0" w:lastRowFirstColumn="0" w:lastRowLastColumn="0"/>
            <w:tcW w:w="4081" w:type="dxa"/>
            <w:shd w:val="clear" w:color="auto" w:fill="7FB8CB"/>
          </w:tcPr>
          <w:p w14:paraId="6384325B" w14:textId="77777777" w:rsidR="00AD37AD" w:rsidRPr="00BE6BBB" w:rsidRDefault="00AD37AD" w:rsidP="00D86662">
            <w:pPr>
              <w:keepNext/>
              <w:keepLines/>
              <w:spacing w:after="0"/>
              <w:rPr>
                <w:rFonts w:cs="Arial"/>
                <w:color w:val="FFFFFF" w:themeColor="background1"/>
              </w:rPr>
            </w:pPr>
            <w:r w:rsidRPr="00BE6BBB">
              <w:rPr>
                <w:rFonts w:cs="Arial"/>
                <w:color w:val="FFFFFF" w:themeColor="background1"/>
              </w:rPr>
              <w:t>Failing to comply with requirements to provide compliance statements to CommCom in 2015</w:t>
            </w:r>
          </w:p>
        </w:tc>
        <w:tc>
          <w:tcPr>
            <w:tcW w:w="1985" w:type="dxa"/>
          </w:tcPr>
          <w:p w14:paraId="618CC47E"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Direction</w:t>
            </w:r>
          </w:p>
        </w:tc>
        <w:tc>
          <w:tcPr>
            <w:tcW w:w="2976" w:type="dxa"/>
          </w:tcPr>
          <w:p w14:paraId="705B0424"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color w:val="000000"/>
              </w:rPr>
              <w:t>Golden IT Pty Ltd</w:t>
            </w:r>
          </w:p>
        </w:tc>
      </w:tr>
      <w:tr w:rsidR="00AD37AD" w:rsidRPr="006134FA" w14:paraId="4EF31BC2" w14:textId="77777777" w:rsidTr="00D86662">
        <w:tc>
          <w:tcPr>
            <w:cnfStyle w:val="001000000000" w:firstRow="0" w:lastRow="0" w:firstColumn="1" w:lastColumn="0" w:oddVBand="0" w:evenVBand="0" w:oddHBand="0" w:evenHBand="0" w:firstRowFirstColumn="0" w:firstRowLastColumn="0" w:lastRowFirstColumn="0" w:lastRowLastColumn="0"/>
            <w:tcW w:w="4081" w:type="dxa"/>
            <w:shd w:val="clear" w:color="auto" w:fill="7FB8CB"/>
          </w:tcPr>
          <w:p w14:paraId="0EA1EE30" w14:textId="77777777" w:rsidR="00AD37AD" w:rsidRPr="00BE6BBB" w:rsidRDefault="00AD37AD" w:rsidP="00D86662">
            <w:pPr>
              <w:keepNext/>
              <w:keepLines/>
              <w:spacing w:after="0"/>
              <w:rPr>
                <w:rFonts w:cs="Arial"/>
                <w:color w:val="FFFFFF" w:themeColor="background1"/>
              </w:rPr>
            </w:pPr>
            <w:r w:rsidRPr="00BE6BBB">
              <w:rPr>
                <w:rFonts w:cs="Arial"/>
                <w:color w:val="FFFFFF" w:themeColor="background1"/>
              </w:rPr>
              <w:t>Failing to comply with requirements to provide compliance statements to CommCom in 2015</w:t>
            </w:r>
          </w:p>
        </w:tc>
        <w:tc>
          <w:tcPr>
            <w:tcW w:w="1985" w:type="dxa"/>
          </w:tcPr>
          <w:p w14:paraId="753B694C"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Direction</w:t>
            </w:r>
          </w:p>
        </w:tc>
        <w:tc>
          <w:tcPr>
            <w:tcW w:w="2976" w:type="dxa"/>
          </w:tcPr>
          <w:p w14:paraId="03437BDA"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color w:val="000000"/>
              </w:rPr>
              <w:t>Harbour Of Technology Pty Ltd</w:t>
            </w:r>
          </w:p>
        </w:tc>
      </w:tr>
      <w:tr w:rsidR="00AD37AD" w:rsidRPr="006134FA" w14:paraId="2751D1ED" w14:textId="77777777" w:rsidTr="00D86662">
        <w:tc>
          <w:tcPr>
            <w:cnfStyle w:val="001000000000" w:firstRow="0" w:lastRow="0" w:firstColumn="1" w:lastColumn="0" w:oddVBand="0" w:evenVBand="0" w:oddHBand="0" w:evenHBand="0" w:firstRowFirstColumn="0" w:firstRowLastColumn="0" w:lastRowFirstColumn="0" w:lastRowLastColumn="0"/>
            <w:tcW w:w="4081" w:type="dxa"/>
            <w:shd w:val="clear" w:color="auto" w:fill="7FB8CB"/>
          </w:tcPr>
          <w:p w14:paraId="5F7CB8D8" w14:textId="77777777" w:rsidR="00AD37AD" w:rsidRPr="00BE6BBB" w:rsidRDefault="00AD37AD" w:rsidP="00D86662">
            <w:pPr>
              <w:keepNext/>
              <w:keepLines/>
              <w:spacing w:after="0"/>
              <w:rPr>
                <w:rFonts w:cs="Arial"/>
                <w:color w:val="FFFFFF" w:themeColor="background1"/>
              </w:rPr>
            </w:pPr>
            <w:r w:rsidRPr="00BE6BBB">
              <w:rPr>
                <w:rFonts w:cs="Arial"/>
                <w:color w:val="FFFFFF" w:themeColor="background1"/>
              </w:rPr>
              <w:t>Failing to comply with requirements to provide compliance statements to CommCom in 2015</w:t>
            </w:r>
          </w:p>
        </w:tc>
        <w:tc>
          <w:tcPr>
            <w:tcW w:w="1985" w:type="dxa"/>
          </w:tcPr>
          <w:p w14:paraId="4ECC1F5E"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Direction</w:t>
            </w:r>
          </w:p>
        </w:tc>
        <w:tc>
          <w:tcPr>
            <w:tcW w:w="2976" w:type="dxa"/>
          </w:tcPr>
          <w:p w14:paraId="07DC3E61"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color w:val="000000"/>
              </w:rPr>
              <w:t>MVoice Pty Ltd</w:t>
            </w:r>
          </w:p>
        </w:tc>
      </w:tr>
      <w:tr w:rsidR="00AD37AD" w:rsidRPr="006134FA" w14:paraId="3B56AF02" w14:textId="77777777" w:rsidTr="00D86662">
        <w:tc>
          <w:tcPr>
            <w:cnfStyle w:val="001000000000" w:firstRow="0" w:lastRow="0" w:firstColumn="1" w:lastColumn="0" w:oddVBand="0" w:evenVBand="0" w:oddHBand="0" w:evenHBand="0" w:firstRowFirstColumn="0" w:firstRowLastColumn="0" w:lastRowFirstColumn="0" w:lastRowLastColumn="0"/>
            <w:tcW w:w="4081" w:type="dxa"/>
            <w:shd w:val="clear" w:color="auto" w:fill="7FB8CB"/>
          </w:tcPr>
          <w:p w14:paraId="08EF3DE7" w14:textId="77777777" w:rsidR="00AD37AD" w:rsidRPr="00BE6BBB" w:rsidRDefault="00AD37AD" w:rsidP="00D86662">
            <w:pPr>
              <w:keepNext/>
              <w:keepLines/>
              <w:spacing w:after="0"/>
              <w:rPr>
                <w:rFonts w:cs="Arial"/>
                <w:color w:val="FFFFFF" w:themeColor="background1"/>
              </w:rPr>
            </w:pPr>
            <w:r w:rsidRPr="00BE6BBB">
              <w:rPr>
                <w:rFonts w:cs="Arial"/>
                <w:color w:val="FFFFFF" w:themeColor="background1"/>
              </w:rPr>
              <w:t>Inadequate CISs</w:t>
            </w:r>
          </w:p>
        </w:tc>
        <w:tc>
          <w:tcPr>
            <w:tcW w:w="1985" w:type="dxa"/>
          </w:tcPr>
          <w:p w14:paraId="5D26815C"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Formal warning</w:t>
            </w:r>
          </w:p>
        </w:tc>
        <w:tc>
          <w:tcPr>
            <w:tcW w:w="2976" w:type="dxa"/>
          </w:tcPr>
          <w:p w14:paraId="293D9A56"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iTalkBB Australia Pty Ltd</w:t>
            </w:r>
          </w:p>
        </w:tc>
      </w:tr>
      <w:tr w:rsidR="00AD37AD" w:rsidRPr="006134FA" w14:paraId="5109DA79" w14:textId="77777777" w:rsidTr="00D86662">
        <w:tc>
          <w:tcPr>
            <w:cnfStyle w:val="001000000000" w:firstRow="0" w:lastRow="0" w:firstColumn="1" w:lastColumn="0" w:oddVBand="0" w:evenVBand="0" w:oddHBand="0" w:evenHBand="0" w:firstRowFirstColumn="0" w:firstRowLastColumn="0" w:lastRowFirstColumn="0" w:lastRowLastColumn="0"/>
            <w:tcW w:w="4081" w:type="dxa"/>
            <w:shd w:val="clear" w:color="auto" w:fill="7FB8CB"/>
          </w:tcPr>
          <w:p w14:paraId="0784AA6F" w14:textId="77777777" w:rsidR="00AD37AD" w:rsidRPr="00BE6BBB" w:rsidRDefault="00AD37AD" w:rsidP="00D86662">
            <w:pPr>
              <w:keepNext/>
              <w:keepLines/>
              <w:spacing w:after="0"/>
              <w:rPr>
                <w:rFonts w:cs="Arial"/>
                <w:color w:val="FFFFFF" w:themeColor="background1"/>
              </w:rPr>
            </w:pPr>
            <w:r w:rsidRPr="00BE6BBB">
              <w:rPr>
                <w:rFonts w:cs="Arial"/>
                <w:color w:val="FFFFFF" w:themeColor="background1"/>
              </w:rPr>
              <w:t>Failing to comply with transfer provisions</w:t>
            </w:r>
          </w:p>
        </w:tc>
        <w:tc>
          <w:tcPr>
            <w:tcW w:w="1985" w:type="dxa"/>
          </w:tcPr>
          <w:p w14:paraId="078B1B7A"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Formal warning</w:t>
            </w:r>
          </w:p>
        </w:tc>
        <w:tc>
          <w:tcPr>
            <w:tcW w:w="2976" w:type="dxa"/>
          </w:tcPr>
          <w:p w14:paraId="7EA9BECE"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Exceed Connect Pty Ltd</w:t>
            </w:r>
          </w:p>
        </w:tc>
      </w:tr>
      <w:tr w:rsidR="00AD37AD" w:rsidRPr="006134FA" w14:paraId="3AD16A3E" w14:textId="77777777" w:rsidTr="00D86662">
        <w:tc>
          <w:tcPr>
            <w:cnfStyle w:val="001000000000" w:firstRow="0" w:lastRow="0" w:firstColumn="1" w:lastColumn="0" w:oddVBand="0" w:evenVBand="0" w:oddHBand="0" w:evenHBand="0" w:firstRowFirstColumn="0" w:firstRowLastColumn="0" w:lastRowFirstColumn="0" w:lastRowLastColumn="0"/>
            <w:tcW w:w="4081" w:type="dxa"/>
            <w:shd w:val="clear" w:color="auto" w:fill="7FB8CB"/>
          </w:tcPr>
          <w:p w14:paraId="020F34B2" w14:textId="77777777" w:rsidR="00AD37AD" w:rsidRPr="00BE6BBB" w:rsidRDefault="00AD37AD" w:rsidP="00D86662">
            <w:pPr>
              <w:keepNext/>
              <w:keepLines/>
              <w:spacing w:after="0"/>
              <w:rPr>
                <w:rFonts w:cs="Arial"/>
                <w:color w:val="FFFFFF" w:themeColor="background1"/>
              </w:rPr>
            </w:pPr>
            <w:r w:rsidRPr="00BE6BBB">
              <w:rPr>
                <w:rFonts w:cs="Arial"/>
                <w:color w:val="FFFFFF" w:themeColor="background1"/>
              </w:rPr>
              <w:t>Referrals from CommCom for failing to lodge compliance statements in 2015</w:t>
            </w:r>
          </w:p>
        </w:tc>
        <w:tc>
          <w:tcPr>
            <w:tcW w:w="1985" w:type="dxa"/>
          </w:tcPr>
          <w:p w14:paraId="1C6530E3"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Formal warning</w:t>
            </w:r>
          </w:p>
        </w:tc>
        <w:tc>
          <w:tcPr>
            <w:tcW w:w="2976" w:type="dxa"/>
          </w:tcPr>
          <w:p w14:paraId="71112BFD" w14:textId="77777777" w:rsidR="00AD37AD" w:rsidRPr="006134FA" w:rsidRDefault="00AD37AD" w:rsidP="008B0114">
            <w:pPr>
              <w:keepNext/>
              <w:keepLines/>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6134FA">
              <w:rPr>
                <w:rFonts w:cs="Arial"/>
              </w:rPr>
              <w:t>25 providers</w:t>
            </w:r>
          </w:p>
        </w:tc>
      </w:tr>
    </w:tbl>
    <w:p w14:paraId="0EE5A491" w14:textId="77777777" w:rsidR="00AD37AD" w:rsidRDefault="00AD37AD" w:rsidP="00AD37AD">
      <w:pPr>
        <w:pStyle w:val="ACMANotes"/>
      </w:pPr>
      <w:r w:rsidRPr="006134FA">
        <w:t>Source: ACMA.</w:t>
      </w:r>
    </w:p>
    <w:p w14:paraId="1AE71290" w14:textId="77777777" w:rsidR="00AD37AD" w:rsidRPr="006134FA" w:rsidRDefault="00AD37AD" w:rsidP="00AD37AD">
      <w:pPr>
        <w:pStyle w:val="ACMASpaceaftertable"/>
      </w:pPr>
    </w:p>
    <w:p w14:paraId="2DBFE785" w14:textId="77777777" w:rsidR="00AD37AD" w:rsidRPr="006134FA" w:rsidRDefault="00AD37AD" w:rsidP="00841849">
      <w:pPr>
        <w:pStyle w:val="Heading2"/>
        <w:numPr>
          <w:ilvl w:val="1"/>
          <w:numId w:val="12"/>
        </w:numPr>
        <w:ind w:hanging="792"/>
      </w:pPr>
      <w:bookmarkStart w:id="804" w:name="_Toc462909518"/>
      <w:bookmarkStart w:id="805" w:name="_Toc465842999"/>
      <w:r w:rsidRPr="006134FA">
        <w:lastRenderedPageBreak/>
        <w:t>Cabling</w:t>
      </w:r>
      <w:bookmarkEnd w:id="804"/>
      <w:bookmarkEnd w:id="805"/>
      <w:r w:rsidRPr="006134FA">
        <w:t xml:space="preserve"> </w:t>
      </w:r>
    </w:p>
    <w:p w14:paraId="36219E8D" w14:textId="77777777" w:rsidR="00AD37AD" w:rsidRPr="006134FA" w:rsidRDefault="00AD37AD" w:rsidP="00AD37AD">
      <w:pPr>
        <w:pStyle w:val="Heading3"/>
      </w:pPr>
      <w:bookmarkStart w:id="806" w:name="_Toc462909519"/>
      <w:bookmarkStart w:id="807" w:name="_Toc465843000"/>
      <w:r w:rsidRPr="006134FA">
        <w:t>Registered cablers</w:t>
      </w:r>
      <w:bookmarkEnd w:id="806"/>
      <w:bookmarkEnd w:id="807"/>
    </w:p>
    <w:p w14:paraId="42CC5AC5" w14:textId="77777777" w:rsidR="00AD37AD" w:rsidRPr="006134FA" w:rsidRDefault="00AD37AD" w:rsidP="00AD37AD">
      <w:r w:rsidRPr="006134FA">
        <w:t>Every person who works on customer cabling connected to the telecommunications network, or intended for use on the customer side of the network boundary, must either be registered with an ACMA-accredited registrar as a cabling provider or supervised by a person who is registered.</w:t>
      </w:r>
      <w:r>
        <w:t xml:space="preserve"> </w:t>
      </w:r>
      <w:r w:rsidRPr="006134FA">
        <w:t>The ACMA’s regulatory requirements for customer cabling work are set out in the Telecommunications Cabling Provider Rules 2014</w:t>
      </w:r>
      <w:r>
        <w:t xml:space="preserve"> (Cabling Provider Rules)</w:t>
      </w:r>
      <w:r w:rsidRPr="006134FA">
        <w:t xml:space="preserve">. The Cabling Provider Rules require customer cabling work to comply with the technical requirements in AS/CA S009 </w:t>
      </w:r>
      <w:r>
        <w:rPr>
          <w:rFonts w:cs="Arial"/>
          <w:i/>
          <w:iCs/>
          <w:sz w:val="19"/>
          <w:szCs w:val="19"/>
        </w:rPr>
        <w:t xml:space="preserve">– </w:t>
      </w:r>
      <w:r w:rsidRPr="00F30AE3">
        <w:rPr>
          <w:rFonts w:cs="Arial"/>
          <w:i/>
          <w:iCs/>
          <w:sz w:val="19"/>
          <w:szCs w:val="19"/>
        </w:rPr>
        <w:t>Installation Requirements for Customer Cabling</w:t>
      </w:r>
      <w:r w:rsidRPr="006134FA">
        <w:t xml:space="preserve"> (the Wiring Rules).</w:t>
      </w:r>
    </w:p>
    <w:p w14:paraId="34C2FF59" w14:textId="77777777" w:rsidR="00AD37AD" w:rsidRPr="006134FA" w:rsidRDefault="00AD37AD" w:rsidP="00AD37AD">
      <w:r w:rsidRPr="006134FA">
        <w:t xml:space="preserve">In 2015–16, there were five ACMA-accredited registrars providing registration and other associated services to cablers. </w:t>
      </w:r>
    </w:p>
    <w:p w14:paraId="37CAD39F" w14:textId="77777777" w:rsidR="00AD37AD" w:rsidRPr="006134FA" w:rsidRDefault="00AD37AD" w:rsidP="00AD37AD">
      <w:r w:rsidRPr="006134FA">
        <w:t>Table 5.16 shows that the total number of registered cablers in the industry has increased each year since 30 June 2012.</w:t>
      </w:r>
    </w:p>
    <w:p w14:paraId="7B254FE1" w14:textId="77777777" w:rsidR="00AD37AD" w:rsidRPr="006134FA" w:rsidRDefault="00AD37AD" w:rsidP="00AD37AD">
      <w:pPr>
        <w:pStyle w:val="ACMATableHeader"/>
        <w:numPr>
          <w:ilvl w:val="0"/>
          <w:numId w:val="0"/>
        </w:numPr>
      </w:pPr>
      <w:r w:rsidRPr="006134FA">
        <w:t>Table 5.16</w:t>
      </w:r>
      <w:r>
        <w:tab/>
      </w:r>
      <w:r w:rsidRPr="006134FA">
        <w:t>Total number of licen</w:t>
      </w:r>
      <w:r>
        <w:t>s</w:t>
      </w:r>
      <w:r w:rsidRPr="006134FA">
        <w:t>ed/registered cablers</w:t>
      </w:r>
    </w:p>
    <w:tbl>
      <w:tblPr>
        <w:tblStyle w:val="Commsreport2015-16TABLE"/>
        <w:tblW w:w="9042" w:type="dxa"/>
        <w:tblLayout w:type="fixed"/>
        <w:tblCellMar>
          <w:top w:w="57" w:type="dxa"/>
          <w:left w:w="57" w:type="dxa"/>
          <w:bottom w:w="57" w:type="dxa"/>
          <w:right w:w="57" w:type="dxa"/>
        </w:tblCellMar>
        <w:tblLook w:val="04A0" w:firstRow="1" w:lastRow="0" w:firstColumn="1" w:lastColumn="0" w:noHBand="0" w:noVBand="1"/>
        <w:tblCaption w:val="Table 5.16 Total number of licenced/registered cablers"/>
      </w:tblPr>
      <w:tblGrid>
        <w:gridCol w:w="2354"/>
        <w:gridCol w:w="1337"/>
        <w:gridCol w:w="1338"/>
        <w:gridCol w:w="1337"/>
        <w:gridCol w:w="1338"/>
        <w:gridCol w:w="1338"/>
      </w:tblGrid>
      <w:tr w:rsidR="00AD37AD" w:rsidRPr="003570BF" w14:paraId="3FA658CA" w14:textId="77777777" w:rsidTr="003570BF">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2354" w:type="dxa"/>
            <w:shd w:val="clear" w:color="auto" w:fill="FFFFFF"/>
          </w:tcPr>
          <w:p w14:paraId="617651C3" w14:textId="77777777" w:rsidR="00AD37AD" w:rsidRPr="003570BF" w:rsidRDefault="00AD37AD" w:rsidP="003570BF">
            <w:pPr>
              <w:pStyle w:val="TableHeading"/>
              <w:jc w:val="right"/>
              <w:rPr>
                <w:b/>
              </w:rPr>
            </w:pPr>
          </w:p>
        </w:tc>
        <w:tc>
          <w:tcPr>
            <w:tcW w:w="1337" w:type="dxa"/>
          </w:tcPr>
          <w:p w14:paraId="132B9CC1"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Jun 12</w:t>
            </w:r>
          </w:p>
        </w:tc>
        <w:tc>
          <w:tcPr>
            <w:tcW w:w="1338" w:type="dxa"/>
          </w:tcPr>
          <w:p w14:paraId="0B2955B5"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Jun 13</w:t>
            </w:r>
          </w:p>
        </w:tc>
        <w:tc>
          <w:tcPr>
            <w:tcW w:w="1337" w:type="dxa"/>
          </w:tcPr>
          <w:p w14:paraId="4BC9C011"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Jun 14</w:t>
            </w:r>
          </w:p>
        </w:tc>
        <w:tc>
          <w:tcPr>
            <w:tcW w:w="1338" w:type="dxa"/>
          </w:tcPr>
          <w:p w14:paraId="15DA38AD"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Jun 15</w:t>
            </w:r>
          </w:p>
        </w:tc>
        <w:tc>
          <w:tcPr>
            <w:tcW w:w="1338" w:type="dxa"/>
          </w:tcPr>
          <w:p w14:paraId="6FBCF8EC"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Jun 16</w:t>
            </w:r>
          </w:p>
        </w:tc>
      </w:tr>
      <w:tr w:rsidR="00AD37AD" w:rsidRPr="006134FA" w14:paraId="2A2329D6" w14:textId="77777777" w:rsidTr="00D86662">
        <w:trPr>
          <w:trHeight w:val="94"/>
        </w:trPr>
        <w:tc>
          <w:tcPr>
            <w:cnfStyle w:val="001000000000" w:firstRow="0" w:lastRow="0" w:firstColumn="1" w:lastColumn="0" w:oddVBand="0" w:evenVBand="0" w:oddHBand="0" w:evenHBand="0" w:firstRowFirstColumn="0" w:firstRowLastColumn="0" w:lastRowFirstColumn="0" w:lastRowLastColumn="0"/>
            <w:tcW w:w="2354" w:type="dxa"/>
            <w:shd w:val="clear" w:color="auto" w:fill="7FB8CB"/>
          </w:tcPr>
          <w:p w14:paraId="6BA91C51" w14:textId="77777777" w:rsidR="00AD37AD" w:rsidRPr="006134FA" w:rsidRDefault="00AD37AD" w:rsidP="00D86662">
            <w:pPr>
              <w:spacing w:after="0"/>
            </w:pPr>
            <w:r w:rsidRPr="00BE6BBB">
              <w:rPr>
                <w:color w:val="FFFFFF" w:themeColor="background1"/>
              </w:rPr>
              <w:t>Number of cablers</w:t>
            </w:r>
          </w:p>
        </w:tc>
        <w:tc>
          <w:tcPr>
            <w:tcW w:w="1337" w:type="dxa"/>
          </w:tcPr>
          <w:p w14:paraId="51B02E95"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pPr>
            <w:r w:rsidRPr="006134FA">
              <w:rPr>
                <w:rFonts w:cs="Arial"/>
                <w:szCs w:val="18"/>
              </w:rPr>
              <w:t>67,637</w:t>
            </w:r>
          </w:p>
        </w:tc>
        <w:tc>
          <w:tcPr>
            <w:tcW w:w="1338" w:type="dxa"/>
          </w:tcPr>
          <w:p w14:paraId="6EF7FE57"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pPr>
            <w:r w:rsidRPr="006134FA">
              <w:rPr>
                <w:rFonts w:cs="Arial"/>
                <w:szCs w:val="18"/>
              </w:rPr>
              <w:t>69,155</w:t>
            </w:r>
          </w:p>
        </w:tc>
        <w:tc>
          <w:tcPr>
            <w:tcW w:w="1337" w:type="dxa"/>
          </w:tcPr>
          <w:p w14:paraId="3AE5453E"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pPr>
            <w:r w:rsidRPr="006134FA">
              <w:rPr>
                <w:rFonts w:cs="Arial"/>
                <w:szCs w:val="18"/>
              </w:rPr>
              <w:t>71,057</w:t>
            </w:r>
          </w:p>
        </w:tc>
        <w:tc>
          <w:tcPr>
            <w:tcW w:w="1338" w:type="dxa"/>
          </w:tcPr>
          <w:p w14:paraId="089E3C42"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pPr>
            <w:r w:rsidRPr="006134FA">
              <w:rPr>
                <w:rFonts w:cs="Arial"/>
                <w:szCs w:val="18"/>
              </w:rPr>
              <w:t>71,288</w:t>
            </w:r>
          </w:p>
        </w:tc>
        <w:tc>
          <w:tcPr>
            <w:tcW w:w="1338" w:type="dxa"/>
          </w:tcPr>
          <w:p w14:paraId="397A768F" w14:textId="77777777" w:rsidR="00AD37AD" w:rsidRPr="006134FA" w:rsidRDefault="00AD37AD" w:rsidP="008B0114">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6134FA">
              <w:rPr>
                <w:rFonts w:cs="Arial"/>
                <w:szCs w:val="18"/>
              </w:rPr>
              <w:t>72,302</w:t>
            </w:r>
          </w:p>
        </w:tc>
      </w:tr>
    </w:tbl>
    <w:p w14:paraId="2208C113" w14:textId="77777777" w:rsidR="00AD37AD" w:rsidRDefault="00AD37AD" w:rsidP="00DE4C83">
      <w:pPr>
        <w:pStyle w:val="ACMANotes"/>
      </w:pPr>
      <w:r w:rsidRPr="006134FA">
        <w:t>Source: ACMA.</w:t>
      </w:r>
    </w:p>
    <w:p w14:paraId="44E3B092" w14:textId="77777777" w:rsidR="00DE4C83" w:rsidRDefault="00DE4C83" w:rsidP="00DE4C83">
      <w:pPr>
        <w:pStyle w:val="ACMASpaceaftertable"/>
      </w:pPr>
    </w:p>
    <w:p w14:paraId="6DF9B37E" w14:textId="77777777" w:rsidR="00AD37AD" w:rsidRPr="006134FA" w:rsidRDefault="00AD37AD" w:rsidP="00DE4C83">
      <w:pPr>
        <w:pStyle w:val="Heading3"/>
        <w:keepLines/>
      </w:pPr>
      <w:bookmarkStart w:id="808" w:name="_Toc462909520"/>
      <w:bookmarkStart w:id="809" w:name="_Toc465843001"/>
      <w:r w:rsidRPr="006134FA">
        <w:t>Cabling compliance</w:t>
      </w:r>
      <w:bookmarkEnd w:id="808"/>
      <w:bookmarkEnd w:id="809"/>
    </w:p>
    <w:p w14:paraId="1F67DC8A" w14:textId="77777777" w:rsidR="00AD37AD" w:rsidRPr="006134FA" w:rsidRDefault="00AD37AD" w:rsidP="00DE4C83">
      <w:pPr>
        <w:keepNext/>
        <w:keepLines/>
      </w:pPr>
      <w:r w:rsidRPr="006134FA">
        <w:t>The ACMA investigates complaints about non-compliant cabling work or work performed by unregistered cablers. Where appropriate, the ACMA conducts investigations arising from these complaints.</w:t>
      </w:r>
    </w:p>
    <w:p w14:paraId="6E846608" w14:textId="77777777" w:rsidR="00AD37AD" w:rsidRPr="006134FA" w:rsidRDefault="00AD37AD" w:rsidP="00DE4C83">
      <w:pPr>
        <w:keepNext/>
        <w:keepLines/>
      </w:pPr>
      <w:r w:rsidRPr="006134FA">
        <w:t>During 2015–16, the ACMA received 12 cabling-related complaints</w:t>
      </w:r>
      <w:r>
        <w:t xml:space="preserve"> and</w:t>
      </w:r>
      <w:r w:rsidRPr="006134FA">
        <w:t xml:space="preserve"> conducted 29 cabling inspections. The ACMA issued two warning notices under the </w:t>
      </w:r>
      <w:r>
        <w:rPr>
          <w:iCs/>
        </w:rPr>
        <w:t>Act</w:t>
      </w:r>
      <w:r w:rsidR="001D4EAA">
        <w:rPr>
          <w:iCs/>
        </w:rPr>
        <w:t xml:space="preserve"> </w:t>
      </w:r>
      <w:r w:rsidRPr="006134FA">
        <w:t>for unregistered cabling work and one advice notice for non-compliant cabling. No telecommunications infringement notices were issued.</w:t>
      </w:r>
    </w:p>
    <w:p w14:paraId="684B412E" w14:textId="77777777" w:rsidR="00AD37AD" w:rsidRPr="006134FA" w:rsidRDefault="00AD37AD" w:rsidP="00841849">
      <w:pPr>
        <w:pStyle w:val="Heading2"/>
        <w:numPr>
          <w:ilvl w:val="1"/>
          <w:numId w:val="12"/>
        </w:numPr>
        <w:ind w:hanging="792"/>
      </w:pPr>
      <w:bookmarkStart w:id="810" w:name="_Toc465843002"/>
      <w:bookmarkStart w:id="811" w:name="_Toc462909521"/>
      <w:r w:rsidRPr="006134FA">
        <w:t xml:space="preserve">Do Not </w:t>
      </w:r>
      <w:r w:rsidRPr="006451F5">
        <w:t>Call</w:t>
      </w:r>
      <w:r w:rsidRPr="006134FA">
        <w:t xml:space="preserve"> Register</w:t>
      </w:r>
      <w:bookmarkEnd w:id="810"/>
      <w:r w:rsidRPr="006134FA">
        <w:t xml:space="preserve"> </w:t>
      </w:r>
      <w:bookmarkEnd w:id="811"/>
    </w:p>
    <w:p w14:paraId="2A1080B7" w14:textId="77777777" w:rsidR="00AD37AD" w:rsidRPr="006134FA" w:rsidRDefault="00AD37AD" w:rsidP="00AD37AD">
      <w:pPr>
        <w:spacing w:after="80"/>
      </w:pPr>
      <w:r w:rsidRPr="006134FA">
        <w:t>The DNCR is a secure database that allows people to list their numbers to opt out of receiving most unsolicited telemarketing calls and marketing faxes. A number is eligible to be registered if it is:</w:t>
      </w:r>
    </w:p>
    <w:p w14:paraId="5626C1BF" w14:textId="77777777" w:rsidR="00AD37AD" w:rsidRPr="00094829" w:rsidRDefault="00AD37AD" w:rsidP="00AD37AD">
      <w:pPr>
        <w:pStyle w:val="ListBullet"/>
      </w:pPr>
      <w:r w:rsidRPr="00094829">
        <w:t>used or maintained primarily for private or domestic purposes</w:t>
      </w:r>
    </w:p>
    <w:p w14:paraId="27E3B15A" w14:textId="77777777" w:rsidR="00AD37AD" w:rsidRPr="00940AB7" w:rsidRDefault="00AD37AD" w:rsidP="00AD37AD">
      <w:pPr>
        <w:pStyle w:val="ListBullet"/>
      </w:pPr>
      <w:r w:rsidRPr="00940AB7">
        <w:t>used for transmitting and/or receiving faxes</w:t>
      </w:r>
    </w:p>
    <w:p w14:paraId="651791ED" w14:textId="77777777" w:rsidR="00AD37AD" w:rsidRPr="00112929" w:rsidRDefault="00AD37AD" w:rsidP="00AD37AD">
      <w:pPr>
        <w:pStyle w:val="ListBullet"/>
      </w:pPr>
      <w:r w:rsidRPr="00112929">
        <w:t>used exclusively by a government body</w:t>
      </w:r>
    </w:p>
    <w:p w14:paraId="54460ED5" w14:textId="77777777" w:rsidR="00AD37AD" w:rsidRPr="00DA3FD4" w:rsidRDefault="00AD37AD" w:rsidP="00AD37AD">
      <w:pPr>
        <w:pStyle w:val="ListBulletLast"/>
        <w:rPr>
          <w:rFonts w:ascii="Calibri" w:hAnsi="Calibri"/>
        </w:rPr>
      </w:pPr>
      <w:r w:rsidRPr="00DA3FD4">
        <w:t>an emergency service number</w:t>
      </w:r>
      <w:r w:rsidRPr="00DA3FD4">
        <w:rPr>
          <w:rFonts w:ascii="Calibri" w:hAnsi="Calibri"/>
        </w:rPr>
        <w:t>.</w:t>
      </w:r>
    </w:p>
    <w:p w14:paraId="1EB3E423" w14:textId="77777777" w:rsidR="00AD37AD" w:rsidRPr="006134FA" w:rsidRDefault="00AD37AD" w:rsidP="00AD37AD">
      <w:pPr>
        <w:rPr>
          <w:rFonts w:cs="Arial"/>
        </w:rPr>
      </w:pPr>
      <w:r w:rsidRPr="006134FA">
        <w:rPr>
          <w:rFonts w:cs="Arial"/>
        </w:rPr>
        <w:t xml:space="preserve">In 2015–16, the </w:t>
      </w:r>
      <w:r>
        <w:rPr>
          <w:rFonts w:cs="Arial"/>
        </w:rPr>
        <w:t xml:space="preserve">amount of numbers listed on the </w:t>
      </w:r>
      <w:r w:rsidRPr="006134FA">
        <w:rPr>
          <w:rFonts w:cs="Arial"/>
        </w:rPr>
        <w:t>DNCR increased by 386,590, taking the total amount of numbers listed to 10.65 million.</w:t>
      </w:r>
    </w:p>
    <w:p w14:paraId="7643D59F" w14:textId="77777777" w:rsidR="00AD37AD" w:rsidRPr="006134FA" w:rsidRDefault="00AD37AD" w:rsidP="00AD37AD">
      <w:r w:rsidRPr="006134FA">
        <w:t xml:space="preserve">To avoid breaching the </w:t>
      </w:r>
      <w:r w:rsidRPr="006134FA">
        <w:rPr>
          <w:i/>
        </w:rPr>
        <w:t xml:space="preserve">Do Not Call Register Act 2006 </w:t>
      </w:r>
      <w:r w:rsidRPr="006134FA">
        <w:t xml:space="preserve">(DNCR Act), telemarketers and fax marketers are able to submit their contact lists to the DNCR operator for checking, or ‘washing’, against the DNCR. During 2015–16, 1,022 telemarketers and fax marketers submitted over </w:t>
      </w:r>
      <w:r>
        <w:t>one</w:t>
      </w:r>
      <w:r w:rsidRPr="006134FA">
        <w:t xml:space="preserve"> billion numbers for checking (Figure 5.5).</w:t>
      </w:r>
    </w:p>
    <w:p w14:paraId="23673CD5" w14:textId="77777777" w:rsidR="00AD37AD" w:rsidRPr="006134FA" w:rsidRDefault="00AD37AD" w:rsidP="00D86662">
      <w:pPr>
        <w:pStyle w:val="ACMAFigureHeader"/>
        <w:keepNext/>
      </w:pPr>
      <w:r w:rsidRPr="006134FA">
        <w:lastRenderedPageBreak/>
        <w:t>Figure 5.5</w:t>
      </w:r>
      <w:r>
        <w:tab/>
      </w:r>
      <w:r w:rsidRPr="006134FA">
        <w:t>Numbers submitted for checking against the DNCR (billions)</w:t>
      </w:r>
    </w:p>
    <w:p w14:paraId="4A958BD3" w14:textId="77777777" w:rsidR="00DE4C83" w:rsidRDefault="00360212" w:rsidP="00AD37AD">
      <w:pPr>
        <w:pStyle w:val="ACMANotes"/>
      </w:pPr>
      <w:r>
        <w:rPr>
          <w:noProof/>
        </w:rPr>
        <w:drawing>
          <wp:inline distT="0" distB="0" distL="0" distR="0" wp14:anchorId="50DF2D46" wp14:editId="37C35720">
            <wp:extent cx="5917731" cy="1840865"/>
            <wp:effectExtent l="0" t="0" r="6985" b="6985"/>
            <wp:docPr id="107" name="Picture 107" descr="Data for Figure 5.5 is in the .ods file for Chapter 5 on the landing page ‘Communications report 2015-16’, available from the ACMA website." title="Figure 5.5 Numbers submitted for checking against the Do Not Call Register (b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ure 5.5_Figure 5.5.png"/>
                    <pic:cNvPicPr/>
                  </pic:nvPicPr>
                  <pic:blipFill rotWithShape="1">
                    <a:blip r:embed="rId132">
                      <a:extLst>
                        <a:ext uri="{28A0092B-C50C-407E-A947-70E740481C1C}">
                          <a14:useLocalDpi xmlns:a14="http://schemas.microsoft.com/office/drawing/2010/main" val="0"/>
                        </a:ext>
                      </a:extLst>
                    </a:blip>
                    <a:srcRect l="345" t="2528"/>
                    <a:stretch/>
                  </pic:blipFill>
                  <pic:spPr bwMode="auto">
                    <a:xfrm>
                      <a:off x="0" y="0"/>
                      <a:ext cx="5919313" cy="1841357"/>
                    </a:xfrm>
                    <a:prstGeom prst="rect">
                      <a:avLst/>
                    </a:prstGeom>
                    <a:ln>
                      <a:noFill/>
                    </a:ln>
                    <a:extLst>
                      <a:ext uri="{53640926-AAD7-44D8-BBD7-CCE9431645EC}">
                        <a14:shadowObscured xmlns:a14="http://schemas.microsoft.com/office/drawing/2010/main"/>
                      </a:ext>
                    </a:extLst>
                  </pic:spPr>
                </pic:pic>
              </a:graphicData>
            </a:graphic>
          </wp:inline>
        </w:drawing>
      </w:r>
    </w:p>
    <w:p w14:paraId="6621EC53" w14:textId="77777777" w:rsidR="00AD37AD" w:rsidRPr="006134FA" w:rsidRDefault="00AD37AD" w:rsidP="00AD37AD">
      <w:pPr>
        <w:pStyle w:val="ACMANotes"/>
      </w:pPr>
      <w:r w:rsidRPr="006134FA">
        <w:t>Base: Numbers submitted for checking.</w:t>
      </w:r>
    </w:p>
    <w:p w14:paraId="3E7421B7" w14:textId="77777777" w:rsidR="00AD37AD" w:rsidRDefault="00AD37AD" w:rsidP="00AD37AD">
      <w:pPr>
        <w:pStyle w:val="ACMANotes"/>
      </w:pPr>
      <w:r w:rsidRPr="006134FA">
        <w:t>Source: Register operator (Salmat Digital Pty Ltd) reports to the ACMA.</w:t>
      </w:r>
    </w:p>
    <w:p w14:paraId="083E4319" w14:textId="77777777" w:rsidR="00AD37AD" w:rsidRPr="006134FA" w:rsidRDefault="00AD37AD" w:rsidP="00AD37AD">
      <w:pPr>
        <w:pStyle w:val="ACMASpaceaftertable"/>
      </w:pPr>
    </w:p>
    <w:p w14:paraId="57A0D2D9" w14:textId="77777777" w:rsidR="00AD37AD" w:rsidRPr="006134FA" w:rsidRDefault="00AD37AD" w:rsidP="00841849">
      <w:pPr>
        <w:pStyle w:val="Heading2"/>
        <w:numPr>
          <w:ilvl w:val="1"/>
          <w:numId w:val="12"/>
        </w:numPr>
        <w:ind w:hanging="792"/>
      </w:pPr>
      <w:bookmarkStart w:id="812" w:name="_Toc462909522"/>
      <w:bookmarkStart w:id="813" w:name="_Toc465843003"/>
      <w:r w:rsidRPr="006134FA">
        <w:t>Unsolicited communications—spam and telemarketing</w:t>
      </w:r>
      <w:bookmarkEnd w:id="812"/>
      <w:bookmarkEnd w:id="813"/>
      <w:r w:rsidRPr="006134FA">
        <w:t xml:space="preserve"> </w:t>
      </w:r>
    </w:p>
    <w:p w14:paraId="4FC5B496" w14:textId="77777777" w:rsidR="00AD37AD" w:rsidRPr="006134FA" w:rsidRDefault="00AD37AD" w:rsidP="00AD37AD">
      <w:pPr>
        <w:keepNext/>
        <w:keepLines/>
      </w:pPr>
      <w:r w:rsidRPr="006134FA">
        <w:t xml:space="preserve">The ACMA is responsible for compliance and enforcement </w:t>
      </w:r>
      <w:r w:rsidR="001614D9">
        <w:t>with respect to</w:t>
      </w:r>
      <w:r w:rsidRPr="006134FA">
        <w:t xml:space="preserve"> the DNCR Act, </w:t>
      </w:r>
      <w:r w:rsidRPr="006134FA">
        <w:rPr>
          <w:i/>
        </w:rPr>
        <w:t xml:space="preserve">Spam Act 2003 </w:t>
      </w:r>
      <w:r w:rsidRPr="006134FA">
        <w:t xml:space="preserve">(Spam Act), </w:t>
      </w:r>
      <w:r w:rsidRPr="00042B53">
        <w:t>Telemarketing and Research Industry Standard 2007</w:t>
      </w:r>
      <w:r w:rsidRPr="006134FA">
        <w:t xml:space="preserve"> and </w:t>
      </w:r>
      <w:r w:rsidRPr="00042B53">
        <w:t>Fax Marketing Industry Standard 2011</w:t>
      </w:r>
      <w:r w:rsidRPr="006134FA">
        <w:t>. This regulation is designed to minimise the impact on Australians of unsolicited telemarketing, fax marketing and commercial electronic messages including email, SMS, MMS and instant messaging.</w:t>
      </w:r>
    </w:p>
    <w:p w14:paraId="6EADAB97" w14:textId="77777777" w:rsidR="00AD37AD" w:rsidRPr="006134FA" w:rsidRDefault="00AD37AD" w:rsidP="00AD37AD">
      <w:pPr>
        <w:keepNext/>
        <w:keepLines/>
      </w:pPr>
      <w:r w:rsidRPr="006134FA">
        <w:rPr>
          <w:rFonts w:cs="Arial"/>
        </w:rPr>
        <w:t xml:space="preserve">In 2015–16, the number of complaints </w:t>
      </w:r>
      <w:r w:rsidR="00FC662C">
        <w:rPr>
          <w:rFonts w:cs="Arial"/>
        </w:rPr>
        <w:t xml:space="preserve">the ACMA received </w:t>
      </w:r>
      <w:r w:rsidRPr="006134FA">
        <w:rPr>
          <w:rFonts w:cs="Arial"/>
        </w:rPr>
        <w:t>about telemarketing increased by 27.3 per cent. This increase is partly attributable to revised processes that change</w:t>
      </w:r>
      <w:r>
        <w:rPr>
          <w:rFonts w:cs="Arial"/>
        </w:rPr>
        <w:t>d how</w:t>
      </w:r>
      <w:r w:rsidRPr="006134FA">
        <w:rPr>
          <w:rFonts w:cs="Arial"/>
        </w:rPr>
        <w:t xml:space="preserve"> complaints and enquiries are recorded. Consequently, the increase in the number of complaints lodged is related to the decrease in the number of enquiries lodged, as indicated in Table 5.1</w:t>
      </w:r>
      <w:r>
        <w:rPr>
          <w:rFonts w:cs="Arial"/>
        </w:rPr>
        <w:t>7</w:t>
      </w:r>
      <w:r w:rsidRPr="006134FA">
        <w:rPr>
          <w:rFonts w:cs="Arial"/>
        </w:rPr>
        <w:t>.</w:t>
      </w:r>
    </w:p>
    <w:p w14:paraId="179CBC8A" w14:textId="77777777" w:rsidR="00AD37AD" w:rsidRPr="006134FA" w:rsidRDefault="00AD37AD" w:rsidP="00AD37AD">
      <w:pPr>
        <w:keepNext/>
        <w:rPr>
          <w:rFonts w:cs="Arial"/>
        </w:rPr>
      </w:pPr>
      <w:r w:rsidRPr="006134FA">
        <w:t xml:space="preserve">The </w:t>
      </w:r>
      <w:r w:rsidRPr="006134FA">
        <w:rPr>
          <w:rFonts w:cs="Arial"/>
        </w:rPr>
        <w:t>overall number of complaints about fax marketing remained very low, decreasing by a further 54.5</w:t>
      </w:r>
      <w:r>
        <w:rPr>
          <w:rFonts w:cs="Arial"/>
        </w:rPr>
        <w:t> </w:t>
      </w:r>
      <w:r w:rsidRPr="006134FA">
        <w:rPr>
          <w:rFonts w:cs="Arial"/>
        </w:rPr>
        <w:t xml:space="preserve">per cent in the period. </w:t>
      </w:r>
    </w:p>
    <w:p w14:paraId="72F9B732" w14:textId="77777777" w:rsidR="00AD37AD" w:rsidRPr="006134FA" w:rsidRDefault="00FC662C" w:rsidP="00AD37AD">
      <w:r w:rsidRPr="00FC662C">
        <w:t>The number of complaints and reports the ACMA received about commercial electronic messages (spam) in 201</w:t>
      </w:r>
      <w:r>
        <w:t>5–16 increased by 44.6 per cent</w:t>
      </w:r>
      <w:r w:rsidR="00AD37AD" w:rsidRPr="006134FA">
        <w:t>.</w:t>
      </w:r>
    </w:p>
    <w:p w14:paraId="70F5FACA" w14:textId="77777777" w:rsidR="00AD37AD" w:rsidRPr="006134FA" w:rsidRDefault="00AD37AD" w:rsidP="00AD37AD">
      <w:r>
        <w:t>The ACMA uses c</w:t>
      </w:r>
      <w:r w:rsidRPr="006134FA">
        <w:t xml:space="preserve">omplaints and reports from Australian consumers about unsolicited communications to identify businesses that may be in breach of the legislation. The ACMA generally takes a graduated approach to non-compliance by first educating, advising or warning businesses that may be in breach of the legislation. </w:t>
      </w:r>
    </w:p>
    <w:p w14:paraId="27A2FA84" w14:textId="77777777" w:rsidR="00AD37AD" w:rsidRPr="006134FA" w:rsidRDefault="00AD37AD" w:rsidP="00AD37AD">
      <w:r w:rsidRPr="006134FA">
        <w:t xml:space="preserve">The ACMA has found that the majority of businesses address compliance issues after one contact. When businesses do not respond favourably to these approaches, cases may be escalated, including to formal investigations and, where breaches are found, to compliance </w:t>
      </w:r>
      <w:r w:rsidR="00057944">
        <w:t xml:space="preserve">and </w:t>
      </w:r>
      <w:r w:rsidRPr="006134FA">
        <w:t xml:space="preserve">enforcement action. </w:t>
      </w:r>
    </w:p>
    <w:p w14:paraId="3271596B" w14:textId="77777777" w:rsidR="00AD37AD" w:rsidRPr="006134FA" w:rsidRDefault="00AD37AD" w:rsidP="00AD37AD">
      <w:r w:rsidRPr="006134FA">
        <w:t>Table 5.17 summarises the number of complaints, reports and enquiries received by the ACMA</w:t>
      </w:r>
      <w:r>
        <w:t>,</w:t>
      </w:r>
      <w:r w:rsidRPr="006134FA">
        <w:t xml:space="preserve"> and the levels of compliance and enforcement activity. </w:t>
      </w:r>
    </w:p>
    <w:p w14:paraId="418031F1" w14:textId="77777777" w:rsidR="00AD37AD" w:rsidRPr="006134FA" w:rsidRDefault="00AD37AD" w:rsidP="00905D6F">
      <w:pPr>
        <w:pStyle w:val="ACMATableHeader"/>
        <w:keepNext/>
        <w:keepLines/>
        <w:numPr>
          <w:ilvl w:val="0"/>
          <w:numId w:val="0"/>
        </w:numPr>
        <w:ind w:left="1134" w:hanging="1134"/>
        <w:rPr>
          <w:rFonts w:cs="Arial"/>
        </w:rPr>
      </w:pPr>
      <w:r w:rsidRPr="006134FA">
        <w:lastRenderedPageBreak/>
        <w:t>Table 5.17</w:t>
      </w:r>
      <w:r>
        <w:tab/>
      </w:r>
      <w:r w:rsidRPr="006134FA">
        <w:t>Summary of complaints, reports, enquiries, compliance activities and enforcement</w:t>
      </w:r>
    </w:p>
    <w:tbl>
      <w:tblPr>
        <w:tblStyle w:val="Commsreport2015-16TABLE"/>
        <w:tblW w:w="8903" w:type="dxa"/>
        <w:tblLayout w:type="fixed"/>
        <w:tblCellMar>
          <w:top w:w="57" w:type="dxa"/>
          <w:left w:w="57" w:type="dxa"/>
          <w:bottom w:w="57" w:type="dxa"/>
          <w:right w:w="57" w:type="dxa"/>
        </w:tblCellMar>
        <w:tblLook w:val="04A0" w:firstRow="1" w:lastRow="0" w:firstColumn="1" w:lastColumn="0" w:noHBand="0" w:noVBand="1"/>
        <w:tblCaption w:val="Table 5.17 Summary of complaints, reports, enquiries, compliance activities and enforcement"/>
      </w:tblPr>
      <w:tblGrid>
        <w:gridCol w:w="1484"/>
        <w:gridCol w:w="1511"/>
        <w:gridCol w:w="1920"/>
        <w:gridCol w:w="1238"/>
        <w:gridCol w:w="1375"/>
        <w:gridCol w:w="1375"/>
      </w:tblGrid>
      <w:tr w:rsidR="00AD37AD" w:rsidRPr="003570BF" w14:paraId="37EEE642" w14:textId="77777777" w:rsidTr="003570BF">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484" w:type="dxa"/>
            <w:shd w:val="clear" w:color="auto" w:fill="auto"/>
            <w:noWrap/>
            <w:hideMark/>
          </w:tcPr>
          <w:p w14:paraId="6E08BCBF" w14:textId="77777777" w:rsidR="00AD37AD" w:rsidRPr="003570BF" w:rsidRDefault="00AD37AD" w:rsidP="003570BF">
            <w:pPr>
              <w:pStyle w:val="TableHeading"/>
              <w:jc w:val="right"/>
              <w:rPr>
                <w:b/>
              </w:rPr>
            </w:pPr>
          </w:p>
        </w:tc>
        <w:tc>
          <w:tcPr>
            <w:tcW w:w="1511" w:type="dxa"/>
            <w:shd w:val="clear" w:color="auto" w:fill="auto"/>
          </w:tcPr>
          <w:p w14:paraId="603DCF31"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bCs/>
              </w:rPr>
            </w:pPr>
          </w:p>
        </w:tc>
        <w:tc>
          <w:tcPr>
            <w:tcW w:w="1920" w:type="dxa"/>
            <w:shd w:val="clear" w:color="auto" w:fill="auto"/>
          </w:tcPr>
          <w:p w14:paraId="3E42628B"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bCs/>
              </w:rPr>
            </w:pPr>
          </w:p>
        </w:tc>
        <w:tc>
          <w:tcPr>
            <w:tcW w:w="1238" w:type="dxa"/>
          </w:tcPr>
          <w:p w14:paraId="13CB3CE0"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bCs/>
              </w:rPr>
            </w:pPr>
            <w:r w:rsidRPr="003570BF">
              <w:rPr>
                <w:b/>
                <w:bCs/>
              </w:rPr>
              <w:t>2014–15</w:t>
            </w:r>
          </w:p>
        </w:tc>
        <w:tc>
          <w:tcPr>
            <w:tcW w:w="1375" w:type="dxa"/>
          </w:tcPr>
          <w:p w14:paraId="76EB10B3"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bCs/>
              </w:rPr>
            </w:pPr>
            <w:r w:rsidRPr="003570BF">
              <w:rPr>
                <w:b/>
                <w:bCs/>
              </w:rPr>
              <w:t>2015–16</w:t>
            </w:r>
          </w:p>
        </w:tc>
        <w:tc>
          <w:tcPr>
            <w:tcW w:w="1375" w:type="dxa"/>
            <w:noWrap/>
            <w:hideMark/>
          </w:tcPr>
          <w:p w14:paraId="32EC8D20"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bCs/>
              </w:rPr>
            </w:pPr>
            <w:r w:rsidRPr="003570BF">
              <w:rPr>
                <w:b/>
                <w:bCs/>
              </w:rPr>
              <w:t>Change (%)</w:t>
            </w:r>
          </w:p>
        </w:tc>
      </w:tr>
      <w:tr w:rsidR="00AD37AD" w:rsidRPr="006134FA" w14:paraId="1F2881EF" w14:textId="77777777" w:rsidTr="00D86662">
        <w:trPr>
          <w:trHeight w:val="250"/>
        </w:trPr>
        <w:tc>
          <w:tcPr>
            <w:cnfStyle w:val="001000000000" w:firstRow="0" w:lastRow="0" w:firstColumn="1" w:lastColumn="0" w:oddVBand="0" w:evenVBand="0" w:oddHBand="0" w:evenHBand="0" w:firstRowFirstColumn="0" w:firstRowLastColumn="0" w:lastRowFirstColumn="0" w:lastRowLastColumn="0"/>
            <w:tcW w:w="1484" w:type="dxa"/>
            <w:vMerge w:val="restart"/>
            <w:shd w:val="clear" w:color="auto" w:fill="7FB8CB"/>
            <w:noWrap/>
          </w:tcPr>
          <w:p w14:paraId="63043F73" w14:textId="77777777" w:rsidR="00AD37AD" w:rsidRPr="00BE6BBB" w:rsidRDefault="00AD37AD" w:rsidP="008B0114">
            <w:pPr>
              <w:keepNext/>
              <w:keepLines/>
              <w:spacing w:after="0"/>
              <w:rPr>
                <w:color w:val="FFFFFF" w:themeColor="background1"/>
                <w:szCs w:val="18"/>
              </w:rPr>
            </w:pPr>
            <w:r w:rsidRPr="00BE6BBB">
              <w:rPr>
                <w:rFonts w:cs="Arial"/>
                <w:b/>
                <w:bCs/>
                <w:color w:val="FFFFFF" w:themeColor="background1"/>
                <w:szCs w:val="18"/>
              </w:rPr>
              <w:t>Complaints and reports*</w:t>
            </w:r>
          </w:p>
        </w:tc>
        <w:tc>
          <w:tcPr>
            <w:tcW w:w="3431" w:type="dxa"/>
            <w:gridSpan w:val="2"/>
            <w:shd w:val="clear" w:color="auto" w:fill="7FB8CB"/>
          </w:tcPr>
          <w:p w14:paraId="350317F0"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color w:val="FFFFFF" w:themeColor="background1"/>
                <w:szCs w:val="18"/>
              </w:rPr>
              <w:t>Telemarketing complaints</w:t>
            </w:r>
          </w:p>
        </w:tc>
        <w:tc>
          <w:tcPr>
            <w:tcW w:w="1238" w:type="dxa"/>
          </w:tcPr>
          <w:p w14:paraId="52BA2103"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18,081</w:t>
            </w:r>
          </w:p>
        </w:tc>
        <w:tc>
          <w:tcPr>
            <w:tcW w:w="1375" w:type="dxa"/>
          </w:tcPr>
          <w:p w14:paraId="49914D3A"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23,014</w:t>
            </w:r>
          </w:p>
        </w:tc>
        <w:tc>
          <w:tcPr>
            <w:tcW w:w="1375" w:type="dxa"/>
            <w:noWrap/>
          </w:tcPr>
          <w:p w14:paraId="664C7B71"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27.3</w:t>
            </w:r>
          </w:p>
        </w:tc>
      </w:tr>
      <w:tr w:rsidR="00AD37AD" w:rsidRPr="006134FA" w14:paraId="01CCE26A" w14:textId="77777777" w:rsidTr="00D86662">
        <w:trPr>
          <w:trHeight w:val="242"/>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tcPr>
          <w:p w14:paraId="700D662B" w14:textId="77777777" w:rsidR="00AD37AD" w:rsidRPr="00BE6BBB" w:rsidRDefault="00AD37AD" w:rsidP="008B0114">
            <w:pPr>
              <w:keepNext/>
              <w:keepLines/>
              <w:spacing w:after="0"/>
              <w:rPr>
                <w:color w:val="FFFFFF" w:themeColor="background1"/>
                <w:szCs w:val="18"/>
              </w:rPr>
            </w:pPr>
          </w:p>
        </w:tc>
        <w:tc>
          <w:tcPr>
            <w:tcW w:w="3431" w:type="dxa"/>
            <w:gridSpan w:val="2"/>
            <w:shd w:val="clear" w:color="auto" w:fill="7FB8CB"/>
          </w:tcPr>
          <w:p w14:paraId="4D15703D"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color w:val="FFFFFF" w:themeColor="background1"/>
                <w:szCs w:val="18"/>
              </w:rPr>
              <w:t>Fax marketing complaints</w:t>
            </w:r>
          </w:p>
        </w:tc>
        <w:tc>
          <w:tcPr>
            <w:tcW w:w="1238" w:type="dxa"/>
          </w:tcPr>
          <w:p w14:paraId="4A7FAE4C"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99</w:t>
            </w:r>
          </w:p>
        </w:tc>
        <w:tc>
          <w:tcPr>
            <w:tcW w:w="1375" w:type="dxa"/>
          </w:tcPr>
          <w:p w14:paraId="1F4E8728"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45</w:t>
            </w:r>
          </w:p>
        </w:tc>
        <w:tc>
          <w:tcPr>
            <w:tcW w:w="1375" w:type="dxa"/>
            <w:noWrap/>
          </w:tcPr>
          <w:p w14:paraId="22A3D270"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–54.5</w:t>
            </w:r>
          </w:p>
        </w:tc>
      </w:tr>
      <w:tr w:rsidR="00AD37AD" w:rsidRPr="006134FA" w14:paraId="004D6F78" w14:textId="77777777" w:rsidTr="00905D6F">
        <w:trPr>
          <w:trHeight w:val="247"/>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hideMark/>
          </w:tcPr>
          <w:p w14:paraId="2C16BA2D" w14:textId="77777777" w:rsidR="00AD37AD" w:rsidRPr="00BE6BBB" w:rsidRDefault="00AD37AD" w:rsidP="008B0114">
            <w:pPr>
              <w:keepNext/>
              <w:keepLines/>
              <w:spacing w:after="0"/>
              <w:rPr>
                <w:color w:val="FFFFFF" w:themeColor="background1"/>
                <w:szCs w:val="18"/>
              </w:rPr>
            </w:pPr>
          </w:p>
        </w:tc>
        <w:tc>
          <w:tcPr>
            <w:tcW w:w="1511" w:type="dxa"/>
            <w:vMerge w:val="restart"/>
            <w:shd w:val="clear" w:color="auto" w:fill="7FB8CB"/>
          </w:tcPr>
          <w:p w14:paraId="7EF116A1"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Cs/>
                <w:iCs/>
                <w:color w:val="FFFFFF" w:themeColor="background1"/>
                <w:szCs w:val="18"/>
              </w:rPr>
              <w:t>Spam*</w:t>
            </w:r>
          </w:p>
        </w:tc>
        <w:tc>
          <w:tcPr>
            <w:tcW w:w="1920" w:type="dxa"/>
            <w:shd w:val="clear" w:color="auto" w:fill="7FB8CB"/>
          </w:tcPr>
          <w:p w14:paraId="01FE1DDF"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color w:val="FFFFFF" w:themeColor="background1"/>
                <w:szCs w:val="18"/>
              </w:rPr>
              <w:t>Email complaints</w:t>
            </w:r>
          </w:p>
        </w:tc>
        <w:tc>
          <w:tcPr>
            <w:tcW w:w="1238" w:type="dxa"/>
          </w:tcPr>
          <w:p w14:paraId="0CCC9F66"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1,341</w:t>
            </w:r>
          </w:p>
        </w:tc>
        <w:tc>
          <w:tcPr>
            <w:tcW w:w="1375" w:type="dxa"/>
          </w:tcPr>
          <w:p w14:paraId="210BC60E"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1,275</w:t>
            </w:r>
          </w:p>
        </w:tc>
        <w:tc>
          <w:tcPr>
            <w:tcW w:w="1375" w:type="dxa"/>
            <w:noWrap/>
          </w:tcPr>
          <w:p w14:paraId="5BB9C1D2"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Pr>
                <w:szCs w:val="18"/>
              </w:rPr>
              <w:t>–</w:t>
            </w:r>
            <w:r w:rsidRPr="006134FA">
              <w:rPr>
                <w:szCs w:val="18"/>
              </w:rPr>
              <w:t>4.9</w:t>
            </w:r>
          </w:p>
        </w:tc>
      </w:tr>
      <w:tr w:rsidR="00AD37AD" w:rsidRPr="006134FA" w14:paraId="6BF32B09" w14:textId="77777777" w:rsidTr="00905D6F">
        <w:trPr>
          <w:trHeight w:val="167"/>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hideMark/>
          </w:tcPr>
          <w:p w14:paraId="35BA060B" w14:textId="77777777" w:rsidR="00AD37AD" w:rsidRPr="00BE6BBB" w:rsidRDefault="00AD37AD" w:rsidP="008B0114">
            <w:pPr>
              <w:keepNext/>
              <w:keepLines/>
              <w:spacing w:after="0"/>
              <w:rPr>
                <w:color w:val="FFFFFF" w:themeColor="background1"/>
                <w:szCs w:val="18"/>
              </w:rPr>
            </w:pPr>
          </w:p>
        </w:tc>
        <w:tc>
          <w:tcPr>
            <w:tcW w:w="1511" w:type="dxa"/>
            <w:vMerge/>
            <w:shd w:val="clear" w:color="auto" w:fill="7FB8CB"/>
          </w:tcPr>
          <w:p w14:paraId="3C86975C" w14:textId="77777777" w:rsidR="00AD37AD" w:rsidRPr="00BE6BBB" w:rsidRDefault="00AD37AD" w:rsidP="008B0114">
            <w:pPr>
              <w:keepNext/>
              <w:keepLines/>
              <w:spacing w:after="0"/>
              <w:ind w:firstLine="318"/>
              <w:cnfStyle w:val="000000000000" w:firstRow="0" w:lastRow="0" w:firstColumn="0" w:lastColumn="0" w:oddVBand="0" w:evenVBand="0" w:oddHBand="0" w:evenHBand="0" w:firstRowFirstColumn="0" w:firstRowLastColumn="0" w:lastRowFirstColumn="0" w:lastRowLastColumn="0"/>
              <w:rPr>
                <w:color w:val="FFFFFF" w:themeColor="background1"/>
                <w:szCs w:val="18"/>
              </w:rPr>
            </w:pPr>
          </w:p>
        </w:tc>
        <w:tc>
          <w:tcPr>
            <w:tcW w:w="1920" w:type="dxa"/>
            <w:shd w:val="clear" w:color="auto" w:fill="7FB8CB"/>
          </w:tcPr>
          <w:p w14:paraId="1269719A"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color w:val="FFFFFF" w:themeColor="background1"/>
                <w:szCs w:val="18"/>
              </w:rPr>
              <w:t>Email reports</w:t>
            </w:r>
          </w:p>
        </w:tc>
        <w:tc>
          <w:tcPr>
            <w:tcW w:w="1238" w:type="dxa"/>
          </w:tcPr>
          <w:p w14:paraId="7237D7DD"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 xml:space="preserve">342,607 </w:t>
            </w:r>
          </w:p>
        </w:tc>
        <w:tc>
          <w:tcPr>
            <w:tcW w:w="1375" w:type="dxa"/>
          </w:tcPr>
          <w:p w14:paraId="63613EF5"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514,604</w:t>
            </w:r>
          </w:p>
        </w:tc>
        <w:tc>
          <w:tcPr>
            <w:tcW w:w="1375" w:type="dxa"/>
            <w:noWrap/>
          </w:tcPr>
          <w:p w14:paraId="24B918A5"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50.2</w:t>
            </w:r>
          </w:p>
        </w:tc>
      </w:tr>
      <w:tr w:rsidR="00AD37AD" w:rsidRPr="006134FA" w14:paraId="65D957E4" w14:textId="77777777" w:rsidTr="00905D6F">
        <w:trPr>
          <w:trHeight w:val="167"/>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tcPr>
          <w:p w14:paraId="6AC6E1D7" w14:textId="77777777" w:rsidR="00AD37AD" w:rsidRPr="00BE6BBB" w:rsidRDefault="00AD37AD" w:rsidP="008B0114">
            <w:pPr>
              <w:keepNext/>
              <w:keepLines/>
              <w:spacing w:after="0"/>
              <w:rPr>
                <w:rFonts w:cs="Arial"/>
                <w:b/>
                <w:bCs/>
                <w:color w:val="FFFFFF" w:themeColor="background1"/>
                <w:szCs w:val="18"/>
              </w:rPr>
            </w:pPr>
          </w:p>
        </w:tc>
        <w:tc>
          <w:tcPr>
            <w:tcW w:w="1511" w:type="dxa"/>
            <w:vMerge/>
            <w:shd w:val="clear" w:color="auto" w:fill="7FB8CB"/>
          </w:tcPr>
          <w:p w14:paraId="6AD2F2C2" w14:textId="77777777" w:rsidR="00AD37AD" w:rsidRPr="00BE6BBB" w:rsidRDefault="00AD37AD" w:rsidP="008B0114">
            <w:pPr>
              <w:keepNext/>
              <w:keepLines/>
              <w:spacing w:after="0"/>
              <w:ind w:firstLine="318"/>
              <w:cnfStyle w:val="000000000000" w:firstRow="0" w:lastRow="0" w:firstColumn="0" w:lastColumn="0" w:oddVBand="0" w:evenVBand="0" w:oddHBand="0" w:evenHBand="0" w:firstRowFirstColumn="0" w:firstRowLastColumn="0" w:lastRowFirstColumn="0" w:lastRowLastColumn="0"/>
              <w:rPr>
                <w:color w:val="FFFFFF" w:themeColor="background1"/>
                <w:szCs w:val="18"/>
              </w:rPr>
            </w:pPr>
          </w:p>
        </w:tc>
        <w:tc>
          <w:tcPr>
            <w:tcW w:w="1920" w:type="dxa"/>
            <w:shd w:val="clear" w:color="auto" w:fill="7FB8CB"/>
          </w:tcPr>
          <w:p w14:paraId="39B7EDD8"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color w:val="FFFFFF" w:themeColor="background1"/>
                <w:szCs w:val="18"/>
              </w:rPr>
              <w:t>SMS complaints</w:t>
            </w:r>
          </w:p>
        </w:tc>
        <w:tc>
          <w:tcPr>
            <w:tcW w:w="1238" w:type="dxa"/>
          </w:tcPr>
          <w:p w14:paraId="602C4A90" w14:textId="77777777" w:rsidR="00AD37AD" w:rsidRPr="006134FA" w:rsidDel="001662AF"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388</w:t>
            </w:r>
          </w:p>
        </w:tc>
        <w:tc>
          <w:tcPr>
            <w:tcW w:w="1375" w:type="dxa"/>
          </w:tcPr>
          <w:p w14:paraId="1E356103"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462</w:t>
            </w:r>
          </w:p>
        </w:tc>
        <w:tc>
          <w:tcPr>
            <w:tcW w:w="1375" w:type="dxa"/>
            <w:noWrap/>
          </w:tcPr>
          <w:p w14:paraId="00D77CBF"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19.1</w:t>
            </w:r>
          </w:p>
        </w:tc>
      </w:tr>
      <w:tr w:rsidR="00AD37AD" w:rsidRPr="006134FA" w14:paraId="1EAF1F96" w14:textId="77777777" w:rsidTr="00905D6F">
        <w:trPr>
          <w:trHeight w:val="88"/>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tcPr>
          <w:p w14:paraId="5E0DC1FC" w14:textId="77777777" w:rsidR="00AD37AD" w:rsidRPr="00BE6BBB" w:rsidRDefault="00AD37AD" w:rsidP="008B0114">
            <w:pPr>
              <w:keepNext/>
              <w:keepLines/>
              <w:spacing w:after="0"/>
              <w:rPr>
                <w:b/>
                <w:color w:val="FFFFFF" w:themeColor="background1"/>
                <w:szCs w:val="18"/>
              </w:rPr>
            </w:pPr>
          </w:p>
        </w:tc>
        <w:tc>
          <w:tcPr>
            <w:tcW w:w="1511" w:type="dxa"/>
            <w:vMerge/>
            <w:shd w:val="clear" w:color="auto" w:fill="7FB8CB"/>
          </w:tcPr>
          <w:p w14:paraId="50D7C506" w14:textId="77777777" w:rsidR="00AD37AD" w:rsidRPr="00BE6BBB" w:rsidRDefault="00AD37AD" w:rsidP="008B0114">
            <w:pPr>
              <w:keepNext/>
              <w:keepLines/>
              <w:spacing w:after="0"/>
              <w:ind w:firstLine="318"/>
              <w:cnfStyle w:val="000000000000" w:firstRow="0" w:lastRow="0" w:firstColumn="0" w:lastColumn="0" w:oddVBand="0" w:evenVBand="0" w:oddHBand="0" w:evenHBand="0" w:firstRowFirstColumn="0" w:firstRowLastColumn="0" w:lastRowFirstColumn="0" w:lastRowLastColumn="0"/>
              <w:rPr>
                <w:color w:val="FFFFFF" w:themeColor="background1"/>
                <w:szCs w:val="18"/>
              </w:rPr>
            </w:pPr>
          </w:p>
        </w:tc>
        <w:tc>
          <w:tcPr>
            <w:tcW w:w="1920" w:type="dxa"/>
            <w:shd w:val="clear" w:color="auto" w:fill="7FB8CB"/>
          </w:tcPr>
          <w:p w14:paraId="00AE6747"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color w:val="FFFFFF" w:themeColor="background1"/>
                <w:szCs w:val="18"/>
              </w:rPr>
              <w:t>SMS reports</w:t>
            </w:r>
          </w:p>
        </w:tc>
        <w:tc>
          <w:tcPr>
            <w:tcW w:w="1238" w:type="dxa"/>
          </w:tcPr>
          <w:p w14:paraId="3DBCB814" w14:textId="77777777" w:rsidR="00AD37AD" w:rsidRPr="006134FA" w:rsidDel="001662AF"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6,689</w:t>
            </w:r>
          </w:p>
        </w:tc>
        <w:tc>
          <w:tcPr>
            <w:tcW w:w="1375" w:type="dxa"/>
          </w:tcPr>
          <w:p w14:paraId="0BEEB455"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17,606</w:t>
            </w:r>
          </w:p>
        </w:tc>
        <w:tc>
          <w:tcPr>
            <w:tcW w:w="1375" w:type="dxa"/>
            <w:noWrap/>
          </w:tcPr>
          <w:p w14:paraId="5F88D062"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163.2</w:t>
            </w:r>
          </w:p>
        </w:tc>
      </w:tr>
      <w:tr w:rsidR="00AD37AD" w:rsidRPr="006134FA" w14:paraId="1FF2E0F3" w14:textId="77777777" w:rsidTr="000B0D2B">
        <w:trPr>
          <w:trHeight w:val="263"/>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tcPr>
          <w:p w14:paraId="3F5B8B1E" w14:textId="77777777" w:rsidR="00AD37AD" w:rsidRPr="00BE6BBB" w:rsidRDefault="00AD37AD" w:rsidP="008B0114">
            <w:pPr>
              <w:keepNext/>
              <w:keepLines/>
              <w:spacing w:after="0"/>
              <w:rPr>
                <w:b/>
                <w:color w:val="FFFFFF" w:themeColor="background1"/>
                <w:szCs w:val="18"/>
              </w:rPr>
            </w:pPr>
          </w:p>
        </w:tc>
        <w:tc>
          <w:tcPr>
            <w:tcW w:w="3431" w:type="dxa"/>
            <w:gridSpan w:val="2"/>
            <w:shd w:val="clear" w:color="auto" w:fill="7FB8CB"/>
          </w:tcPr>
          <w:p w14:paraId="35F4DEA2"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b/>
                <w:bCs/>
                <w:i/>
                <w:iCs/>
                <w:color w:val="FFFFFF" w:themeColor="background1"/>
                <w:szCs w:val="18"/>
              </w:rPr>
            </w:pPr>
            <w:r w:rsidRPr="00BE6BBB">
              <w:rPr>
                <w:b/>
                <w:bCs/>
                <w:color w:val="FFFFFF" w:themeColor="background1"/>
                <w:szCs w:val="18"/>
              </w:rPr>
              <w:t>Total</w:t>
            </w:r>
          </w:p>
        </w:tc>
        <w:tc>
          <w:tcPr>
            <w:tcW w:w="1238" w:type="dxa"/>
            <w:shd w:val="clear" w:color="auto" w:fill="7FB8CB"/>
          </w:tcPr>
          <w:p w14:paraId="0E0DB370" w14:textId="77777777" w:rsidR="00AD37AD" w:rsidRPr="00BE6BBB" w:rsidDel="001662AF"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sidRPr="00BE6BBB">
              <w:rPr>
                <w:b/>
                <w:bCs/>
                <w:color w:val="FFFFFF" w:themeColor="background1"/>
                <w:szCs w:val="18"/>
              </w:rPr>
              <w:t>369,205</w:t>
            </w:r>
          </w:p>
        </w:tc>
        <w:tc>
          <w:tcPr>
            <w:tcW w:w="1375" w:type="dxa"/>
            <w:shd w:val="clear" w:color="auto" w:fill="7FB8CB"/>
          </w:tcPr>
          <w:p w14:paraId="3EA98736"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sidRPr="00BE6BBB">
              <w:rPr>
                <w:b/>
                <w:bCs/>
                <w:color w:val="FFFFFF" w:themeColor="background1"/>
                <w:szCs w:val="18"/>
              </w:rPr>
              <w:t>557,006</w:t>
            </w:r>
          </w:p>
        </w:tc>
        <w:tc>
          <w:tcPr>
            <w:tcW w:w="1375" w:type="dxa"/>
            <w:shd w:val="clear" w:color="auto" w:fill="7FB8CB"/>
            <w:noWrap/>
          </w:tcPr>
          <w:p w14:paraId="08B4ECF3"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b/>
                <w:color w:val="FFFFFF" w:themeColor="background1"/>
                <w:szCs w:val="18"/>
              </w:rPr>
            </w:pPr>
            <w:r w:rsidRPr="00BE6BBB">
              <w:rPr>
                <w:b/>
                <w:color w:val="FFFFFF" w:themeColor="background1"/>
                <w:szCs w:val="18"/>
              </w:rPr>
              <w:t>50.9</w:t>
            </w:r>
          </w:p>
        </w:tc>
      </w:tr>
      <w:tr w:rsidR="00AD37AD" w:rsidRPr="006134FA" w14:paraId="30870ACB" w14:textId="77777777" w:rsidTr="00905D6F">
        <w:trPr>
          <w:trHeight w:val="255"/>
        </w:trPr>
        <w:tc>
          <w:tcPr>
            <w:cnfStyle w:val="001000000000" w:firstRow="0" w:lastRow="0" w:firstColumn="1" w:lastColumn="0" w:oddVBand="0" w:evenVBand="0" w:oddHBand="0" w:evenHBand="0" w:firstRowFirstColumn="0" w:firstRowLastColumn="0" w:lastRowFirstColumn="0" w:lastRowLastColumn="0"/>
            <w:tcW w:w="1484" w:type="dxa"/>
            <w:vMerge w:val="restart"/>
            <w:shd w:val="clear" w:color="auto" w:fill="7FB8CB"/>
            <w:noWrap/>
            <w:hideMark/>
          </w:tcPr>
          <w:p w14:paraId="43AC865F" w14:textId="77777777" w:rsidR="00AD37AD" w:rsidRPr="00BE6BBB" w:rsidRDefault="00AD37AD" w:rsidP="008B0114">
            <w:pPr>
              <w:keepNext/>
              <w:keepLines/>
              <w:spacing w:after="0"/>
              <w:rPr>
                <w:b/>
                <w:bCs/>
                <w:i/>
                <w:iCs/>
                <w:color w:val="FFFFFF" w:themeColor="background1"/>
                <w:szCs w:val="18"/>
                <w:vertAlign w:val="superscript"/>
              </w:rPr>
            </w:pPr>
            <w:r w:rsidRPr="00BE6BBB">
              <w:rPr>
                <w:b/>
                <w:color w:val="FFFFFF" w:themeColor="background1"/>
                <w:szCs w:val="18"/>
              </w:rPr>
              <w:t>Enquiries</w:t>
            </w:r>
            <w:r w:rsidRPr="00BE6BBB">
              <w:rPr>
                <w:b/>
                <w:color w:val="FFFFFF" w:themeColor="background1"/>
                <w:vertAlign w:val="superscript"/>
              </w:rPr>
              <w:t>†</w:t>
            </w:r>
          </w:p>
        </w:tc>
        <w:tc>
          <w:tcPr>
            <w:tcW w:w="3431" w:type="dxa"/>
            <w:gridSpan w:val="2"/>
            <w:shd w:val="clear" w:color="auto" w:fill="7FB8CB"/>
          </w:tcPr>
          <w:p w14:paraId="4CABB7EA"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Cs/>
                <w:iCs/>
                <w:color w:val="FFFFFF" w:themeColor="background1"/>
                <w:szCs w:val="18"/>
              </w:rPr>
              <w:t>Telemarketing and fax marketing</w:t>
            </w:r>
          </w:p>
        </w:tc>
        <w:tc>
          <w:tcPr>
            <w:tcW w:w="1238" w:type="dxa"/>
          </w:tcPr>
          <w:p w14:paraId="72BB57D5"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12,113</w:t>
            </w:r>
          </w:p>
        </w:tc>
        <w:tc>
          <w:tcPr>
            <w:tcW w:w="1375" w:type="dxa"/>
          </w:tcPr>
          <w:p w14:paraId="18257FB1"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6,740</w:t>
            </w:r>
          </w:p>
        </w:tc>
        <w:tc>
          <w:tcPr>
            <w:tcW w:w="1375" w:type="dxa"/>
            <w:noWrap/>
          </w:tcPr>
          <w:p w14:paraId="71A05FC5"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Pr>
                <w:szCs w:val="18"/>
              </w:rPr>
              <w:t>–</w:t>
            </w:r>
            <w:r w:rsidRPr="006134FA">
              <w:rPr>
                <w:szCs w:val="18"/>
              </w:rPr>
              <w:t>44.4</w:t>
            </w:r>
          </w:p>
        </w:tc>
      </w:tr>
      <w:tr w:rsidR="00AD37AD" w:rsidRPr="006134FA" w14:paraId="3678BD78" w14:textId="77777777" w:rsidTr="00905D6F">
        <w:trPr>
          <w:trHeight w:val="20"/>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hideMark/>
          </w:tcPr>
          <w:p w14:paraId="47B5DBE5" w14:textId="77777777" w:rsidR="00AD37AD" w:rsidRPr="00BE6BBB" w:rsidRDefault="00AD37AD" w:rsidP="008B0114">
            <w:pPr>
              <w:keepNext/>
              <w:keepLines/>
              <w:spacing w:after="0"/>
              <w:rPr>
                <w:b/>
                <w:bCs/>
                <w:i/>
                <w:iCs/>
                <w:color w:val="FFFFFF" w:themeColor="background1"/>
                <w:szCs w:val="18"/>
              </w:rPr>
            </w:pPr>
          </w:p>
        </w:tc>
        <w:tc>
          <w:tcPr>
            <w:tcW w:w="3431" w:type="dxa"/>
            <w:gridSpan w:val="2"/>
            <w:shd w:val="clear" w:color="auto" w:fill="7FB8CB"/>
          </w:tcPr>
          <w:p w14:paraId="26C1CB57"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Cs/>
                <w:iCs/>
                <w:color w:val="FFFFFF" w:themeColor="background1"/>
                <w:szCs w:val="18"/>
              </w:rPr>
              <w:t>Spam</w:t>
            </w:r>
          </w:p>
        </w:tc>
        <w:tc>
          <w:tcPr>
            <w:tcW w:w="1238" w:type="dxa"/>
          </w:tcPr>
          <w:p w14:paraId="73A298B3"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1,337</w:t>
            </w:r>
          </w:p>
        </w:tc>
        <w:tc>
          <w:tcPr>
            <w:tcW w:w="1375" w:type="dxa"/>
          </w:tcPr>
          <w:p w14:paraId="3FC911E6"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1,251</w:t>
            </w:r>
          </w:p>
        </w:tc>
        <w:tc>
          <w:tcPr>
            <w:tcW w:w="1375" w:type="dxa"/>
            <w:noWrap/>
          </w:tcPr>
          <w:p w14:paraId="1FC07C99"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–6.4</w:t>
            </w:r>
          </w:p>
        </w:tc>
      </w:tr>
      <w:tr w:rsidR="00AD37AD" w:rsidRPr="006134FA" w14:paraId="2009EA6E" w14:textId="77777777" w:rsidTr="000B0D2B">
        <w:trPr>
          <w:trHeight w:val="20"/>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tcPr>
          <w:p w14:paraId="51096DCC" w14:textId="77777777" w:rsidR="00AD37AD" w:rsidRPr="00BE6BBB" w:rsidRDefault="00AD37AD" w:rsidP="008B0114">
            <w:pPr>
              <w:keepNext/>
              <w:keepLines/>
              <w:spacing w:after="0"/>
              <w:rPr>
                <w:b/>
                <w:bCs/>
                <w:i/>
                <w:iCs/>
                <w:color w:val="FFFFFF" w:themeColor="background1"/>
                <w:szCs w:val="18"/>
              </w:rPr>
            </w:pPr>
          </w:p>
        </w:tc>
        <w:tc>
          <w:tcPr>
            <w:tcW w:w="3431" w:type="dxa"/>
            <w:gridSpan w:val="2"/>
            <w:shd w:val="clear" w:color="auto" w:fill="7FB8CB"/>
          </w:tcPr>
          <w:p w14:paraId="71C616B4"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b/>
                <w:bCs/>
                <w:i/>
                <w:iCs/>
                <w:color w:val="FFFFFF" w:themeColor="background1"/>
                <w:szCs w:val="18"/>
              </w:rPr>
            </w:pPr>
            <w:r w:rsidRPr="00BE6BBB">
              <w:rPr>
                <w:b/>
                <w:bCs/>
                <w:color w:val="FFFFFF" w:themeColor="background1"/>
                <w:szCs w:val="18"/>
              </w:rPr>
              <w:t>Total</w:t>
            </w:r>
          </w:p>
        </w:tc>
        <w:tc>
          <w:tcPr>
            <w:tcW w:w="1238" w:type="dxa"/>
            <w:shd w:val="clear" w:color="auto" w:fill="7FB8CB"/>
          </w:tcPr>
          <w:p w14:paraId="5761F14C"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
                <w:bCs/>
                <w:color w:val="FFFFFF" w:themeColor="background1"/>
                <w:szCs w:val="18"/>
              </w:rPr>
              <w:t>13,450</w:t>
            </w:r>
          </w:p>
        </w:tc>
        <w:tc>
          <w:tcPr>
            <w:tcW w:w="1375" w:type="dxa"/>
            <w:shd w:val="clear" w:color="auto" w:fill="7FB8CB"/>
          </w:tcPr>
          <w:p w14:paraId="6372DED4"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b/>
                <w:color w:val="FFFFFF" w:themeColor="background1"/>
                <w:szCs w:val="18"/>
              </w:rPr>
            </w:pPr>
            <w:r w:rsidRPr="00BE6BBB">
              <w:rPr>
                <w:b/>
                <w:color w:val="FFFFFF" w:themeColor="background1"/>
                <w:szCs w:val="18"/>
              </w:rPr>
              <w:t>7,991</w:t>
            </w:r>
          </w:p>
        </w:tc>
        <w:tc>
          <w:tcPr>
            <w:tcW w:w="1375" w:type="dxa"/>
            <w:shd w:val="clear" w:color="auto" w:fill="7FB8CB"/>
            <w:noWrap/>
          </w:tcPr>
          <w:p w14:paraId="48DB4C46"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
                <w:color w:val="FFFFFF" w:themeColor="background1"/>
                <w:szCs w:val="18"/>
              </w:rPr>
              <w:t>–40.6</w:t>
            </w:r>
          </w:p>
        </w:tc>
      </w:tr>
      <w:tr w:rsidR="00AD37AD" w:rsidRPr="006134FA" w14:paraId="05BF27A2" w14:textId="77777777" w:rsidTr="00905D6F">
        <w:trPr>
          <w:trHeight w:val="58"/>
        </w:trPr>
        <w:tc>
          <w:tcPr>
            <w:cnfStyle w:val="001000000000" w:firstRow="0" w:lastRow="0" w:firstColumn="1" w:lastColumn="0" w:oddVBand="0" w:evenVBand="0" w:oddHBand="0" w:evenHBand="0" w:firstRowFirstColumn="0" w:firstRowLastColumn="0" w:lastRowFirstColumn="0" w:lastRowLastColumn="0"/>
            <w:tcW w:w="1484" w:type="dxa"/>
            <w:vMerge w:val="restart"/>
            <w:shd w:val="clear" w:color="auto" w:fill="7FB8CB"/>
            <w:noWrap/>
          </w:tcPr>
          <w:p w14:paraId="37733F00" w14:textId="77777777" w:rsidR="00AD37AD" w:rsidRPr="00BE6BBB" w:rsidRDefault="00AD37AD" w:rsidP="008B0114">
            <w:pPr>
              <w:keepNext/>
              <w:keepLines/>
              <w:spacing w:after="0"/>
              <w:rPr>
                <w:color w:val="FFFFFF" w:themeColor="background1"/>
                <w:szCs w:val="18"/>
              </w:rPr>
            </w:pPr>
            <w:r w:rsidRPr="00BE6BBB">
              <w:rPr>
                <w:b/>
                <w:color w:val="FFFFFF" w:themeColor="background1"/>
                <w:szCs w:val="18"/>
              </w:rPr>
              <w:t>Compliance warning letters</w:t>
            </w:r>
          </w:p>
        </w:tc>
        <w:tc>
          <w:tcPr>
            <w:tcW w:w="3431" w:type="dxa"/>
            <w:gridSpan w:val="2"/>
            <w:shd w:val="clear" w:color="auto" w:fill="7FB8CB"/>
          </w:tcPr>
          <w:p w14:paraId="5B44AFF3"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Cs/>
                <w:iCs/>
                <w:color w:val="FFFFFF" w:themeColor="background1"/>
                <w:szCs w:val="18"/>
              </w:rPr>
              <w:t>Telemarketing and fax marketing</w:t>
            </w:r>
          </w:p>
        </w:tc>
        <w:tc>
          <w:tcPr>
            <w:tcW w:w="1238" w:type="dxa"/>
          </w:tcPr>
          <w:p w14:paraId="751EEC05"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962</w:t>
            </w:r>
          </w:p>
        </w:tc>
        <w:tc>
          <w:tcPr>
            <w:tcW w:w="1375" w:type="dxa"/>
          </w:tcPr>
          <w:p w14:paraId="3E51677D"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1,691</w:t>
            </w:r>
          </w:p>
        </w:tc>
        <w:tc>
          <w:tcPr>
            <w:tcW w:w="1375" w:type="dxa"/>
            <w:noWrap/>
          </w:tcPr>
          <w:p w14:paraId="53FC00FF"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75.8</w:t>
            </w:r>
          </w:p>
        </w:tc>
      </w:tr>
      <w:tr w:rsidR="00AD37AD" w:rsidRPr="006134FA" w14:paraId="504CB3F6" w14:textId="77777777" w:rsidTr="00905D6F">
        <w:trPr>
          <w:trHeight w:val="234"/>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hideMark/>
          </w:tcPr>
          <w:p w14:paraId="11602209" w14:textId="77777777" w:rsidR="00AD37AD" w:rsidRPr="00BE6BBB" w:rsidRDefault="00AD37AD" w:rsidP="008B0114">
            <w:pPr>
              <w:keepNext/>
              <w:keepLines/>
              <w:spacing w:after="0"/>
              <w:rPr>
                <w:color w:val="FFFFFF" w:themeColor="background1"/>
                <w:szCs w:val="18"/>
              </w:rPr>
            </w:pPr>
          </w:p>
        </w:tc>
        <w:tc>
          <w:tcPr>
            <w:tcW w:w="3431" w:type="dxa"/>
            <w:gridSpan w:val="2"/>
            <w:shd w:val="clear" w:color="auto" w:fill="7FB8CB"/>
          </w:tcPr>
          <w:p w14:paraId="30065EE1"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Cs/>
                <w:iCs/>
                <w:color w:val="FFFFFF" w:themeColor="background1"/>
                <w:szCs w:val="18"/>
              </w:rPr>
              <w:t>Spam</w:t>
            </w:r>
          </w:p>
        </w:tc>
        <w:tc>
          <w:tcPr>
            <w:tcW w:w="1238" w:type="dxa"/>
          </w:tcPr>
          <w:p w14:paraId="7F72ACA2"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6,918</w:t>
            </w:r>
          </w:p>
        </w:tc>
        <w:tc>
          <w:tcPr>
            <w:tcW w:w="1375" w:type="dxa"/>
          </w:tcPr>
          <w:p w14:paraId="6D55CD51"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2,412</w:t>
            </w:r>
          </w:p>
        </w:tc>
        <w:tc>
          <w:tcPr>
            <w:tcW w:w="1375" w:type="dxa"/>
            <w:noWrap/>
          </w:tcPr>
          <w:p w14:paraId="0FB2900B"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Pr>
                <w:szCs w:val="18"/>
              </w:rPr>
              <w:t>–</w:t>
            </w:r>
            <w:r w:rsidRPr="006134FA">
              <w:rPr>
                <w:szCs w:val="18"/>
              </w:rPr>
              <w:t>65.1</w:t>
            </w:r>
          </w:p>
        </w:tc>
      </w:tr>
      <w:tr w:rsidR="00AD37AD" w:rsidRPr="006134FA" w14:paraId="143ADA8F" w14:textId="77777777" w:rsidTr="000B0D2B">
        <w:trPr>
          <w:trHeight w:val="113"/>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hideMark/>
          </w:tcPr>
          <w:p w14:paraId="29A0C686" w14:textId="77777777" w:rsidR="00AD37AD" w:rsidRPr="00BE6BBB" w:rsidRDefault="00AD37AD" w:rsidP="008B0114">
            <w:pPr>
              <w:keepNext/>
              <w:keepLines/>
              <w:spacing w:after="0"/>
              <w:rPr>
                <w:color w:val="FFFFFF" w:themeColor="background1"/>
                <w:szCs w:val="18"/>
              </w:rPr>
            </w:pPr>
          </w:p>
        </w:tc>
        <w:tc>
          <w:tcPr>
            <w:tcW w:w="3431" w:type="dxa"/>
            <w:gridSpan w:val="2"/>
            <w:shd w:val="clear" w:color="auto" w:fill="7FB8CB"/>
          </w:tcPr>
          <w:p w14:paraId="17ECDA93"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
                <w:bCs/>
                <w:color w:val="FFFFFF" w:themeColor="background1"/>
                <w:szCs w:val="18"/>
              </w:rPr>
              <w:t>Total</w:t>
            </w:r>
          </w:p>
        </w:tc>
        <w:tc>
          <w:tcPr>
            <w:tcW w:w="1238" w:type="dxa"/>
            <w:shd w:val="clear" w:color="auto" w:fill="7FB8CB"/>
          </w:tcPr>
          <w:p w14:paraId="7489EF59"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
                <w:bCs/>
                <w:color w:val="FFFFFF" w:themeColor="background1"/>
                <w:szCs w:val="18"/>
              </w:rPr>
              <w:t>7,880</w:t>
            </w:r>
          </w:p>
        </w:tc>
        <w:tc>
          <w:tcPr>
            <w:tcW w:w="1375" w:type="dxa"/>
            <w:shd w:val="clear" w:color="auto" w:fill="7FB8CB"/>
          </w:tcPr>
          <w:p w14:paraId="6AB02124"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b/>
                <w:color w:val="FFFFFF" w:themeColor="background1"/>
                <w:szCs w:val="18"/>
              </w:rPr>
            </w:pPr>
            <w:r w:rsidRPr="00BE6BBB">
              <w:rPr>
                <w:b/>
                <w:color w:val="FFFFFF" w:themeColor="background1"/>
                <w:szCs w:val="18"/>
              </w:rPr>
              <w:t>4,103</w:t>
            </w:r>
          </w:p>
        </w:tc>
        <w:tc>
          <w:tcPr>
            <w:tcW w:w="1375" w:type="dxa"/>
            <w:shd w:val="clear" w:color="auto" w:fill="7FB8CB"/>
            <w:noWrap/>
          </w:tcPr>
          <w:p w14:paraId="01F44D01"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
                <w:color w:val="FFFFFF" w:themeColor="background1"/>
                <w:szCs w:val="18"/>
              </w:rPr>
              <w:t>–47.9</w:t>
            </w:r>
          </w:p>
        </w:tc>
      </w:tr>
      <w:tr w:rsidR="00AD37AD" w:rsidRPr="006134FA" w14:paraId="46CEE56F" w14:textId="77777777" w:rsidTr="00905D6F">
        <w:trPr>
          <w:trHeight w:val="160"/>
        </w:trPr>
        <w:tc>
          <w:tcPr>
            <w:cnfStyle w:val="001000000000" w:firstRow="0" w:lastRow="0" w:firstColumn="1" w:lastColumn="0" w:oddVBand="0" w:evenVBand="0" w:oddHBand="0" w:evenHBand="0" w:firstRowFirstColumn="0" w:firstRowLastColumn="0" w:lastRowFirstColumn="0" w:lastRowLastColumn="0"/>
            <w:tcW w:w="1484" w:type="dxa"/>
            <w:vMerge w:val="restart"/>
            <w:shd w:val="clear" w:color="auto" w:fill="7FB8CB"/>
            <w:noWrap/>
          </w:tcPr>
          <w:p w14:paraId="30DF6676" w14:textId="77777777" w:rsidR="00AD37AD" w:rsidRPr="00BE6BBB" w:rsidRDefault="00AD37AD" w:rsidP="008B0114">
            <w:pPr>
              <w:keepNext/>
              <w:keepLines/>
              <w:spacing w:after="0"/>
              <w:rPr>
                <w:color w:val="FFFFFF" w:themeColor="background1"/>
                <w:szCs w:val="18"/>
              </w:rPr>
            </w:pPr>
            <w:r w:rsidRPr="00BE6BBB">
              <w:rPr>
                <w:b/>
                <w:bCs/>
                <w:iCs/>
                <w:color w:val="FFFFFF" w:themeColor="background1"/>
                <w:szCs w:val="18"/>
              </w:rPr>
              <w:t>Investigations</w:t>
            </w:r>
          </w:p>
        </w:tc>
        <w:tc>
          <w:tcPr>
            <w:tcW w:w="3431" w:type="dxa"/>
            <w:gridSpan w:val="2"/>
            <w:shd w:val="clear" w:color="auto" w:fill="7FB8CB"/>
          </w:tcPr>
          <w:p w14:paraId="056A846D"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Cs/>
                <w:iCs/>
                <w:color w:val="FFFFFF" w:themeColor="background1"/>
                <w:szCs w:val="18"/>
              </w:rPr>
              <w:t>Telemarketing</w:t>
            </w:r>
          </w:p>
        </w:tc>
        <w:tc>
          <w:tcPr>
            <w:tcW w:w="1238" w:type="dxa"/>
          </w:tcPr>
          <w:p w14:paraId="62670EFB"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5</w:t>
            </w:r>
          </w:p>
        </w:tc>
        <w:tc>
          <w:tcPr>
            <w:tcW w:w="1375" w:type="dxa"/>
          </w:tcPr>
          <w:p w14:paraId="26B694AB"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b/>
                <w:color w:val="FFFFFF"/>
                <w:szCs w:val="18"/>
              </w:rPr>
            </w:pPr>
            <w:r w:rsidRPr="006134FA">
              <w:rPr>
                <w:szCs w:val="18"/>
              </w:rPr>
              <w:t>9</w:t>
            </w:r>
          </w:p>
        </w:tc>
        <w:tc>
          <w:tcPr>
            <w:tcW w:w="1375" w:type="dxa"/>
            <w:noWrap/>
          </w:tcPr>
          <w:p w14:paraId="457223A9"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8</w:t>
            </w:r>
            <w:r w:rsidR="008B0114">
              <w:rPr>
                <w:szCs w:val="18"/>
              </w:rPr>
              <w:t>0</w:t>
            </w:r>
          </w:p>
        </w:tc>
      </w:tr>
      <w:tr w:rsidR="00AD37AD" w:rsidRPr="006134FA" w14:paraId="43F2F472" w14:textId="77777777" w:rsidTr="00905D6F">
        <w:trPr>
          <w:trHeight w:val="194"/>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hideMark/>
          </w:tcPr>
          <w:p w14:paraId="0A44A167" w14:textId="77777777" w:rsidR="00AD37AD" w:rsidRPr="00BE6BBB" w:rsidRDefault="00AD37AD" w:rsidP="008B0114">
            <w:pPr>
              <w:keepNext/>
              <w:keepLines/>
              <w:spacing w:after="0"/>
              <w:rPr>
                <w:b/>
                <w:bCs/>
                <w:iCs/>
                <w:color w:val="FFFFFF" w:themeColor="background1"/>
                <w:szCs w:val="18"/>
              </w:rPr>
            </w:pPr>
          </w:p>
        </w:tc>
        <w:tc>
          <w:tcPr>
            <w:tcW w:w="3431" w:type="dxa"/>
            <w:gridSpan w:val="2"/>
            <w:shd w:val="clear" w:color="auto" w:fill="7FB8CB"/>
          </w:tcPr>
          <w:p w14:paraId="05F0AA3D"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Cs/>
                <w:iCs/>
                <w:color w:val="FFFFFF" w:themeColor="background1"/>
                <w:szCs w:val="18"/>
              </w:rPr>
              <w:t>Fax marketing</w:t>
            </w:r>
          </w:p>
        </w:tc>
        <w:tc>
          <w:tcPr>
            <w:tcW w:w="1238" w:type="dxa"/>
          </w:tcPr>
          <w:p w14:paraId="7CBF9403"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0</w:t>
            </w:r>
          </w:p>
        </w:tc>
        <w:tc>
          <w:tcPr>
            <w:tcW w:w="1375" w:type="dxa"/>
          </w:tcPr>
          <w:p w14:paraId="5C9E3D96"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0</w:t>
            </w:r>
          </w:p>
        </w:tc>
        <w:tc>
          <w:tcPr>
            <w:tcW w:w="1375" w:type="dxa"/>
            <w:noWrap/>
          </w:tcPr>
          <w:p w14:paraId="3DAD7F21"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n/a</w:t>
            </w:r>
          </w:p>
        </w:tc>
      </w:tr>
      <w:tr w:rsidR="00AD37AD" w:rsidRPr="006134FA" w14:paraId="43D0E69C" w14:textId="77777777" w:rsidTr="00905D6F">
        <w:trPr>
          <w:trHeight w:val="100"/>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tcPr>
          <w:p w14:paraId="5A98A2FD" w14:textId="77777777" w:rsidR="00AD37AD" w:rsidRPr="00BE6BBB" w:rsidRDefault="00AD37AD" w:rsidP="008B0114">
            <w:pPr>
              <w:keepNext/>
              <w:keepLines/>
              <w:spacing w:after="0"/>
              <w:rPr>
                <w:b/>
                <w:bCs/>
                <w:i/>
                <w:iCs/>
                <w:color w:val="FFFFFF" w:themeColor="background1"/>
                <w:szCs w:val="18"/>
              </w:rPr>
            </w:pPr>
          </w:p>
        </w:tc>
        <w:tc>
          <w:tcPr>
            <w:tcW w:w="3431" w:type="dxa"/>
            <w:gridSpan w:val="2"/>
            <w:shd w:val="clear" w:color="auto" w:fill="7FB8CB"/>
          </w:tcPr>
          <w:p w14:paraId="2CB19B21"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b/>
                <w:bCs/>
                <w:i/>
                <w:iCs/>
                <w:color w:val="FFFFFF" w:themeColor="background1"/>
                <w:szCs w:val="18"/>
              </w:rPr>
            </w:pPr>
            <w:r w:rsidRPr="00BE6BBB">
              <w:rPr>
                <w:bCs/>
                <w:iCs/>
                <w:color w:val="FFFFFF" w:themeColor="background1"/>
                <w:szCs w:val="18"/>
              </w:rPr>
              <w:t>Spam</w:t>
            </w:r>
          </w:p>
        </w:tc>
        <w:tc>
          <w:tcPr>
            <w:tcW w:w="1238" w:type="dxa"/>
          </w:tcPr>
          <w:p w14:paraId="349904F3" w14:textId="77777777" w:rsidR="00AD37AD" w:rsidRPr="006134FA" w:rsidDel="007E61A5"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000000"/>
                <w:szCs w:val="18"/>
              </w:rPr>
            </w:pPr>
            <w:r w:rsidRPr="006134FA">
              <w:rPr>
                <w:color w:val="000000"/>
                <w:szCs w:val="18"/>
              </w:rPr>
              <w:t>4</w:t>
            </w:r>
          </w:p>
        </w:tc>
        <w:tc>
          <w:tcPr>
            <w:tcW w:w="1375" w:type="dxa"/>
          </w:tcPr>
          <w:p w14:paraId="6D5FAE73" w14:textId="77777777" w:rsidR="00AD37AD" w:rsidRPr="006134FA"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sidRPr="006134FA">
              <w:rPr>
                <w:szCs w:val="18"/>
              </w:rPr>
              <w:t>5</w:t>
            </w:r>
          </w:p>
        </w:tc>
        <w:tc>
          <w:tcPr>
            <w:tcW w:w="1375" w:type="dxa"/>
            <w:noWrap/>
          </w:tcPr>
          <w:p w14:paraId="0AB45942" w14:textId="77777777" w:rsidR="00AD37AD" w:rsidRPr="006134FA" w:rsidRDefault="008B0114" w:rsidP="008B0114">
            <w:pPr>
              <w:keepNext/>
              <w:keepLines/>
              <w:spacing w:after="0"/>
              <w:cnfStyle w:val="000000000000" w:firstRow="0" w:lastRow="0" w:firstColumn="0" w:lastColumn="0" w:oddVBand="0" w:evenVBand="0" w:oddHBand="0" w:evenHBand="0" w:firstRowFirstColumn="0" w:firstRowLastColumn="0" w:lastRowFirstColumn="0" w:lastRowLastColumn="0"/>
              <w:rPr>
                <w:szCs w:val="18"/>
              </w:rPr>
            </w:pPr>
            <w:r>
              <w:rPr>
                <w:szCs w:val="18"/>
              </w:rPr>
              <w:t>25</w:t>
            </w:r>
          </w:p>
        </w:tc>
      </w:tr>
      <w:tr w:rsidR="00AD37AD" w:rsidRPr="006134FA" w14:paraId="5349D386" w14:textId="77777777" w:rsidTr="000B0D2B">
        <w:trPr>
          <w:trHeight w:val="134"/>
        </w:trPr>
        <w:tc>
          <w:tcPr>
            <w:cnfStyle w:val="001000000000" w:firstRow="0" w:lastRow="0" w:firstColumn="1" w:lastColumn="0" w:oddVBand="0" w:evenVBand="0" w:oddHBand="0" w:evenHBand="0" w:firstRowFirstColumn="0" w:firstRowLastColumn="0" w:lastRowFirstColumn="0" w:lastRowLastColumn="0"/>
            <w:tcW w:w="1484" w:type="dxa"/>
            <w:vMerge/>
            <w:shd w:val="clear" w:color="auto" w:fill="7FB8CB"/>
            <w:noWrap/>
            <w:hideMark/>
          </w:tcPr>
          <w:p w14:paraId="402BB9E6" w14:textId="77777777" w:rsidR="00AD37AD" w:rsidRPr="00BE6BBB" w:rsidRDefault="00AD37AD" w:rsidP="008B0114">
            <w:pPr>
              <w:keepNext/>
              <w:keepLines/>
              <w:spacing w:after="0"/>
              <w:rPr>
                <w:b/>
                <w:bCs/>
                <w:i/>
                <w:iCs/>
                <w:color w:val="FFFFFF" w:themeColor="background1"/>
                <w:szCs w:val="18"/>
              </w:rPr>
            </w:pPr>
          </w:p>
        </w:tc>
        <w:tc>
          <w:tcPr>
            <w:tcW w:w="3431" w:type="dxa"/>
            <w:gridSpan w:val="2"/>
            <w:shd w:val="clear" w:color="auto" w:fill="7FB8CB"/>
          </w:tcPr>
          <w:p w14:paraId="6887947A"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
                <w:bCs/>
                <w:color w:val="FFFFFF" w:themeColor="background1"/>
                <w:szCs w:val="18"/>
              </w:rPr>
              <w:t>Total</w:t>
            </w:r>
          </w:p>
        </w:tc>
        <w:tc>
          <w:tcPr>
            <w:tcW w:w="1238" w:type="dxa"/>
            <w:shd w:val="clear" w:color="auto" w:fill="7FB8CB"/>
          </w:tcPr>
          <w:p w14:paraId="34580A0D"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
                <w:bCs/>
                <w:color w:val="FFFFFF" w:themeColor="background1"/>
                <w:szCs w:val="18"/>
              </w:rPr>
              <w:t>9</w:t>
            </w:r>
          </w:p>
        </w:tc>
        <w:tc>
          <w:tcPr>
            <w:tcW w:w="1375" w:type="dxa"/>
            <w:shd w:val="clear" w:color="auto" w:fill="7FB8CB"/>
          </w:tcPr>
          <w:p w14:paraId="3086669F"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
                <w:color w:val="FFFFFF" w:themeColor="background1"/>
                <w:szCs w:val="18"/>
              </w:rPr>
              <w:t>14</w:t>
            </w:r>
          </w:p>
        </w:tc>
        <w:tc>
          <w:tcPr>
            <w:tcW w:w="1375" w:type="dxa"/>
            <w:shd w:val="clear" w:color="auto" w:fill="7FB8CB"/>
            <w:noWrap/>
          </w:tcPr>
          <w:p w14:paraId="2F1BA9B2" w14:textId="77777777" w:rsidR="00AD37AD" w:rsidRPr="00BE6BBB" w:rsidRDefault="00AD37AD" w:rsidP="008B0114">
            <w:pPr>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BE6BBB">
              <w:rPr>
                <w:b/>
                <w:color w:val="FFFFFF" w:themeColor="background1"/>
                <w:szCs w:val="18"/>
              </w:rPr>
              <w:t>55</w:t>
            </w:r>
          </w:p>
        </w:tc>
      </w:tr>
    </w:tbl>
    <w:p w14:paraId="5244AEEB" w14:textId="77777777" w:rsidR="00AD37AD" w:rsidRPr="006134FA" w:rsidRDefault="00AD37AD" w:rsidP="00905D6F">
      <w:pPr>
        <w:pStyle w:val="ACMANotes"/>
        <w:keepNext/>
        <w:keepLines/>
      </w:pPr>
      <w:r w:rsidRPr="006134FA">
        <w:t>n/a=not available.</w:t>
      </w:r>
    </w:p>
    <w:p w14:paraId="2FF75526" w14:textId="77777777" w:rsidR="00AD37AD" w:rsidRPr="006134FA" w:rsidRDefault="00AD37AD" w:rsidP="00905D6F">
      <w:pPr>
        <w:pStyle w:val="ACMANotes"/>
        <w:keepNext/>
        <w:keepLines/>
      </w:pPr>
      <w:r w:rsidRPr="006134FA">
        <w:t>*Complaints are an expression of dissatisfaction made to the ACMA about unsolicited emails or SMS</w:t>
      </w:r>
      <w:r>
        <w:t>,</w:t>
      </w:r>
      <w:r w:rsidRPr="006134FA">
        <w:t xml:space="preserve"> whereas reports are an advice of spam activity directed to the ACMA’s anti-spam databases. Reports are not actioned individually but assist the ACMA in its anti-spam activities.</w:t>
      </w:r>
    </w:p>
    <w:p w14:paraId="3E8A5C3C" w14:textId="77777777" w:rsidR="00AD37AD" w:rsidRPr="006134FA" w:rsidRDefault="00AD37AD" w:rsidP="00905D6F">
      <w:pPr>
        <w:pStyle w:val="ACMANotes"/>
        <w:keepNext/>
        <w:keepLines/>
        <w:rPr>
          <w:snapToGrid w:val="0"/>
          <w:lang w:eastAsia="en-US"/>
        </w:rPr>
      </w:pPr>
      <w:r w:rsidRPr="006134FA">
        <w:rPr>
          <w:rFonts w:ascii="Times New Roman" w:hAnsi="Times New Roman"/>
          <w:snapToGrid w:val="0"/>
          <w:sz w:val="24"/>
          <w:szCs w:val="20"/>
          <w:vertAlign w:val="superscript"/>
          <w:lang w:eastAsia="en-US"/>
        </w:rPr>
        <w:t>†</w:t>
      </w:r>
      <w:r w:rsidRPr="006134FA">
        <w:rPr>
          <w:snapToGrid w:val="0"/>
          <w:szCs w:val="16"/>
          <w:lang w:eastAsia="en-US"/>
        </w:rPr>
        <w:t xml:space="preserve">The ACMA and the </w:t>
      </w:r>
      <w:r>
        <w:rPr>
          <w:snapToGrid w:val="0"/>
          <w:szCs w:val="16"/>
          <w:lang w:eastAsia="en-US"/>
        </w:rPr>
        <w:t>DNCR</w:t>
      </w:r>
      <w:r w:rsidRPr="006134FA">
        <w:rPr>
          <w:snapToGrid w:val="0"/>
          <w:szCs w:val="16"/>
          <w:lang w:eastAsia="en-US"/>
        </w:rPr>
        <w:t xml:space="preserve"> operator receive enquiries from the public and businesses on matters related to compliance with the DNCR Act and Spam Act, such as</w:t>
      </w:r>
      <w:r>
        <w:rPr>
          <w:snapToGrid w:val="0"/>
          <w:szCs w:val="16"/>
          <w:lang w:eastAsia="en-US"/>
        </w:rPr>
        <w:t xml:space="preserve"> </w:t>
      </w:r>
      <w:r w:rsidRPr="006134FA">
        <w:rPr>
          <w:snapToGrid w:val="0"/>
          <w:szCs w:val="16"/>
          <w:lang w:eastAsia="en-US"/>
        </w:rPr>
        <w:t>the legitimacy of calls or messages received</w:t>
      </w:r>
      <w:r>
        <w:rPr>
          <w:snapToGrid w:val="0"/>
          <w:szCs w:val="16"/>
          <w:lang w:eastAsia="en-US"/>
        </w:rPr>
        <w:t xml:space="preserve">, </w:t>
      </w:r>
      <w:r w:rsidRPr="006134FA">
        <w:rPr>
          <w:snapToGrid w:val="0"/>
          <w:szCs w:val="16"/>
          <w:lang w:eastAsia="en-US"/>
        </w:rPr>
        <w:t>h</w:t>
      </w:r>
      <w:r w:rsidRPr="006134FA">
        <w:rPr>
          <w:snapToGrid w:val="0"/>
          <w:szCs w:val="16"/>
        </w:rPr>
        <w:t>o</w:t>
      </w:r>
      <w:r w:rsidRPr="006134FA">
        <w:rPr>
          <w:snapToGrid w:val="0"/>
          <w:szCs w:val="16"/>
          <w:lang w:eastAsia="en-US"/>
        </w:rPr>
        <w:t>w to stop receiving calls</w:t>
      </w:r>
      <w:r w:rsidRPr="006134FA">
        <w:rPr>
          <w:snapToGrid w:val="0"/>
          <w:color w:val="1C1C1C"/>
          <w:szCs w:val="16"/>
          <w:lang w:eastAsia="en-US"/>
        </w:rPr>
        <w:t xml:space="preserve"> or messages</w:t>
      </w:r>
      <w:r>
        <w:rPr>
          <w:snapToGrid w:val="0"/>
          <w:color w:val="1C1C1C"/>
          <w:szCs w:val="16"/>
          <w:lang w:eastAsia="en-US"/>
        </w:rPr>
        <w:t xml:space="preserve">, </w:t>
      </w:r>
      <w:r w:rsidRPr="006134FA">
        <w:rPr>
          <w:snapToGrid w:val="0"/>
          <w:lang w:eastAsia="en-US"/>
        </w:rPr>
        <w:t xml:space="preserve">how requirements of the DNCR Act or Spam Act </w:t>
      </w:r>
      <w:r w:rsidRPr="007F2D83">
        <w:t>affect</w:t>
      </w:r>
      <w:r w:rsidRPr="00C04332">
        <w:rPr>
          <w:snapToGrid w:val="0"/>
          <w:lang w:eastAsia="en-US"/>
        </w:rPr>
        <w:t xml:space="preserve"> </w:t>
      </w:r>
      <w:r w:rsidRPr="006134FA">
        <w:rPr>
          <w:snapToGrid w:val="0"/>
          <w:lang w:eastAsia="en-US"/>
        </w:rPr>
        <w:t>their business</w:t>
      </w:r>
      <w:r>
        <w:rPr>
          <w:snapToGrid w:val="0"/>
          <w:lang w:eastAsia="en-US"/>
        </w:rPr>
        <w:t xml:space="preserve">, </w:t>
      </w:r>
      <w:r w:rsidRPr="006134FA">
        <w:rPr>
          <w:snapToGrid w:val="0"/>
          <w:lang w:eastAsia="en-US"/>
        </w:rPr>
        <w:t xml:space="preserve">and whether particular marketing approaches are compliant with the DNCR Act or Spam Act. </w:t>
      </w:r>
    </w:p>
    <w:p w14:paraId="5D0143EF" w14:textId="77777777" w:rsidR="00AD37AD" w:rsidRDefault="00AD37AD" w:rsidP="00905D6F">
      <w:pPr>
        <w:pStyle w:val="ACMANotes"/>
        <w:keepNext/>
        <w:keepLines/>
      </w:pPr>
      <w:r w:rsidRPr="006134FA">
        <w:t>Source: ACMA.</w:t>
      </w:r>
    </w:p>
    <w:p w14:paraId="1498155F" w14:textId="77777777" w:rsidR="00AD37AD" w:rsidRPr="006134FA" w:rsidRDefault="00AD37AD" w:rsidP="00AD37AD">
      <w:pPr>
        <w:pStyle w:val="ACMASpaceaftertable"/>
      </w:pPr>
    </w:p>
    <w:p w14:paraId="2978A66B" w14:textId="77777777" w:rsidR="00AD37AD" w:rsidRPr="006134FA" w:rsidRDefault="00AD37AD" w:rsidP="00841849">
      <w:pPr>
        <w:pStyle w:val="Heading2"/>
        <w:numPr>
          <w:ilvl w:val="1"/>
          <w:numId w:val="12"/>
        </w:numPr>
        <w:ind w:hanging="792"/>
      </w:pPr>
      <w:bookmarkStart w:id="814" w:name="_Toc462909523"/>
      <w:bookmarkStart w:id="815" w:name="_Toc465843004"/>
      <w:r w:rsidRPr="006134FA">
        <w:t>Australian Internet Security Initiative</w:t>
      </w:r>
      <w:bookmarkEnd w:id="814"/>
      <w:bookmarkEnd w:id="815"/>
    </w:p>
    <w:p w14:paraId="14952699" w14:textId="77777777" w:rsidR="00AD37AD" w:rsidRPr="006134FA" w:rsidRDefault="00AD37AD" w:rsidP="00AD37AD">
      <w:pPr>
        <w:keepLines/>
        <w:rPr>
          <w:rFonts w:cs="Arial"/>
        </w:rPr>
      </w:pPr>
      <w:r w:rsidRPr="006134FA">
        <w:rPr>
          <w:rFonts w:cs="Arial"/>
        </w:rPr>
        <w:t xml:space="preserve">The AISI is a voluntary program operated by the ACMA to assist AISI partners to address the problem of computing devices that are compromised by malware (malicious software). Malware can enable criminals or malicious parties to steal personal and sensitive information from devices and control them remotely for illegal or harmful purposes, without the user’s knowledge. These infections often enable activities causing harm to other </w:t>
      </w:r>
      <w:r>
        <w:rPr>
          <w:rFonts w:cs="Arial"/>
        </w:rPr>
        <w:t>i</w:t>
      </w:r>
      <w:r w:rsidRPr="006134FA">
        <w:rPr>
          <w:rFonts w:cs="Arial"/>
        </w:rPr>
        <w:t>nternet users, including the mass distribution of spam, hosting of phishing sites, facilitation of identity theft, participation in dedicated denial</w:t>
      </w:r>
      <w:r>
        <w:rPr>
          <w:rFonts w:cs="Arial"/>
        </w:rPr>
        <w:t>-</w:t>
      </w:r>
      <w:r w:rsidRPr="006134FA">
        <w:rPr>
          <w:rFonts w:cs="Arial"/>
        </w:rPr>
        <w:t>of</w:t>
      </w:r>
      <w:r>
        <w:rPr>
          <w:rFonts w:cs="Arial"/>
        </w:rPr>
        <w:t>-</w:t>
      </w:r>
      <w:r w:rsidRPr="006134FA">
        <w:rPr>
          <w:rFonts w:cs="Arial"/>
        </w:rPr>
        <w:t>service attacks and dissemination of ransomware (malware that restricts access to files on a computer system until a sum of money is paid).</w:t>
      </w:r>
    </w:p>
    <w:p w14:paraId="38F67940" w14:textId="77777777" w:rsidR="00AD37AD" w:rsidRPr="006134FA" w:rsidRDefault="00AD37AD" w:rsidP="00AD37AD">
      <w:pPr>
        <w:rPr>
          <w:rFonts w:cs="Arial"/>
        </w:rPr>
      </w:pPr>
      <w:r w:rsidRPr="006134FA">
        <w:rPr>
          <w:rFonts w:cs="Arial"/>
        </w:rPr>
        <w:t xml:space="preserve">The AISI provides daily reports to partners—Australian ISPs and educational institutions—about malware-infected computing devices residing on their networks. When they receive a report of an infection, AISI partners are expected to contact their customers, inform them that their computing devices are infected and provide information to help restore these devices to safe operation. Partners can also </w:t>
      </w:r>
      <w:r w:rsidRPr="006134FA">
        <w:rPr>
          <w:rFonts w:cs="Arial"/>
        </w:rPr>
        <w:lastRenderedPageBreak/>
        <w:t xml:space="preserve">access AISI data </w:t>
      </w:r>
      <w:r>
        <w:rPr>
          <w:rFonts w:cs="Arial"/>
        </w:rPr>
        <w:t>on</w:t>
      </w:r>
      <w:r w:rsidRPr="006134FA">
        <w:rPr>
          <w:rFonts w:cs="Arial"/>
        </w:rPr>
        <w:t xml:space="preserve"> compromises occurring on IP addresses on their networks through an online portal, which contains more comprehensive data than </w:t>
      </w:r>
      <w:r>
        <w:rPr>
          <w:rFonts w:cs="Arial"/>
        </w:rPr>
        <w:t>is</w:t>
      </w:r>
      <w:r w:rsidRPr="006134FA">
        <w:rPr>
          <w:rFonts w:cs="Arial"/>
        </w:rPr>
        <w:t xml:space="preserve"> in the daily AISI email reports.</w:t>
      </w:r>
    </w:p>
    <w:p w14:paraId="62965288" w14:textId="77777777" w:rsidR="00AD37AD" w:rsidRPr="006134FA" w:rsidRDefault="00AD37AD" w:rsidP="00AD37AD">
      <w:pPr>
        <w:rPr>
          <w:rFonts w:cs="Arial"/>
          <w:szCs w:val="20"/>
        </w:rPr>
      </w:pPr>
      <w:r w:rsidRPr="006134FA">
        <w:rPr>
          <w:rFonts w:cs="Arial"/>
        </w:rPr>
        <w:t>At 30 June 2016, there were 146 partners in the AISI, with these partners estimated to cover more than 95 per cent of allocated Australian IP address ranges. A total of 62.5</w:t>
      </w:r>
      <w:r w:rsidRPr="006134FA">
        <w:rPr>
          <w:rFonts w:cs="Arial"/>
          <w:szCs w:val="20"/>
        </w:rPr>
        <w:t xml:space="preserve"> million daily observations of infections were reported to AISI partners in 2015–16, averaging 5.2 million per month.</w:t>
      </w:r>
    </w:p>
    <w:p w14:paraId="3BE913C8" w14:textId="77777777" w:rsidR="00AD37AD" w:rsidRPr="006134FA" w:rsidRDefault="00AD37AD" w:rsidP="00AD37AD">
      <w:pPr>
        <w:rPr>
          <w:rFonts w:cs="Arial"/>
        </w:rPr>
      </w:pPr>
      <w:r w:rsidRPr="006134FA">
        <w:rPr>
          <w:rFonts w:cs="Arial"/>
        </w:rPr>
        <w:t xml:space="preserve">In March 2015, the ACMA </w:t>
      </w:r>
      <w:r>
        <w:rPr>
          <w:rFonts w:cs="Arial"/>
        </w:rPr>
        <w:t>began</w:t>
      </w:r>
      <w:r w:rsidRPr="006134FA">
        <w:rPr>
          <w:rFonts w:cs="Arial"/>
        </w:rPr>
        <w:t xml:space="preserve"> reporting services vulnerable to known exploits—such as websites, network</w:t>
      </w:r>
      <w:r>
        <w:rPr>
          <w:rFonts w:cs="Arial"/>
        </w:rPr>
        <w:t>-</w:t>
      </w:r>
      <w:r w:rsidRPr="006134FA">
        <w:rPr>
          <w:rFonts w:cs="Arial"/>
        </w:rPr>
        <w:t xml:space="preserve">attached storage devices and home routers—that potentially allow a criminal or malicious actor to intercept communications occurring through that device </w:t>
      </w:r>
      <w:r>
        <w:rPr>
          <w:rFonts w:cs="Arial"/>
        </w:rPr>
        <w:t xml:space="preserve">in order </w:t>
      </w:r>
      <w:r w:rsidRPr="006134FA">
        <w:rPr>
          <w:rFonts w:cs="Arial"/>
        </w:rPr>
        <w:t xml:space="preserve">to steal sensitive information (such as communications </w:t>
      </w:r>
      <w:r>
        <w:rPr>
          <w:rFonts w:cs="Arial"/>
        </w:rPr>
        <w:t>about</w:t>
      </w:r>
      <w:r w:rsidRPr="006134FA">
        <w:rPr>
          <w:rFonts w:cs="Arial"/>
        </w:rPr>
        <w:t xml:space="preserve"> a financial transaction). </w:t>
      </w:r>
      <w:r w:rsidRPr="006134FA">
        <w:t xml:space="preserve">The majority of these services are vulnerable because they permit the use of outmoded and insecure encryption. </w:t>
      </w:r>
      <w:r w:rsidRPr="006134FA">
        <w:rPr>
          <w:rFonts w:cs="Arial"/>
        </w:rPr>
        <w:t>During 2015</w:t>
      </w:r>
      <w:r>
        <w:rPr>
          <w:rFonts w:cs="Arial"/>
        </w:rPr>
        <w:t>–</w:t>
      </w:r>
      <w:r w:rsidRPr="006134FA">
        <w:rPr>
          <w:rFonts w:cs="Arial"/>
        </w:rPr>
        <w:t xml:space="preserve">16, a further 11 vulnerability types were added to the daily AISI reports, including network services ‘openly’ accessible to the </w:t>
      </w:r>
      <w:r>
        <w:rPr>
          <w:rFonts w:cs="Arial"/>
        </w:rPr>
        <w:t>i</w:t>
      </w:r>
      <w:r w:rsidRPr="006134FA">
        <w:rPr>
          <w:rFonts w:cs="Arial"/>
        </w:rPr>
        <w:t>nternet, such as ‘queryable’ databases. A total of 72.4 million daily observations of vulnerable IP addresses were reported to AISI partners in 2015</w:t>
      </w:r>
      <w:r>
        <w:rPr>
          <w:rFonts w:cs="Arial"/>
        </w:rPr>
        <w:t>–</w:t>
      </w:r>
      <w:r w:rsidRPr="006134FA">
        <w:rPr>
          <w:rFonts w:cs="Arial"/>
        </w:rPr>
        <w:t>16.</w:t>
      </w:r>
    </w:p>
    <w:p w14:paraId="77A8BA77" w14:textId="77777777" w:rsidR="00AD37AD" w:rsidRDefault="00AD37AD" w:rsidP="00AD37AD">
      <w:r w:rsidRPr="006134FA">
        <w:rPr>
          <w:rFonts w:cs="Arial"/>
        </w:rPr>
        <w:t xml:space="preserve">Reporting vulnerable services assists home and business users </w:t>
      </w:r>
      <w:r>
        <w:rPr>
          <w:rFonts w:cs="Arial"/>
        </w:rPr>
        <w:t>by</w:t>
      </w:r>
      <w:r w:rsidRPr="006134FA">
        <w:rPr>
          <w:rFonts w:cs="Arial"/>
        </w:rPr>
        <w:t xml:space="preserve"> alerting them to the need to improve the security level of their internet</w:t>
      </w:r>
      <w:r>
        <w:rPr>
          <w:rFonts w:cs="Arial"/>
        </w:rPr>
        <w:t>-</w:t>
      </w:r>
      <w:r w:rsidRPr="006134FA">
        <w:rPr>
          <w:rFonts w:cs="Arial"/>
        </w:rPr>
        <w:t xml:space="preserve">accessible services. </w:t>
      </w:r>
      <w:r w:rsidRPr="006134FA">
        <w:t xml:space="preserve">The feedback from industry </w:t>
      </w:r>
      <w:r>
        <w:t>on</w:t>
      </w:r>
      <w:r w:rsidRPr="006134FA">
        <w:t xml:space="preserve"> the reporting of vulnerability data through the AISI program</w:t>
      </w:r>
      <w:r w:rsidRPr="002373E0">
        <w:t xml:space="preserve"> </w:t>
      </w:r>
      <w:r w:rsidRPr="006134FA">
        <w:t xml:space="preserve">has been positive, with the data indicating significant issues exist for industry </w:t>
      </w:r>
      <w:r>
        <w:t xml:space="preserve">in </w:t>
      </w:r>
      <w:r w:rsidRPr="006134FA">
        <w:t>maint</w:t>
      </w:r>
      <w:r>
        <w:t>aining</w:t>
      </w:r>
      <w:r w:rsidRPr="006134FA">
        <w:t xml:space="preserve"> security levels on these services.</w:t>
      </w:r>
    </w:p>
    <w:p w14:paraId="1F066D21" w14:textId="77777777" w:rsidR="00AD37AD" w:rsidRPr="006134FA" w:rsidRDefault="00AD37AD" w:rsidP="00AD37AD">
      <w:r w:rsidRPr="006134FA">
        <w:t>In October 2015</w:t>
      </w:r>
      <w:r>
        <w:t>,</w:t>
      </w:r>
      <w:r w:rsidRPr="006134FA">
        <w:t xml:space="preserve"> the ACMA released a research paper, </w:t>
      </w:r>
      <w:r w:rsidRPr="006134FA">
        <w:rPr>
          <w:i/>
        </w:rPr>
        <w:t>The Australian Internet Security Initiative: Interviews with industry participants</w:t>
      </w:r>
      <w:r w:rsidRPr="006134FA">
        <w:t xml:space="preserve">. </w:t>
      </w:r>
      <w:r>
        <w:t>B</w:t>
      </w:r>
      <w:r w:rsidRPr="006134FA">
        <w:t xml:space="preserve">ased on interviews with 24 AISI partners, </w:t>
      </w:r>
      <w:r>
        <w:t xml:space="preserve">the paper </w:t>
      </w:r>
      <w:r w:rsidRPr="006134FA">
        <w:t>examined internet provider use of the daily AISI malware infection reports and the associated AISI portal, which provides historical data on malware infections and service vulnerabilities occurring on their networks. The paper also examined how AISI partners interact with their customers when advising them of malware infections on their computing devices. The report found strong industry support for the AISI program.</w:t>
      </w:r>
    </w:p>
    <w:p w14:paraId="5495553E" w14:textId="77777777" w:rsidR="00AD37AD" w:rsidRPr="006134FA" w:rsidRDefault="00AD37AD" w:rsidP="00AD37AD">
      <w:pPr>
        <w:rPr>
          <w:rFonts w:cs="Arial"/>
        </w:rPr>
      </w:pPr>
      <w:r w:rsidRPr="006134FA">
        <w:rPr>
          <w:rFonts w:cs="Arial"/>
        </w:rPr>
        <w:t xml:space="preserve">The AISI is complemented by the CA </w:t>
      </w:r>
      <w:r w:rsidRPr="009C1BE9">
        <w:t>C650:2014</w:t>
      </w:r>
      <w:r w:rsidRPr="00E755B7">
        <w:rPr>
          <w:i/>
        </w:rPr>
        <w:t xml:space="preserve"> </w:t>
      </w:r>
      <w:r w:rsidRPr="00F30AE3">
        <w:rPr>
          <w:i/>
          <w:iCs/>
        </w:rPr>
        <w:t>iCode</w:t>
      </w:r>
      <w:r w:rsidR="00695FCA" w:rsidRPr="00F30AE3">
        <w:rPr>
          <w:i/>
        </w:rPr>
        <w:t>—</w:t>
      </w:r>
      <w:r w:rsidRPr="00F30AE3">
        <w:rPr>
          <w:i/>
        </w:rPr>
        <w:t xml:space="preserve">Internet </w:t>
      </w:r>
      <w:r w:rsidRPr="00F30AE3">
        <w:rPr>
          <w:i/>
          <w:iCs/>
        </w:rPr>
        <w:t>Industry Code of Practice</w:t>
      </w:r>
      <w:r w:rsidRPr="00E755B7">
        <w:rPr>
          <w:rFonts w:cs="Arial"/>
          <w:i/>
        </w:rPr>
        <w:t xml:space="preserve"> </w:t>
      </w:r>
      <w:r>
        <w:rPr>
          <w:rFonts w:cs="Arial"/>
        </w:rPr>
        <w:t>(</w:t>
      </w:r>
      <w:r w:rsidRPr="006134FA">
        <w:rPr>
          <w:rFonts w:cs="Arial"/>
        </w:rPr>
        <w:t>iCode</w:t>
      </w:r>
      <w:r>
        <w:rPr>
          <w:rFonts w:cs="Arial"/>
        </w:rPr>
        <w:t>)</w:t>
      </w:r>
      <w:r w:rsidRPr="006134FA">
        <w:rPr>
          <w:rFonts w:cs="Arial"/>
        </w:rPr>
        <w:t xml:space="preserve">, which </w:t>
      </w:r>
      <w:r>
        <w:rPr>
          <w:rFonts w:cs="Arial"/>
        </w:rPr>
        <w:t>began</w:t>
      </w:r>
      <w:r w:rsidRPr="006134FA">
        <w:rPr>
          <w:rFonts w:cs="Arial"/>
        </w:rPr>
        <w:t xml:space="preserve"> operating on 1</w:t>
      </w:r>
      <w:r>
        <w:rPr>
          <w:rFonts w:cs="Arial"/>
        </w:rPr>
        <w:t> </w:t>
      </w:r>
      <w:r w:rsidRPr="006134FA">
        <w:rPr>
          <w:rFonts w:cs="Arial"/>
        </w:rPr>
        <w:t xml:space="preserve">December 2010, and is designed to provide a consistent approach for Australian ISPs to help inform, educate and protect their customers against cybersecurity risks. The </w:t>
      </w:r>
      <w:r>
        <w:rPr>
          <w:rFonts w:cs="Arial"/>
        </w:rPr>
        <w:t xml:space="preserve">iCode specifies the </w:t>
      </w:r>
      <w:r w:rsidRPr="006134FA">
        <w:rPr>
          <w:rFonts w:cs="Arial"/>
        </w:rPr>
        <w:t>AISI as one of the methods that ISPs should use to detect malware infections in their networks.</w:t>
      </w:r>
    </w:p>
    <w:p w14:paraId="7FF40595" w14:textId="77777777" w:rsidR="00AD37AD" w:rsidRPr="006134FA" w:rsidRDefault="00AD37AD" w:rsidP="00AD37AD">
      <w:pPr>
        <w:rPr>
          <w:rFonts w:cs="Arial"/>
        </w:rPr>
      </w:pPr>
      <w:r>
        <w:rPr>
          <w:rFonts w:cs="Arial"/>
        </w:rPr>
        <w:t>The ACMA also manages</w:t>
      </w:r>
      <w:r w:rsidRPr="006134FA">
        <w:rPr>
          <w:rFonts w:cs="Arial"/>
        </w:rPr>
        <w:t xml:space="preserve"> an automated system for reporting suspected ‘phishing’ URLs extracted from spam emails reported to the ACMA. These phishing emails direct internet users to fraudulent web pages that represent themselves as belonging to legitimate businesses, such as banks. Their main function is to obtain financial and personal information from unsuspecting internet users for criminal purposes.</w:t>
      </w:r>
    </w:p>
    <w:p w14:paraId="4F873212" w14:textId="77777777" w:rsidR="00AD37AD" w:rsidRPr="006134FA" w:rsidRDefault="00AD37AD" w:rsidP="00841849">
      <w:pPr>
        <w:keepLines/>
        <w:rPr>
          <w:rFonts w:cs="Arial"/>
        </w:rPr>
      </w:pPr>
      <w:r w:rsidRPr="006134FA">
        <w:rPr>
          <w:rFonts w:cs="Arial"/>
        </w:rPr>
        <w:t>Recipients of the ACMA’s phishing reports include the Australian Tax Office, Facebook, Telstra and a number of major financial institutions. A total of 44,271 reports of suspected phishing URLs were provided to these organisations in 2015–16, a slight increase of 751 over the number reported in 2014</w:t>
      </w:r>
      <w:r>
        <w:rPr>
          <w:rFonts w:cs="Arial"/>
        </w:rPr>
        <w:t>–</w:t>
      </w:r>
      <w:r w:rsidRPr="006134FA">
        <w:rPr>
          <w:rFonts w:cs="Arial"/>
        </w:rPr>
        <w:t>15. To enable quick and early action, phishing reports are provided within minutes of being received by the</w:t>
      </w:r>
      <w:r w:rsidR="00042B53">
        <w:rPr>
          <w:rFonts w:cs="Arial"/>
        </w:rPr>
        <w:t> </w:t>
      </w:r>
      <w:r w:rsidRPr="006134FA">
        <w:rPr>
          <w:rFonts w:cs="Arial"/>
        </w:rPr>
        <w:t>ACMA.</w:t>
      </w:r>
    </w:p>
    <w:p w14:paraId="1098A9A5" w14:textId="77777777" w:rsidR="00AD37AD" w:rsidRPr="006134FA" w:rsidRDefault="00AD37AD" w:rsidP="00841849">
      <w:pPr>
        <w:pStyle w:val="Heading2"/>
        <w:numPr>
          <w:ilvl w:val="1"/>
          <w:numId w:val="12"/>
        </w:numPr>
        <w:ind w:hanging="792"/>
      </w:pPr>
      <w:bookmarkStart w:id="816" w:name="_Toc462909524"/>
      <w:bookmarkStart w:id="817" w:name="_Toc465843005"/>
      <w:r w:rsidRPr="006134FA">
        <w:t>Industry compliance with TIO scheme</w:t>
      </w:r>
      <w:bookmarkEnd w:id="816"/>
      <w:bookmarkEnd w:id="817"/>
    </w:p>
    <w:p w14:paraId="4BB0CEE5" w14:textId="77777777" w:rsidR="00AD37AD" w:rsidRPr="006134FA" w:rsidRDefault="00AD37AD" w:rsidP="00AD37AD">
      <w:pPr>
        <w:keepNext/>
        <w:keepLines/>
      </w:pPr>
      <w:r w:rsidRPr="006134FA">
        <w:t>Section 128 of the TCPSS Act requires carriers and eligible CSPs to join the TIO scheme. The scheme provides for the resolution of unresolved complaints about carriers or CSPs made by residential and small-business customers where those complaints are not resolved by the CSP/carrier. Eligible CSPs are those providers who supply fixed standard telephone, mobile or internet services to residential and small-business customers. TIO scheme members are required to comply with the scheme.</w:t>
      </w:r>
    </w:p>
    <w:p w14:paraId="58FE0A9F" w14:textId="77777777" w:rsidR="00AD37AD" w:rsidRPr="006134FA" w:rsidRDefault="00AD37AD" w:rsidP="00AD37AD">
      <w:r w:rsidRPr="006134FA">
        <w:t>From 1 July 2015 to 30 June 2016, the TIO referred 12 companies that had not joined the TIO scheme to the ACMA. As at 30 June 2016, 11 of these firms joined the scheme as a result of TIO referrals to the ACMA, with one more company joining the TIO as a result of a referral given to the ACMA in the previous reporting year. An investigation into one of the companies referred to the ACMA by the TIO is ongoing.</w:t>
      </w:r>
    </w:p>
    <w:p w14:paraId="24EA5107" w14:textId="77777777" w:rsidR="00AD37AD" w:rsidRPr="006134FA" w:rsidRDefault="00AD37AD" w:rsidP="00AD37AD">
      <w:pPr>
        <w:spacing w:after="80"/>
      </w:pPr>
      <w:r w:rsidRPr="006134FA">
        <w:lastRenderedPageBreak/>
        <w:t xml:space="preserve">Investigations into TIO scheme membership led to one direction to comply with section 128 of the TCPSS Act issued to LBM Australia Pty Ltd, </w:t>
      </w:r>
      <w:r w:rsidR="001614D9">
        <w:t>which</w:t>
      </w:r>
      <w:r w:rsidRPr="006134FA">
        <w:t xml:space="preserve"> subsequently joined the TIO scheme. </w:t>
      </w:r>
    </w:p>
    <w:p w14:paraId="4C333629" w14:textId="77777777" w:rsidR="00AD37AD" w:rsidRPr="006134FA" w:rsidRDefault="00AD37AD" w:rsidP="00841849">
      <w:pPr>
        <w:pStyle w:val="Heading2"/>
        <w:numPr>
          <w:ilvl w:val="1"/>
          <w:numId w:val="12"/>
        </w:numPr>
        <w:ind w:hanging="792"/>
      </w:pPr>
      <w:bookmarkStart w:id="818" w:name="_Toc462909525"/>
      <w:bookmarkStart w:id="819" w:name="_Toc465843006"/>
      <w:r w:rsidRPr="006134FA">
        <w:t>Complaints to the TIO</w:t>
      </w:r>
      <w:bookmarkEnd w:id="818"/>
      <w:bookmarkEnd w:id="819"/>
    </w:p>
    <w:p w14:paraId="63B19AB5" w14:textId="77777777" w:rsidR="00AD37AD" w:rsidRPr="006134FA" w:rsidRDefault="00AD37AD" w:rsidP="00AD37AD">
      <w:r w:rsidRPr="006134FA">
        <w:t>There were 112,518 new complaints made to the TIO during 2015–16, a reduction of 9.6 per cent from 2014–15. The most significant decrease in complaints was for mobile services—down by 30.2 per cent on the previous year, and less than a third of the peak level recorded during 2011</w:t>
      </w:r>
      <w:r>
        <w:rPr>
          <w:rFonts w:cs="Arial"/>
        </w:rPr>
        <w:t>–</w:t>
      </w:r>
      <w:r w:rsidRPr="006134FA">
        <w:t xml:space="preserve">12. </w:t>
      </w:r>
    </w:p>
    <w:p w14:paraId="2F890D76" w14:textId="77777777" w:rsidR="00AD37AD" w:rsidRPr="006134FA" w:rsidRDefault="00AD37AD" w:rsidP="00AD37AD">
      <w:r w:rsidRPr="006134FA">
        <w:t>Complaints about fixed-line services were down by 6.4 per cent</w:t>
      </w:r>
      <w:r>
        <w:t>;</w:t>
      </w:r>
      <w:r w:rsidRPr="006134FA">
        <w:t xml:space="preserve"> however</w:t>
      </w:r>
      <w:r>
        <w:t xml:space="preserve">, </w:t>
      </w:r>
      <w:r w:rsidRPr="006134FA">
        <w:t xml:space="preserve">complaints </w:t>
      </w:r>
      <w:r>
        <w:t>about</w:t>
      </w:r>
      <w:r w:rsidRPr="006134FA">
        <w:t xml:space="preserve"> internet services increased by 22.1 per cent, reversing the trend of previous years. Complaints about mobile premium services were up 11.</w:t>
      </w:r>
      <w:r>
        <w:t>1</w:t>
      </w:r>
      <w:r w:rsidRPr="006134FA">
        <w:t xml:space="preserve"> per cent from 2014–15, although the numbers remain relatively low compared to complaints made about other services (Figure 5.</w:t>
      </w:r>
      <w:r>
        <w:t>6</w:t>
      </w:r>
      <w:r w:rsidRPr="006134FA">
        <w:t>).</w:t>
      </w:r>
    </w:p>
    <w:p w14:paraId="37D63D70" w14:textId="77777777" w:rsidR="00AD37AD" w:rsidRPr="006134FA" w:rsidRDefault="00AD37AD" w:rsidP="00AD37AD">
      <w:r w:rsidRPr="006134FA">
        <w:t>The TIO records a new complaint when it receives an expression of dissatisfaction from a consumer whose complaint has not been resolved by the service provider. The TIO identifies and allocates complaint issues within each new complaint from a choice of keywords that are aligned to industry codes or common complaint categories identified by the TIO. As such, each new complaint involves at least one complaint issue and often more than one.</w:t>
      </w:r>
    </w:p>
    <w:p w14:paraId="30FFB5CC" w14:textId="77777777" w:rsidR="00AD37AD" w:rsidRPr="006134FA" w:rsidRDefault="00AD37AD" w:rsidP="00AD37AD">
      <w:pPr>
        <w:pStyle w:val="ACMAFigureHeader"/>
        <w:keepNext/>
      </w:pPr>
      <w:r w:rsidRPr="006134FA">
        <w:t>Figure 5.6</w:t>
      </w:r>
      <w:r>
        <w:tab/>
      </w:r>
      <w:r w:rsidRPr="006134FA">
        <w:t>Annual TIO new complaints by service type</w:t>
      </w:r>
    </w:p>
    <w:p w14:paraId="5CEE3138" w14:textId="77777777" w:rsidR="00AD37AD" w:rsidRPr="006134FA" w:rsidRDefault="00E1177E" w:rsidP="00AD37AD">
      <w:pPr>
        <w:spacing w:after="0"/>
        <w:rPr>
          <w:b/>
          <w:bCs/>
          <w:color w:val="323232"/>
          <w:szCs w:val="20"/>
        </w:rPr>
      </w:pPr>
      <w:r>
        <w:rPr>
          <w:b/>
          <w:bCs/>
          <w:noProof/>
          <w:color w:val="323232"/>
          <w:szCs w:val="20"/>
        </w:rPr>
        <w:drawing>
          <wp:inline distT="0" distB="0" distL="0" distR="0" wp14:anchorId="3E906884" wp14:editId="45066D64">
            <wp:extent cx="5826404" cy="4139119"/>
            <wp:effectExtent l="0" t="0" r="3175" b="0"/>
            <wp:docPr id="47" name="Picture 47" descr="Data for Figure 5.6 is in the .ods file for Chapter 5 on the landing page ‘Communications report 2015-16’, available from the ACMA website." title="Figure 5.6  Annual TIO new complaints by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5.6_Figure 5.6.png"/>
                    <pic:cNvPicPr/>
                  </pic:nvPicPr>
                  <pic:blipFill rotWithShape="1">
                    <a:blip r:embed="rId133">
                      <a:extLst>
                        <a:ext uri="{28A0092B-C50C-407E-A947-70E740481C1C}">
                          <a14:useLocalDpi xmlns:a14="http://schemas.microsoft.com/office/drawing/2010/main" val="0"/>
                        </a:ext>
                      </a:extLst>
                    </a:blip>
                    <a:srcRect l="654" t="1262" r="1227" b="1119"/>
                    <a:stretch/>
                  </pic:blipFill>
                  <pic:spPr bwMode="auto">
                    <a:xfrm>
                      <a:off x="0" y="0"/>
                      <a:ext cx="5827946" cy="4140214"/>
                    </a:xfrm>
                    <a:prstGeom prst="rect">
                      <a:avLst/>
                    </a:prstGeom>
                    <a:ln>
                      <a:noFill/>
                    </a:ln>
                    <a:extLst>
                      <a:ext uri="{53640926-AAD7-44D8-BBD7-CCE9431645EC}">
                        <a14:shadowObscured xmlns:a14="http://schemas.microsoft.com/office/drawing/2010/main"/>
                      </a:ext>
                    </a:extLst>
                  </pic:spPr>
                </pic:pic>
              </a:graphicData>
            </a:graphic>
          </wp:inline>
        </w:drawing>
      </w:r>
    </w:p>
    <w:p w14:paraId="38E31094" w14:textId="77777777" w:rsidR="00AD37AD" w:rsidRDefault="00AD37AD" w:rsidP="00AD37AD">
      <w:pPr>
        <w:pStyle w:val="ACMANotes"/>
      </w:pPr>
      <w:r w:rsidRPr="006134FA">
        <w:t>Source: TIO.</w:t>
      </w:r>
    </w:p>
    <w:p w14:paraId="79FFD26E" w14:textId="77777777" w:rsidR="00AD37AD" w:rsidRPr="006134FA" w:rsidRDefault="00AD37AD" w:rsidP="00AD37AD">
      <w:pPr>
        <w:pStyle w:val="ACMASpaceaftertable"/>
      </w:pPr>
    </w:p>
    <w:p w14:paraId="6638CFE7" w14:textId="77777777" w:rsidR="00AD37AD" w:rsidRPr="006134FA" w:rsidRDefault="00AD37AD" w:rsidP="00C84772">
      <w:pPr>
        <w:keepNext/>
      </w:pPr>
      <w:r w:rsidRPr="006134FA">
        <w:lastRenderedPageBreak/>
        <w:t xml:space="preserve">Table 5.18 shows the top six TIO new complaint issues for the last five financial years. </w:t>
      </w:r>
      <w:r>
        <w:t>Complaints about c</w:t>
      </w:r>
      <w:r w:rsidRPr="006134FA">
        <w:t>redit management, customer service</w:t>
      </w:r>
      <w:r>
        <w:t>,</w:t>
      </w:r>
      <w:r w:rsidRPr="006134FA">
        <w:t xml:space="preserve"> and billing and payments have fallen since 2014</w:t>
      </w:r>
      <w:r>
        <w:rPr>
          <w:rFonts w:cs="Arial"/>
        </w:rPr>
        <w:t>–</w:t>
      </w:r>
      <w:r w:rsidRPr="006134FA">
        <w:t xml:space="preserve">15. Complaints </w:t>
      </w:r>
      <w:r>
        <w:t>about</w:t>
      </w:r>
      <w:r w:rsidRPr="006134FA">
        <w:t xml:space="preserve"> faults and complaint</w:t>
      </w:r>
      <w:r>
        <w:t>s-</w:t>
      </w:r>
      <w:r w:rsidRPr="006134FA">
        <w:t xml:space="preserve">handling have increased. </w:t>
      </w:r>
    </w:p>
    <w:p w14:paraId="2C8CBA32" w14:textId="77777777" w:rsidR="00AD37AD" w:rsidRPr="006134FA" w:rsidRDefault="00AD37AD" w:rsidP="00C84772">
      <w:pPr>
        <w:pStyle w:val="ACMATableHeader"/>
        <w:keepNext/>
        <w:numPr>
          <w:ilvl w:val="0"/>
          <w:numId w:val="0"/>
        </w:numPr>
      </w:pPr>
      <w:r w:rsidRPr="006134FA">
        <w:t>Table 5.18</w:t>
      </w:r>
      <w:r>
        <w:tab/>
      </w:r>
      <w:r w:rsidRPr="006134FA">
        <w:t>Top six TIO new complaint issues</w:t>
      </w:r>
    </w:p>
    <w:tbl>
      <w:tblPr>
        <w:tblStyle w:val="Commsreport2015-16TABLE"/>
        <w:tblW w:w="8752" w:type="dxa"/>
        <w:tblCellMar>
          <w:top w:w="57" w:type="dxa"/>
          <w:left w:w="57" w:type="dxa"/>
          <w:bottom w:w="57" w:type="dxa"/>
          <w:right w:w="57" w:type="dxa"/>
        </w:tblCellMar>
        <w:tblLook w:val="04A0" w:firstRow="1" w:lastRow="0" w:firstColumn="1" w:lastColumn="0" w:noHBand="0" w:noVBand="1"/>
        <w:tblCaption w:val="Table 5.18  Top six new complaint issues"/>
      </w:tblPr>
      <w:tblGrid>
        <w:gridCol w:w="2380"/>
        <w:gridCol w:w="960"/>
        <w:gridCol w:w="960"/>
        <w:gridCol w:w="960"/>
        <w:gridCol w:w="960"/>
        <w:gridCol w:w="958"/>
        <w:gridCol w:w="1574"/>
      </w:tblGrid>
      <w:tr w:rsidR="00AD37AD" w:rsidRPr="003570BF" w14:paraId="18CBA2A8" w14:textId="77777777" w:rsidTr="003570BF">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DCFCB82" w14:textId="77777777" w:rsidR="00AD37AD" w:rsidRPr="003570BF" w:rsidRDefault="00AD37AD" w:rsidP="003570BF">
            <w:pPr>
              <w:pStyle w:val="TableHeading"/>
              <w:rPr>
                <w:b/>
              </w:rPr>
            </w:pPr>
            <w:r w:rsidRPr="003570BF">
              <w:rPr>
                <w:b/>
              </w:rPr>
              <w:t>Complaint issue category</w:t>
            </w:r>
          </w:p>
        </w:tc>
        <w:tc>
          <w:tcPr>
            <w:tcW w:w="960" w:type="dxa"/>
            <w:hideMark/>
          </w:tcPr>
          <w:p w14:paraId="17BF0EAC"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2011–12</w:t>
            </w:r>
          </w:p>
        </w:tc>
        <w:tc>
          <w:tcPr>
            <w:tcW w:w="960" w:type="dxa"/>
            <w:hideMark/>
          </w:tcPr>
          <w:p w14:paraId="17A2AB29"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2012–13</w:t>
            </w:r>
          </w:p>
        </w:tc>
        <w:tc>
          <w:tcPr>
            <w:tcW w:w="960" w:type="dxa"/>
            <w:noWrap/>
            <w:hideMark/>
          </w:tcPr>
          <w:p w14:paraId="568D1318"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2013–14</w:t>
            </w:r>
          </w:p>
        </w:tc>
        <w:tc>
          <w:tcPr>
            <w:tcW w:w="960" w:type="dxa"/>
            <w:noWrap/>
            <w:hideMark/>
          </w:tcPr>
          <w:p w14:paraId="7D225954"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2014–15</w:t>
            </w:r>
          </w:p>
        </w:tc>
        <w:tc>
          <w:tcPr>
            <w:tcW w:w="958" w:type="dxa"/>
            <w:noWrap/>
            <w:hideMark/>
          </w:tcPr>
          <w:p w14:paraId="29C9F503"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2015–16</w:t>
            </w:r>
          </w:p>
        </w:tc>
        <w:tc>
          <w:tcPr>
            <w:tcW w:w="1574" w:type="dxa"/>
            <w:hideMark/>
          </w:tcPr>
          <w:p w14:paraId="43C9338E" w14:textId="77777777" w:rsidR="00AD37AD" w:rsidRPr="003570BF" w:rsidRDefault="00AD37AD" w:rsidP="003570BF">
            <w:pPr>
              <w:pStyle w:val="TableHeading"/>
              <w:cnfStyle w:val="100000000000" w:firstRow="1" w:lastRow="0" w:firstColumn="0" w:lastColumn="0" w:oddVBand="0" w:evenVBand="0" w:oddHBand="0" w:evenHBand="0" w:firstRowFirstColumn="0" w:firstRowLastColumn="0" w:lastRowFirstColumn="0" w:lastRowLastColumn="0"/>
              <w:rPr>
                <w:b/>
              </w:rPr>
            </w:pPr>
            <w:r w:rsidRPr="003570BF">
              <w:rPr>
                <w:b/>
              </w:rPr>
              <w:t>2014–15 to 2015–16 change (%)</w:t>
            </w:r>
          </w:p>
        </w:tc>
      </w:tr>
      <w:tr w:rsidR="00AD37AD" w:rsidRPr="006134FA" w14:paraId="492F8A8B" w14:textId="77777777" w:rsidTr="00905D6F">
        <w:trPr>
          <w:trHeight w:val="113"/>
        </w:trPr>
        <w:tc>
          <w:tcPr>
            <w:cnfStyle w:val="001000000000" w:firstRow="0" w:lastRow="0" w:firstColumn="1" w:lastColumn="0" w:oddVBand="0" w:evenVBand="0" w:oddHBand="0" w:evenHBand="0" w:firstRowFirstColumn="0" w:firstRowLastColumn="0" w:lastRowFirstColumn="0" w:lastRowLastColumn="0"/>
            <w:tcW w:w="2380" w:type="dxa"/>
            <w:shd w:val="clear" w:color="auto" w:fill="7FB8CB"/>
            <w:noWrap/>
            <w:hideMark/>
          </w:tcPr>
          <w:p w14:paraId="572BD93A" w14:textId="77777777" w:rsidR="00AD37AD" w:rsidRPr="00BE6BBB" w:rsidRDefault="00AD37AD" w:rsidP="00C84772">
            <w:pPr>
              <w:keepNext/>
              <w:spacing w:after="0"/>
              <w:rPr>
                <w:rFonts w:cs="Arial"/>
                <w:color w:val="FFFFFF" w:themeColor="background1"/>
                <w:szCs w:val="18"/>
              </w:rPr>
            </w:pPr>
            <w:r w:rsidRPr="00BE6BBB">
              <w:rPr>
                <w:rFonts w:cs="Arial"/>
                <w:color w:val="FFFFFF" w:themeColor="background1"/>
                <w:szCs w:val="18"/>
              </w:rPr>
              <w:t>Billing and payments</w:t>
            </w:r>
          </w:p>
        </w:tc>
        <w:tc>
          <w:tcPr>
            <w:tcW w:w="960" w:type="dxa"/>
            <w:hideMark/>
          </w:tcPr>
          <w:p w14:paraId="483969E0"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109,502</w:t>
            </w:r>
          </w:p>
        </w:tc>
        <w:tc>
          <w:tcPr>
            <w:tcW w:w="960" w:type="dxa"/>
            <w:hideMark/>
          </w:tcPr>
          <w:p w14:paraId="5D9F8E1D"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78,160</w:t>
            </w:r>
          </w:p>
        </w:tc>
        <w:tc>
          <w:tcPr>
            <w:tcW w:w="960" w:type="dxa"/>
            <w:noWrap/>
            <w:hideMark/>
          </w:tcPr>
          <w:p w14:paraId="4D1BE346"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76,587</w:t>
            </w:r>
          </w:p>
        </w:tc>
        <w:tc>
          <w:tcPr>
            <w:tcW w:w="960" w:type="dxa"/>
            <w:noWrap/>
            <w:hideMark/>
          </w:tcPr>
          <w:p w14:paraId="41EACE1E"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66,128</w:t>
            </w:r>
          </w:p>
        </w:tc>
        <w:tc>
          <w:tcPr>
            <w:tcW w:w="958" w:type="dxa"/>
            <w:noWrap/>
            <w:hideMark/>
          </w:tcPr>
          <w:p w14:paraId="67F23EFF"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60,240</w:t>
            </w:r>
          </w:p>
        </w:tc>
        <w:tc>
          <w:tcPr>
            <w:tcW w:w="1574" w:type="dxa"/>
            <w:noWrap/>
            <w:hideMark/>
          </w:tcPr>
          <w:p w14:paraId="53679E44"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w:t>
            </w:r>
            <w:r w:rsidRPr="006134FA">
              <w:rPr>
                <w:rFonts w:cs="Arial"/>
                <w:color w:val="000000"/>
                <w:szCs w:val="18"/>
              </w:rPr>
              <w:t>9.77</w:t>
            </w:r>
          </w:p>
        </w:tc>
      </w:tr>
      <w:tr w:rsidR="00AD37AD" w:rsidRPr="006134FA" w14:paraId="7DB5270E" w14:textId="77777777" w:rsidTr="00905D6F">
        <w:trPr>
          <w:trHeight w:val="161"/>
        </w:trPr>
        <w:tc>
          <w:tcPr>
            <w:cnfStyle w:val="001000000000" w:firstRow="0" w:lastRow="0" w:firstColumn="1" w:lastColumn="0" w:oddVBand="0" w:evenVBand="0" w:oddHBand="0" w:evenHBand="0" w:firstRowFirstColumn="0" w:firstRowLastColumn="0" w:lastRowFirstColumn="0" w:lastRowLastColumn="0"/>
            <w:tcW w:w="2380" w:type="dxa"/>
            <w:shd w:val="clear" w:color="auto" w:fill="7FB8CB"/>
            <w:noWrap/>
            <w:hideMark/>
          </w:tcPr>
          <w:p w14:paraId="3FE2C94B" w14:textId="77777777" w:rsidR="00AD37AD" w:rsidRPr="00BE6BBB" w:rsidRDefault="00AD37AD" w:rsidP="00C84772">
            <w:pPr>
              <w:keepNext/>
              <w:spacing w:after="0"/>
              <w:rPr>
                <w:rFonts w:cs="Arial"/>
                <w:color w:val="FFFFFF" w:themeColor="background1"/>
                <w:szCs w:val="18"/>
              </w:rPr>
            </w:pPr>
            <w:r w:rsidRPr="00BE6BBB">
              <w:rPr>
                <w:rFonts w:cs="Arial"/>
                <w:color w:val="FFFFFF" w:themeColor="background1"/>
                <w:szCs w:val="18"/>
              </w:rPr>
              <w:t>Customer service</w:t>
            </w:r>
          </w:p>
        </w:tc>
        <w:tc>
          <w:tcPr>
            <w:tcW w:w="960" w:type="dxa"/>
            <w:hideMark/>
          </w:tcPr>
          <w:p w14:paraId="7A511111"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93,941</w:t>
            </w:r>
          </w:p>
        </w:tc>
        <w:tc>
          <w:tcPr>
            <w:tcW w:w="960" w:type="dxa"/>
            <w:hideMark/>
          </w:tcPr>
          <w:p w14:paraId="1308BCAE"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94,639</w:t>
            </w:r>
          </w:p>
        </w:tc>
        <w:tc>
          <w:tcPr>
            <w:tcW w:w="960" w:type="dxa"/>
            <w:noWrap/>
            <w:hideMark/>
          </w:tcPr>
          <w:p w14:paraId="513B0A4B"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75,033</w:t>
            </w:r>
          </w:p>
        </w:tc>
        <w:tc>
          <w:tcPr>
            <w:tcW w:w="960" w:type="dxa"/>
            <w:noWrap/>
            <w:hideMark/>
          </w:tcPr>
          <w:p w14:paraId="6106CA18"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58,674</w:t>
            </w:r>
          </w:p>
        </w:tc>
        <w:tc>
          <w:tcPr>
            <w:tcW w:w="958" w:type="dxa"/>
            <w:noWrap/>
            <w:hideMark/>
          </w:tcPr>
          <w:p w14:paraId="5C83D54E"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53,324</w:t>
            </w:r>
          </w:p>
        </w:tc>
        <w:tc>
          <w:tcPr>
            <w:tcW w:w="1574" w:type="dxa"/>
            <w:noWrap/>
            <w:hideMark/>
          </w:tcPr>
          <w:p w14:paraId="489B0254" w14:textId="77777777" w:rsidR="00AD37AD" w:rsidRPr="006134FA" w:rsidRDefault="00AD37AD" w:rsidP="00C84772">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w:t>
            </w:r>
            <w:r w:rsidRPr="006134FA">
              <w:rPr>
                <w:rFonts w:cs="Arial"/>
                <w:color w:val="000000"/>
                <w:szCs w:val="18"/>
              </w:rPr>
              <w:t>10.03</w:t>
            </w:r>
          </w:p>
        </w:tc>
      </w:tr>
      <w:tr w:rsidR="00AD37AD" w:rsidRPr="006134FA" w14:paraId="60D8810F" w14:textId="77777777" w:rsidTr="00905D6F">
        <w:trPr>
          <w:trHeight w:val="195"/>
        </w:trPr>
        <w:tc>
          <w:tcPr>
            <w:cnfStyle w:val="001000000000" w:firstRow="0" w:lastRow="0" w:firstColumn="1" w:lastColumn="0" w:oddVBand="0" w:evenVBand="0" w:oddHBand="0" w:evenHBand="0" w:firstRowFirstColumn="0" w:firstRowLastColumn="0" w:lastRowFirstColumn="0" w:lastRowLastColumn="0"/>
            <w:tcW w:w="2380" w:type="dxa"/>
            <w:shd w:val="clear" w:color="auto" w:fill="7FB8CB"/>
            <w:noWrap/>
            <w:hideMark/>
          </w:tcPr>
          <w:p w14:paraId="29A83C6C" w14:textId="77777777" w:rsidR="00AD37AD" w:rsidRPr="00BE6BBB" w:rsidRDefault="00AD37AD" w:rsidP="00905D6F">
            <w:pPr>
              <w:keepNext/>
              <w:spacing w:after="0"/>
              <w:rPr>
                <w:rFonts w:cs="Arial"/>
                <w:color w:val="FFFFFF" w:themeColor="background1"/>
                <w:szCs w:val="18"/>
              </w:rPr>
            </w:pPr>
            <w:r w:rsidRPr="00BE6BBB">
              <w:rPr>
                <w:rFonts w:cs="Arial"/>
                <w:color w:val="FFFFFF" w:themeColor="background1"/>
                <w:szCs w:val="18"/>
              </w:rPr>
              <w:t>Faults</w:t>
            </w:r>
          </w:p>
        </w:tc>
        <w:tc>
          <w:tcPr>
            <w:tcW w:w="960" w:type="dxa"/>
            <w:hideMark/>
          </w:tcPr>
          <w:p w14:paraId="3622CA49"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78,829</w:t>
            </w:r>
          </w:p>
        </w:tc>
        <w:tc>
          <w:tcPr>
            <w:tcW w:w="960" w:type="dxa"/>
            <w:hideMark/>
          </w:tcPr>
          <w:p w14:paraId="6FB71E32"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75,325</w:t>
            </w:r>
          </w:p>
        </w:tc>
        <w:tc>
          <w:tcPr>
            <w:tcW w:w="960" w:type="dxa"/>
            <w:noWrap/>
            <w:hideMark/>
          </w:tcPr>
          <w:p w14:paraId="5F0E4F89"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54,055</w:t>
            </w:r>
          </w:p>
        </w:tc>
        <w:tc>
          <w:tcPr>
            <w:tcW w:w="960" w:type="dxa"/>
            <w:noWrap/>
            <w:hideMark/>
          </w:tcPr>
          <w:p w14:paraId="430E1FD9"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47,860</w:t>
            </w:r>
          </w:p>
        </w:tc>
        <w:tc>
          <w:tcPr>
            <w:tcW w:w="958" w:type="dxa"/>
            <w:noWrap/>
            <w:hideMark/>
          </w:tcPr>
          <w:p w14:paraId="0FE8A2F3"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54,699</w:t>
            </w:r>
          </w:p>
        </w:tc>
        <w:tc>
          <w:tcPr>
            <w:tcW w:w="1574" w:type="dxa"/>
            <w:noWrap/>
            <w:hideMark/>
          </w:tcPr>
          <w:p w14:paraId="6ABFF2F5"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12.50</w:t>
            </w:r>
          </w:p>
        </w:tc>
      </w:tr>
      <w:tr w:rsidR="00AD37AD" w:rsidRPr="006134FA" w14:paraId="2F533161" w14:textId="77777777" w:rsidTr="00905D6F">
        <w:trPr>
          <w:trHeight w:val="100"/>
        </w:trPr>
        <w:tc>
          <w:tcPr>
            <w:cnfStyle w:val="001000000000" w:firstRow="0" w:lastRow="0" w:firstColumn="1" w:lastColumn="0" w:oddVBand="0" w:evenVBand="0" w:oddHBand="0" w:evenHBand="0" w:firstRowFirstColumn="0" w:firstRowLastColumn="0" w:lastRowFirstColumn="0" w:lastRowLastColumn="0"/>
            <w:tcW w:w="2380" w:type="dxa"/>
            <w:shd w:val="clear" w:color="auto" w:fill="7FB8CB"/>
            <w:noWrap/>
            <w:hideMark/>
          </w:tcPr>
          <w:p w14:paraId="6CDC1767" w14:textId="77777777" w:rsidR="00AD37AD" w:rsidRPr="00BE6BBB" w:rsidRDefault="00AD37AD" w:rsidP="00905D6F">
            <w:pPr>
              <w:keepNext/>
              <w:spacing w:after="0"/>
              <w:rPr>
                <w:rFonts w:cs="Arial"/>
                <w:color w:val="FFFFFF" w:themeColor="background1"/>
                <w:szCs w:val="18"/>
              </w:rPr>
            </w:pPr>
            <w:r w:rsidRPr="00BE6BBB">
              <w:rPr>
                <w:rFonts w:cs="Arial"/>
                <w:color w:val="FFFFFF" w:themeColor="background1"/>
                <w:szCs w:val="18"/>
              </w:rPr>
              <w:t>Complaints-handling</w:t>
            </w:r>
          </w:p>
        </w:tc>
        <w:tc>
          <w:tcPr>
            <w:tcW w:w="960" w:type="dxa"/>
            <w:hideMark/>
          </w:tcPr>
          <w:p w14:paraId="527ACD64"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65,818</w:t>
            </w:r>
          </w:p>
        </w:tc>
        <w:tc>
          <w:tcPr>
            <w:tcW w:w="960" w:type="dxa"/>
            <w:hideMark/>
          </w:tcPr>
          <w:p w14:paraId="4C2662A6"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50,504</w:t>
            </w:r>
          </w:p>
        </w:tc>
        <w:tc>
          <w:tcPr>
            <w:tcW w:w="960" w:type="dxa"/>
            <w:noWrap/>
            <w:hideMark/>
          </w:tcPr>
          <w:p w14:paraId="77A354AA"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46,469</w:t>
            </w:r>
          </w:p>
        </w:tc>
        <w:tc>
          <w:tcPr>
            <w:tcW w:w="960" w:type="dxa"/>
            <w:noWrap/>
            <w:hideMark/>
          </w:tcPr>
          <w:p w14:paraId="4FF40035"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36,938</w:t>
            </w:r>
          </w:p>
        </w:tc>
        <w:tc>
          <w:tcPr>
            <w:tcW w:w="958" w:type="dxa"/>
            <w:noWrap/>
            <w:hideMark/>
          </w:tcPr>
          <w:p w14:paraId="5EB8D43C"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39,888</w:t>
            </w:r>
          </w:p>
        </w:tc>
        <w:tc>
          <w:tcPr>
            <w:tcW w:w="1574" w:type="dxa"/>
            <w:noWrap/>
            <w:hideMark/>
          </w:tcPr>
          <w:p w14:paraId="73B2D99C"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7.40</w:t>
            </w:r>
          </w:p>
        </w:tc>
      </w:tr>
      <w:tr w:rsidR="00AD37AD" w:rsidRPr="006134FA" w14:paraId="56FE775A" w14:textId="77777777" w:rsidTr="00905D6F">
        <w:trPr>
          <w:trHeight w:val="134"/>
        </w:trPr>
        <w:tc>
          <w:tcPr>
            <w:cnfStyle w:val="001000000000" w:firstRow="0" w:lastRow="0" w:firstColumn="1" w:lastColumn="0" w:oddVBand="0" w:evenVBand="0" w:oddHBand="0" w:evenHBand="0" w:firstRowFirstColumn="0" w:firstRowLastColumn="0" w:lastRowFirstColumn="0" w:lastRowLastColumn="0"/>
            <w:tcW w:w="2380" w:type="dxa"/>
            <w:shd w:val="clear" w:color="auto" w:fill="7FB8CB"/>
            <w:noWrap/>
            <w:hideMark/>
          </w:tcPr>
          <w:p w14:paraId="259A2BE2" w14:textId="77777777" w:rsidR="00AD37AD" w:rsidRPr="00BE6BBB" w:rsidRDefault="00AD37AD" w:rsidP="00905D6F">
            <w:pPr>
              <w:keepNext/>
              <w:spacing w:after="0"/>
              <w:rPr>
                <w:rFonts w:cs="Arial"/>
                <w:color w:val="FFFFFF" w:themeColor="background1"/>
                <w:szCs w:val="18"/>
              </w:rPr>
            </w:pPr>
            <w:r w:rsidRPr="00BE6BBB">
              <w:rPr>
                <w:rFonts w:cs="Arial"/>
                <w:color w:val="FFFFFF" w:themeColor="background1"/>
                <w:szCs w:val="18"/>
              </w:rPr>
              <w:t>Contracts</w:t>
            </w:r>
          </w:p>
        </w:tc>
        <w:tc>
          <w:tcPr>
            <w:tcW w:w="960" w:type="dxa"/>
            <w:hideMark/>
          </w:tcPr>
          <w:p w14:paraId="2692482E"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n/a</w:t>
            </w:r>
          </w:p>
        </w:tc>
        <w:tc>
          <w:tcPr>
            <w:tcW w:w="960" w:type="dxa"/>
            <w:hideMark/>
          </w:tcPr>
          <w:p w14:paraId="54E7E6B3"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n/a</w:t>
            </w:r>
          </w:p>
        </w:tc>
        <w:tc>
          <w:tcPr>
            <w:tcW w:w="960" w:type="dxa"/>
            <w:noWrap/>
            <w:hideMark/>
          </w:tcPr>
          <w:p w14:paraId="5F8A40A2"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37,430</w:t>
            </w:r>
          </w:p>
        </w:tc>
        <w:tc>
          <w:tcPr>
            <w:tcW w:w="960" w:type="dxa"/>
            <w:noWrap/>
            <w:hideMark/>
          </w:tcPr>
          <w:p w14:paraId="55DE7E5C"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34,021</w:t>
            </w:r>
          </w:p>
        </w:tc>
        <w:tc>
          <w:tcPr>
            <w:tcW w:w="958" w:type="dxa"/>
            <w:noWrap/>
            <w:hideMark/>
          </w:tcPr>
          <w:p w14:paraId="53A284C2"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31,033</w:t>
            </w:r>
          </w:p>
        </w:tc>
        <w:tc>
          <w:tcPr>
            <w:tcW w:w="1574" w:type="dxa"/>
            <w:noWrap/>
            <w:hideMark/>
          </w:tcPr>
          <w:p w14:paraId="1CCBF18D"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w:t>
            </w:r>
            <w:r w:rsidRPr="006134FA">
              <w:rPr>
                <w:rFonts w:cs="Arial"/>
                <w:color w:val="000000"/>
                <w:szCs w:val="18"/>
              </w:rPr>
              <w:t>9.63</w:t>
            </w:r>
          </w:p>
        </w:tc>
      </w:tr>
      <w:tr w:rsidR="00AD37AD" w:rsidRPr="006134FA" w14:paraId="7C5C2F61" w14:textId="77777777" w:rsidTr="00905D6F">
        <w:trPr>
          <w:trHeight w:val="182"/>
        </w:trPr>
        <w:tc>
          <w:tcPr>
            <w:cnfStyle w:val="001000000000" w:firstRow="0" w:lastRow="0" w:firstColumn="1" w:lastColumn="0" w:oddVBand="0" w:evenVBand="0" w:oddHBand="0" w:evenHBand="0" w:firstRowFirstColumn="0" w:firstRowLastColumn="0" w:lastRowFirstColumn="0" w:lastRowLastColumn="0"/>
            <w:tcW w:w="2380" w:type="dxa"/>
            <w:shd w:val="clear" w:color="auto" w:fill="7FB8CB"/>
            <w:noWrap/>
            <w:hideMark/>
          </w:tcPr>
          <w:p w14:paraId="7B359C52" w14:textId="77777777" w:rsidR="00AD37AD" w:rsidRPr="00BE6BBB" w:rsidRDefault="00AD37AD" w:rsidP="00905D6F">
            <w:pPr>
              <w:keepNext/>
              <w:spacing w:after="0"/>
              <w:rPr>
                <w:rFonts w:cs="Arial"/>
                <w:color w:val="FFFFFF" w:themeColor="background1"/>
                <w:szCs w:val="18"/>
              </w:rPr>
            </w:pPr>
            <w:r w:rsidRPr="00BE6BBB">
              <w:rPr>
                <w:rFonts w:cs="Arial"/>
                <w:color w:val="FFFFFF" w:themeColor="background1"/>
                <w:szCs w:val="18"/>
              </w:rPr>
              <w:t>Credit management</w:t>
            </w:r>
          </w:p>
        </w:tc>
        <w:tc>
          <w:tcPr>
            <w:tcW w:w="960" w:type="dxa"/>
            <w:hideMark/>
          </w:tcPr>
          <w:p w14:paraId="52BAF3D1"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52,907</w:t>
            </w:r>
          </w:p>
        </w:tc>
        <w:tc>
          <w:tcPr>
            <w:tcW w:w="960" w:type="dxa"/>
            <w:hideMark/>
          </w:tcPr>
          <w:p w14:paraId="692886D8"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46,138</w:t>
            </w:r>
          </w:p>
        </w:tc>
        <w:tc>
          <w:tcPr>
            <w:tcW w:w="960" w:type="dxa"/>
            <w:noWrap/>
            <w:hideMark/>
          </w:tcPr>
          <w:p w14:paraId="52C9F837"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40,040</w:t>
            </w:r>
          </w:p>
        </w:tc>
        <w:tc>
          <w:tcPr>
            <w:tcW w:w="960" w:type="dxa"/>
            <w:noWrap/>
            <w:hideMark/>
          </w:tcPr>
          <w:p w14:paraId="29443777"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29,999</w:t>
            </w:r>
          </w:p>
        </w:tc>
        <w:tc>
          <w:tcPr>
            <w:tcW w:w="958" w:type="dxa"/>
            <w:noWrap/>
            <w:hideMark/>
          </w:tcPr>
          <w:p w14:paraId="39108FC5"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134FA">
              <w:rPr>
                <w:rFonts w:cs="Arial"/>
                <w:color w:val="000000"/>
                <w:szCs w:val="18"/>
              </w:rPr>
              <w:t>22,620</w:t>
            </w:r>
          </w:p>
        </w:tc>
        <w:tc>
          <w:tcPr>
            <w:tcW w:w="1574" w:type="dxa"/>
            <w:noWrap/>
            <w:hideMark/>
          </w:tcPr>
          <w:p w14:paraId="4B68539B" w14:textId="77777777" w:rsidR="00AD37AD" w:rsidRPr="006134FA" w:rsidRDefault="00AD37AD" w:rsidP="00905D6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w:t>
            </w:r>
            <w:r w:rsidRPr="006134FA">
              <w:rPr>
                <w:rFonts w:cs="Arial"/>
                <w:color w:val="000000"/>
                <w:szCs w:val="18"/>
              </w:rPr>
              <w:t>32.62</w:t>
            </w:r>
          </w:p>
        </w:tc>
      </w:tr>
    </w:tbl>
    <w:p w14:paraId="7792A6C7" w14:textId="77777777" w:rsidR="00AD37AD" w:rsidRPr="006134FA" w:rsidRDefault="00AD37AD" w:rsidP="00AD37AD">
      <w:pPr>
        <w:pStyle w:val="ACMANotes"/>
        <w:rPr>
          <w:lang w:val="en-US" w:eastAsia="en-US"/>
        </w:rPr>
      </w:pPr>
      <w:r w:rsidRPr="006134FA">
        <w:t>n/a=not available prior to 2013–14</w:t>
      </w:r>
      <w:r>
        <w:t>.</w:t>
      </w:r>
    </w:p>
    <w:p w14:paraId="50151AF3" w14:textId="77777777" w:rsidR="00AD37AD" w:rsidRPr="006134FA" w:rsidRDefault="00AD37AD" w:rsidP="00AD37AD">
      <w:pPr>
        <w:pStyle w:val="ACMANotes"/>
      </w:pPr>
      <w:r w:rsidRPr="006134FA">
        <w:t>Source: TIO</w:t>
      </w:r>
      <w:r>
        <w:t>.</w:t>
      </w:r>
    </w:p>
    <w:p w14:paraId="54B7C374" w14:textId="77777777" w:rsidR="00AD37AD" w:rsidRPr="008A4D94" w:rsidRDefault="00AD37AD" w:rsidP="00AD37AD">
      <w:pPr>
        <w:pStyle w:val="ACMASpaceaftertable"/>
      </w:pPr>
    </w:p>
    <w:p w14:paraId="28D2178D" w14:textId="77777777" w:rsidR="00C1709F" w:rsidRPr="0054217A" w:rsidRDefault="00C1709F" w:rsidP="00C1709F">
      <w:pPr>
        <w:pStyle w:val="Heading1"/>
      </w:pPr>
      <w:bookmarkStart w:id="820" w:name="_Toc465843007"/>
      <w:r w:rsidRPr="0054217A">
        <w:lastRenderedPageBreak/>
        <w:t>Appendix—Research methodology</w:t>
      </w:r>
      <w:bookmarkEnd w:id="820"/>
    </w:p>
    <w:p w14:paraId="1EDE50F8" w14:textId="77777777" w:rsidR="00C1709F" w:rsidRDefault="00C1709F" w:rsidP="00C1709F">
      <w:pPr>
        <w:pStyle w:val="ACMAHeading3"/>
      </w:pPr>
      <w:bookmarkStart w:id="821" w:name="_Toc413145604"/>
      <w:bookmarkStart w:id="822" w:name="_Toc414367415"/>
      <w:bookmarkStart w:id="823" w:name="_Toc414630301"/>
      <w:bookmarkStart w:id="824" w:name="_Toc415656633"/>
      <w:bookmarkStart w:id="825" w:name="_Toc417993313"/>
      <w:bookmarkStart w:id="826" w:name="_Toc419453953"/>
      <w:bookmarkStart w:id="827" w:name="_Toc421883179"/>
      <w:bookmarkStart w:id="828" w:name="_Toc462132259"/>
      <w:bookmarkStart w:id="829" w:name="_Toc462899694"/>
      <w:bookmarkStart w:id="830" w:name="_Toc433790443"/>
      <w:bookmarkStart w:id="831" w:name="_Toc463529189"/>
      <w:r w:rsidRPr="00240160">
        <w:t>ACMA-commissioned surveys</w:t>
      </w:r>
    </w:p>
    <w:p w14:paraId="51D4FE47" w14:textId="77777777" w:rsidR="00C1709F" w:rsidRPr="00EA149D" w:rsidRDefault="00C1709F" w:rsidP="00042B53">
      <w:r w:rsidRPr="00EA149D">
        <w:t xml:space="preserve">The 2016 ACMA-commissioned surveys of consumers were conducted by OmniPoll. A new methodology was implemented in 2016, mixing online survey (for those who access the internet) and </w:t>
      </w:r>
      <w:r w:rsidRPr="00BA46F4">
        <w:t xml:space="preserve">computer-aided telephone interviews </w:t>
      </w:r>
      <w:r>
        <w:t>(</w:t>
      </w:r>
      <w:r w:rsidRPr="00EA149D">
        <w:t>CATI</w:t>
      </w:r>
      <w:r>
        <w:t>)</w:t>
      </w:r>
      <w:r w:rsidRPr="00EA149D">
        <w:t xml:space="preserve"> landline telephone survey (for those who have</w:t>
      </w:r>
      <w:r>
        <w:t xml:space="preserve"> </w:t>
      </w:r>
      <w:r w:rsidRPr="00EA149D">
        <w:t>n</w:t>
      </w:r>
      <w:r>
        <w:t>o</w:t>
      </w:r>
      <w:r w:rsidRPr="00EA149D">
        <w:t xml:space="preserve">t accessed the internet in the past </w:t>
      </w:r>
      <w:r>
        <w:t>six</w:t>
      </w:r>
      <w:r w:rsidRPr="00EA149D">
        <w:t xml:space="preserve"> months).</w:t>
      </w:r>
    </w:p>
    <w:p w14:paraId="732BCEDE" w14:textId="77777777" w:rsidR="00C1709F" w:rsidRPr="0054217A" w:rsidRDefault="00C1709F" w:rsidP="00C1709F">
      <w:r w:rsidRPr="0054217A">
        <w:t>The telecommunication</w:t>
      </w:r>
      <w:r w:rsidR="00741C6F">
        <w:t>s</w:t>
      </w:r>
      <w:r w:rsidRPr="0054217A">
        <w:t xml:space="preserve"> survey (survey </w:t>
      </w:r>
      <w:r>
        <w:t>one</w:t>
      </w:r>
      <w:r w:rsidRPr="0054217A">
        <w:t xml:space="preserve">) comprised 1,855 online interviews with adult Australians plus 201 CATI </w:t>
      </w:r>
      <w:r>
        <w:t xml:space="preserve">surveys </w:t>
      </w:r>
      <w:r w:rsidRPr="0054217A">
        <w:t>to reach the adult population who are not regularly online.</w:t>
      </w:r>
    </w:p>
    <w:p w14:paraId="72AC1C1F" w14:textId="77777777" w:rsidR="00C1709F" w:rsidRDefault="00C1709F" w:rsidP="00042B53">
      <w:r w:rsidRPr="0054217A">
        <w:t xml:space="preserve">The second survey, primarily on media use, included 1,810 online interviews together with 197 </w:t>
      </w:r>
      <w:r w:rsidR="00893438">
        <w:t>CATI</w:t>
      </w:r>
      <w:r w:rsidR="00893438" w:rsidRPr="0054217A">
        <w:t xml:space="preserve"> </w:t>
      </w:r>
      <w:r w:rsidRPr="0054217A">
        <w:t>interviews for those not regularly online.</w:t>
      </w:r>
    </w:p>
    <w:p w14:paraId="4FBFCCAB" w14:textId="77777777" w:rsidR="00C1709F" w:rsidRPr="0054217A" w:rsidRDefault="00C1709F" w:rsidP="00C1709F">
      <w:r>
        <w:t>Fieldwork was</w:t>
      </w:r>
      <w:r w:rsidRPr="0054217A">
        <w:t xml:space="preserve"> conducted </w:t>
      </w:r>
      <w:r>
        <w:t>in</w:t>
      </w:r>
      <w:r w:rsidRPr="0054217A">
        <w:t xml:space="preserve"> May </w:t>
      </w:r>
      <w:r>
        <w:t xml:space="preserve">and early June </w:t>
      </w:r>
      <w:r w:rsidRPr="0054217A">
        <w:t>2016.</w:t>
      </w:r>
    </w:p>
    <w:p w14:paraId="0C1B9C42" w14:textId="77777777" w:rsidR="00C1709F" w:rsidRPr="0054217A" w:rsidRDefault="00C1709F" w:rsidP="00C1709F">
      <w:pPr>
        <w:pStyle w:val="ACMAHeading4"/>
      </w:pPr>
      <w:r w:rsidRPr="0054217A">
        <w:t>Weighting</w:t>
      </w:r>
    </w:p>
    <w:p w14:paraId="1A46452E" w14:textId="77777777" w:rsidR="00C1709F" w:rsidRPr="00DA6F81" w:rsidRDefault="00C1709F" w:rsidP="00C1709F">
      <w:r w:rsidRPr="0054217A">
        <w:t>To reflect the population distribution, the combined online results</w:t>
      </w:r>
      <w:r>
        <w:t>,</w:t>
      </w:r>
      <w:r w:rsidRPr="0054217A">
        <w:t xml:space="preserve"> together with landline results</w:t>
      </w:r>
      <w:r>
        <w:t>,</w:t>
      </w:r>
      <w:r w:rsidRPr="0054217A">
        <w:t xml:space="preserve"> were post-weighted and projected to the ABS population data on highest level of schooling completed, sex by age and by area, </w:t>
      </w:r>
      <w:r w:rsidR="00912013" w:rsidRPr="00912013">
        <w:t>plus mobile-</w:t>
      </w:r>
      <w:r w:rsidRPr="00912013">
        <w:t>only (29</w:t>
      </w:r>
      <w:r>
        <w:t xml:space="preserve"> per cent</w:t>
      </w:r>
      <w:r w:rsidRPr="0054217A">
        <w:t>) and internet usage in the past six months (91</w:t>
      </w:r>
      <w:r>
        <w:t xml:space="preserve"> per cent</w:t>
      </w:r>
      <w:r w:rsidRPr="0054217A">
        <w:t>).</w:t>
      </w:r>
    </w:p>
    <w:p w14:paraId="14D8A7D7" w14:textId="77777777" w:rsidR="00C1709F" w:rsidRPr="00FA56A5" w:rsidRDefault="00C1709F" w:rsidP="00C1709F">
      <w:pPr>
        <w:pStyle w:val="BodySubHeader"/>
      </w:pPr>
      <w:r w:rsidRPr="00FA56A5">
        <w:t>Australian population</w:t>
      </w:r>
    </w:p>
    <w:p w14:paraId="56ABAA70" w14:textId="77777777" w:rsidR="00C1709F" w:rsidRPr="0088308F" w:rsidRDefault="00C1709F" w:rsidP="00C1709F">
      <w:pPr>
        <w:spacing w:after="80"/>
      </w:pPr>
      <w:r w:rsidRPr="00FA56A5">
        <w:t xml:space="preserve">For the 2016 ACMA-commissioned surveys, the total population estimate for Australian adults aged 18 and over is </w:t>
      </w:r>
      <w:r w:rsidRPr="0088308F">
        <w:t xml:space="preserve">18,202,000, based on </w:t>
      </w:r>
      <w:r w:rsidRPr="0088308F">
        <w:rPr>
          <w:i/>
        </w:rPr>
        <w:t>ABS data table 3101.0 Australian Demographic Statistics, March 2015</w:t>
      </w:r>
      <w:r w:rsidRPr="0088308F">
        <w:t>.</w:t>
      </w:r>
    </w:p>
    <w:p w14:paraId="12B66188" w14:textId="77777777" w:rsidR="00C1709F" w:rsidRPr="003D7F8F" w:rsidRDefault="00C1709F" w:rsidP="00C1709F">
      <w:pPr>
        <w:pStyle w:val="ACMAHeading3"/>
      </w:pPr>
      <w:r w:rsidRPr="003D7F8F">
        <w:t>Roy Morgan Single Source</w:t>
      </w:r>
    </w:p>
    <w:p w14:paraId="79C865E2" w14:textId="77777777" w:rsidR="00C1709F" w:rsidRPr="003D7F8F" w:rsidRDefault="00C1709F" w:rsidP="00C1709F">
      <w:r w:rsidRPr="003D7F8F">
        <w:t xml:space="preserve">Roy Morgan Research data is taken from the Roy Morgan Single Source product unless otherwise specified. This data covers changes occurring from July </w:t>
      </w:r>
      <w:r w:rsidRPr="00AA4FF2">
        <w:t>2015</w:t>
      </w:r>
      <w:r w:rsidRPr="003D7F8F">
        <w:t xml:space="preserve"> to June </w:t>
      </w:r>
      <w:r w:rsidRPr="00AA4FF2">
        <w:t>2016</w:t>
      </w:r>
      <w:r w:rsidRPr="003D7F8F">
        <w:t xml:space="preserve"> unless otherwise specified.</w:t>
      </w:r>
    </w:p>
    <w:p w14:paraId="17F99A3F" w14:textId="77777777" w:rsidR="00C1709F" w:rsidRPr="003D7F8F" w:rsidRDefault="00C1709F" w:rsidP="00C1709F">
      <w:r w:rsidRPr="003D7F8F">
        <w:t>The Roy Morgan Single Source research sample sizes for the past five years are provided in Table A3.</w:t>
      </w:r>
    </w:p>
    <w:p w14:paraId="5D9F2233" w14:textId="77777777" w:rsidR="00C1709F" w:rsidRDefault="00C1709F" w:rsidP="00C1709F">
      <w:pPr>
        <w:pStyle w:val="ACMAHeading4"/>
      </w:pPr>
      <w:r>
        <w:t>Changes to Roy Morgan database weighting</w:t>
      </w:r>
    </w:p>
    <w:p w14:paraId="3CEFEB06" w14:textId="77777777" w:rsidR="00C1709F" w:rsidRPr="003F6480" w:rsidRDefault="00C1709F" w:rsidP="00C1709F">
      <w:r w:rsidRPr="003F6480">
        <w:rPr>
          <w:iCs/>
        </w:rPr>
        <w:t xml:space="preserve">Roy Morgan data for 2014 and 2015 will differ to data reported in previous </w:t>
      </w:r>
      <w:r>
        <w:rPr>
          <w:iCs/>
        </w:rPr>
        <w:t xml:space="preserve">communications </w:t>
      </w:r>
      <w:r w:rsidRPr="003F6480">
        <w:rPr>
          <w:iCs/>
        </w:rPr>
        <w:t>reports by one or two percentage points. This is due to a change in the method of weighting. Previously</w:t>
      </w:r>
      <w:r>
        <w:rPr>
          <w:iCs/>
        </w:rPr>
        <w:t>,</w:t>
      </w:r>
      <w:r w:rsidRPr="003F6480">
        <w:rPr>
          <w:iCs/>
        </w:rPr>
        <w:t xml:space="preserve"> Roy Morgan had weighted the data to ABS population estimates on a monthly basis. In 2015</w:t>
      </w:r>
      <w:r>
        <w:rPr>
          <w:iCs/>
        </w:rPr>
        <w:t>,</w:t>
      </w:r>
      <w:r w:rsidRPr="003F6480">
        <w:rPr>
          <w:iCs/>
        </w:rPr>
        <w:t xml:space="preserve"> Roy Morgan changed the frequency of weighting calculations to quarterly and included additional weighting criteria.</w:t>
      </w:r>
    </w:p>
    <w:p w14:paraId="5B181F9E" w14:textId="77777777" w:rsidR="00C1709F" w:rsidRPr="003D7F8F" w:rsidRDefault="00C1709F" w:rsidP="00C1709F">
      <w:pPr>
        <w:keepNext/>
        <w:keepLines/>
        <w:spacing w:after="160"/>
        <w:rPr>
          <w:b/>
        </w:rPr>
      </w:pPr>
      <w:r w:rsidRPr="003D7F8F">
        <w:rPr>
          <w:b/>
        </w:rPr>
        <w:t>Table A</w:t>
      </w:r>
      <w:r>
        <w:rPr>
          <w:b/>
        </w:rPr>
        <w:t>1</w:t>
      </w:r>
      <w:r w:rsidRPr="003D7F8F">
        <w:rPr>
          <w:b/>
        </w:rPr>
        <w:t xml:space="preserve"> Research sample subsets for Roy Morgan Single Source</w:t>
      </w:r>
    </w:p>
    <w:tbl>
      <w:tblPr>
        <w:tblStyle w:val="TableGrid"/>
        <w:tblW w:w="634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Table A1 Research sample subsets for Roy Morgan Single Source"/>
      </w:tblPr>
      <w:tblGrid>
        <w:gridCol w:w="1388"/>
        <w:gridCol w:w="2480"/>
        <w:gridCol w:w="2481"/>
      </w:tblGrid>
      <w:tr w:rsidR="00C1709F" w:rsidRPr="00AA4FF2" w14:paraId="43A75FBB" w14:textId="77777777" w:rsidTr="00904764">
        <w:trPr>
          <w:trHeight w:val="329"/>
          <w:tblHeader/>
        </w:trPr>
        <w:tc>
          <w:tcPr>
            <w:tcW w:w="1388" w:type="dxa"/>
          </w:tcPr>
          <w:p w14:paraId="4781D374" w14:textId="77777777" w:rsidR="00C1709F" w:rsidRPr="003D7F8F" w:rsidRDefault="00C1709F" w:rsidP="00904764">
            <w:pPr>
              <w:pStyle w:val="TableHeading"/>
              <w:keepNext/>
              <w:keepLines/>
              <w:spacing w:before="0" w:line="240" w:lineRule="auto"/>
              <w:jc w:val="right"/>
            </w:pPr>
          </w:p>
        </w:tc>
        <w:tc>
          <w:tcPr>
            <w:tcW w:w="2480" w:type="dxa"/>
            <w:shd w:val="clear" w:color="auto" w:fill="007298"/>
          </w:tcPr>
          <w:p w14:paraId="5A99E7EC" w14:textId="77777777" w:rsidR="00C1709F" w:rsidRPr="003D7F8F" w:rsidRDefault="00C1709F" w:rsidP="005D6F3C">
            <w:pPr>
              <w:pStyle w:val="TableHeading"/>
              <w:keepNext/>
              <w:keepLines/>
              <w:spacing w:before="0" w:line="240" w:lineRule="auto"/>
              <w:jc w:val="right"/>
              <w:rPr>
                <w:color w:val="FFFFFF"/>
              </w:rPr>
            </w:pPr>
            <w:r w:rsidRPr="003D7F8F">
              <w:rPr>
                <w:color w:val="FFFFFF"/>
              </w:rPr>
              <w:t xml:space="preserve">Mobile-only phone </w:t>
            </w:r>
          </w:p>
        </w:tc>
        <w:tc>
          <w:tcPr>
            <w:tcW w:w="2481" w:type="dxa"/>
            <w:shd w:val="clear" w:color="auto" w:fill="007298"/>
          </w:tcPr>
          <w:p w14:paraId="5D634052" w14:textId="77777777" w:rsidR="00C1709F" w:rsidRPr="003D7F8F" w:rsidRDefault="00C1709F" w:rsidP="005D6F3C">
            <w:pPr>
              <w:pStyle w:val="TableHeading"/>
              <w:keepNext/>
              <w:keepLines/>
              <w:spacing w:before="0" w:line="240" w:lineRule="auto"/>
              <w:jc w:val="right"/>
              <w:rPr>
                <w:color w:val="FFFFFF"/>
              </w:rPr>
            </w:pPr>
            <w:r w:rsidRPr="003D7F8F">
              <w:rPr>
                <w:color w:val="FFFFFF"/>
              </w:rPr>
              <w:t>Australians aged 18 and</w:t>
            </w:r>
            <w:r>
              <w:rPr>
                <w:color w:val="FFFFFF"/>
              </w:rPr>
              <w:t> </w:t>
            </w:r>
            <w:r w:rsidRPr="003D7F8F">
              <w:rPr>
                <w:color w:val="FFFFFF"/>
              </w:rPr>
              <w:t>over</w:t>
            </w:r>
          </w:p>
        </w:tc>
      </w:tr>
      <w:tr w:rsidR="00C1709F" w:rsidRPr="00AA4FF2" w14:paraId="3906ACF4" w14:textId="77777777" w:rsidTr="00904764">
        <w:trPr>
          <w:trHeight w:val="32"/>
        </w:trPr>
        <w:tc>
          <w:tcPr>
            <w:tcW w:w="1388" w:type="dxa"/>
            <w:shd w:val="clear" w:color="auto" w:fill="7FB8CB"/>
          </w:tcPr>
          <w:p w14:paraId="07106FE4" w14:textId="77777777" w:rsidR="00C1709F" w:rsidRPr="00BE6BBB" w:rsidRDefault="00C1709F" w:rsidP="00904764">
            <w:pPr>
              <w:keepNext/>
              <w:keepLines/>
              <w:spacing w:after="0" w:line="240" w:lineRule="auto"/>
              <w:rPr>
                <w:rFonts w:cs="Arial"/>
                <w:color w:val="FFFFFF" w:themeColor="background1"/>
                <w:sz w:val="18"/>
                <w:szCs w:val="18"/>
              </w:rPr>
            </w:pPr>
            <w:r w:rsidRPr="00BE6BBB">
              <w:rPr>
                <w:rFonts w:cs="Arial"/>
                <w:color w:val="FFFFFF" w:themeColor="background1"/>
                <w:sz w:val="18"/>
                <w:szCs w:val="18"/>
              </w:rPr>
              <w:t xml:space="preserve">Jun 16 </w:t>
            </w:r>
          </w:p>
        </w:tc>
        <w:tc>
          <w:tcPr>
            <w:tcW w:w="2480" w:type="dxa"/>
            <w:shd w:val="clear" w:color="auto" w:fill="D2E1E9"/>
            <w:vAlign w:val="bottom"/>
          </w:tcPr>
          <w:p w14:paraId="1CA120F9" w14:textId="77777777" w:rsidR="00C1709F" w:rsidRPr="00AA4FF2" w:rsidRDefault="00C1709F" w:rsidP="005D6F3C">
            <w:pPr>
              <w:keepNext/>
              <w:keepLines/>
              <w:spacing w:after="0" w:line="240" w:lineRule="auto"/>
              <w:jc w:val="right"/>
              <w:rPr>
                <w:rFonts w:cs="Arial"/>
                <w:sz w:val="18"/>
                <w:szCs w:val="18"/>
              </w:rPr>
            </w:pPr>
            <w:r w:rsidRPr="00AA4FF2">
              <w:rPr>
                <w:rFonts w:cs="Arial"/>
                <w:color w:val="000000"/>
                <w:sz w:val="18"/>
                <w:szCs w:val="18"/>
              </w:rPr>
              <w:t>3,247*</w:t>
            </w:r>
          </w:p>
        </w:tc>
        <w:tc>
          <w:tcPr>
            <w:tcW w:w="2481" w:type="dxa"/>
            <w:shd w:val="clear" w:color="auto" w:fill="D2E1E9"/>
            <w:vAlign w:val="center"/>
          </w:tcPr>
          <w:p w14:paraId="6C7AAB33" w14:textId="77777777" w:rsidR="00C1709F" w:rsidRPr="00AA4FF2" w:rsidRDefault="00C1709F" w:rsidP="005D6F3C">
            <w:pPr>
              <w:keepNext/>
              <w:keepLines/>
              <w:spacing w:after="0" w:line="240" w:lineRule="auto"/>
              <w:jc w:val="right"/>
              <w:rPr>
                <w:rFonts w:cs="Arial"/>
                <w:sz w:val="18"/>
                <w:szCs w:val="18"/>
              </w:rPr>
            </w:pPr>
            <w:r w:rsidRPr="00AA4FF2">
              <w:rPr>
                <w:rFonts w:cs="Arial"/>
                <w:color w:val="000000"/>
                <w:sz w:val="18"/>
                <w:szCs w:val="18"/>
              </w:rPr>
              <w:t>14,300</w:t>
            </w:r>
          </w:p>
        </w:tc>
      </w:tr>
      <w:tr w:rsidR="00C1709F" w:rsidRPr="00AA4FF2" w14:paraId="68C6E764" w14:textId="77777777" w:rsidTr="00904764">
        <w:trPr>
          <w:trHeight w:val="80"/>
        </w:trPr>
        <w:tc>
          <w:tcPr>
            <w:tcW w:w="1388" w:type="dxa"/>
            <w:shd w:val="clear" w:color="auto" w:fill="7FB8CB"/>
          </w:tcPr>
          <w:p w14:paraId="5025D5FF" w14:textId="77777777" w:rsidR="00C1709F" w:rsidRPr="00BE6BBB" w:rsidRDefault="00C1709F" w:rsidP="00904764">
            <w:pPr>
              <w:keepNext/>
              <w:keepLines/>
              <w:spacing w:after="0" w:line="240" w:lineRule="auto"/>
              <w:rPr>
                <w:color w:val="FFFFFF" w:themeColor="background1"/>
                <w:sz w:val="18"/>
              </w:rPr>
            </w:pPr>
            <w:r w:rsidRPr="00BE6BBB">
              <w:rPr>
                <w:color w:val="FFFFFF" w:themeColor="background1"/>
                <w:sz w:val="18"/>
              </w:rPr>
              <w:t>Jun 15</w:t>
            </w:r>
          </w:p>
        </w:tc>
        <w:tc>
          <w:tcPr>
            <w:tcW w:w="2480" w:type="dxa"/>
            <w:shd w:val="clear" w:color="auto" w:fill="D2E1E9"/>
            <w:vAlign w:val="bottom"/>
          </w:tcPr>
          <w:p w14:paraId="568F6ACE" w14:textId="77777777" w:rsidR="00C1709F" w:rsidRPr="003D7F8F" w:rsidRDefault="00C1709F" w:rsidP="005D6F3C">
            <w:pPr>
              <w:keepNext/>
              <w:keepLines/>
              <w:spacing w:after="0" w:line="240" w:lineRule="auto"/>
              <w:jc w:val="right"/>
              <w:rPr>
                <w:sz w:val="18"/>
              </w:rPr>
            </w:pPr>
            <w:r w:rsidRPr="003D7F8F">
              <w:rPr>
                <w:color w:val="000000"/>
                <w:sz w:val="18"/>
              </w:rPr>
              <w:t>3,392*</w:t>
            </w:r>
          </w:p>
        </w:tc>
        <w:tc>
          <w:tcPr>
            <w:tcW w:w="2481" w:type="dxa"/>
            <w:shd w:val="clear" w:color="auto" w:fill="D2E1E9"/>
            <w:vAlign w:val="center"/>
          </w:tcPr>
          <w:p w14:paraId="57015280" w14:textId="77777777" w:rsidR="00C1709F" w:rsidRPr="003D7F8F" w:rsidRDefault="00C1709F" w:rsidP="005D6F3C">
            <w:pPr>
              <w:keepNext/>
              <w:keepLines/>
              <w:spacing w:after="0" w:line="240" w:lineRule="auto"/>
              <w:jc w:val="right"/>
              <w:rPr>
                <w:sz w:val="18"/>
              </w:rPr>
            </w:pPr>
            <w:r w:rsidRPr="003D7F8F">
              <w:rPr>
                <w:color w:val="000000"/>
                <w:sz w:val="18"/>
              </w:rPr>
              <w:t>15,</w:t>
            </w:r>
            <w:r w:rsidRPr="00AA4FF2">
              <w:rPr>
                <w:rFonts w:cs="Arial"/>
                <w:color w:val="000000"/>
                <w:sz w:val="18"/>
                <w:szCs w:val="18"/>
              </w:rPr>
              <w:t>241</w:t>
            </w:r>
          </w:p>
        </w:tc>
      </w:tr>
      <w:tr w:rsidR="00C1709F" w:rsidRPr="00AA4FF2" w14:paraId="0E336F6B" w14:textId="77777777" w:rsidTr="00904764">
        <w:trPr>
          <w:trHeight w:val="128"/>
        </w:trPr>
        <w:tc>
          <w:tcPr>
            <w:tcW w:w="1388" w:type="dxa"/>
            <w:shd w:val="clear" w:color="auto" w:fill="7FB8CB"/>
          </w:tcPr>
          <w:p w14:paraId="31A7E0F0" w14:textId="77777777" w:rsidR="00C1709F" w:rsidRPr="00BE6BBB" w:rsidRDefault="00C1709F" w:rsidP="00904764">
            <w:pPr>
              <w:keepNext/>
              <w:keepLines/>
              <w:spacing w:after="0" w:line="240" w:lineRule="auto"/>
              <w:rPr>
                <w:color w:val="FFFFFF" w:themeColor="background1"/>
                <w:sz w:val="18"/>
              </w:rPr>
            </w:pPr>
            <w:r w:rsidRPr="00BE6BBB">
              <w:rPr>
                <w:color w:val="FFFFFF" w:themeColor="background1"/>
                <w:sz w:val="18"/>
              </w:rPr>
              <w:t>Jun 14</w:t>
            </w:r>
          </w:p>
        </w:tc>
        <w:tc>
          <w:tcPr>
            <w:tcW w:w="2480" w:type="dxa"/>
            <w:shd w:val="clear" w:color="auto" w:fill="D2E1E9"/>
            <w:vAlign w:val="bottom"/>
          </w:tcPr>
          <w:p w14:paraId="106D2976" w14:textId="77777777" w:rsidR="00C1709F" w:rsidRPr="003D7F8F" w:rsidRDefault="00C1709F" w:rsidP="005D6F3C">
            <w:pPr>
              <w:keepNext/>
              <w:keepLines/>
              <w:spacing w:after="0" w:line="240" w:lineRule="auto"/>
              <w:jc w:val="right"/>
              <w:rPr>
                <w:sz w:val="18"/>
              </w:rPr>
            </w:pPr>
            <w:r w:rsidRPr="003D7F8F">
              <w:rPr>
                <w:color w:val="000000"/>
                <w:sz w:val="18"/>
              </w:rPr>
              <w:t>3,619*</w:t>
            </w:r>
          </w:p>
        </w:tc>
        <w:tc>
          <w:tcPr>
            <w:tcW w:w="2481" w:type="dxa"/>
            <w:shd w:val="clear" w:color="auto" w:fill="D2E1E9"/>
            <w:vAlign w:val="center"/>
          </w:tcPr>
          <w:p w14:paraId="46DC5847" w14:textId="77777777" w:rsidR="00C1709F" w:rsidRPr="003D7F8F" w:rsidRDefault="00C1709F" w:rsidP="005D6F3C">
            <w:pPr>
              <w:keepNext/>
              <w:keepLines/>
              <w:spacing w:after="0" w:line="240" w:lineRule="auto"/>
              <w:jc w:val="right"/>
              <w:rPr>
                <w:sz w:val="18"/>
              </w:rPr>
            </w:pPr>
            <w:r w:rsidRPr="003D7F8F">
              <w:rPr>
                <w:color w:val="000000"/>
                <w:sz w:val="18"/>
              </w:rPr>
              <w:t>15,</w:t>
            </w:r>
            <w:r w:rsidRPr="00AA4FF2">
              <w:rPr>
                <w:rFonts w:cs="Arial"/>
                <w:color w:val="000000"/>
                <w:sz w:val="18"/>
                <w:szCs w:val="18"/>
              </w:rPr>
              <w:t>998</w:t>
            </w:r>
          </w:p>
        </w:tc>
      </w:tr>
      <w:tr w:rsidR="00C1709F" w:rsidRPr="00AA4FF2" w14:paraId="7BC5B253" w14:textId="77777777" w:rsidTr="00904764">
        <w:trPr>
          <w:trHeight w:val="34"/>
        </w:trPr>
        <w:tc>
          <w:tcPr>
            <w:tcW w:w="1388" w:type="dxa"/>
            <w:shd w:val="clear" w:color="auto" w:fill="7FB8CB"/>
          </w:tcPr>
          <w:p w14:paraId="66460441" w14:textId="77777777" w:rsidR="00C1709F" w:rsidRPr="00BE6BBB" w:rsidRDefault="00C1709F" w:rsidP="00904764">
            <w:pPr>
              <w:keepNext/>
              <w:keepLines/>
              <w:spacing w:after="0" w:line="240" w:lineRule="auto"/>
              <w:rPr>
                <w:color w:val="FFFFFF" w:themeColor="background1"/>
                <w:sz w:val="18"/>
                <w:highlight w:val="yellow"/>
              </w:rPr>
            </w:pPr>
            <w:r w:rsidRPr="00BE6BBB">
              <w:rPr>
                <w:color w:val="FFFFFF" w:themeColor="background1"/>
                <w:sz w:val="18"/>
              </w:rPr>
              <w:t>Jun 13</w:t>
            </w:r>
          </w:p>
        </w:tc>
        <w:tc>
          <w:tcPr>
            <w:tcW w:w="2480" w:type="dxa"/>
            <w:shd w:val="clear" w:color="auto" w:fill="D2E1E9"/>
            <w:vAlign w:val="bottom"/>
          </w:tcPr>
          <w:p w14:paraId="271E2E25" w14:textId="77777777" w:rsidR="00C1709F" w:rsidRPr="003D7F8F" w:rsidRDefault="00C1709F" w:rsidP="005D6F3C">
            <w:pPr>
              <w:keepNext/>
              <w:keepLines/>
              <w:spacing w:after="0" w:line="240" w:lineRule="auto"/>
              <w:jc w:val="right"/>
              <w:rPr>
                <w:sz w:val="18"/>
              </w:rPr>
            </w:pPr>
            <w:r w:rsidRPr="003D7F8F">
              <w:rPr>
                <w:color w:val="000000"/>
                <w:sz w:val="18"/>
              </w:rPr>
              <w:t>3,783</w:t>
            </w:r>
          </w:p>
        </w:tc>
        <w:tc>
          <w:tcPr>
            <w:tcW w:w="2481" w:type="dxa"/>
            <w:shd w:val="clear" w:color="auto" w:fill="D2E1E9"/>
            <w:vAlign w:val="center"/>
          </w:tcPr>
          <w:p w14:paraId="4BDD16EF" w14:textId="77777777" w:rsidR="00C1709F" w:rsidRPr="003D7F8F" w:rsidRDefault="00C1709F" w:rsidP="005D6F3C">
            <w:pPr>
              <w:keepNext/>
              <w:keepLines/>
              <w:spacing w:after="0" w:line="240" w:lineRule="auto"/>
              <w:jc w:val="right"/>
              <w:rPr>
                <w:sz w:val="18"/>
              </w:rPr>
            </w:pPr>
            <w:r w:rsidRPr="003D7F8F">
              <w:rPr>
                <w:color w:val="000000"/>
                <w:sz w:val="18"/>
              </w:rPr>
              <w:t>19,365</w:t>
            </w:r>
          </w:p>
        </w:tc>
      </w:tr>
      <w:tr w:rsidR="00C1709F" w:rsidRPr="00AA4FF2" w14:paraId="532257FA" w14:textId="77777777" w:rsidTr="00904764">
        <w:trPr>
          <w:trHeight w:val="14"/>
        </w:trPr>
        <w:tc>
          <w:tcPr>
            <w:tcW w:w="1388" w:type="dxa"/>
            <w:shd w:val="clear" w:color="auto" w:fill="7FB8CB"/>
          </w:tcPr>
          <w:p w14:paraId="6A5722BF" w14:textId="77777777" w:rsidR="00C1709F" w:rsidRPr="00BE6BBB" w:rsidRDefault="00C1709F" w:rsidP="00904764">
            <w:pPr>
              <w:keepNext/>
              <w:keepLines/>
              <w:spacing w:after="0" w:line="240" w:lineRule="auto"/>
              <w:rPr>
                <w:b/>
                <w:color w:val="FFFFFF" w:themeColor="background1"/>
                <w:sz w:val="18"/>
              </w:rPr>
            </w:pPr>
            <w:r w:rsidRPr="00BE6BBB">
              <w:rPr>
                <w:color w:val="FFFFFF" w:themeColor="background1"/>
                <w:sz w:val="18"/>
              </w:rPr>
              <w:t>Jun 12</w:t>
            </w:r>
          </w:p>
        </w:tc>
        <w:tc>
          <w:tcPr>
            <w:tcW w:w="2480" w:type="dxa"/>
            <w:shd w:val="clear" w:color="auto" w:fill="D2E1E9"/>
            <w:vAlign w:val="bottom"/>
          </w:tcPr>
          <w:p w14:paraId="2BDCD853" w14:textId="77777777" w:rsidR="00C1709F" w:rsidRPr="003D7F8F" w:rsidRDefault="00C1709F" w:rsidP="005D6F3C">
            <w:pPr>
              <w:keepNext/>
              <w:keepLines/>
              <w:spacing w:after="0" w:line="240" w:lineRule="auto"/>
              <w:jc w:val="right"/>
              <w:rPr>
                <w:sz w:val="18"/>
              </w:rPr>
            </w:pPr>
            <w:r w:rsidRPr="003D7F8F">
              <w:rPr>
                <w:color w:val="000000"/>
                <w:sz w:val="18"/>
              </w:rPr>
              <w:t>3,000</w:t>
            </w:r>
          </w:p>
        </w:tc>
        <w:tc>
          <w:tcPr>
            <w:tcW w:w="2481" w:type="dxa"/>
            <w:shd w:val="clear" w:color="auto" w:fill="D2E1E9"/>
            <w:vAlign w:val="center"/>
          </w:tcPr>
          <w:p w14:paraId="5263A0F2" w14:textId="77777777" w:rsidR="00C1709F" w:rsidRPr="003D7F8F" w:rsidRDefault="00C1709F" w:rsidP="005D6F3C">
            <w:pPr>
              <w:keepNext/>
              <w:keepLines/>
              <w:spacing w:after="0" w:line="240" w:lineRule="auto"/>
              <w:jc w:val="right"/>
              <w:rPr>
                <w:sz w:val="18"/>
              </w:rPr>
            </w:pPr>
            <w:r w:rsidRPr="003D7F8F">
              <w:rPr>
                <w:color w:val="000000"/>
                <w:sz w:val="18"/>
              </w:rPr>
              <w:t>19,798</w:t>
            </w:r>
          </w:p>
        </w:tc>
      </w:tr>
    </w:tbl>
    <w:p w14:paraId="6795F985" w14:textId="77777777" w:rsidR="00C1709F" w:rsidRPr="003D7F8F" w:rsidRDefault="00C1709F" w:rsidP="00C1709F">
      <w:pPr>
        <w:pStyle w:val="ACMANotes"/>
        <w:keepNext/>
        <w:keepLines/>
      </w:pPr>
      <w:r w:rsidRPr="003D7F8F">
        <w:t>*‘Don’t know/can’t say’ responses are included from June 2014 onwards due to change of survey methodology.</w:t>
      </w:r>
    </w:p>
    <w:p w14:paraId="7F924C23" w14:textId="77777777" w:rsidR="00C1709F" w:rsidRPr="003D7F8F" w:rsidRDefault="00C1709F" w:rsidP="00C1709F">
      <w:pPr>
        <w:pStyle w:val="ACMANotes"/>
        <w:keepNext/>
        <w:keepLines/>
      </w:pPr>
      <w:r w:rsidRPr="003D7F8F">
        <w:t>Note: 12 months to June for each year.</w:t>
      </w:r>
    </w:p>
    <w:p w14:paraId="2A7FDF57" w14:textId="77777777" w:rsidR="00C1709F" w:rsidRPr="009A2264" w:rsidRDefault="00C1709F" w:rsidP="00C1709F">
      <w:pPr>
        <w:pStyle w:val="ACMASpaceaftertable"/>
      </w:pPr>
    </w:p>
    <w:p w14:paraId="06A7D391" w14:textId="77777777" w:rsidR="00C1709F" w:rsidRPr="003D7F8F" w:rsidRDefault="00C1709F" w:rsidP="00C1709F">
      <w:pPr>
        <w:pStyle w:val="ACMAHeading4"/>
      </w:pPr>
      <w:r w:rsidRPr="003D7F8F">
        <w:lastRenderedPageBreak/>
        <w:t>Australian population</w:t>
      </w:r>
    </w:p>
    <w:p w14:paraId="6F6C15AC" w14:textId="77777777" w:rsidR="00C1709F" w:rsidRPr="003D7F8F" w:rsidRDefault="00C1709F" w:rsidP="00C1709F">
      <w:pPr>
        <w:spacing w:after="80"/>
        <w:rPr>
          <w:i/>
        </w:rPr>
      </w:pPr>
      <w:r w:rsidRPr="003D7F8F">
        <w:t xml:space="preserve">For </w:t>
      </w:r>
      <w:r w:rsidRPr="004F59F4">
        <w:t>the 2016 Roy Morgan Single Source data, the total population estimate for Australian adults aged 18</w:t>
      </w:r>
      <w:r w:rsidR="00042B53">
        <w:t> </w:t>
      </w:r>
      <w:r w:rsidRPr="004F59F4">
        <w:t xml:space="preserve">and over is 18,504,000, based on </w:t>
      </w:r>
      <w:r w:rsidRPr="004F59F4">
        <w:rPr>
          <w:i/>
        </w:rPr>
        <w:t>ABS data table 6202.0 Labour Force, Australia.</w:t>
      </w:r>
    </w:p>
    <w:p w14:paraId="208869F0" w14:textId="77777777" w:rsidR="00C1709F" w:rsidRPr="003D7F8F" w:rsidRDefault="00C1709F" w:rsidP="00C1709F">
      <w:pPr>
        <w:pStyle w:val="ACMAHeading3"/>
      </w:pPr>
      <w:r w:rsidRPr="003D7F8F">
        <w:t>Other sources</w:t>
      </w:r>
    </w:p>
    <w:p w14:paraId="2C54D8CE" w14:textId="77777777" w:rsidR="00C1709F" w:rsidRPr="003D7F8F" w:rsidRDefault="00C1709F" w:rsidP="00C1709F">
      <w:r w:rsidRPr="003D7F8F">
        <w:t xml:space="preserve">The endnotes list other information sources used in this publication. </w:t>
      </w:r>
    </w:p>
    <w:p w14:paraId="4E0E2EA7" w14:textId="77777777" w:rsidR="00C1709F" w:rsidRPr="003D7F8F" w:rsidRDefault="00C1709F" w:rsidP="00C1709F">
      <w:pPr>
        <w:pStyle w:val="ACMAHeading3"/>
      </w:pPr>
      <w:r w:rsidRPr="003D7F8F">
        <w:t xml:space="preserve">Data analysis </w:t>
      </w:r>
    </w:p>
    <w:p w14:paraId="11209204" w14:textId="77777777" w:rsidR="00C1709F" w:rsidRPr="003D7F8F" w:rsidRDefault="00C1709F" w:rsidP="00C1709F">
      <w:pPr>
        <w:keepNext/>
      </w:pPr>
      <w:r w:rsidRPr="003D7F8F">
        <w:t>Results from both data sets were analysed using descriptive analysis techniques, and by socioeconomic and demographic factors, to identify areas with significant patterns or differences.</w:t>
      </w:r>
    </w:p>
    <w:p w14:paraId="298E52A9" w14:textId="77777777" w:rsidR="00C1709F" w:rsidRDefault="00C1709F" w:rsidP="00C1709F">
      <w:pPr>
        <w:keepNext/>
      </w:pPr>
      <w:r w:rsidRPr="003D7F8F">
        <w:t>Data presented in tables and figures may not add to 100 per cent (or the appropriate total) due to rounding. Percentage changes are calculated on non-rounded data.</w:t>
      </w:r>
    </w:p>
    <w:p w14:paraId="5405E181" w14:textId="77777777" w:rsidR="00867045" w:rsidRPr="00C1709F" w:rsidRDefault="00867045" w:rsidP="00C1709F">
      <w:pPr>
        <w:pStyle w:val="Heading1"/>
      </w:pPr>
      <w:bookmarkStart w:id="832" w:name="_Toc465843008"/>
      <w:bookmarkEnd w:id="821"/>
      <w:bookmarkEnd w:id="822"/>
      <w:bookmarkEnd w:id="823"/>
      <w:bookmarkEnd w:id="824"/>
      <w:bookmarkEnd w:id="825"/>
      <w:bookmarkEnd w:id="826"/>
      <w:bookmarkEnd w:id="827"/>
      <w:bookmarkEnd w:id="828"/>
      <w:bookmarkEnd w:id="829"/>
      <w:bookmarkEnd w:id="830"/>
      <w:bookmarkEnd w:id="831"/>
      <w:r w:rsidRPr="00C1709F">
        <w:lastRenderedPageBreak/>
        <w:t>Glossary</w:t>
      </w:r>
      <w:bookmarkEnd w:id="751"/>
      <w:bookmarkEnd w:id="752"/>
      <w:bookmarkEnd w:id="753"/>
      <w:bookmarkEnd w:id="832"/>
    </w:p>
    <w:p w14:paraId="00A8EFFA" w14:textId="77777777" w:rsidR="00867045" w:rsidRPr="00FD7E86" w:rsidRDefault="00867045" w:rsidP="00CE3B0C">
      <w:pPr>
        <w:spacing w:after="0"/>
        <w:rPr>
          <w:rFonts w:cs="Arial"/>
          <w:b/>
        </w:rPr>
      </w:pPr>
      <w:r w:rsidRPr="00FD7E86">
        <w:rPr>
          <w:rFonts w:cs="Arial"/>
          <w:b/>
        </w:rPr>
        <w:t>2G—</w:t>
      </w:r>
      <w:r w:rsidR="00AE5F2C" w:rsidRPr="00FD7E86">
        <w:rPr>
          <w:rFonts w:cs="Arial"/>
          <w:b/>
        </w:rPr>
        <w:t>second</w:t>
      </w:r>
      <w:r w:rsidR="00AE5F2C">
        <w:rPr>
          <w:rFonts w:cs="Arial"/>
          <w:b/>
        </w:rPr>
        <w:t>-</w:t>
      </w:r>
      <w:r w:rsidRPr="00FD7E86">
        <w:rPr>
          <w:rFonts w:cs="Arial"/>
          <w:b/>
        </w:rPr>
        <w:t>generation mobile telecommunications</w:t>
      </w:r>
    </w:p>
    <w:p w14:paraId="6C0B02B0" w14:textId="77777777" w:rsidR="00867045" w:rsidRPr="00FD7E86" w:rsidRDefault="00867045" w:rsidP="00867045">
      <w:r w:rsidRPr="00FD7E86">
        <w:t xml:space="preserve">Mobile telecommunications services that use digital techniques, providing voice communications and a relatively low transmission rate for data. </w:t>
      </w:r>
      <w:r w:rsidRPr="00FD7E86">
        <w:rPr>
          <w:lang w:val="en"/>
        </w:rPr>
        <w:t xml:space="preserve">Denoted by the introduction of the digital encryption of telephone conversations and of mobile data services with SMS text messaging. See also </w:t>
      </w:r>
      <w:r w:rsidRPr="00C05F4C">
        <w:rPr>
          <w:b/>
          <w:lang w:val="en"/>
        </w:rPr>
        <w:t>GSM</w:t>
      </w:r>
      <w:r>
        <w:rPr>
          <w:lang w:val="en"/>
        </w:rPr>
        <w:t>.</w:t>
      </w:r>
    </w:p>
    <w:p w14:paraId="7D7314F8" w14:textId="77777777" w:rsidR="00867045" w:rsidRPr="00FD7E86" w:rsidRDefault="00867045" w:rsidP="00CE3B0C">
      <w:pPr>
        <w:spacing w:after="0"/>
        <w:rPr>
          <w:rFonts w:cs="Arial"/>
          <w:b/>
        </w:rPr>
      </w:pPr>
      <w:r w:rsidRPr="00FD7E86">
        <w:rPr>
          <w:rFonts w:cs="Arial"/>
          <w:b/>
        </w:rPr>
        <w:t>3G—</w:t>
      </w:r>
      <w:r w:rsidR="00AE5F2C" w:rsidRPr="00FD7E86">
        <w:rPr>
          <w:rFonts w:cs="Arial"/>
          <w:b/>
        </w:rPr>
        <w:t>third</w:t>
      </w:r>
      <w:r w:rsidR="00AE5F2C">
        <w:rPr>
          <w:rFonts w:cs="Arial"/>
          <w:b/>
        </w:rPr>
        <w:t>-</w:t>
      </w:r>
      <w:r w:rsidRPr="00FD7E86">
        <w:rPr>
          <w:rFonts w:cs="Arial"/>
          <w:b/>
        </w:rPr>
        <w:t>generation mobile telecommunications</w:t>
      </w:r>
    </w:p>
    <w:p w14:paraId="42F85D36" w14:textId="77777777" w:rsidR="00867045" w:rsidRPr="00FD7E86" w:rsidRDefault="00867045" w:rsidP="00867045">
      <w:r w:rsidRPr="00FD7E86">
        <w:t xml:space="preserve">Broadband mobile telecommunications services </w:t>
      </w:r>
      <w:r w:rsidRPr="00FD7E86">
        <w:rPr>
          <w:lang w:val="en"/>
        </w:rPr>
        <w:t>with improved data rates over their 2G predecessors providing for applications such as web-browsing, video</w:t>
      </w:r>
      <w:r w:rsidR="00E45AEC">
        <w:rPr>
          <w:lang w:val="en"/>
        </w:rPr>
        <w:t>-</w:t>
      </w:r>
      <w:r w:rsidRPr="00FD7E86">
        <w:rPr>
          <w:lang w:val="en"/>
        </w:rPr>
        <w:t>conferencing and location-based services.</w:t>
      </w:r>
      <w:r w:rsidRPr="00FD7E86">
        <w:t xml:space="preserve"> </w:t>
      </w:r>
    </w:p>
    <w:p w14:paraId="4D1CC8D8" w14:textId="77777777" w:rsidR="00867045" w:rsidRPr="00FD7E86" w:rsidRDefault="00867045" w:rsidP="00CE3B0C">
      <w:pPr>
        <w:spacing w:after="0"/>
        <w:rPr>
          <w:rFonts w:cs="Arial"/>
          <w:b/>
        </w:rPr>
      </w:pPr>
      <w:r w:rsidRPr="00FD7E86">
        <w:rPr>
          <w:rFonts w:cs="Arial"/>
          <w:b/>
        </w:rPr>
        <w:t>4G—</w:t>
      </w:r>
      <w:r w:rsidR="00AE5F2C" w:rsidRPr="00FD7E86">
        <w:rPr>
          <w:rFonts w:cs="Arial"/>
          <w:b/>
        </w:rPr>
        <w:t>fourth</w:t>
      </w:r>
      <w:r w:rsidR="00AE5F2C">
        <w:rPr>
          <w:rFonts w:cs="Arial"/>
          <w:b/>
        </w:rPr>
        <w:t>-</w:t>
      </w:r>
      <w:r w:rsidRPr="00FD7E86">
        <w:rPr>
          <w:rFonts w:cs="Arial"/>
          <w:b/>
        </w:rPr>
        <w:t>generation mobile telecommunications</w:t>
      </w:r>
    </w:p>
    <w:p w14:paraId="6451D358" w14:textId="77777777" w:rsidR="00867045" w:rsidRDefault="00867045" w:rsidP="00867045">
      <w:pPr>
        <w:autoSpaceDE w:val="0"/>
        <w:autoSpaceDN w:val="0"/>
        <w:adjustRightInd w:val="0"/>
        <w:spacing w:line="240" w:lineRule="auto"/>
      </w:pPr>
      <w:r w:rsidRPr="00FD7E86">
        <w:t xml:space="preserve">Enhanced broadband mobile telecommunications services </w:t>
      </w:r>
      <w:r w:rsidR="00E45AEC">
        <w:t>that</w:t>
      </w:r>
      <w:r w:rsidR="00E45AEC" w:rsidRPr="00FD7E86">
        <w:t xml:space="preserve"> </w:t>
      </w:r>
      <w:r w:rsidRPr="00C05F4C">
        <w:t>are expected to provide increased bandwidth to support</w:t>
      </w:r>
      <w:r w:rsidRPr="00FD7E86" w:rsidDel="0017232E">
        <w:t xml:space="preserve"> </w:t>
      </w:r>
      <w:r w:rsidRPr="00FD7E86">
        <w:t xml:space="preserve">voice, video, data and </w:t>
      </w:r>
      <w:r w:rsidRPr="00C05F4C">
        <w:t>high</w:t>
      </w:r>
      <w:r w:rsidR="00E45AEC">
        <w:t>-</w:t>
      </w:r>
      <w:r w:rsidRPr="00C05F4C">
        <w:t xml:space="preserve">quality streaming multimedia content </w:t>
      </w:r>
      <w:r w:rsidRPr="00FD7E86">
        <w:t>over an all</w:t>
      </w:r>
      <w:r w:rsidR="00E45AEC">
        <w:t>-</w:t>
      </w:r>
      <w:r w:rsidRPr="00FD7E86">
        <w:t>IP network.</w:t>
      </w:r>
      <w:r w:rsidRPr="00C05F4C">
        <w:t xml:space="preserve"> See also </w:t>
      </w:r>
      <w:r w:rsidRPr="00C05F4C">
        <w:rPr>
          <w:b/>
        </w:rPr>
        <w:t>LTE</w:t>
      </w:r>
      <w:r>
        <w:t>.</w:t>
      </w:r>
    </w:p>
    <w:p w14:paraId="3225BEBF" w14:textId="77777777" w:rsidR="00867045" w:rsidRPr="0054217A" w:rsidRDefault="00867045" w:rsidP="00CE3B0C">
      <w:pPr>
        <w:spacing w:after="0"/>
        <w:rPr>
          <w:rFonts w:cs="Arial"/>
          <w:b/>
        </w:rPr>
      </w:pPr>
      <w:r w:rsidRPr="0054217A">
        <w:rPr>
          <w:rFonts w:cs="Arial"/>
          <w:b/>
        </w:rPr>
        <w:t>5G—</w:t>
      </w:r>
      <w:r w:rsidR="00AE5F2C" w:rsidRPr="0054217A">
        <w:rPr>
          <w:rFonts w:cs="Arial"/>
          <w:b/>
        </w:rPr>
        <w:t>fifth</w:t>
      </w:r>
      <w:r w:rsidR="00AE5F2C">
        <w:rPr>
          <w:rFonts w:cs="Arial"/>
          <w:b/>
        </w:rPr>
        <w:t>-</w:t>
      </w:r>
      <w:r w:rsidRPr="0054217A">
        <w:rPr>
          <w:rFonts w:cs="Arial"/>
          <w:b/>
        </w:rPr>
        <w:t>generation mobile telecommunications</w:t>
      </w:r>
    </w:p>
    <w:p w14:paraId="6D136ED0" w14:textId="77777777" w:rsidR="00867045" w:rsidRPr="0032755E" w:rsidRDefault="00867045" w:rsidP="00531CD0">
      <w:pPr>
        <w:autoSpaceDE w:val="0"/>
        <w:autoSpaceDN w:val="0"/>
        <w:adjustRightInd w:val="0"/>
        <w:spacing w:line="240" w:lineRule="auto"/>
      </w:pPr>
      <w:r w:rsidRPr="0032755E">
        <w:t xml:space="preserve">The </w:t>
      </w:r>
      <w:r>
        <w:t>proposed next iteration of broadband mobile telecommunications services that is expected to provide increased data rates and reduced latency to support greater connectivity and enable machine-to-machine services and the Internet of Things. While trials of the technology are currently underway, 5G is not anticipated to be commercially available until around 2020.</w:t>
      </w:r>
    </w:p>
    <w:p w14:paraId="1D8F2211" w14:textId="77777777" w:rsidR="00867045" w:rsidRPr="00FD7E86" w:rsidRDefault="00867045" w:rsidP="00CE3B0C">
      <w:pPr>
        <w:spacing w:after="0"/>
        <w:rPr>
          <w:rFonts w:cs="Arial"/>
          <w:b/>
          <w:color w:val="4D4D4F"/>
        </w:rPr>
      </w:pPr>
      <w:r w:rsidRPr="00FD7E86">
        <w:rPr>
          <w:rFonts w:cs="Arial"/>
          <w:b/>
          <w:bCs/>
        </w:rPr>
        <w:t>ABC</w:t>
      </w:r>
      <w:r w:rsidRPr="00FD7E86">
        <w:rPr>
          <w:rFonts w:cs="Arial"/>
          <w:b/>
          <w:color w:val="4D4D4F"/>
        </w:rPr>
        <w:t>—</w:t>
      </w:r>
      <w:r w:rsidRPr="00FD7E86">
        <w:rPr>
          <w:rFonts w:cs="Arial"/>
          <w:b/>
        </w:rPr>
        <w:t>Australian Broadcasting Corporation</w:t>
      </w:r>
    </w:p>
    <w:p w14:paraId="171AAD6F" w14:textId="77777777" w:rsidR="00867045" w:rsidRPr="00FD7E86" w:rsidRDefault="00867045" w:rsidP="00867045">
      <w:r w:rsidRPr="00FD7E86">
        <w:t>Free-to-air national broadcaster of ABC radio and television channels, as well as online services, funded by the Australian Government.</w:t>
      </w:r>
    </w:p>
    <w:p w14:paraId="757C4B32" w14:textId="77777777" w:rsidR="00867045" w:rsidRPr="00FD7E86" w:rsidRDefault="00867045" w:rsidP="00CE3B0C">
      <w:pPr>
        <w:spacing w:after="0"/>
        <w:rPr>
          <w:rFonts w:cs="Arial"/>
          <w:b/>
          <w:color w:val="4D4D4F"/>
        </w:rPr>
      </w:pPr>
      <w:r w:rsidRPr="00FD7E86">
        <w:rPr>
          <w:rFonts w:cs="Arial"/>
          <w:b/>
        </w:rPr>
        <w:t>ABS—</w:t>
      </w:r>
      <w:r w:rsidRPr="00FD7E86">
        <w:rPr>
          <w:rFonts w:cs="Arial"/>
          <w:b/>
          <w:szCs w:val="20"/>
        </w:rPr>
        <w:t xml:space="preserve">Australian </w:t>
      </w:r>
      <w:r w:rsidRPr="00CE3B0C">
        <w:rPr>
          <w:rFonts w:cs="Arial"/>
          <w:b/>
        </w:rPr>
        <w:t>Bureau</w:t>
      </w:r>
      <w:r w:rsidRPr="00FD7E86">
        <w:rPr>
          <w:rFonts w:cs="Arial"/>
          <w:b/>
          <w:szCs w:val="20"/>
        </w:rPr>
        <w:t xml:space="preserve"> of Statistics</w:t>
      </w:r>
    </w:p>
    <w:p w14:paraId="3C5DAF21" w14:textId="77777777" w:rsidR="00867045" w:rsidRPr="00FD7E86" w:rsidRDefault="00867045" w:rsidP="00867045">
      <w:r w:rsidRPr="00FD7E86">
        <w:t>Commonwealth body responsible for collecting, analysing and publishing Australian demographic data.</w:t>
      </w:r>
    </w:p>
    <w:p w14:paraId="71146977" w14:textId="77777777" w:rsidR="00867045" w:rsidRPr="00FD7E86" w:rsidRDefault="00867045" w:rsidP="00CE3B0C">
      <w:pPr>
        <w:spacing w:after="0"/>
        <w:rPr>
          <w:rFonts w:cs="Arial"/>
          <w:b/>
        </w:rPr>
      </w:pPr>
      <w:r w:rsidRPr="00FD7E86">
        <w:rPr>
          <w:rFonts w:cs="Arial"/>
          <w:b/>
        </w:rPr>
        <w:t>ACCC—</w:t>
      </w:r>
      <w:r w:rsidRPr="00FD7E86">
        <w:rPr>
          <w:rFonts w:cs="Arial"/>
          <w:b/>
          <w:szCs w:val="20"/>
        </w:rPr>
        <w:t xml:space="preserve">Australian </w:t>
      </w:r>
      <w:r w:rsidRPr="00CE3B0C">
        <w:rPr>
          <w:rFonts w:cs="Arial"/>
          <w:b/>
        </w:rPr>
        <w:t>Competition</w:t>
      </w:r>
      <w:r w:rsidRPr="00FD7E86">
        <w:rPr>
          <w:rFonts w:cs="Arial"/>
          <w:b/>
          <w:szCs w:val="20"/>
        </w:rPr>
        <w:t xml:space="preserve"> and Consumer Commission</w:t>
      </w:r>
    </w:p>
    <w:p w14:paraId="371EEA53" w14:textId="77777777" w:rsidR="00867045" w:rsidRPr="00FD7E86" w:rsidRDefault="00867045" w:rsidP="00867045">
      <w:r w:rsidRPr="00FD7E86">
        <w:t xml:space="preserve">Commonwealth regulatory body with responsibilities derived from the </w:t>
      </w:r>
      <w:r w:rsidRPr="00FD7E86">
        <w:rPr>
          <w:i/>
        </w:rPr>
        <w:t>Competition and Consumer Act 2010</w:t>
      </w:r>
      <w:r w:rsidRPr="00FD7E86">
        <w:t xml:space="preserve"> (formerly the </w:t>
      </w:r>
      <w:r w:rsidRPr="00FD7E86">
        <w:rPr>
          <w:i/>
        </w:rPr>
        <w:t>Trade Practices Act 1974</w:t>
      </w:r>
      <w:r w:rsidRPr="00FD7E86">
        <w:t>).</w:t>
      </w:r>
    </w:p>
    <w:p w14:paraId="381041CD" w14:textId="77777777" w:rsidR="00867045" w:rsidRPr="00FD7E86" w:rsidRDefault="00867045" w:rsidP="00CE3B0C">
      <w:pPr>
        <w:spacing w:after="0"/>
        <w:rPr>
          <w:rFonts w:cs="Arial"/>
          <w:b/>
          <w:color w:val="4D4D4F"/>
          <w:szCs w:val="20"/>
        </w:rPr>
      </w:pPr>
      <w:r w:rsidRPr="00FD7E86">
        <w:rPr>
          <w:rFonts w:cs="Arial"/>
          <w:b/>
        </w:rPr>
        <w:t>ACE—</w:t>
      </w:r>
      <w:r w:rsidRPr="00FD7E86">
        <w:rPr>
          <w:rFonts w:cs="Arial"/>
          <w:b/>
          <w:szCs w:val="20"/>
        </w:rPr>
        <w:t xml:space="preserve">Australian </w:t>
      </w:r>
      <w:r w:rsidRPr="00CE3B0C">
        <w:rPr>
          <w:rFonts w:cs="Arial"/>
          <w:b/>
        </w:rPr>
        <w:t>Communication</w:t>
      </w:r>
      <w:r w:rsidRPr="00FD7E86">
        <w:rPr>
          <w:rFonts w:cs="Arial"/>
          <w:b/>
          <w:szCs w:val="20"/>
        </w:rPr>
        <w:t xml:space="preserve"> Exchange</w:t>
      </w:r>
    </w:p>
    <w:p w14:paraId="62B93288" w14:textId="77777777" w:rsidR="00867045" w:rsidRPr="00FD7E86" w:rsidRDefault="00867045" w:rsidP="00867045">
      <w:r w:rsidRPr="00FD7E86">
        <w:t xml:space="preserve">A national non-for-profit organisation that currently provides the relay component of the National Relay Service. </w:t>
      </w:r>
    </w:p>
    <w:p w14:paraId="75D47C2C" w14:textId="77777777" w:rsidR="00867045" w:rsidRPr="00FD7E86" w:rsidRDefault="00867045" w:rsidP="00CE3B0C">
      <w:pPr>
        <w:spacing w:after="0"/>
        <w:rPr>
          <w:rFonts w:cs="Arial"/>
          <w:b/>
          <w:szCs w:val="20"/>
        </w:rPr>
      </w:pPr>
      <w:r w:rsidRPr="00FD7E86">
        <w:rPr>
          <w:rFonts w:cs="Arial"/>
          <w:b/>
          <w:szCs w:val="20"/>
        </w:rPr>
        <w:t>ACMA—Australian Communications and Media Authority</w:t>
      </w:r>
    </w:p>
    <w:p w14:paraId="73AC8BFB" w14:textId="77777777" w:rsidR="00867045" w:rsidRPr="00FD7E86" w:rsidRDefault="00867045" w:rsidP="00867045">
      <w:pPr>
        <w:rPr>
          <w:rFonts w:cs="Arial"/>
          <w:b/>
          <w:bCs/>
          <w:color w:val="4D4D4F"/>
          <w:szCs w:val="20"/>
        </w:rPr>
      </w:pPr>
      <w:r w:rsidRPr="00FD7E86">
        <w:t xml:space="preserve">Commonwealth regulatory authority for broadcasting, radiocommunications and telecommunications, with responsibilities under the </w:t>
      </w:r>
      <w:r w:rsidRPr="00FD7E86">
        <w:rPr>
          <w:i/>
          <w:iCs/>
        </w:rPr>
        <w:t>Broadcasting Services Act 1992</w:t>
      </w:r>
      <w:r w:rsidRPr="00FD7E86">
        <w:t xml:space="preserve">, the </w:t>
      </w:r>
      <w:r w:rsidRPr="00FD7E86">
        <w:rPr>
          <w:i/>
          <w:iCs/>
        </w:rPr>
        <w:t>Radiocommunications Act 1992</w:t>
      </w:r>
      <w:r w:rsidRPr="00FD7E86">
        <w:t xml:space="preserve">, the </w:t>
      </w:r>
      <w:r w:rsidRPr="00FD7E86">
        <w:rPr>
          <w:i/>
          <w:iCs/>
        </w:rPr>
        <w:t xml:space="preserve">Telecommunications Act 1997 </w:t>
      </w:r>
      <w:r w:rsidRPr="00FD7E86">
        <w:t xml:space="preserve">and related Acts. </w:t>
      </w:r>
    </w:p>
    <w:p w14:paraId="3D8320E2" w14:textId="77777777" w:rsidR="00867045" w:rsidRPr="00FD7E86" w:rsidRDefault="00867045" w:rsidP="00CE3B0C">
      <w:pPr>
        <w:spacing w:after="0"/>
        <w:rPr>
          <w:rFonts w:cs="Arial"/>
          <w:b/>
          <w:szCs w:val="20"/>
        </w:rPr>
      </w:pPr>
      <w:r w:rsidRPr="00FD7E86">
        <w:rPr>
          <w:rFonts w:cs="Arial"/>
          <w:b/>
          <w:szCs w:val="20"/>
        </w:rPr>
        <w:t>ADSL—</w:t>
      </w:r>
      <w:r w:rsidRPr="00CE3B0C">
        <w:rPr>
          <w:rFonts w:cs="Arial"/>
          <w:b/>
        </w:rPr>
        <w:t>asymmetric</w:t>
      </w:r>
      <w:r w:rsidRPr="00FD7E86">
        <w:rPr>
          <w:rFonts w:cs="Arial"/>
          <w:b/>
          <w:szCs w:val="20"/>
        </w:rPr>
        <w:t xml:space="preserve"> digital subscriber line</w:t>
      </w:r>
    </w:p>
    <w:p w14:paraId="6A914BF3" w14:textId="77777777" w:rsidR="00867045" w:rsidRPr="00FD7E86" w:rsidRDefault="00867045" w:rsidP="00867045">
      <w:r w:rsidRPr="00FD7E86">
        <w:t>A transmission technology that enables high-speed data services to be delivered over a twisted</w:t>
      </w:r>
      <w:r w:rsidR="00A16894">
        <w:t>-</w:t>
      </w:r>
      <w:r w:rsidRPr="00FD7E86">
        <w:t>pair copper line, typically with a download speed in excess of 256 kbit/s, but with a lower upload data speed.</w:t>
      </w:r>
    </w:p>
    <w:p w14:paraId="631B9EEA" w14:textId="77777777" w:rsidR="00867045" w:rsidRPr="00FD7E86" w:rsidRDefault="00867045" w:rsidP="00CE3B0C">
      <w:pPr>
        <w:spacing w:after="0"/>
        <w:rPr>
          <w:rFonts w:cs="Arial"/>
          <w:b/>
          <w:szCs w:val="20"/>
        </w:rPr>
      </w:pPr>
      <w:r w:rsidRPr="00FD7E86">
        <w:rPr>
          <w:rFonts w:cs="Arial"/>
          <w:b/>
          <w:szCs w:val="20"/>
        </w:rPr>
        <w:t xml:space="preserve">AFP—Australian </w:t>
      </w:r>
      <w:r w:rsidRPr="00CE3B0C">
        <w:rPr>
          <w:rFonts w:cs="Arial"/>
          <w:b/>
        </w:rPr>
        <w:t>Federal</w:t>
      </w:r>
      <w:r w:rsidRPr="00FD7E86">
        <w:rPr>
          <w:rFonts w:cs="Arial"/>
          <w:b/>
          <w:szCs w:val="20"/>
        </w:rPr>
        <w:t xml:space="preserve"> Police</w:t>
      </w:r>
    </w:p>
    <w:p w14:paraId="35AC5797" w14:textId="77777777" w:rsidR="00867045" w:rsidRPr="00FD7E86" w:rsidRDefault="00867045" w:rsidP="00867045">
      <w:r w:rsidRPr="00FD7E86">
        <w:t xml:space="preserve">Australia’s national police force. The ACMA </w:t>
      </w:r>
      <w:r w:rsidR="00FE223C">
        <w:t>previously worked</w:t>
      </w:r>
      <w:r w:rsidR="00FE223C" w:rsidRPr="00FD7E86">
        <w:t xml:space="preserve"> </w:t>
      </w:r>
      <w:r w:rsidRPr="00FD7E86">
        <w:t>with the AFP on email spam and illegal internet content such as online child sexual abuse material that is hosted outside Australia.</w:t>
      </w:r>
      <w:r w:rsidR="00FE223C">
        <w:t xml:space="preserve"> </w:t>
      </w:r>
      <w:r w:rsidR="00FE223C" w:rsidRPr="001A3C79">
        <w:t>On 1 July 2015, these responsibilities transferred to the Office of the Children’s eSafety Commissioner.</w:t>
      </w:r>
    </w:p>
    <w:p w14:paraId="2FA91ADE" w14:textId="77777777" w:rsidR="00867045" w:rsidRPr="00FD7E86" w:rsidRDefault="00867045" w:rsidP="00CE3B0C">
      <w:pPr>
        <w:spacing w:after="0"/>
        <w:rPr>
          <w:rFonts w:cs="Arial"/>
          <w:b/>
          <w:szCs w:val="20"/>
        </w:rPr>
      </w:pPr>
      <w:r w:rsidRPr="00FD7E86">
        <w:rPr>
          <w:rFonts w:cs="Arial"/>
          <w:b/>
          <w:szCs w:val="20"/>
        </w:rPr>
        <w:t>AISI—</w:t>
      </w:r>
      <w:r w:rsidRPr="00CE3B0C">
        <w:rPr>
          <w:rFonts w:cs="Arial"/>
          <w:b/>
        </w:rPr>
        <w:t>Australian</w:t>
      </w:r>
      <w:r w:rsidRPr="00FD7E86">
        <w:rPr>
          <w:rFonts w:cs="Arial"/>
          <w:b/>
          <w:szCs w:val="20"/>
        </w:rPr>
        <w:t xml:space="preserve"> Internet Security Initiative</w:t>
      </w:r>
    </w:p>
    <w:p w14:paraId="0578766B" w14:textId="77777777" w:rsidR="00867045" w:rsidRPr="00FD7E86" w:rsidRDefault="00867045" w:rsidP="009A2DA4">
      <w:pPr>
        <w:autoSpaceDE w:val="0"/>
        <w:autoSpaceDN w:val="0"/>
        <w:adjustRightInd w:val="0"/>
        <w:spacing w:line="240" w:lineRule="auto"/>
      </w:pPr>
      <w:r w:rsidRPr="00FD7E86">
        <w:t xml:space="preserve">Collects data from various sources on compromised computers (sometimes referred to as ‘zombies’, </w:t>
      </w:r>
      <w:r w:rsidR="009F2046">
        <w:t>‘</w:t>
      </w:r>
      <w:r w:rsidRPr="00FD7E86">
        <w:t>bots</w:t>
      </w:r>
      <w:r w:rsidR="009F2046">
        <w:t>’</w:t>
      </w:r>
      <w:r w:rsidRPr="00FD7E86">
        <w:t xml:space="preserve"> or ‘drones’). The ACMA analyses this data and provides free daily reports to participating Australian </w:t>
      </w:r>
      <w:r w:rsidRPr="00FD7E86">
        <w:lastRenderedPageBreak/>
        <w:t>internet service providers (ISPs) identifying IP addresses operating on their networks that appear to be compromised.</w:t>
      </w:r>
    </w:p>
    <w:p w14:paraId="79638A16" w14:textId="77777777" w:rsidR="00867045" w:rsidRPr="00FD7E86" w:rsidRDefault="00867045" w:rsidP="00CE3B0C">
      <w:pPr>
        <w:spacing w:after="0"/>
        <w:rPr>
          <w:rFonts w:cs="Arial"/>
          <w:b/>
          <w:szCs w:val="20"/>
        </w:rPr>
      </w:pPr>
      <w:r w:rsidRPr="00FD7E86">
        <w:rPr>
          <w:rFonts w:cs="Arial"/>
          <w:b/>
          <w:szCs w:val="20"/>
        </w:rPr>
        <w:t xml:space="preserve">auDA—.au Domain </w:t>
      </w:r>
      <w:r w:rsidRPr="00CE3B0C">
        <w:rPr>
          <w:rFonts w:cs="Arial"/>
          <w:b/>
        </w:rPr>
        <w:t>Administration</w:t>
      </w:r>
    </w:p>
    <w:p w14:paraId="7AB55610" w14:textId="77777777" w:rsidR="00867045" w:rsidRPr="00FD7E86" w:rsidRDefault="00867045" w:rsidP="00867045">
      <w:r w:rsidRPr="0014452B">
        <w:t xml:space="preserve">Independent industry self-regulatory body responsible for the </w:t>
      </w:r>
      <w:r w:rsidR="009F2046">
        <w:t>‘</w:t>
      </w:r>
      <w:r w:rsidRPr="0014452B">
        <w:t>.au</w:t>
      </w:r>
      <w:r w:rsidR="009F2046">
        <w:t>’</w:t>
      </w:r>
      <w:r w:rsidRPr="0014452B">
        <w:t xml:space="preserve"> domain name space.</w:t>
      </w:r>
    </w:p>
    <w:p w14:paraId="19B3AF8E" w14:textId="77777777" w:rsidR="00867045" w:rsidRPr="00FD7E86" w:rsidRDefault="00867045" w:rsidP="00CE3B0C">
      <w:pPr>
        <w:spacing w:after="0"/>
        <w:rPr>
          <w:rFonts w:cs="Arial"/>
          <w:b/>
          <w:szCs w:val="20"/>
        </w:rPr>
      </w:pPr>
      <w:r w:rsidRPr="00FD7E86">
        <w:rPr>
          <w:rFonts w:cs="Arial"/>
          <w:b/>
          <w:szCs w:val="20"/>
        </w:rPr>
        <w:t>bit/s—bits per second</w:t>
      </w:r>
    </w:p>
    <w:p w14:paraId="1D62AB49" w14:textId="77777777" w:rsidR="00867045" w:rsidRPr="00FD7E86" w:rsidRDefault="00867045" w:rsidP="00867045">
      <w:r w:rsidRPr="00FD7E86">
        <w:t xml:space="preserve">Rate of transfer of data. A bit (binary digit) is the basic unit of data able to represent one of two values. See also </w:t>
      </w:r>
      <w:r w:rsidRPr="00FD7E86">
        <w:rPr>
          <w:b/>
        </w:rPr>
        <w:t>Gbit/s</w:t>
      </w:r>
      <w:r w:rsidRPr="00FD7E86">
        <w:t xml:space="preserve">, </w:t>
      </w:r>
      <w:r w:rsidRPr="00FD7E86">
        <w:rPr>
          <w:b/>
        </w:rPr>
        <w:t>kbit/s</w:t>
      </w:r>
      <w:r w:rsidRPr="00FD7E86">
        <w:t xml:space="preserve">, </w:t>
      </w:r>
      <w:r w:rsidRPr="00FD7E86">
        <w:rPr>
          <w:b/>
        </w:rPr>
        <w:t>Mbit/s</w:t>
      </w:r>
      <w:r w:rsidRPr="00FD7E86">
        <w:t>.</w:t>
      </w:r>
    </w:p>
    <w:p w14:paraId="6D51DB0B" w14:textId="77777777" w:rsidR="00867045" w:rsidRPr="00FD7E86" w:rsidRDefault="00867045" w:rsidP="00CE3B0C">
      <w:pPr>
        <w:spacing w:after="0"/>
        <w:rPr>
          <w:rFonts w:cs="Arial"/>
          <w:b/>
          <w:szCs w:val="20"/>
        </w:rPr>
      </w:pPr>
      <w:r w:rsidRPr="00CE3B0C">
        <w:rPr>
          <w:rFonts w:cs="Arial"/>
          <w:b/>
        </w:rPr>
        <w:t>broadband</w:t>
      </w:r>
      <w:r w:rsidRPr="00FD7E86">
        <w:rPr>
          <w:rFonts w:cs="Arial"/>
          <w:b/>
          <w:szCs w:val="20"/>
        </w:rPr>
        <w:t xml:space="preserve"> </w:t>
      </w:r>
    </w:p>
    <w:p w14:paraId="784D38CB" w14:textId="77777777" w:rsidR="00867045" w:rsidRPr="00FD7E86" w:rsidRDefault="00867045" w:rsidP="00867045">
      <w:r w:rsidRPr="00FD7E86">
        <w:rPr>
          <w:lang w:val="en"/>
        </w:rPr>
        <w:t xml:space="preserve">High-speed internet access that is always on and faster than traditional dial-up access. </w:t>
      </w:r>
      <w:r w:rsidRPr="00FD7E86">
        <w:t xml:space="preserve">Broadband is implemented through a range of technologies such as optical fibre, </w:t>
      </w:r>
      <w:r w:rsidRPr="00FC4F68">
        <w:rPr>
          <w:lang w:val="en"/>
        </w:rPr>
        <w:t>Digital Subscriber Line (DSL)</w:t>
      </w:r>
      <w:r w:rsidRPr="00FD7E86">
        <w:t xml:space="preserve">, </w:t>
      </w:r>
      <w:r w:rsidR="009F2046" w:rsidRPr="009F2046">
        <w:t xml:space="preserve">hybrid fibre coaxial </w:t>
      </w:r>
      <w:r w:rsidR="009F2046">
        <w:t>(</w:t>
      </w:r>
      <w:r w:rsidRPr="00FD7E86">
        <w:t>HFC</w:t>
      </w:r>
      <w:r w:rsidR="009F2046">
        <w:t>)</w:t>
      </w:r>
      <w:r w:rsidRPr="00FD7E86">
        <w:t>, cellular mobile, fixed wireless</w:t>
      </w:r>
      <w:r w:rsidRPr="00FD7E86">
        <w:rPr>
          <w:lang w:val="en"/>
        </w:rPr>
        <w:t xml:space="preserve"> </w:t>
      </w:r>
      <w:r w:rsidRPr="00FD7E86">
        <w:t>and satellite.</w:t>
      </w:r>
    </w:p>
    <w:p w14:paraId="4588B111" w14:textId="77777777" w:rsidR="00867045" w:rsidRPr="00FD7E86" w:rsidRDefault="00867045" w:rsidP="00CE3B0C">
      <w:pPr>
        <w:spacing w:after="0"/>
        <w:rPr>
          <w:rFonts w:cs="Arial"/>
          <w:b/>
          <w:szCs w:val="20"/>
        </w:rPr>
      </w:pPr>
      <w:r w:rsidRPr="00FD7E86">
        <w:rPr>
          <w:rFonts w:cs="Arial"/>
          <w:b/>
          <w:szCs w:val="20"/>
        </w:rPr>
        <w:t xml:space="preserve">cable—hybrid </w:t>
      </w:r>
      <w:r w:rsidRPr="00CE3B0C">
        <w:rPr>
          <w:rFonts w:cs="Arial"/>
          <w:b/>
        </w:rPr>
        <w:t>fibre</w:t>
      </w:r>
      <w:r w:rsidRPr="00FD7E86">
        <w:rPr>
          <w:rFonts w:cs="Arial"/>
          <w:b/>
          <w:szCs w:val="20"/>
        </w:rPr>
        <w:t xml:space="preserve"> coaxial (HFC) cable</w:t>
      </w:r>
    </w:p>
    <w:p w14:paraId="27FDB39E" w14:textId="77777777" w:rsidR="00867045" w:rsidRPr="00FD7E86" w:rsidRDefault="00867045" w:rsidP="00867045">
      <w:r w:rsidRPr="00FD7E86">
        <w:t>Transmission links consisting of optical fibre on main routes, supplemented by coaxial cable closer to the end user’s premises.</w:t>
      </w:r>
    </w:p>
    <w:p w14:paraId="4AE07117" w14:textId="77777777" w:rsidR="00867045" w:rsidRPr="00FD7E86" w:rsidRDefault="00867045" w:rsidP="00CE3B0C">
      <w:pPr>
        <w:spacing w:after="0"/>
        <w:rPr>
          <w:rFonts w:cs="Arial"/>
          <w:b/>
          <w:szCs w:val="20"/>
        </w:rPr>
      </w:pPr>
      <w:r w:rsidRPr="00CE3B0C">
        <w:rPr>
          <w:rFonts w:cs="Arial"/>
          <w:b/>
        </w:rPr>
        <w:t>carrier</w:t>
      </w:r>
      <w:r w:rsidRPr="00FD7E86">
        <w:rPr>
          <w:rFonts w:cs="Arial"/>
          <w:b/>
          <w:szCs w:val="20"/>
        </w:rPr>
        <w:t xml:space="preserve"> </w:t>
      </w:r>
    </w:p>
    <w:p w14:paraId="1F5F5E24" w14:textId="77777777" w:rsidR="00867045" w:rsidRPr="00FD7E86" w:rsidRDefault="00867045" w:rsidP="00867045">
      <w:r w:rsidRPr="00FD7E86">
        <w:t xml:space="preserve">The holder of a telecommunications carrier licence in force under the </w:t>
      </w:r>
      <w:r w:rsidRPr="00FD7E86">
        <w:rPr>
          <w:i/>
          <w:iCs/>
        </w:rPr>
        <w:t>Telecommunications Act 1997</w:t>
      </w:r>
      <w:r w:rsidRPr="00FD7E86">
        <w:t>.</w:t>
      </w:r>
    </w:p>
    <w:p w14:paraId="28AB5C4D" w14:textId="77777777" w:rsidR="00867045" w:rsidRPr="00FD7E86" w:rsidRDefault="00867045" w:rsidP="00CE3B0C">
      <w:pPr>
        <w:spacing w:after="0"/>
        <w:rPr>
          <w:rFonts w:cs="Arial"/>
          <w:b/>
          <w:szCs w:val="20"/>
        </w:rPr>
      </w:pPr>
      <w:r w:rsidRPr="00FD7E86">
        <w:rPr>
          <w:rFonts w:cs="Arial"/>
          <w:b/>
          <w:szCs w:val="20"/>
        </w:rPr>
        <w:t>catch-up TV</w:t>
      </w:r>
    </w:p>
    <w:p w14:paraId="5100CBEA" w14:textId="77777777" w:rsidR="00867045" w:rsidRPr="00FD7E86" w:rsidRDefault="00867045" w:rsidP="00867045">
      <w:pPr>
        <w:rPr>
          <w:bCs/>
        </w:rPr>
      </w:pPr>
      <w:r w:rsidRPr="00FD7E86">
        <w:rPr>
          <w:bCs/>
        </w:rPr>
        <w:t xml:space="preserve">Internet service typically provided on free-to-air and subscription broadcasters’ websites enabling users to watch a recent episode of a television program over the internet for a limited period of time. </w:t>
      </w:r>
    </w:p>
    <w:p w14:paraId="269BB6F6" w14:textId="77777777" w:rsidR="00867045" w:rsidRPr="00FD7E86" w:rsidRDefault="00867045" w:rsidP="00CE3B0C">
      <w:pPr>
        <w:spacing w:after="0"/>
        <w:rPr>
          <w:rFonts w:cs="Arial"/>
          <w:b/>
          <w:szCs w:val="20"/>
        </w:rPr>
      </w:pPr>
      <w:r w:rsidRPr="00CE3B0C">
        <w:rPr>
          <w:rFonts w:cs="Arial"/>
          <w:b/>
        </w:rPr>
        <w:t>CEASA</w:t>
      </w:r>
      <w:r w:rsidRPr="00FD7E86">
        <w:rPr>
          <w:rFonts w:cs="Arial"/>
          <w:b/>
          <w:szCs w:val="20"/>
        </w:rPr>
        <w:t>—Commercial Economic Advisory Service of Australia</w:t>
      </w:r>
    </w:p>
    <w:p w14:paraId="3EC6C4DF" w14:textId="77777777" w:rsidR="00867045" w:rsidRPr="00FD7E86" w:rsidRDefault="00867045" w:rsidP="00867045">
      <w:r w:rsidRPr="00FD7E86">
        <w:t>An information research company specialising in media, economic, marketing and advertising research, surveys and publications.</w:t>
      </w:r>
    </w:p>
    <w:p w14:paraId="6A7B801E" w14:textId="77777777" w:rsidR="00867045" w:rsidRPr="00FD7E86" w:rsidRDefault="00867045" w:rsidP="00CE3B0C">
      <w:pPr>
        <w:spacing w:after="0"/>
        <w:rPr>
          <w:rFonts w:cs="Arial"/>
          <w:b/>
          <w:szCs w:val="20"/>
        </w:rPr>
      </w:pPr>
      <w:r w:rsidRPr="00CE3B0C">
        <w:rPr>
          <w:rFonts w:cs="Arial"/>
          <w:b/>
        </w:rPr>
        <w:t>cloud</w:t>
      </w:r>
      <w:r w:rsidRPr="00FD7E86">
        <w:rPr>
          <w:rFonts w:cs="Arial"/>
          <w:b/>
          <w:szCs w:val="20"/>
        </w:rPr>
        <w:t xml:space="preserve"> computing</w:t>
      </w:r>
    </w:p>
    <w:p w14:paraId="1EEEE853" w14:textId="77777777" w:rsidR="00867045" w:rsidRPr="00FD7E86" w:rsidRDefault="00867045" w:rsidP="00867045">
      <w:r w:rsidRPr="00FD7E86">
        <w:t>Internet-based computing where data and applications are hosted online, stored on remote servers and available to clients on demand through broadband internet-enabled devices.</w:t>
      </w:r>
    </w:p>
    <w:p w14:paraId="4E53816F" w14:textId="77777777" w:rsidR="00867045" w:rsidRPr="00FD7E86" w:rsidRDefault="00867045" w:rsidP="00CE3B0C">
      <w:pPr>
        <w:spacing w:after="0"/>
        <w:rPr>
          <w:rFonts w:cs="Arial"/>
          <w:b/>
          <w:szCs w:val="20"/>
        </w:rPr>
      </w:pPr>
      <w:r w:rsidRPr="00CE3B0C">
        <w:rPr>
          <w:rFonts w:cs="Arial"/>
          <w:b/>
        </w:rPr>
        <w:t>Communications</w:t>
      </w:r>
      <w:r w:rsidRPr="00FD7E86">
        <w:rPr>
          <w:rFonts w:cs="Arial"/>
          <w:b/>
          <w:szCs w:val="20"/>
        </w:rPr>
        <w:t xml:space="preserve"> Alliance (CA)</w:t>
      </w:r>
    </w:p>
    <w:p w14:paraId="74994B86" w14:textId="77777777" w:rsidR="00867045" w:rsidRPr="00FD7E86" w:rsidRDefault="00867045" w:rsidP="00867045">
      <w:r w:rsidRPr="00FD7E86">
        <w:t>Telecommunications industry organisation formed on 1 September 2006 from the merger of the Australian Communications Industry Forum (ACIF) and the Service Providers Association Network (SPAN).</w:t>
      </w:r>
    </w:p>
    <w:p w14:paraId="37F34978" w14:textId="77777777" w:rsidR="00867045" w:rsidRPr="00FD7E86" w:rsidRDefault="00867045" w:rsidP="00CE3B0C">
      <w:pPr>
        <w:spacing w:after="0"/>
        <w:rPr>
          <w:rFonts w:cs="Arial"/>
          <w:b/>
          <w:szCs w:val="20"/>
        </w:rPr>
      </w:pPr>
      <w:r w:rsidRPr="00FD7E86">
        <w:rPr>
          <w:rFonts w:cs="Arial"/>
          <w:b/>
          <w:szCs w:val="20"/>
        </w:rPr>
        <w:t>CSG—</w:t>
      </w:r>
      <w:r w:rsidRPr="00CE3B0C">
        <w:rPr>
          <w:rFonts w:cs="Arial"/>
          <w:b/>
        </w:rPr>
        <w:t>Customer</w:t>
      </w:r>
      <w:r w:rsidRPr="00FD7E86">
        <w:rPr>
          <w:rFonts w:cs="Arial"/>
          <w:b/>
          <w:szCs w:val="20"/>
        </w:rPr>
        <w:t xml:space="preserve"> Service Guarantee</w:t>
      </w:r>
    </w:p>
    <w:p w14:paraId="0B5648C1" w14:textId="77777777" w:rsidR="00867045" w:rsidRDefault="00867045" w:rsidP="00867045">
      <w:r w:rsidRPr="00FD7E86">
        <w:t>Standard providing for financial compensation to customers where requirements set out in the CSG Standard are not met.</w:t>
      </w:r>
    </w:p>
    <w:p w14:paraId="0831C485" w14:textId="77777777" w:rsidR="007C006B" w:rsidRDefault="007C006B" w:rsidP="00CE3B0C">
      <w:pPr>
        <w:spacing w:after="0"/>
        <w:rPr>
          <w:rFonts w:cs="Arial"/>
          <w:b/>
          <w:szCs w:val="20"/>
        </w:rPr>
      </w:pPr>
      <w:r w:rsidRPr="00FD7E86">
        <w:rPr>
          <w:rFonts w:cs="Arial"/>
          <w:b/>
          <w:szCs w:val="20"/>
        </w:rPr>
        <w:t>CSG</w:t>
      </w:r>
      <w:r>
        <w:rPr>
          <w:rFonts w:cs="Arial"/>
          <w:b/>
          <w:szCs w:val="20"/>
        </w:rPr>
        <w:t xml:space="preserve"> </w:t>
      </w:r>
      <w:r w:rsidRPr="00CE3B0C">
        <w:rPr>
          <w:rFonts w:cs="Arial"/>
          <w:b/>
        </w:rPr>
        <w:t>Standard</w:t>
      </w:r>
      <w:r w:rsidRPr="00FD7E86">
        <w:rPr>
          <w:rFonts w:cs="Arial"/>
          <w:b/>
          <w:szCs w:val="20"/>
        </w:rPr>
        <w:t>—Customer Service Guarantee</w:t>
      </w:r>
      <w:r>
        <w:rPr>
          <w:rFonts w:cs="Arial"/>
          <w:b/>
          <w:szCs w:val="20"/>
        </w:rPr>
        <w:t xml:space="preserve"> Standard</w:t>
      </w:r>
    </w:p>
    <w:p w14:paraId="784CE2D4" w14:textId="77777777" w:rsidR="007C006B" w:rsidRPr="00FD7E86" w:rsidRDefault="007C006B" w:rsidP="00604073">
      <w:pPr>
        <w:rPr>
          <w:rFonts w:cs="Arial"/>
          <w:b/>
        </w:rPr>
      </w:pPr>
      <w:r>
        <w:rPr>
          <w:lang w:val="en"/>
        </w:rPr>
        <w:t>The CSG Standard establishes performance standards that telephone service providers must meet or exceed for appointments and the connection and repair of standard telephone services (and certain enhanced call-handling features).</w:t>
      </w:r>
    </w:p>
    <w:p w14:paraId="38A6C7EA" w14:textId="77777777" w:rsidR="00867045" w:rsidRPr="00FD7E86" w:rsidRDefault="00867045" w:rsidP="00CE3B0C">
      <w:pPr>
        <w:spacing w:after="0"/>
        <w:rPr>
          <w:rFonts w:cs="Arial"/>
          <w:b/>
          <w:szCs w:val="20"/>
        </w:rPr>
      </w:pPr>
      <w:r w:rsidRPr="00FD7E86">
        <w:rPr>
          <w:rFonts w:cs="Arial"/>
          <w:b/>
          <w:szCs w:val="20"/>
        </w:rPr>
        <w:t>CSP—</w:t>
      </w:r>
      <w:r w:rsidRPr="00CE3B0C">
        <w:rPr>
          <w:rFonts w:cs="Arial"/>
          <w:b/>
        </w:rPr>
        <w:t>carriage</w:t>
      </w:r>
      <w:r w:rsidRPr="00FD7E86">
        <w:rPr>
          <w:rFonts w:cs="Arial"/>
          <w:b/>
          <w:szCs w:val="20"/>
        </w:rPr>
        <w:t xml:space="preserve"> service provider</w:t>
      </w:r>
    </w:p>
    <w:p w14:paraId="7150413C" w14:textId="77777777" w:rsidR="00867045" w:rsidRPr="00FD7E86" w:rsidRDefault="00867045" w:rsidP="00841849">
      <w:pPr>
        <w:keepLines/>
      </w:pPr>
      <w:r w:rsidRPr="00FD7E86">
        <w:t xml:space="preserve">Person supplying or proposing to supply certain carriage services to a customer, including a commercial entity acquiring telecommunications capacity or services from a carrier for resale to a third party. Under the </w:t>
      </w:r>
      <w:r w:rsidRPr="00FD7E86">
        <w:rPr>
          <w:i/>
          <w:iCs/>
        </w:rPr>
        <w:t xml:space="preserve">Telecommunications Act 1997, </w:t>
      </w:r>
      <w:r w:rsidRPr="00FD7E86">
        <w:t>internet and subscription TV service providers fall within the definition of carriage service providers.</w:t>
      </w:r>
    </w:p>
    <w:p w14:paraId="2EE383D9" w14:textId="77777777" w:rsidR="00867045" w:rsidRPr="00FD7E86" w:rsidRDefault="00867045" w:rsidP="009A2DA4">
      <w:pPr>
        <w:keepNext/>
        <w:spacing w:after="0"/>
        <w:rPr>
          <w:rFonts w:cs="Arial"/>
          <w:b/>
          <w:szCs w:val="20"/>
        </w:rPr>
      </w:pPr>
      <w:r w:rsidRPr="00FD7E86">
        <w:rPr>
          <w:rFonts w:cs="Arial"/>
          <w:b/>
          <w:szCs w:val="20"/>
        </w:rPr>
        <w:lastRenderedPageBreak/>
        <w:t>CTS—</w:t>
      </w:r>
      <w:r w:rsidRPr="00CE3B0C">
        <w:rPr>
          <w:rFonts w:cs="Arial"/>
          <w:b/>
        </w:rPr>
        <w:t>Children’s</w:t>
      </w:r>
      <w:r w:rsidRPr="00FD7E86">
        <w:rPr>
          <w:rFonts w:cs="Arial"/>
          <w:b/>
          <w:szCs w:val="20"/>
        </w:rPr>
        <w:t xml:space="preserve"> Television Standard</w:t>
      </w:r>
    </w:p>
    <w:p w14:paraId="6945E8C8" w14:textId="77777777" w:rsidR="00867045" w:rsidRPr="00FD7E86" w:rsidRDefault="00867045" w:rsidP="00867045">
      <w:r w:rsidRPr="00FD7E86">
        <w:t>A standard designed to provide access for children (aged under 14 years) to quality television programs made specifically for them. The standard regulates timing and scheduling of children’s programs and content of adjacent programming.</w:t>
      </w:r>
    </w:p>
    <w:p w14:paraId="3A002F67" w14:textId="77777777" w:rsidR="00867045" w:rsidRPr="00FD7E86" w:rsidRDefault="00867045" w:rsidP="00CE3B0C">
      <w:pPr>
        <w:spacing w:after="0"/>
        <w:rPr>
          <w:rFonts w:cs="Arial"/>
          <w:b/>
          <w:szCs w:val="20"/>
        </w:rPr>
      </w:pPr>
      <w:r w:rsidRPr="00FD7E86">
        <w:rPr>
          <w:rFonts w:cs="Arial"/>
          <w:b/>
          <w:szCs w:val="20"/>
        </w:rPr>
        <w:t>DAB—</w:t>
      </w:r>
      <w:r w:rsidRPr="00CE3B0C">
        <w:rPr>
          <w:rFonts w:cs="Arial"/>
          <w:b/>
        </w:rPr>
        <w:t>Digital</w:t>
      </w:r>
      <w:r w:rsidRPr="00FD7E86">
        <w:rPr>
          <w:rFonts w:cs="Arial"/>
          <w:b/>
          <w:szCs w:val="20"/>
        </w:rPr>
        <w:t xml:space="preserve"> Audio Broadcasting</w:t>
      </w:r>
    </w:p>
    <w:p w14:paraId="342747BA" w14:textId="77777777" w:rsidR="00867045" w:rsidRPr="00FD7E86" w:rsidRDefault="00867045" w:rsidP="00867045">
      <w:r w:rsidRPr="00FD7E86">
        <w:t xml:space="preserve">A digital radio broadcasting standard. </w:t>
      </w:r>
      <w:r w:rsidRPr="00FD7E86">
        <w:rPr>
          <w:lang w:val="en"/>
        </w:rPr>
        <w:t xml:space="preserve">Australia is using an upgraded version of this standard called DAB+ to broadcast digital radio in Adelaide, Brisbane, Melbourne, Perth and Sydney. DAB+ uses the same spectrum currently used to deliver both analog and digital television services. </w:t>
      </w:r>
    </w:p>
    <w:p w14:paraId="61F78515" w14:textId="77777777" w:rsidR="00867045" w:rsidRPr="00FD7E86" w:rsidRDefault="00867045" w:rsidP="00CE3B0C">
      <w:pPr>
        <w:spacing w:after="0"/>
        <w:rPr>
          <w:rFonts w:cs="Arial"/>
          <w:b/>
          <w:szCs w:val="20"/>
        </w:rPr>
      </w:pPr>
      <w:r w:rsidRPr="00FD7E86">
        <w:rPr>
          <w:rFonts w:cs="Arial"/>
          <w:b/>
          <w:szCs w:val="20"/>
        </w:rPr>
        <w:t xml:space="preserve">data </w:t>
      </w:r>
      <w:r w:rsidRPr="00CE3B0C">
        <w:rPr>
          <w:rFonts w:cs="Arial"/>
          <w:b/>
        </w:rPr>
        <w:t>traffic</w:t>
      </w:r>
      <w:r w:rsidRPr="00FD7E86">
        <w:rPr>
          <w:rFonts w:cs="Arial"/>
          <w:b/>
          <w:szCs w:val="20"/>
        </w:rPr>
        <w:t xml:space="preserve"> </w:t>
      </w:r>
    </w:p>
    <w:p w14:paraId="6FB960A6" w14:textId="77777777" w:rsidR="00867045" w:rsidRPr="00FD7E86" w:rsidRDefault="00867045" w:rsidP="00867045">
      <w:r w:rsidRPr="00FD7E86">
        <w:t>Volume of data transferred in both directions between a customer and their ISP. Data traffic is measured in bytes.</w:t>
      </w:r>
    </w:p>
    <w:p w14:paraId="35BDC155" w14:textId="77777777" w:rsidR="00876781" w:rsidRPr="00FD7E86" w:rsidRDefault="00876781" w:rsidP="00CE3B0C">
      <w:pPr>
        <w:spacing w:after="0"/>
        <w:rPr>
          <w:rFonts w:cs="Arial"/>
          <w:b/>
          <w:szCs w:val="20"/>
        </w:rPr>
      </w:pPr>
      <w:r w:rsidRPr="00FD7E86">
        <w:rPr>
          <w:rFonts w:cs="Arial"/>
          <w:b/>
          <w:szCs w:val="20"/>
        </w:rPr>
        <w:t xml:space="preserve">dial-up </w:t>
      </w:r>
      <w:r w:rsidRPr="00CE3B0C">
        <w:rPr>
          <w:rFonts w:cs="Arial"/>
          <w:b/>
        </w:rPr>
        <w:t>internet</w:t>
      </w:r>
      <w:r w:rsidRPr="00FD7E86">
        <w:rPr>
          <w:rFonts w:cs="Arial"/>
          <w:b/>
          <w:szCs w:val="20"/>
        </w:rPr>
        <w:t xml:space="preserve"> service</w:t>
      </w:r>
    </w:p>
    <w:p w14:paraId="4BAEABA0" w14:textId="77777777" w:rsidR="00876781" w:rsidRPr="00FD7E86" w:rsidRDefault="00876781" w:rsidP="00876781">
      <w:r w:rsidRPr="00FD7E86">
        <w:t>Service in which subscribers connect to the internet via a modem and dial-up software utilising the PSTN or an ISDN connection.</w:t>
      </w:r>
    </w:p>
    <w:p w14:paraId="06FAF97D" w14:textId="77777777" w:rsidR="00876781" w:rsidRPr="00FD7E86" w:rsidRDefault="00876781" w:rsidP="00CE3B0C">
      <w:pPr>
        <w:spacing w:after="0"/>
        <w:rPr>
          <w:rFonts w:cs="Arial"/>
          <w:b/>
          <w:szCs w:val="20"/>
        </w:rPr>
      </w:pPr>
      <w:r w:rsidRPr="00FD7E86">
        <w:rPr>
          <w:rFonts w:cs="Arial"/>
          <w:b/>
          <w:szCs w:val="20"/>
        </w:rPr>
        <w:t xml:space="preserve">digital </w:t>
      </w:r>
      <w:r w:rsidRPr="00CE3B0C">
        <w:rPr>
          <w:rFonts w:cs="Arial"/>
          <w:b/>
        </w:rPr>
        <w:t>radio</w:t>
      </w:r>
    </w:p>
    <w:p w14:paraId="6541D426" w14:textId="77777777" w:rsidR="00876781" w:rsidRDefault="00876781" w:rsidP="009C1BE9">
      <w:pPr>
        <w:rPr>
          <w:bCs/>
          <w:lang w:val="en"/>
        </w:rPr>
      </w:pPr>
      <w:r w:rsidRPr="00FD7E86">
        <w:rPr>
          <w:bCs/>
        </w:rPr>
        <w:t xml:space="preserve">Method for the digital transmission of radio signals for digital radio reception. </w:t>
      </w:r>
      <w:r w:rsidRPr="00FD7E86">
        <w:rPr>
          <w:bCs/>
          <w:lang w:val="en"/>
        </w:rPr>
        <w:t>Digital radio services have been operating in Sydney, Melbourne, Brisbane, Adelaide and Perth since July 2009.</w:t>
      </w:r>
    </w:p>
    <w:p w14:paraId="2974A84C" w14:textId="77777777" w:rsidR="00876781" w:rsidRPr="00FD7E86" w:rsidRDefault="00876781" w:rsidP="00CE3B0C">
      <w:pPr>
        <w:spacing w:after="0"/>
        <w:rPr>
          <w:rFonts w:cs="Arial"/>
          <w:b/>
          <w:szCs w:val="20"/>
        </w:rPr>
      </w:pPr>
      <w:r w:rsidRPr="00FD7E86">
        <w:rPr>
          <w:rFonts w:cs="Arial"/>
          <w:b/>
          <w:szCs w:val="20"/>
        </w:rPr>
        <w:t xml:space="preserve">digital </w:t>
      </w:r>
      <w:r w:rsidRPr="00CE3B0C">
        <w:rPr>
          <w:rFonts w:cs="Arial"/>
          <w:b/>
        </w:rPr>
        <w:t>television</w:t>
      </w:r>
    </w:p>
    <w:p w14:paraId="7B693410" w14:textId="77777777" w:rsidR="00876781" w:rsidRPr="00FD7E86" w:rsidRDefault="00876781" w:rsidP="00876781">
      <w:pPr>
        <w:rPr>
          <w:bCs/>
        </w:rPr>
      </w:pPr>
      <w:r w:rsidRPr="00FD7E86">
        <w:rPr>
          <w:bCs/>
        </w:rPr>
        <w:t>The transmission of television (audio and video) via digital signals, serving as a replacement technology for analog services.</w:t>
      </w:r>
    </w:p>
    <w:p w14:paraId="0DFF3C75" w14:textId="77777777" w:rsidR="00876781" w:rsidRPr="00FD7E86" w:rsidRDefault="00876781" w:rsidP="00CE3B0C">
      <w:pPr>
        <w:spacing w:after="0"/>
        <w:rPr>
          <w:rFonts w:cs="Arial"/>
          <w:b/>
          <w:szCs w:val="20"/>
        </w:rPr>
      </w:pPr>
      <w:r w:rsidRPr="00FD7E86">
        <w:rPr>
          <w:rFonts w:cs="Arial"/>
          <w:b/>
          <w:szCs w:val="20"/>
        </w:rPr>
        <w:t>DNCR—</w:t>
      </w:r>
      <w:r w:rsidRPr="00CE3B0C">
        <w:rPr>
          <w:rFonts w:cs="Arial"/>
          <w:b/>
        </w:rPr>
        <w:t>Do</w:t>
      </w:r>
      <w:r w:rsidRPr="00FD7E86">
        <w:rPr>
          <w:rFonts w:cs="Arial"/>
          <w:b/>
          <w:szCs w:val="20"/>
        </w:rPr>
        <w:t xml:space="preserve"> Not Call Register</w:t>
      </w:r>
    </w:p>
    <w:p w14:paraId="13BF04B0" w14:textId="77777777" w:rsidR="00876781" w:rsidRPr="00FD7E86" w:rsidRDefault="00876781" w:rsidP="00876781">
      <w:r w:rsidRPr="00FD7E86">
        <w:t>Register established by the ACMA that allows individuals to register their home and mobile numbers to opt out of receiving most unsolicited telemarketing calls and faxes, with limited exemptions for public</w:t>
      </w:r>
      <w:r>
        <w:t>-</w:t>
      </w:r>
      <w:r w:rsidRPr="00FD7E86">
        <w:t>interest organisations.</w:t>
      </w:r>
    </w:p>
    <w:p w14:paraId="22237F8C" w14:textId="77777777" w:rsidR="00867045" w:rsidRPr="00FD7E86" w:rsidRDefault="00867045" w:rsidP="00CE3B0C">
      <w:pPr>
        <w:spacing w:after="0"/>
        <w:rPr>
          <w:rFonts w:cs="Arial"/>
          <w:b/>
          <w:szCs w:val="20"/>
        </w:rPr>
      </w:pPr>
      <w:r w:rsidRPr="00FD7E86">
        <w:rPr>
          <w:rFonts w:cs="Arial"/>
          <w:b/>
          <w:szCs w:val="20"/>
        </w:rPr>
        <w:t>DoC—</w:t>
      </w:r>
      <w:r w:rsidRPr="00CE3B0C">
        <w:rPr>
          <w:rFonts w:cs="Arial"/>
          <w:b/>
        </w:rPr>
        <w:t>Department</w:t>
      </w:r>
      <w:r w:rsidRPr="00FD7E86">
        <w:rPr>
          <w:rFonts w:cs="Arial"/>
          <w:b/>
          <w:szCs w:val="20"/>
        </w:rPr>
        <w:t xml:space="preserve"> of Communications</w:t>
      </w:r>
    </w:p>
    <w:p w14:paraId="46E0ECC2" w14:textId="77777777" w:rsidR="00867045" w:rsidRPr="00FD7E86" w:rsidRDefault="00867045" w:rsidP="00531CD0">
      <w:pPr>
        <w:rPr>
          <w:rFonts w:cs="Arial"/>
          <w:b/>
          <w:szCs w:val="20"/>
        </w:rPr>
      </w:pPr>
      <w:r w:rsidRPr="00FD7E86">
        <w:rPr>
          <w:rFonts w:cs="Arial"/>
          <w:szCs w:val="20"/>
        </w:rPr>
        <w:t xml:space="preserve">Former name of </w:t>
      </w:r>
      <w:r w:rsidRPr="00FD7E86">
        <w:t>Commonwealth department responsible for, among other things, communications policy and programs</w:t>
      </w:r>
      <w:r>
        <w:t>.</w:t>
      </w:r>
      <w:r w:rsidRPr="00FD7E86">
        <w:t xml:space="preserve"> </w:t>
      </w:r>
      <w:r>
        <w:t>S</w:t>
      </w:r>
      <w:r w:rsidRPr="00FD7E86">
        <w:t xml:space="preserve">ee </w:t>
      </w:r>
      <w:r w:rsidRPr="00C05F4C">
        <w:rPr>
          <w:b/>
        </w:rPr>
        <w:t>DoCA</w:t>
      </w:r>
      <w:r w:rsidRPr="00FD7E86">
        <w:t>.</w:t>
      </w:r>
      <w:r w:rsidRPr="00FD7E86">
        <w:rPr>
          <w:rFonts w:cs="Arial"/>
          <w:b/>
          <w:szCs w:val="20"/>
        </w:rPr>
        <w:t xml:space="preserve"> </w:t>
      </w:r>
    </w:p>
    <w:p w14:paraId="3DE7B295" w14:textId="77777777" w:rsidR="00867045" w:rsidRPr="00FD7E86" w:rsidRDefault="00867045" w:rsidP="00CE3B0C">
      <w:pPr>
        <w:spacing w:after="0"/>
        <w:rPr>
          <w:rFonts w:cs="Arial"/>
          <w:b/>
          <w:szCs w:val="20"/>
        </w:rPr>
      </w:pPr>
      <w:r w:rsidRPr="00FD7E86">
        <w:rPr>
          <w:rFonts w:cs="Arial"/>
          <w:b/>
          <w:szCs w:val="20"/>
        </w:rPr>
        <w:t>DoCA—Department of Communications and the Arts</w:t>
      </w:r>
    </w:p>
    <w:p w14:paraId="7CBACB60" w14:textId="77777777" w:rsidR="00867045" w:rsidRPr="00FD7E86" w:rsidRDefault="00867045" w:rsidP="00867045">
      <w:r w:rsidRPr="00FD7E86">
        <w:t>Since September 2015, Commonwealth department responsible for, among other things, communications policy and programs</w:t>
      </w:r>
      <w:r w:rsidR="009F2046">
        <w:t>;</w:t>
      </w:r>
      <w:r w:rsidRPr="00FD7E86">
        <w:t xml:space="preserve"> formerly known as Department of Communications (DoC).</w:t>
      </w:r>
    </w:p>
    <w:p w14:paraId="25192C7F" w14:textId="77777777" w:rsidR="00867045" w:rsidRPr="00FD7E86" w:rsidRDefault="00867045" w:rsidP="00CE3B0C">
      <w:pPr>
        <w:spacing w:after="0"/>
        <w:rPr>
          <w:rFonts w:cs="Arial"/>
          <w:b/>
          <w:szCs w:val="20"/>
        </w:rPr>
      </w:pPr>
      <w:r w:rsidRPr="00FD7E86">
        <w:rPr>
          <w:rFonts w:cs="Arial"/>
          <w:b/>
          <w:szCs w:val="20"/>
        </w:rPr>
        <w:t>DSI—</w:t>
      </w:r>
      <w:r w:rsidRPr="00CE3B0C">
        <w:rPr>
          <w:rFonts w:cs="Arial"/>
          <w:b/>
        </w:rPr>
        <w:t>domestic</w:t>
      </w:r>
      <w:r w:rsidRPr="00FD7E86">
        <w:rPr>
          <w:rFonts w:cs="Arial"/>
          <w:b/>
          <w:szCs w:val="20"/>
        </w:rPr>
        <w:t xml:space="preserve"> systems interference</w:t>
      </w:r>
    </w:p>
    <w:p w14:paraId="51CCB91C" w14:textId="77777777" w:rsidR="00867045" w:rsidRPr="00FD7E86" w:rsidRDefault="00867045" w:rsidP="00867045">
      <w:pPr>
        <w:rPr>
          <w:bCs/>
        </w:rPr>
      </w:pPr>
      <w:r w:rsidRPr="00FD7E86">
        <w:rPr>
          <w:bCs/>
        </w:rPr>
        <w:t>Interference to the reception of radio or television broadcasting, usually in domestic premises.</w:t>
      </w:r>
    </w:p>
    <w:p w14:paraId="35E6511F" w14:textId="77777777" w:rsidR="00867045" w:rsidRPr="00FD7E86" w:rsidRDefault="00867045" w:rsidP="00CE3B0C">
      <w:pPr>
        <w:spacing w:after="0"/>
        <w:rPr>
          <w:rFonts w:cs="Arial"/>
          <w:b/>
          <w:szCs w:val="20"/>
        </w:rPr>
      </w:pPr>
      <w:r w:rsidRPr="00FD7E86">
        <w:rPr>
          <w:rFonts w:cs="Arial"/>
          <w:b/>
          <w:szCs w:val="20"/>
        </w:rPr>
        <w:t>ECP—</w:t>
      </w:r>
      <w:r w:rsidRPr="00CE3B0C">
        <w:rPr>
          <w:rFonts w:cs="Arial"/>
          <w:b/>
        </w:rPr>
        <w:t>emergency</w:t>
      </w:r>
      <w:r w:rsidRPr="00FD7E86">
        <w:rPr>
          <w:rFonts w:cs="Arial"/>
          <w:b/>
          <w:szCs w:val="20"/>
        </w:rPr>
        <w:t xml:space="preserve"> call person</w:t>
      </w:r>
    </w:p>
    <w:p w14:paraId="5FC2E5F4" w14:textId="77777777" w:rsidR="00867045" w:rsidRPr="00FD7E86" w:rsidRDefault="00867045" w:rsidP="00867045">
      <w:r w:rsidRPr="00FD7E86">
        <w:t xml:space="preserve">Nominated organisation responsible for handling emergency calls. For calls made to Triple Zero (the primary emergency call number) and 112 (the international emergency number for GSM and WCDMA mobile phones), the ECP is Telstra. For calls made to the 106 text service (for people who are </w:t>
      </w:r>
      <w:r w:rsidR="00774793">
        <w:t>d</w:t>
      </w:r>
      <w:r w:rsidRPr="00FD7E86">
        <w:t>eaf or have a hearing or speech impairment), the ECP is Australian Communication Exchange (ACE).</w:t>
      </w:r>
    </w:p>
    <w:p w14:paraId="52FCBDB9" w14:textId="77777777" w:rsidR="00867045" w:rsidRPr="00FD7E86" w:rsidRDefault="00867045" w:rsidP="00CE3B0C">
      <w:pPr>
        <w:spacing w:after="0"/>
        <w:rPr>
          <w:rFonts w:cs="Arial"/>
          <w:b/>
          <w:szCs w:val="20"/>
        </w:rPr>
      </w:pPr>
      <w:r w:rsidRPr="00FD7E86">
        <w:rPr>
          <w:rFonts w:cs="Arial"/>
          <w:b/>
          <w:szCs w:val="20"/>
        </w:rPr>
        <w:t>ESO—</w:t>
      </w:r>
      <w:r w:rsidRPr="00CE3B0C">
        <w:rPr>
          <w:rFonts w:cs="Arial"/>
          <w:b/>
        </w:rPr>
        <w:t>emergency</w:t>
      </w:r>
      <w:r w:rsidRPr="00FD7E86">
        <w:rPr>
          <w:rFonts w:cs="Arial"/>
          <w:b/>
          <w:szCs w:val="20"/>
        </w:rPr>
        <w:t xml:space="preserve"> service organisation</w:t>
      </w:r>
    </w:p>
    <w:p w14:paraId="45073441" w14:textId="77777777" w:rsidR="00867045" w:rsidRPr="00FD7E86" w:rsidRDefault="00867045" w:rsidP="00867045">
      <w:r w:rsidRPr="00FD7E86">
        <w:t>Organisation providing an emergency service—police, ambulance or fire service.</w:t>
      </w:r>
    </w:p>
    <w:p w14:paraId="406C777B" w14:textId="77777777" w:rsidR="00867045" w:rsidRPr="00FD7E86" w:rsidRDefault="00867045" w:rsidP="00CE3B0C">
      <w:pPr>
        <w:spacing w:after="0"/>
        <w:rPr>
          <w:rFonts w:cs="Arial"/>
          <w:b/>
          <w:szCs w:val="20"/>
        </w:rPr>
      </w:pPr>
      <w:r w:rsidRPr="00FD7E86">
        <w:rPr>
          <w:rFonts w:cs="Arial"/>
          <w:b/>
          <w:szCs w:val="20"/>
        </w:rPr>
        <w:t xml:space="preserve">fixed-line </w:t>
      </w:r>
      <w:r w:rsidRPr="00CE3B0C">
        <w:rPr>
          <w:rFonts w:cs="Arial"/>
          <w:b/>
        </w:rPr>
        <w:t>telephone</w:t>
      </w:r>
      <w:r w:rsidRPr="00FD7E86">
        <w:rPr>
          <w:rFonts w:cs="Arial"/>
          <w:b/>
          <w:szCs w:val="20"/>
        </w:rPr>
        <w:t xml:space="preserve"> service</w:t>
      </w:r>
    </w:p>
    <w:p w14:paraId="1C3089AB" w14:textId="77777777" w:rsidR="00867045" w:rsidRPr="00FD7E86" w:rsidRDefault="00867045" w:rsidP="00867045">
      <w:r w:rsidRPr="00FD7E86">
        <w:t>Covers the delivery of voice services over a copper pair-based PSTN access network or fixed-line broadband networks.</w:t>
      </w:r>
    </w:p>
    <w:p w14:paraId="0D1E32C0" w14:textId="77777777" w:rsidR="00867045" w:rsidRPr="00FD7E86" w:rsidRDefault="00867045" w:rsidP="00CE3B0C">
      <w:pPr>
        <w:spacing w:after="0"/>
        <w:rPr>
          <w:rFonts w:cs="Arial"/>
          <w:b/>
          <w:szCs w:val="20"/>
        </w:rPr>
      </w:pPr>
      <w:r w:rsidRPr="00FD7E86">
        <w:rPr>
          <w:rFonts w:cs="Arial"/>
          <w:b/>
          <w:szCs w:val="20"/>
        </w:rPr>
        <w:t>FLRN—</w:t>
      </w:r>
      <w:r w:rsidRPr="00CE3B0C">
        <w:rPr>
          <w:rFonts w:cs="Arial"/>
          <w:b/>
        </w:rPr>
        <w:t>freephone</w:t>
      </w:r>
      <w:r w:rsidRPr="00FD7E86">
        <w:rPr>
          <w:rFonts w:cs="Arial"/>
          <w:b/>
          <w:szCs w:val="20"/>
        </w:rPr>
        <w:t xml:space="preserve"> and local rate number</w:t>
      </w:r>
    </w:p>
    <w:p w14:paraId="5A8DAA1E" w14:textId="77777777" w:rsidR="00867045" w:rsidRPr="00FD7E86" w:rsidRDefault="00867045" w:rsidP="00867045">
      <w:r w:rsidRPr="00FD7E86">
        <w:t>Telephone numbers commencing with the digits 1800 (freephone) or 13 (local rate).</w:t>
      </w:r>
    </w:p>
    <w:p w14:paraId="07C42DD9" w14:textId="77777777" w:rsidR="00867045" w:rsidRPr="00FD7E86" w:rsidRDefault="00867045" w:rsidP="00CE3B0C">
      <w:pPr>
        <w:spacing w:after="0"/>
        <w:rPr>
          <w:rFonts w:cs="Arial"/>
          <w:b/>
          <w:szCs w:val="20"/>
        </w:rPr>
      </w:pPr>
      <w:r w:rsidRPr="00FD7E86">
        <w:rPr>
          <w:rFonts w:cs="Arial"/>
          <w:b/>
          <w:szCs w:val="20"/>
        </w:rPr>
        <w:lastRenderedPageBreak/>
        <w:t xml:space="preserve">Free TV Australia </w:t>
      </w:r>
    </w:p>
    <w:p w14:paraId="0C1F955B" w14:textId="77777777" w:rsidR="00867045" w:rsidRPr="00FD7E86" w:rsidRDefault="00867045" w:rsidP="00867045">
      <w:r w:rsidRPr="00FD7E86">
        <w:t>Industry body that represents Australia’s commercial free-to-air television licensees, and is responsible for developing and reviewing the Commercial Television Industry Code of Practice.</w:t>
      </w:r>
    </w:p>
    <w:p w14:paraId="32B18E63" w14:textId="77777777" w:rsidR="00867045" w:rsidRPr="00FD7E86" w:rsidRDefault="00867045" w:rsidP="00CE3B0C">
      <w:pPr>
        <w:spacing w:after="0"/>
        <w:rPr>
          <w:rFonts w:cs="Arial"/>
          <w:b/>
          <w:szCs w:val="20"/>
        </w:rPr>
      </w:pPr>
      <w:r w:rsidRPr="00FD7E86">
        <w:rPr>
          <w:rFonts w:cs="Arial"/>
          <w:b/>
          <w:szCs w:val="20"/>
        </w:rPr>
        <w:t>FSA—</w:t>
      </w:r>
      <w:r w:rsidRPr="00CE3B0C">
        <w:rPr>
          <w:rFonts w:cs="Arial"/>
          <w:b/>
        </w:rPr>
        <w:t>field</w:t>
      </w:r>
      <w:r w:rsidRPr="00FD7E86">
        <w:rPr>
          <w:rFonts w:cs="Arial"/>
          <w:b/>
          <w:szCs w:val="20"/>
        </w:rPr>
        <w:t xml:space="preserve"> service area</w:t>
      </w:r>
    </w:p>
    <w:p w14:paraId="60B04CFF" w14:textId="77777777" w:rsidR="00867045" w:rsidRPr="00FD7E86" w:rsidRDefault="00867045" w:rsidP="00867045">
      <w:r w:rsidRPr="00FD7E86">
        <w:t>One of 44 broad geographic regions in Telstra’s fixed telephone network.</w:t>
      </w:r>
    </w:p>
    <w:p w14:paraId="6686B517" w14:textId="77777777" w:rsidR="00867045" w:rsidRPr="00FD7E86" w:rsidRDefault="00867045" w:rsidP="00CE3B0C">
      <w:pPr>
        <w:spacing w:after="0"/>
        <w:rPr>
          <w:rFonts w:cs="Arial"/>
          <w:b/>
          <w:szCs w:val="20"/>
        </w:rPr>
      </w:pPr>
      <w:r w:rsidRPr="00FD7E86">
        <w:rPr>
          <w:rFonts w:cs="Arial"/>
          <w:b/>
          <w:szCs w:val="20"/>
        </w:rPr>
        <w:t>FSAM—</w:t>
      </w:r>
      <w:r w:rsidRPr="00CE3B0C">
        <w:rPr>
          <w:rFonts w:cs="Arial"/>
          <w:b/>
        </w:rPr>
        <w:t>Fibre</w:t>
      </w:r>
      <w:r w:rsidRPr="00FD7E86">
        <w:rPr>
          <w:rFonts w:cs="Arial"/>
          <w:b/>
          <w:szCs w:val="20"/>
        </w:rPr>
        <w:t xml:space="preserve"> Serving Area Module</w:t>
      </w:r>
    </w:p>
    <w:p w14:paraId="58DE271E" w14:textId="77777777" w:rsidR="00867045" w:rsidRPr="00FD7E86" w:rsidRDefault="00867045" w:rsidP="00867045">
      <w:pPr>
        <w:rPr>
          <w:bCs/>
          <w:szCs w:val="26"/>
        </w:rPr>
      </w:pPr>
      <w:r w:rsidRPr="00FD7E86">
        <w:rPr>
          <w:bCs/>
          <w:szCs w:val="26"/>
        </w:rPr>
        <w:t xml:space="preserve">An area that is passed or intended to be passed by </w:t>
      </w:r>
      <w:r w:rsidR="00774793">
        <w:rPr>
          <w:bCs/>
          <w:szCs w:val="26"/>
        </w:rPr>
        <w:t>NBN</w:t>
      </w:r>
      <w:r w:rsidR="00774793" w:rsidRPr="00FD7E86">
        <w:rPr>
          <w:bCs/>
          <w:szCs w:val="26"/>
        </w:rPr>
        <w:t xml:space="preserve"> </w:t>
      </w:r>
      <w:r w:rsidRPr="00FD7E86">
        <w:rPr>
          <w:bCs/>
          <w:szCs w:val="26"/>
        </w:rPr>
        <w:t>fibre.</w:t>
      </w:r>
      <w:r w:rsidRPr="00FD7E86">
        <w:t xml:space="preserve"> From 23 May 2014, the </w:t>
      </w:r>
      <w:r w:rsidR="00774793">
        <w:t>NBN</w:t>
      </w:r>
      <w:r w:rsidR="00774793" w:rsidRPr="00FD7E86">
        <w:t xml:space="preserve"> </w:t>
      </w:r>
      <w:r w:rsidR="009D54DB">
        <w:t xml:space="preserve">network </w:t>
      </w:r>
      <w:r w:rsidRPr="00FD7E86">
        <w:t xml:space="preserve">began replacing most existing fixed-line telephone links, ADSL internet and Telstra cable internet services (HFC) in the first 15 </w:t>
      </w:r>
      <w:r w:rsidR="00774793">
        <w:t>F</w:t>
      </w:r>
      <w:r w:rsidRPr="00FD7E86">
        <w:t>ibre Serving Area Modules (SAMs).</w:t>
      </w:r>
    </w:p>
    <w:p w14:paraId="5D8F9C16" w14:textId="77777777" w:rsidR="00867045" w:rsidRPr="00FD7E86" w:rsidRDefault="00867045" w:rsidP="00CE3B0C">
      <w:pPr>
        <w:spacing w:after="0"/>
        <w:rPr>
          <w:rFonts w:cs="Arial"/>
          <w:b/>
          <w:szCs w:val="20"/>
        </w:rPr>
      </w:pPr>
      <w:r w:rsidRPr="00FD7E86">
        <w:rPr>
          <w:rFonts w:cs="Arial"/>
          <w:b/>
          <w:szCs w:val="20"/>
        </w:rPr>
        <w:t>FTA TV—free-to-air television</w:t>
      </w:r>
    </w:p>
    <w:p w14:paraId="6963F14D" w14:textId="77777777" w:rsidR="00867045" w:rsidRDefault="00867045" w:rsidP="00867045">
      <w:r w:rsidRPr="00FD7E86">
        <w:rPr>
          <w:bCs/>
        </w:rPr>
        <w:t>Broadcast t</w:t>
      </w:r>
      <w:hyperlink r:id="rId134" w:tooltip="Television" w:history="1">
        <w:r w:rsidRPr="00FD7E86">
          <w:rPr>
            <w:bCs/>
          </w:rPr>
          <w:t>elevision</w:t>
        </w:r>
      </w:hyperlink>
      <w:r w:rsidRPr="00FD7E86">
        <w:rPr>
          <w:bCs/>
        </w:rPr>
        <w:t xml:space="preserve"> services where the signal is delivered without charge to the viewer.</w:t>
      </w:r>
      <w:r w:rsidRPr="00FD7E86">
        <w:t xml:space="preserve"> </w:t>
      </w:r>
    </w:p>
    <w:p w14:paraId="3A2CF3BC" w14:textId="77777777" w:rsidR="00867045" w:rsidRDefault="00867045" w:rsidP="00CE3B0C">
      <w:pPr>
        <w:spacing w:after="0"/>
        <w:rPr>
          <w:b/>
          <w:bCs/>
        </w:rPr>
      </w:pPr>
      <w:r w:rsidRPr="0054217A">
        <w:rPr>
          <w:b/>
          <w:bCs/>
        </w:rPr>
        <w:t>FTTB</w:t>
      </w:r>
      <w:r w:rsidRPr="0054217A">
        <w:rPr>
          <w:rFonts w:cs="Arial"/>
          <w:b/>
          <w:szCs w:val="20"/>
        </w:rPr>
        <w:t xml:space="preserve">—fibre to the </w:t>
      </w:r>
      <w:r w:rsidRPr="00CE3B0C">
        <w:rPr>
          <w:rFonts w:cs="Arial"/>
          <w:b/>
        </w:rPr>
        <w:t>building</w:t>
      </w:r>
    </w:p>
    <w:p w14:paraId="698F4830" w14:textId="77777777" w:rsidR="00867045" w:rsidRPr="0032755E" w:rsidRDefault="00867045" w:rsidP="00867045">
      <w:pPr>
        <w:rPr>
          <w:bCs/>
        </w:rPr>
      </w:pPr>
      <w:r>
        <w:rPr>
          <w:bCs/>
        </w:rPr>
        <w:t>A type of broadband access network deployment</w:t>
      </w:r>
      <w:r w:rsidRPr="0032755E">
        <w:rPr>
          <w:bCs/>
        </w:rPr>
        <w:t xml:space="preserve"> </w:t>
      </w:r>
      <w:r>
        <w:rPr>
          <w:bCs/>
        </w:rPr>
        <w:t>where</w:t>
      </w:r>
      <w:r w:rsidRPr="0032755E">
        <w:rPr>
          <w:bCs/>
        </w:rPr>
        <w:t xml:space="preserve"> optical fibre is deployed to </w:t>
      </w:r>
      <w:r>
        <w:rPr>
          <w:bCs/>
        </w:rPr>
        <w:t xml:space="preserve">a communications cabinet in the basement </w:t>
      </w:r>
      <w:r w:rsidRPr="0032755E">
        <w:rPr>
          <w:bCs/>
        </w:rPr>
        <w:t>of each building</w:t>
      </w:r>
      <w:r>
        <w:rPr>
          <w:bCs/>
        </w:rPr>
        <w:t>, which is typically a multi-dwelling unit. The final connection to each individual premises within the building is made by alternative technologies, typically using the building’s existing copper cabling.</w:t>
      </w:r>
    </w:p>
    <w:p w14:paraId="38D151EC" w14:textId="77777777" w:rsidR="00867045" w:rsidRDefault="00867045" w:rsidP="00CE3B0C">
      <w:pPr>
        <w:spacing w:after="0"/>
        <w:rPr>
          <w:b/>
          <w:bCs/>
        </w:rPr>
      </w:pPr>
      <w:r w:rsidRPr="0054217A">
        <w:rPr>
          <w:b/>
          <w:bCs/>
        </w:rPr>
        <w:t>FTTDp</w:t>
      </w:r>
      <w:r w:rsidRPr="0054217A">
        <w:rPr>
          <w:rFonts w:cs="Arial"/>
          <w:b/>
          <w:szCs w:val="20"/>
        </w:rPr>
        <w:t xml:space="preserve">—fibre to the </w:t>
      </w:r>
      <w:r w:rsidRPr="00CE3B0C">
        <w:rPr>
          <w:rFonts w:cs="Arial"/>
          <w:b/>
        </w:rPr>
        <w:t>distribution</w:t>
      </w:r>
      <w:r w:rsidRPr="0054217A">
        <w:rPr>
          <w:rFonts w:cs="Arial"/>
          <w:b/>
          <w:szCs w:val="20"/>
        </w:rPr>
        <w:t xml:space="preserve"> point</w:t>
      </w:r>
    </w:p>
    <w:p w14:paraId="5140A792" w14:textId="77777777" w:rsidR="00867045" w:rsidRPr="001741D6" w:rsidRDefault="00867045" w:rsidP="00867045">
      <w:pPr>
        <w:rPr>
          <w:bCs/>
        </w:rPr>
      </w:pPr>
      <w:r w:rsidRPr="001741D6">
        <w:rPr>
          <w:bCs/>
        </w:rPr>
        <w:t xml:space="preserve">A type of </w:t>
      </w:r>
      <w:r>
        <w:rPr>
          <w:bCs/>
        </w:rPr>
        <w:t>broadband access network deployment</w:t>
      </w:r>
      <w:r w:rsidRPr="001741D6">
        <w:rPr>
          <w:bCs/>
        </w:rPr>
        <w:t xml:space="preserve"> where the optic</w:t>
      </w:r>
      <w:r>
        <w:rPr>
          <w:bCs/>
        </w:rPr>
        <w:t>al</w:t>
      </w:r>
      <w:r w:rsidRPr="001741D6">
        <w:rPr>
          <w:bCs/>
        </w:rPr>
        <w:t xml:space="preserve"> fibre line typically runs to a distribution point </w:t>
      </w:r>
      <w:r>
        <w:rPr>
          <w:bCs/>
        </w:rPr>
        <w:t xml:space="preserve">located </w:t>
      </w:r>
      <w:r w:rsidRPr="001741D6">
        <w:rPr>
          <w:bCs/>
        </w:rPr>
        <w:t xml:space="preserve">at the </w:t>
      </w:r>
      <w:r>
        <w:rPr>
          <w:bCs/>
        </w:rPr>
        <w:t xml:space="preserve">street lead-in pit </w:t>
      </w:r>
      <w:r w:rsidRPr="001741D6">
        <w:rPr>
          <w:bCs/>
        </w:rPr>
        <w:t xml:space="preserve">of individual end-user premises. </w:t>
      </w:r>
      <w:r>
        <w:rPr>
          <w:bCs/>
        </w:rPr>
        <w:t xml:space="preserve">From this distribution point, the final connection to the individual premises is provided by existing copper lead-ins. </w:t>
      </w:r>
    </w:p>
    <w:p w14:paraId="386967E7" w14:textId="77777777" w:rsidR="00867045" w:rsidRDefault="00867045" w:rsidP="00CE3B0C">
      <w:pPr>
        <w:spacing w:after="0"/>
        <w:rPr>
          <w:b/>
          <w:bCs/>
        </w:rPr>
      </w:pPr>
      <w:r w:rsidRPr="0054217A">
        <w:rPr>
          <w:rFonts w:cs="Arial"/>
          <w:b/>
          <w:szCs w:val="20"/>
        </w:rPr>
        <w:t xml:space="preserve">FTTN—fibre to </w:t>
      </w:r>
      <w:r w:rsidRPr="00CE3B0C">
        <w:rPr>
          <w:rFonts w:cs="Arial"/>
          <w:b/>
        </w:rPr>
        <w:t>the</w:t>
      </w:r>
      <w:r w:rsidRPr="0054217A">
        <w:rPr>
          <w:rFonts w:cs="Arial"/>
          <w:b/>
          <w:szCs w:val="20"/>
        </w:rPr>
        <w:t xml:space="preserve"> node</w:t>
      </w:r>
    </w:p>
    <w:p w14:paraId="3EC3D6EB" w14:textId="77777777" w:rsidR="00867045" w:rsidRDefault="00867045" w:rsidP="00867045">
      <w:pPr>
        <w:rPr>
          <w:b/>
          <w:bCs/>
        </w:rPr>
      </w:pPr>
      <w:r w:rsidRPr="00681BAE">
        <w:rPr>
          <w:bCs/>
        </w:rPr>
        <w:t>A type</w:t>
      </w:r>
      <w:r>
        <w:rPr>
          <w:bCs/>
        </w:rPr>
        <w:t xml:space="preserve"> of broadband access network deployment where the optical fibre line runs to a node (cabinet) located in the street. From this street cabinet, individual premises are connected via existing copper cabling networks. </w:t>
      </w:r>
    </w:p>
    <w:p w14:paraId="7A18D294" w14:textId="77777777" w:rsidR="00867045" w:rsidRDefault="00867045" w:rsidP="00CE3B0C">
      <w:pPr>
        <w:spacing w:after="0"/>
        <w:rPr>
          <w:rFonts w:cs="Arial"/>
          <w:b/>
          <w:szCs w:val="20"/>
        </w:rPr>
      </w:pPr>
      <w:r w:rsidRPr="0054217A">
        <w:rPr>
          <w:b/>
          <w:bCs/>
        </w:rPr>
        <w:t>FTTP</w:t>
      </w:r>
      <w:r w:rsidRPr="0054217A">
        <w:rPr>
          <w:rFonts w:cs="Arial"/>
          <w:b/>
          <w:szCs w:val="20"/>
        </w:rPr>
        <w:t>—fibre to the premises</w:t>
      </w:r>
    </w:p>
    <w:p w14:paraId="25537679" w14:textId="77777777" w:rsidR="00867045" w:rsidRPr="00B43D37" w:rsidRDefault="00867045" w:rsidP="00867045">
      <w:pPr>
        <w:rPr>
          <w:bCs/>
        </w:rPr>
      </w:pPr>
      <w:r w:rsidRPr="00B43D37">
        <w:rPr>
          <w:bCs/>
        </w:rPr>
        <w:t xml:space="preserve">A type of </w:t>
      </w:r>
      <w:r>
        <w:rPr>
          <w:bCs/>
        </w:rPr>
        <w:t>broadband access network deployment where the optical fibre line extends</w:t>
      </w:r>
      <w:r w:rsidRPr="00B43D37">
        <w:rPr>
          <w:bCs/>
        </w:rPr>
        <w:t xml:space="preserve"> directly to individual premises. </w:t>
      </w:r>
      <w:r>
        <w:rPr>
          <w:bCs/>
        </w:rPr>
        <w:t>Compared to other fibre</w:t>
      </w:r>
      <w:r w:rsidR="00835798">
        <w:rPr>
          <w:bCs/>
        </w:rPr>
        <w:t>-</w:t>
      </w:r>
      <w:r>
        <w:rPr>
          <w:bCs/>
        </w:rPr>
        <w:t>optic connections types, this type of connection results in the fibre</w:t>
      </w:r>
      <w:r w:rsidR="00835798">
        <w:rPr>
          <w:bCs/>
        </w:rPr>
        <w:t>-</w:t>
      </w:r>
      <w:r>
        <w:rPr>
          <w:bCs/>
        </w:rPr>
        <w:t xml:space="preserve">optic line running as close as possible to the end-user and subsequently results in the least reliance on existing copper cabling networks. </w:t>
      </w:r>
    </w:p>
    <w:p w14:paraId="0DF4B96E" w14:textId="77777777" w:rsidR="00867045" w:rsidRPr="00FD7E86" w:rsidRDefault="00867045" w:rsidP="00CE3B0C">
      <w:pPr>
        <w:spacing w:after="0"/>
        <w:rPr>
          <w:rFonts w:cs="Arial"/>
          <w:b/>
          <w:szCs w:val="20"/>
        </w:rPr>
      </w:pPr>
      <w:r w:rsidRPr="00FD7E86">
        <w:rPr>
          <w:rFonts w:cs="Arial"/>
          <w:b/>
          <w:szCs w:val="20"/>
        </w:rPr>
        <w:t>GB—</w:t>
      </w:r>
      <w:r w:rsidRPr="00CE3B0C">
        <w:rPr>
          <w:rFonts w:cs="Arial"/>
          <w:b/>
        </w:rPr>
        <w:t>gigabyte</w:t>
      </w:r>
    </w:p>
    <w:p w14:paraId="007A70A7" w14:textId="77777777" w:rsidR="00867045" w:rsidRPr="00FD7E86" w:rsidRDefault="00867045" w:rsidP="00867045">
      <w:r w:rsidRPr="00FD7E86">
        <w:t>One billion bytes. Each byte is eight bits.</w:t>
      </w:r>
    </w:p>
    <w:p w14:paraId="74407947" w14:textId="77777777" w:rsidR="00867045" w:rsidRPr="00FD7E86" w:rsidRDefault="00867045" w:rsidP="00CE3B0C">
      <w:pPr>
        <w:spacing w:after="0"/>
        <w:rPr>
          <w:rFonts w:cs="Arial"/>
          <w:b/>
          <w:szCs w:val="20"/>
        </w:rPr>
      </w:pPr>
      <w:r w:rsidRPr="00FD7E86">
        <w:rPr>
          <w:rFonts w:cs="Arial"/>
          <w:b/>
          <w:szCs w:val="20"/>
        </w:rPr>
        <w:t>Gbit/s—</w:t>
      </w:r>
      <w:r w:rsidRPr="00CE3B0C">
        <w:rPr>
          <w:rFonts w:cs="Arial"/>
          <w:b/>
        </w:rPr>
        <w:t>gigabits</w:t>
      </w:r>
      <w:r w:rsidRPr="00FD7E86">
        <w:rPr>
          <w:rFonts w:cs="Arial"/>
          <w:b/>
          <w:szCs w:val="20"/>
        </w:rPr>
        <w:t xml:space="preserve"> per second</w:t>
      </w:r>
    </w:p>
    <w:p w14:paraId="687984FD" w14:textId="77777777" w:rsidR="00867045" w:rsidRPr="00FD7E86" w:rsidRDefault="00867045" w:rsidP="00867045">
      <w:r w:rsidRPr="00FD7E86">
        <w:t xml:space="preserve">Data transfer rate of a billion bits per second. See also </w:t>
      </w:r>
      <w:r w:rsidRPr="00FD7E86">
        <w:rPr>
          <w:b/>
        </w:rPr>
        <w:t>bit/s</w:t>
      </w:r>
      <w:r w:rsidRPr="00FD7E86">
        <w:t>.</w:t>
      </w:r>
    </w:p>
    <w:p w14:paraId="18EFCE61" w14:textId="77777777" w:rsidR="00867045" w:rsidRPr="00FD7E86" w:rsidRDefault="00867045" w:rsidP="00CE3B0C">
      <w:pPr>
        <w:spacing w:after="0"/>
        <w:rPr>
          <w:rFonts w:cs="Arial"/>
          <w:b/>
          <w:szCs w:val="20"/>
        </w:rPr>
      </w:pPr>
      <w:r w:rsidRPr="00FD7E86">
        <w:rPr>
          <w:rFonts w:cs="Arial"/>
          <w:b/>
          <w:szCs w:val="20"/>
        </w:rPr>
        <w:t xml:space="preserve">geographic </w:t>
      </w:r>
      <w:r w:rsidRPr="00CE3B0C">
        <w:rPr>
          <w:rFonts w:cs="Arial"/>
          <w:b/>
        </w:rPr>
        <w:t>numbers</w:t>
      </w:r>
    </w:p>
    <w:p w14:paraId="42CD2B5E" w14:textId="77777777" w:rsidR="00867045" w:rsidRPr="00FD7E86" w:rsidRDefault="00867045" w:rsidP="00867045">
      <w:r w:rsidRPr="00FD7E86">
        <w:t>Numbers used to provide access to local telephone services</w:t>
      </w:r>
      <w:r w:rsidR="00835798">
        <w:t>,</w:t>
      </w:r>
      <w:r w:rsidRPr="00FD7E86">
        <w:t xml:space="preserve"> and related voicemail and facsimile services. Also known as local numbers.</w:t>
      </w:r>
    </w:p>
    <w:p w14:paraId="54057D9A" w14:textId="77777777" w:rsidR="00867045" w:rsidRPr="00FD7E86" w:rsidRDefault="00867045" w:rsidP="00CE3B0C">
      <w:pPr>
        <w:spacing w:after="0"/>
        <w:rPr>
          <w:rFonts w:cs="Arial"/>
          <w:b/>
          <w:szCs w:val="20"/>
        </w:rPr>
      </w:pPr>
      <w:r w:rsidRPr="00FD7E86">
        <w:rPr>
          <w:rFonts w:cs="Arial"/>
          <w:b/>
          <w:szCs w:val="20"/>
        </w:rPr>
        <w:t xml:space="preserve">GSM—global </w:t>
      </w:r>
      <w:r w:rsidRPr="00CE3B0C">
        <w:rPr>
          <w:rFonts w:cs="Arial"/>
          <w:b/>
        </w:rPr>
        <w:t>system</w:t>
      </w:r>
      <w:r w:rsidRPr="00FD7E86">
        <w:rPr>
          <w:rFonts w:cs="Arial"/>
          <w:b/>
          <w:szCs w:val="20"/>
        </w:rPr>
        <w:t xml:space="preserve"> for mobile communications</w:t>
      </w:r>
    </w:p>
    <w:p w14:paraId="71B06F95" w14:textId="77777777" w:rsidR="00867045" w:rsidRPr="00FD7E86" w:rsidRDefault="00867045" w:rsidP="00867045">
      <w:r w:rsidRPr="00FD7E86">
        <w:t>The second generation mobile digital technology originally developed for Europe, but now used globally.</w:t>
      </w:r>
    </w:p>
    <w:p w14:paraId="18B5A3E3" w14:textId="77777777" w:rsidR="00867045" w:rsidRPr="00FD7E86" w:rsidRDefault="00867045" w:rsidP="00CE3B0C">
      <w:pPr>
        <w:spacing w:after="0"/>
        <w:rPr>
          <w:rFonts w:cs="Arial"/>
          <w:b/>
          <w:szCs w:val="20"/>
        </w:rPr>
      </w:pPr>
      <w:r w:rsidRPr="00FD7E86">
        <w:rPr>
          <w:rFonts w:cs="Arial"/>
          <w:b/>
          <w:szCs w:val="20"/>
        </w:rPr>
        <w:t xml:space="preserve">interception </w:t>
      </w:r>
    </w:p>
    <w:p w14:paraId="0B5CFF94" w14:textId="77777777" w:rsidR="00867045" w:rsidRPr="00FD7E86" w:rsidRDefault="00867045" w:rsidP="00867045">
      <w:r w:rsidRPr="00FD7E86">
        <w:t>The interception of telecommunications services for the purpose of law enforcement and national security.</w:t>
      </w:r>
    </w:p>
    <w:p w14:paraId="09C58884" w14:textId="77777777" w:rsidR="00867045" w:rsidRPr="00FD7E86" w:rsidRDefault="00867045" w:rsidP="00CE3B0C">
      <w:pPr>
        <w:spacing w:after="0"/>
        <w:rPr>
          <w:rFonts w:cs="Arial"/>
          <w:b/>
          <w:szCs w:val="20"/>
        </w:rPr>
      </w:pPr>
      <w:r w:rsidRPr="00FD7E86">
        <w:rPr>
          <w:rFonts w:cs="Arial"/>
          <w:b/>
          <w:szCs w:val="20"/>
        </w:rPr>
        <w:t xml:space="preserve">internet </w:t>
      </w:r>
      <w:r w:rsidRPr="00CE3B0C">
        <w:rPr>
          <w:rFonts w:cs="Arial"/>
          <w:b/>
        </w:rPr>
        <w:t>telephony</w:t>
      </w:r>
      <w:r w:rsidRPr="00FD7E86">
        <w:rPr>
          <w:rFonts w:cs="Arial"/>
          <w:b/>
          <w:szCs w:val="20"/>
        </w:rPr>
        <w:t xml:space="preserve"> </w:t>
      </w:r>
    </w:p>
    <w:p w14:paraId="7A12E8D2" w14:textId="77777777" w:rsidR="00867045" w:rsidRPr="00FD7E86" w:rsidRDefault="00867045" w:rsidP="00867045">
      <w:pPr>
        <w:rPr>
          <w:bCs/>
        </w:rPr>
      </w:pPr>
      <w:r w:rsidRPr="00FD7E86">
        <w:rPr>
          <w:bCs/>
        </w:rPr>
        <w:t>See</w:t>
      </w:r>
      <w:r w:rsidRPr="00FD7E86">
        <w:rPr>
          <w:b/>
          <w:bCs/>
        </w:rPr>
        <w:t xml:space="preserve"> VoIP</w:t>
      </w:r>
      <w:r w:rsidRPr="00FD7E86">
        <w:rPr>
          <w:bCs/>
        </w:rPr>
        <w:t>.</w:t>
      </w:r>
    </w:p>
    <w:p w14:paraId="427ABB52" w14:textId="77777777" w:rsidR="00FE01F7" w:rsidRPr="00EA149D" w:rsidRDefault="00FE01F7" w:rsidP="00CE3B0C">
      <w:pPr>
        <w:spacing w:after="0"/>
        <w:rPr>
          <w:rFonts w:cs="Arial"/>
          <w:b/>
          <w:szCs w:val="20"/>
        </w:rPr>
      </w:pPr>
      <w:r w:rsidRPr="008D65AA">
        <w:rPr>
          <w:rFonts w:cs="Arial"/>
          <w:b/>
          <w:szCs w:val="20"/>
        </w:rPr>
        <w:lastRenderedPageBreak/>
        <w:t>IoT</w:t>
      </w:r>
      <w:r w:rsidR="008D65AA" w:rsidRPr="00EA149D">
        <w:rPr>
          <w:rFonts w:cs="Arial"/>
          <w:b/>
          <w:szCs w:val="20"/>
        </w:rPr>
        <w:t xml:space="preserve">—Internet of </w:t>
      </w:r>
      <w:r w:rsidR="008D65AA" w:rsidRPr="00CE3B0C">
        <w:rPr>
          <w:rFonts w:cs="Arial"/>
          <w:b/>
        </w:rPr>
        <w:t>Things</w:t>
      </w:r>
    </w:p>
    <w:p w14:paraId="79711C84" w14:textId="77777777" w:rsidR="008D65AA" w:rsidRPr="008D65AA" w:rsidRDefault="008D65AA" w:rsidP="00841849">
      <w:pPr>
        <w:rPr>
          <w:rFonts w:cs="Arial"/>
          <w:szCs w:val="20"/>
        </w:rPr>
      </w:pPr>
      <w:r>
        <w:rPr>
          <w:rFonts w:cs="Arial"/>
          <w:szCs w:val="20"/>
        </w:rPr>
        <w:t xml:space="preserve">The </w:t>
      </w:r>
      <w:r w:rsidRPr="00841849">
        <w:t>inter</w:t>
      </w:r>
      <w:r>
        <w:rPr>
          <w:rFonts w:cs="Arial"/>
          <w:szCs w:val="20"/>
        </w:rPr>
        <w:t xml:space="preserve">-connection of many devices and objects utilising internet protocols. </w:t>
      </w:r>
    </w:p>
    <w:p w14:paraId="035FEB18" w14:textId="77777777" w:rsidR="00867045" w:rsidRPr="00FD7E86" w:rsidRDefault="00867045" w:rsidP="00CE3B0C">
      <w:pPr>
        <w:spacing w:after="0"/>
        <w:rPr>
          <w:rFonts w:cs="Arial"/>
          <w:b/>
          <w:szCs w:val="20"/>
        </w:rPr>
      </w:pPr>
      <w:r w:rsidRPr="00FD7E86">
        <w:rPr>
          <w:rFonts w:cs="Arial"/>
          <w:b/>
          <w:szCs w:val="20"/>
        </w:rPr>
        <w:t xml:space="preserve">IP—internet </w:t>
      </w:r>
      <w:r w:rsidRPr="00CE3B0C">
        <w:rPr>
          <w:rFonts w:cs="Arial"/>
          <w:b/>
        </w:rPr>
        <w:t>protocol</w:t>
      </w:r>
    </w:p>
    <w:p w14:paraId="11CAA401" w14:textId="77777777" w:rsidR="00867045" w:rsidRPr="00FD7E86" w:rsidRDefault="00867045" w:rsidP="00867045">
      <w:r w:rsidRPr="00FD7E86">
        <w:t xml:space="preserve">The main routing protocol used in the internet—it operates at the logical network layer and is a code used to label packets of data sent across the internet, identifying both the sending and receiving hosts. IP is also used to designate data, traffic, services and equipment supported by or used in the internet. </w:t>
      </w:r>
    </w:p>
    <w:p w14:paraId="26027B41" w14:textId="77777777" w:rsidR="00867045" w:rsidRPr="00FD7E86" w:rsidRDefault="00867045" w:rsidP="00CE3B0C">
      <w:pPr>
        <w:spacing w:after="0"/>
        <w:rPr>
          <w:rFonts w:cs="Arial"/>
          <w:b/>
          <w:szCs w:val="20"/>
        </w:rPr>
      </w:pPr>
      <w:r w:rsidRPr="00FD7E86">
        <w:rPr>
          <w:rFonts w:cs="Arial"/>
          <w:b/>
          <w:szCs w:val="20"/>
        </w:rPr>
        <w:t>IPND—</w:t>
      </w:r>
      <w:r w:rsidRPr="00CE3B0C">
        <w:rPr>
          <w:rFonts w:cs="Arial"/>
          <w:b/>
        </w:rPr>
        <w:t>Integrated</w:t>
      </w:r>
      <w:r w:rsidRPr="00FD7E86">
        <w:rPr>
          <w:rFonts w:cs="Arial"/>
          <w:b/>
          <w:szCs w:val="20"/>
        </w:rPr>
        <w:t xml:space="preserve"> Public Number Database</w:t>
      </w:r>
    </w:p>
    <w:p w14:paraId="483F2BA1" w14:textId="77777777" w:rsidR="00867045" w:rsidRPr="00FD7E86" w:rsidRDefault="00867045" w:rsidP="00867045">
      <w:r w:rsidRPr="00FD7E86">
        <w:t>Database of number, name and address information about customers of telecommunications services in Australia, for all carriers and CSPs.</w:t>
      </w:r>
    </w:p>
    <w:p w14:paraId="3A79901D" w14:textId="77777777" w:rsidR="00867045" w:rsidRPr="00FD7E86" w:rsidRDefault="00867045" w:rsidP="00CE3B0C">
      <w:pPr>
        <w:spacing w:after="0"/>
        <w:rPr>
          <w:rFonts w:cs="Arial"/>
          <w:b/>
          <w:szCs w:val="20"/>
        </w:rPr>
      </w:pPr>
      <w:r w:rsidRPr="00FD7E86">
        <w:rPr>
          <w:rFonts w:cs="Arial"/>
          <w:b/>
          <w:szCs w:val="20"/>
        </w:rPr>
        <w:t>IPTV—</w:t>
      </w:r>
      <w:r w:rsidRPr="00CE3B0C">
        <w:rPr>
          <w:rFonts w:cs="Arial"/>
          <w:b/>
        </w:rPr>
        <w:t>internet</w:t>
      </w:r>
      <w:r w:rsidRPr="00FD7E86">
        <w:rPr>
          <w:rFonts w:cs="Arial"/>
          <w:b/>
          <w:szCs w:val="20"/>
        </w:rPr>
        <w:t xml:space="preserve"> protocol television</w:t>
      </w:r>
    </w:p>
    <w:p w14:paraId="649A6D18" w14:textId="77777777" w:rsidR="00867045" w:rsidRPr="00FD7E86" w:rsidRDefault="00867045" w:rsidP="00867045">
      <w:r w:rsidRPr="00FD7E86">
        <w:t>High-end multimedia services such as television, video and graphics delivered over managed IP-based networks that provide an acceptable level of Quality of Service (QoS)/Quality of Experience (QoE), security, interactivity and reliability.</w:t>
      </w:r>
    </w:p>
    <w:p w14:paraId="13581347" w14:textId="77777777" w:rsidR="00867045" w:rsidRPr="00FD7E86" w:rsidRDefault="00867045" w:rsidP="00CE3B0C">
      <w:pPr>
        <w:spacing w:after="0"/>
        <w:rPr>
          <w:rFonts w:cs="Arial"/>
          <w:b/>
          <w:szCs w:val="20"/>
        </w:rPr>
      </w:pPr>
      <w:r w:rsidRPr="00FD7E86">
        <w:rPr>
          <w:rFonts w:cs="Arial"/>
          <w:b/>
          <w:szCs w:val="20"/>
        </w:rPr>
        <w:t>ISDN—</w:t>
      </w:r>
      <w:r w:rsidRPr="00CE3B0C">
        <w:rPr>
          <w:rFonts w:cs="Arial"/>
          <w:b/>
        </w:rPr>
        <w:t>integrated</w:t>
      </w:r>
      <w:r w:rsidRPr="00FD7E86">
        <w:rPr>
          <w:rFonts w:cs="Arial"/>
          <w:b/>
          <w:szCs w:val="20"/>
        </w:rPr>
        <w:t xml:space="preserve"> services digital network</w:t>
      </w:r>
    </w:p>
    <w:p w14:paraId="34E8514D" w14:textId="77777777" w:rsidR="00867045" w:rsidRPr="00FD7E86" w:rsidRDefault="00867045" w:rsidP="00867045">
      <w:r w:rsidRPr="00FD7E86">
        <w:t>A high-speed network for carrying voice and data services in digital format over the PSTN. Can be considered as an evolutionary step between dial-up and today’s broadband internet services.</w:t>
      </w:r>
    </w:p>
    <w:p w14:paraId="4F83CDE4" w14:textId="77777777" w:rsidR="00867045" w:rsidRPr="00FD7E86" w:rsidRDefault="00867045" w:rsidP="00CE3B0C">
      <w:pPr>
        <w:spacing w:after="0"/>
        <w:rPr>
          <w:rFonts w:cs="Arial"/>
          <w:b/>
          <w:szCs w:val="20"/>
        </w:rPr>
      </w:pPr>
      <w:r w:rsidRPr="00FD7E86">
        <w:rPr>
          <w:rFonts w:cs="Arial"/>
          <w:b/>
          <w:szCs w:val="20"/>
        </w:rPr>
        <w:t xml:space="preserve">ISP—internet </w:t>
      </w:r>
      <w:r w:rsidRPr="00CE3B0C">
        <w:rPr>
          <w:rFonts w:cs="Arial"/>
          <w:b/>
        </w:rPr>
        <w:t>service</w:t>
      </w:r>
      <w:r w:rsidRPr="00FD7E86">
        <w:rPr>
          <w:rFonts w:cs="Arial"/>
          <w:b/>
          <w:szCs w:val="20"/>
        </w:rPr>
        <w:t xml:space="preserve"> provider</w:t>
      </w:r>
    </w:p>
    <w:p w14:paraId="0E7E7248" w14:textId="77777777" w:rsidR="00867045" w:rsidRPr="00FD7E86" w:rsidRDefault="00867045" w:rsidP="00867045">
      <w:r w:rsidRPr="00FD7E86">
        <w:t xml:space="preserve">A </w:t>
      </w:r>
      <w:r w:rsidR="00835798">
        <w:t>carriage service provider</w:t>
      </w:r>
      <w:r w:rsidR="00835798" w:rsidRPr="00FD7E86">
        <w:t xml:space="preserve"> </w:t>
      </w:r>
      <w:r w:rsidRPr="00FD7E86">
        <w:t>offering internet access to the public or another service provider.</w:t>
      </w:r>
    </w:p>
    <w:p w14:paraId="23F2EE74" w14:textId="77777777" w:rsidR="00867045" w:rsidRPr="00FD7E86" w:rsidRDefault="00867045" w:rsidP="00CE3B0C">
      <w:pPr>
        <w:spacing w:after="0"/>
        <w:rPr>
          <w:rFonts w:cs="Arial"/>
          <w:b/>
          <w:szCs w:val="20"/>
        </w:rPr>
      </w:pPr>
      <w:r w:rsidRPr="00FD7E86">
        <w:rPr>
          <w:rFonts w:cs="Arial"/>
          <w:b/>
          <w:szCs w:val="20"/>
        </w:rPr>
        <w:t>kbit/s—</w:t>
      </w:r>
      <w:r w:rsidRPr="00CE3B0C">
        <w:rPr>
          <w:rFonts w:cs="Arial"/>
          <w:b/>
        </w:rPr>
        <w:t>kilobits</w:t>
      </w:r>
      <w:r w:rsidRPr="00FD7E86">
        <w:rPr>
          <w:rFonts w:cs="Arial"/>
          <w:b/>
          <w:szCs w:val="20"/>
        </w:rPr>
        <w:t xml:space="preserve"> per second</w:t>
      </w:r>
    </w:p>
    <w:p w14:paraId="39B297C1" w14:textId="77777777" w:rsidR="00867045" w:rsidRPr="00FD7E86" w:rsidRDefault="00867045" w:rsidP="00867045">
      <w:r w:rsidRPr="00FD7E86">
        <w:t xml:space="preserve">Data transfer rate of 1,000 bits per second. See also </w:t>
      </w:r>
      <w:r w:rsidRPr="00FD7E86">
        <w:rPr>
          <w:b/>
        </w:rPr>
        <w:t>bit/s</w:t>
      </w:r>
      <w:r w:rsidRPr="00FD7E86">
        <w:t>.</w:t>
      </w:r>
    </w:p>
    <w:p w14:paraId="1374A91F" w14:textId="77777777" w:rsidR="00867045" w:rsidRPr="00FD7E86" w:rsidRDefault="00867045" w:rsidP="00CE3B0C">
      <w:pPr>
        <w:spacing w:after="0"/>
        <w:rPr>
          <w:rFonts w:cs="Arial"/>
          <w:b/>
          <w:szCs w:val="20"/>
        </w:rPr>
      </w:pPr>
      <w:r w:rsidRPr="00FD7E86">
        <w:rPr>
          <w:rFonts w:cs="Arial"/>
          <w:b/>
          <w:szCs w:val="20"/>
        </w:rPr>
        <w:t xml:space="preserve">local </w:t>
      </w:r>
      <w:r w:rsidRPr="00CE3B0C">
        <w:rPr>
          <w:rFonts w:cs="Arial"/>
          <w:b/>
        </w:rPr>
        <w:t>numbers</w:t>
      </w:r>
      <w:r w:rsidRPr="00FD7E86">
        <w:rPr>
          <w:rFonts w:cs="Arial"/>
          <w:b/>
          <w:szCs w:val="20"/>
        </w:rPr>
        <w:t xml:space="preserve"> </w:t>
      </w:r>
    </w:p>
    <w:p w14:paraId="7D88D436" w14:textId="77777777" w:rsidR="00867045" w:rsidRPr="00FD7E86" w:rsidRDefault="00867045" w:rsidP="00867045">
      <w:r w:rsidRPr="00FD7E86">
        <w:t xml:space="preserve">See </w:t>
      </w:r>
      <w:r w:rsidRPr="00FD7E86">
        <w:rPr>
          <w:b/>
        </w:rPr>
        <w:t>geographic numbers</w:t>
      </w:r>
      <w:r w:rsidRPr="00FD7E86">
        <w:t>.</w:t>
      </w:r>
    </w:p>
    <w:p w14:paraId="0542268A" w14:textId="77777777" w:rsidR="00867045" w:rsidRPr="00FD7E86" w:rsidRDefault="00867045" w:rsidP="00CE3B0C">
      <w:pPr>
        <w:spacing w:after="0"/>
        <w:rPr>
          <w:rFonts w:cs="Arial"/>
          <w:b/>
          <w:szCs w:val="20"/>
        </w:rPr>
      </w:pPr>
      <w:r w:rsidRPr="00FD7E86">
        <w:rPr>
          <w:rFonts w:cs="Arial"/>
          <w:b/>
          <w:szCs w:val="20"/>
        </w:rPr>
        <w:t>low-</w:t>
      </w:r>
      <w:r w:rsidRPr="00CE3B0C">
        <w:rPr>
          <w:rFonts w:cs="Arial"/>
          <w:b/>
        </w:rPr>
        <w:t>impact</w:t>
      </w:r>
      <w:r w:rsidRPr="00FD7E86">
        <w:rPr>
          <w:rFonts w:cs="Arial"/>
          <w:b/>
          <w:szCs w:val="20"/>
        </w:rPr>
        <w:t xml:space="preserve"> facilities </w:t>
      </w:r>
    </w:p>
    <w:p w14:paraId="55CD269E" w14:textId="77777777" w:rsidR="00867045" w:rsidRPr="00FD7E86" w:rsidRDefault="00867045" w:rsidP="00867045">
      <w:r w:rsidRPr="00FD7E86">
        <w:t xml:space="preserve">Communications facilities that are considered to have a low impact on their environment. They include underground cabling, small radiocommunications antennas and dishes, in-building subscriber connections and public payphones. The </w:t>
      </w:r>
      <w:r w:rsidRPr="00FD7E86">
        <w:rPr>
          <w:i/>
          <w:iCs/>
        </w:rPr>
        <w:t xml:space="preserve">Telecommunications Act 1997 </w:t>
      </w:r>
      <w:r w:rsidRPr="00FD7E86">
        <w:t>provides carriers with immunity from state and territory planning laws for the installation of ‘low-impact’ facilities.</w:t>
      </w:r>
    </w:p>
    <w:p w14:paraId="3A4F54DD" w14:textId="77777777" w:rsidR="00867045" w:rsidRPr="00FD7E86" w:rsidRDefault="00867045" w:rsidP="00CE3B0C">
      <w:pPr>
        <w:spacing w:after="0"/>
        <w:rPr>
          <w:rFonts w:cs="Arial"/>
          <w:b/>
          <w:szCs w:val="20"/>
        </w:rPr>
      </w:pPr>
      <w:r w:rsidRPr="00FD7E86">
        <w:rPr>
          <w:rFonts w:cs="Arial"/>
          <w:b/>
          <w:szCs w:val="20"/>
        </w:rPr>
        <w:t>LTE—</w:t>
      </w:r>
      <w:r w:rsidRPr="00CE3B0C">
        <w:rPr>
          <w:rFonts w:cs="Arial"/>
          <w:b/>
        </w:rPr>
        <w:t>Long</w:t>
      </w:r>
      <w:r w:rsidRPr="00FD7E86">
        <w:rPr>
          <w:rFonts w:cs="Arial"/>
          <w:b/>
          <w:szCs w:val="20"/>
        </w:rPr>
        <w:t xml:space="preserve"> Term Evolution</w:t>
      </w:r>
    </w:p>
    <w:p w14:paraId="1077777B" w14:textId="77777777" w:rsidR="00867045" w:rsidRDefault="00867045" w:rsidP="00867045">
      <w:r w:rsidRPr="00FD7E86">
        <w:t xml:space="preserve">A suite of radio and core network specifications for the enhancement of mobile networks beyond 3G capabilities. Generally regarded as </w:t>
      </w:r>
      <w:r w:rsidRPr="00FD7E86">
        <w:rPr>
          <w:rFonts w:cs="Arial"/>
          <w:b/>
        </w:rPr>
        <w:t>fourth generation mobile telecommunications (4G)</w:t>
      </w:r>
      <w:r w:rsidRPr="00FD7E86">
        <w:t xml:space="preserve">. </w:t>
      </w:r>
    </w:p>
    <w:p w14:paraId="522F7150" w14:textId="77777777" w:rsidR="00867045" w:rsidRPr="00FD7E86" w:rsidRDefault="00867045" w:rsidP="00CE3B0C">
      <w:pPr>
        <w:spacing w:after="0"/>
        <w:rPr>
          <w:rFonts w:cs="Arial"/>
          <w:b/>
          <w:szCs w:val="20"/>
        </w:rPr>
      </w:pPr>
      <w:r w:rsidRPr="0054217A">
        <w:rPr>
          <w:rFonts w:cs="Arial"/>
          <w:b/>
          <w:szCs w:val="20"/>
        </w:rPr>
        <w:t>LTE-B—Long Term Evolution Broadcast</w:t>
      </w:r>
    </w:p>
    <w:p w14:paraId="011AFCC8" w14:textId="77777777" w:rsidR="00867045" w:rsidRPr="00FD7E86" w:rsidRDefault="00867045" w:rsidP="00867045">
      <w:r>
        <w:t>A technique of efficiently distributing the same content over the LTE network to multiple users. Rather than individual users downloading their own stream of data, the technique allows content to be provided to multiple users via a single stream of data</w:t>
      </w:r>
      <w:r w:rsidR="00835798">
        <w:t>,</w:t>
      </w:r>
      <w:r>
        <w:t xml:space="preserve"> thus reducing data demands on networks. </w:t>
      </w:r>
    </w:p>
    <w:p w14:paraId="03603BA8" w14:textId="77777777" w:rsidR="00867045" w:rsidRPr="00FD7E86" w:rsidRDefault="00867045" w:rsidP="00CE3B0C">
      <w:pPr>
        <w:spacing w:after="0"/>
        <w:rPr>
          <w:rFonts w:cs="Arial"/>
          <w:b/>
          <w:szCs w:val="20"/>
        </w:rPr>
      </w:pPr>
      <w:r w:rsidRPr="00FD7E86">
        <w:rPr>
          <w:rFonts w:cs="Arial"/>
          <w:b/>
          <w:szCs w:val="20"/>
        </w:rPr>
        <w:t>M2M—</w:t>
      </w:r>
      <w:r w:rsidRPr="00CE3B0C">
        <w:rPr>
          <w:rFonts w:cs="Arial"/>
          <w:b/>
        </w:rPr>
        <w:t>machine</w:t>
      </w:r>
      <w:r w:rsidRPr="00FD7E86">
        <w:rPr>
          <w:rFonts w:cs="Arial"/>
          <w:b/>
          <w:szCs w:val="20"/>
        </w:rPr>
        <w:t>-to-machine</w:t>
      </w:r>
    </w:p>
    <w:p w14:paraId="1DDD5BF3" w14:textId="77777777" w:rsidR="00867045" w:rsidRPr="00FD7E86" w:rsidRDefault="00867045" w:rsidP="00867045">
      <w:pPr>
        <w:rPr>
          <w:iCs/>
          <w:szCs w:val="20"/>
        </w:rPr>
      </w:pPr>
      <w:r w:rsidRPr="00FD7E86">
        <w:rPr>
          <w:iCs/>
          <w:szCs w:val="20"/>
        </w:rPr>
        <w:t xml:space="preserve">M2M communications is used for automated data transmission and measurement between mechanical or electronic devices using wired and wireless networks. Much of the </w:t>
      </w:r>
      <w:r w:rsidRPr="00FC4F68">
        <w:rPr>
          <w:bCs/>
          <w:iCs/>
          <w:szCs w:val="20"/>
        </w:rPr>
        <w:t>M2M</w:t>
      </w:r>
      <w:r w:rsidRPr="00FD7E86">
        <w:rPr>
          <w:iCs/>
          <w:szCs w:val="20"/>
        </w:rPr>
        <w:t xml:space="preserve"> information is delivered in the form of sparse data, which can come from sensors and other non-IT devices.</w:t>
      </w:r>
      <w:r w:rsidRPr="00FD7E86" w:rsidDel="00A334B7">
        <w:rPr>
          <w:iCs/>
          <w:szCs w:val="20"/>
        </w:rPr>
        <w:t xml:space="preserve"> </w:t>
      </w:r>
    </w:p>
    <w:p w14:paraId="501D35ED" w14:textId="77777777" w:rsidR="00867045" w:rsidRPr="00FD7E86" w:rsidRDefault="00867045" w:rsidP="00CE3B0C">
      <w:pPr>
        <w:spacing w:after="0"/>
        <w:rPr>
          <w:rFonts w:cs="Arial"/>
          <w:b/>
          <w:szCs w:val="20"/>
        </w:rPr>
      </w:pPr>
      <w:r w:rsidRPr="00FD7E86">
        <w:rPr>
          <w:rFonts w:cs="Arial"/>
          <w:b/>
          <w:szCs w:val="20"/>
        </w:rPr>
        <w:t>MB—</w:t>
      </w:r>
      <w:r w:rsidRPr="00CE3B0C">
        <w:rPr>
          <w:rFonts w:cs="Arial"/>
          <w:b/>
        </w:rPr>
        <w:t>megabyte</w:t>
      </w:r>
      <w:r w:rsidRPr="00FD7E86">
        <w:rPr>
          <w:rFonts w:cs="Arial"/>
          <w:b/>
          <w:szCs w:val="20"/>
        </w:rPr>
        <w:t>(s)</w:t>
      </w:r>
    </w:p>
    <w:p w14:paraId="0BAAABF1" w14:textId="77777777" w:rsidR="00867045" w:rsidRPr="00FD7E86" w:rsidRDefault="00867045" w:rsidP="00867045">
      <w:r w:rsidRPr="00FD7E86">
        <w:t xml:space="preserve">One million bytes. </w:t>
      </w:r>
    </w:p>
    <w:p w14:paraId="2D92E876" w14:textId="77777777" w:rsidR="00867045" w:rsidRPr="00FD7E86" w:rsidRDefault="00867045" w:rsidP="00CE3B0C">
      <w:pPr>
        <w:spacing w:after="0"/>
        <w:rPr>
          <w:rFonts w:cs="Arial"/>
          <w:b/>
          <w:szCs w:val="20"/>
        </w:rPr>
      </w:pPr>
      <w:r w:rsidRPr="00FD7E86">
        <w:rPr>
          <w:rFonts w:cs="Arial"/>
          <w:b/>
          <w:szCs w:val="20"/>
        </w:rPr>
        <w:t>MHz—</w:t>
      </w:r>
      <w:r w:rsidRPr="00CE3B0C">
        <w:rPr>
          <w:rFonts w:cs="Arial"/>
          <w:b/>
        </w:rPr>
        <w:t>megahertz</w:t>
      </w:r>
    </w:p>
    <w:p w14:paraId="77ECBB46" w14:textId="77777777" w:rsidR="00867045" w:rsidRPr="00FD7E86" w:rsidRDefault="00867045" w:rsidP="00867045">
      <w:r w:rsidRPr="00FD7E86">
        <w:t xml:space="preserve">One million </w:t>
      </w:r>
      <w:r w:rsidR="0023353A">
        <w:t>h</w:t>
      </w:r>
      <w:r w:rsidRPr="00FD7E86">
        <w:t xml:space="preserve">ertz. </w:t>
      </w:r>
    </w:p>
    <w:p w14:paraId="4FD9666A" w14:textId="77777777" w:rsidR="00867045" w:rsidRPr="00FD7E86" w:rsidRDefault="00867045" w:rsidP="009A2DA4">
      <w:pPr>
        <w:keepNext/>
        <w:spacing w:after="0"/>
        <w:rPr>
          <w:rFonts w:cs="Arial"/>
          <w:b/>
          <w:szCs w:val="20"/>
        </w:rPr>
      </w:pPr>
      <w:r w:rsidRPr="00FD7E86">
        <w:rPr>
          <w:rFonts w:cs="Arial"/>
          <w:b/>
          <w:szCs w:val="20"/>
        </w:rPr>
        <w:lastRenderedPageBreak/>
        <w:t xml:space="preserve">the minister—Minister for </w:t>
      </w:r>
      <w:r w:rsidRPr="00CE3B0C">
        <w:rPr>
          <w:rFonts w:cs="Arial"/>
          <w:b/>
        </w:rPr>
        <w:t>Communications</w:t>
      </w:r>
      <w:r w:rsidR="00F863B0">
        <w:rPr>
          <w:rFonts w:cs="Arial"/>
          <w:b/>
          <w:szCs w:val="20"/>
        </w:rPr>
        <w:t xml:space="preserve"> and the Arts</w:t>
      </w:r>
    </w:p>
    <w:p w14:paraId="623ABF41" w14:textId="77777777" w:rsidR="00867045" w:rsidRPr="00FD7E86" w:rsidRDefault="00867045" w:rsidP="00867045">
      <w:r w:rsidRPr="00FD7E86">
        <w:t>Minister responsible for the ACMA and its governing legislation, and the legislation that the ACMA administers</w:t>
      </w:r>
      <w:r>
        <w:t>.</w:t>
      </w:r>
    </w:p>
    <w:p w14:paraId="02C81D26" w14:textId="77777777" w:rsidR="00867045" w:rsidRPr="00FD7E86" w:rsidRDefault="00867045" w:rsidP="00CE3B0C">
      <w:pPr>
        <w:spacing w:after="0"/>
        <w:rPr>
          <w:rFonts w:cs="Arial"/>
          <w:b/>
          <w:szCs w:val="20"/>
        </w:rPr>
      </w:pPr>
      <w:r w:rsidRPr="00FD7E86">
        <w:rPr>
          <w:rFonts w:cs="Arial"/>
          <w:b/>
          <w:szCs w:val="20"/>
        </w:rPr>
        <w:t>MMS—</w:t>
      </w:r>
      <w:r w:rsidRPr="00CE3B0C">
        <w:rPr>
          <w:rFonts w:cs="Arial"/>
          <w:b/>
        </w:rPr>
        <w:t>multimedia</w:t>
      </w:r>
      <w:r w:rsidRPr="00FD7E86">
        <w:rPr>
          <w:rFonts w:cs="Arial"/>
          <w:b/>
          <w:szCs w:val="20"/>
        </w:rPr>
        <w:t xml:space="preserve"> messaging service</w:t>
      </w:r>
    </w:p>
    <w:p w14:paraId="5212E9EF" w14:textId="77777777" w:rsidR="00867045" w:rsidRPr="00FD7E86" w:rsidRDefault="00867045" w:rsidP="00867045">
      <w:pPr>
        <w:pStyle w:val="MMS"/>
      </w:pPr>
      <w:r w:rsidRPr="00FD7E86">
        <w:t>Mobile telecommunications data transmission service for sending messages with a combination of text, sound, image and video to MMS-capable handsets.</w:t>
      </w:r>
    </w:p>
    <w:p w14:paraId="3AA55955" w14:textId="77777777" w:rsidR="00867045" w:rsidRPr="00FD7E86" w:rsidRDefault="00867045" w:rsidP="00CE3B0C">
      <w:pPr>
        <w:spacing w:after="0"/>
        <w:rPr>
          <w:rFonts w:cs="Arial"/>
          <w:b/>
          <w:szCs w:val="20"/>
        </w:rPr>
      </w:pPr>
      <w:r w:rsidRPr="00FD7E86">
        <w:rPr>
          <w:rFonts w:cs="Arial"/>
          <w:b/>
          <w:szCs w:val="20"/>
        </w:rPr>
        <w:t xml:space="preserve">MPS—mobile premium </w:t>
      </w:r>
      <w:r w:rsidRPr="00CE3B0C">
        <w:rPr>
          <w:rFonts w:cs="Arial"/>
          <w:b/>
        </w:rPr>
        <w:t>services</w:t>
      </w:r>
    </w:p>
    <w:p w14:paraId="7460E4BF" w14:textId="77777777" w:rsidR="00867045" w:rsidRPr="00A10050" w:rsidRDefault="00867045" w:rsidP="00867045">
      <w:r w:rsidRPr="00FD7E86">
        <w:t>Content information and entertainment services delivered to a mobile phone that includes both premium SMS/</w:t>
      </w:r>
      <w:r w:rsidRPr="00A10050">
        <w:t>MMS and mobile portal services.</w:t>
      </w:r>
    </w:p>
    <w:p w14:paraId="44346F8B" w14:textId="77777777" w:rsidR="00867045" w:rsidRPr="00A10050" w:rsidRDefault="00E52F7D" w:rsidP="00CE3B0C">
      <w:pPr>
        <w:spacing w:after="0"/>
        <w:rPr>
          <w:rFonts w:cs="Arial"/>
          <w:b/>
          <w:szCs w:val="20"/>
        </w:rPr>
      </w:pPr>
      <w:r w:rsidRPr="00A10050">
        <w:rPr>
          <w:rFonts w:cs="Arial"/>
          <w:b/>
          <w:szCs w:val="20"/>
        </w:rPr>
        <w:t>NBN Co</w:t>
      </w:r>
      <w:r w:rsidR="00867045" w:rsidRPr="00A10050">
        <w:rPr>
          <w:rFonts w:cs="Arial"/>
          <w:b/>
          <w:szCs w:val="20"/>
        </w:rPr>
        <w:t xml:space="preserve">—NBN Co </w:t>
      </w:r>
      <w:r w:rsidR="00867045" w:rsidRPr="00A10050">
        <w:rPr>
          <w:rFonts w:cs="Arial"/>
          <w:b/>
        </w:rPr>
        <w:t>Limited</w:t>
      </w:r>
    </w:p>
    <w:p w14:paraId="2AA80096" w14:textId="77777777" w:rsidR="00867045" w:rsidRPr="00A10050" w:rsidRDefault="00867045" w:rsidP="00867045">
      <w:pPr>
        <w:rPr>
          <w:b/>
          <w:bCs/>
          <w:szCs w:val="26"/>
        </w:rPr>
      </w:pPr>
      <w:r w:rsidRPr="00A10050">
        <w:rPr>
          <w:bCs/>
          <w:szCs w:val="26"/>
        </w:rPr>
        <w:t xml:space="preserve">The company </w:t>
      </w:r>
      <w:r w:rsidRPr="00A10050">
        <w:t>established</w:t>
      </w:r>
      <w:r w:rsidRPr="00A10050">
        <w:rPr>
          <w:bCs/>
          <w:szCs w:val="26"/>
        </w:rPr>
        <w:t xml:space="preserve"> to design, build and operate the national broadband network.</w:t>
      </w:r>
    </w:p>
    <w:p w14:paraId="0A2B5336" w14:textId="77777777" w:rsidR="00867045" w:rsidRPr="00A10050" w:rsidRDefault="00F863B0" w:rsidP="00CE3B0C">
      <w:pPr>
        <w:spacing w:after="0"/>
        <w:rPr>
          <w:rFonts w:cs="Arial"/>
          <w:b/>
          <w:szCs w:val="20"/>
        </w:rPr>
      </w:pPr>
      <w:r w:rsidRPr="00A10050">
        <w:rPr>
          <w:rFonts w:cs="Arial"/>
          <w:b/>
          <w:szCs w:val="20"/>
        </w:rPr>
        <w:t>NBN</w:t>
      </w:r>
      <w:r w:rsidR="00867045" w:rsidRPr="00A10050">
        <w:rPr>
          <w:rFonts w:cs="Arial"/>
          <w:b/>
          <w:szCs w:val="20"/>
        </w:rPr>
        <w:t xml:space="preserve"> network—</w:t>
      </w:r>
      <w:r w:rsidR="00E52F7D" w:rsidRPr="00A10050">
        <w:rPr>
          <w:rFonts w:cs="Arial"/>
          <w:b/>
        </w:rPr>
        <w:t>N</w:t>
      </w:r>
      <w:r w:rsidR="00867045" w:rsidRPr="00A10050">
        <w:rPr>
          <w:rFonts w:cs="Arial"/>
          <w:b/>
        </w:rPr>
        <w:t>ational</w:t>
      </w:r>
      <w:r w:rsidR="00867045" w:rsidRPr="00A10050">
        <w:rPr>
          <w:rFonts w:cs="Arial"/>
          <w:b/>
          <w:szCs w:val="20"/>
        </w:rPr>
        <w:t xml:space="preserve"> </w:t>
      </w:r>
      <w:r w:rsidR="00E52F7D" w:rsidRPr="00A10050">
        <w:rPr>
          <w:rFonts w:cs="Arial"/>
          <w:b/>
          <w:szCs w:val="20"/>
        </w:rPr>
        <w:t>B</w:t>
      </w:r>
      <w:r w:rsidR="00867045" w:rsidRPr="00A10050">
        <w:rPr>
          <w:rFonts w:cs="Arial"/>
          <w:b/>
          <w:szCs w:val="20"/>
        </w:rPr>
        <w:t xml:space="preserve">roadband </w:t>
      </w:r>
      <w:r w:rsidR="00E52F7D" w:rsidRPr="00A10050">
        <w:rPr>
          <w:rFonts w:cs="Arial"/>
          <w:b/>
          <w:szCs w:val="20"/>
        </w:rPr>
        <w:t>N</w:t>
      </w:r>
      <w:r w:rsidR="00867045" w:rsidRPr="00A10050">
        <w:rPr>
          <w:rFonts w:cs="Arial"/>
          <w:b/>
          <w:szCs w:val="20"/>
        </w:rPr>
        <w:t>etwork</w:t>
      </w:r>
    </w:p>
    <w:p w14:paraId="3B23F47E" w14:textId="77777777" w:rsidR="00867045" w:rsidRDefault="00867045" w:rsidP="00867045">
      <w:r w:rsidRPr="00A10050">
        <w:t>The national wholesale-only open access data network in Australia offering high-speed broadband to all Australian premises using a multi-technology mix constructed by NBN Co Limited.</w:t>
      </w:r>
    </w:p>
    <w:p w14:paraId="6D675040" w14:textId="77777777" w:rsidR="00867045" w:rsidRDefault="00867045" w:rsidP="00CE3B0C">
      <w:pPr>
        <w:spacing w:after="0"/>
        <w:rPr>
          <w:rFonts w:cs="Arial"/>
          <w:b/>
          <w:szCs w:val="20"/>
        </w:rPr>
      </w:pPr>
      <w:r w:rsidRPr="0054217A">
        <w:rPr>
          <w:b/>
        </w:rPr>
        <w:t>NB-IOT</w:t>
      </w:r>
      <w:r w:rsidRPr="0054217A">
        <w:rPr>
          <w:rFonts w:cs="Arial"/>
          <w:b/>
          <w:szCs w:val="20"/>
        </w:rPr>
        <w:t>—</w:t>
      </w:r>
      <w:r w:rsidRPr="00CE3B0C">
        <w:rPr>
          <w:rFonts w:cs="Arial"/>
          <w:b/>
        </w:rPr>
        <w:t>Narrowband</w:t>
      </w:r>
      <w:r w:rsidRPr="0054217A">
        <w:rPr>
          <w:rFonts w:cs="Arial"/>
          <w:b/>
          <w:szCs w:val="20"/>
        </w:rPr>
        <w:t xml:space="preserve"> Internet of Things</w:t>
      </w:r>
    </w:p>
    <w:p w14:paraId="2F7E9638" w14:textId="77777777" w:rsidR="00867045" w:rsidRPr="00FD7E86" w:rsidRDefault="00867045" w:rsidP="00867045">
      <w:r>
        <w:t xml:space="preserve">A narrowband radio technology designed for the Internet of Things. NB-IOT technology is intended for applications that require a large number of devices that are low cost and have a long battery life. </w:t>
      </w:r>
    </w:p>
    <w:p w14:paraId="2655BCA2" w14:textId="77777777" w:rsidR="00867045" w:rsidRPr="00FD7E86" w:rsidRDefault="00867045" w:rsidP="00CE3B0C">
      <w:pPr>
        <w:spacing w:after="0"/>
        <w:rPr>
          <w:rFonts w:cs="Arial"/>
          <w:b/>
          <w:szCs w:val="20"/>
        </w:rPr>
      </w:pPr>
      <w:r w:rsidRPr="00FD7E86">
        <w:rPr>
          <w:rFonts w:cs="Arial"/>
          <w:b/>
          <w:szCs w:val="20"/>
        </w:rPr>
        <w:t xml:space="preserve">NCD—nominated </w:t>
      </w:r>
      <w:r w:rsidRPr="00CE3B0C">
        <w:rPr>
          <w:rFonts w:cs="Arial"/>
          <w:b/>
        </w:rPr>
        <w:t>carrier</w:t>
      </w:r>
      <w:r w:rsidRPr="00FD7E86">
        <w:rPr>
          <w:rFonts w:cs="Arial"/>
          <w:b/>
          <w:szCs w:val="20"/>
        </w:rPr>
        <w:t xml:space="preserve"> declaration</w:t>
      </w:r>
    </w:p>
    <w:p w14:paraId="423267F8" w14:textId="77777777" w:rsidR="00867045" w:rsidRDefault="00867045" w:rsidP="00867045">
      <w:r w:rsidRPr="00FD7E86">
        <w:t>Declaration made by the owner of a telecommunications network unit (facilities or infrastructure for delivery of telecommunications services) nominating a licensed carrier that will be responsible for the specified network unit.</w:t>
      </w:r>
    </w:p>
    <w:p w14:paraId="22CB7C1F" w14:textId="77777777" w:rsidR="000507EB" w:rsidRPr="000507EB" w:rsidRDefault="000507EB" w:rsidP="00CE3B0C">
      <w:pPr>
        <w:spacing w:after="0"/>
        <w:rPr>
          <w:rFonts w:cs="Arial"/>
          <w:b/>
          <w:szCs w:val="20"/>
        </w:rPr>
      </w:pPr>
      <w:r w:rsidRPr="000507EB">
        <w:rPr>
          <w:rFonts w:cs="Arial"/>
          <w:b/>
          <w:szCs w:val="20"/>
        </w:rPr>
        <w:t>NQCSP—Not a QCSP</w:t>
      </w:r>
    </w:p>
    <w:p w14:paraId="736581BB" w14:textId="77777777" w:rsidR="000507EB" w:rsidRPr="000507EB" w:rsidRDefault="000507EB" w:rsidP="00867045">
      <w:r>
        <w:t>See QCSP—Qualifying Carriage Service Provider.</w:t>
      </w:r>
    </w:p>
    <w:p w14:paraId="182EE649" w14:textId="77777777" w:rsidR="00867045" w:rsidRPr="00FD7E86" w:rsidRDefault="00867045" w:rsidP="00CE3B0C">
      <w:pPr>
        <w:spacing w:after="0"/>
        <w:rPr>
          <w:rFonts w:cs="Arial"/>
          <w:b/>
          <w:szCs w:val="20"/>
        </w:rPr>
      </w:pPr>
      <w:r w:rsidRPr="00FD7E86">
        <w:rPr>
          <w:rFonts w:cs="Arial"/>
          <w:b/>
          <w:szCs w:val="20"/>
        </w:rPr>
        <w:t xml:space="preserve">NRF—Network </w:t>
      </w:r>
      <w:r w:rsidRPr="00CE3B0C">
        <w:rPr>
          <w:rFonts w:cs="Arial"/>
          <w:b/>
        </w:rPr>
        <w:t>Reliability</w:t>
      </w:r>
      <w:r w:rsidRPr="00FD7E86">
        <w:rPr>
          <w:rFonts w:cs="Arial"/>
          <w:b/>
          <w:szCs w:val="20"/>
        </w:rPr>
        <w:t xml:space="preserve"> Framework</w:t>
      </w:r>
    </w:p>
    <w:p w14:paraId="5A454207" w14:textId="77777777" w:rsidR="00867045" w:rsidRPr="00FD7E86" w:rsidRDefault="00867045" w:rsidP="00867045">
      <w:r w:rsidRPr="00FD7E86">
        <w:t>Requirement on Telstra (since January 2003) to provide regular reports to the ACMA on the reliability of its fixed-line services, and to remediate the network in areas with particularly poor performance.</w:t>
      </w:r>
    </w:p>
    <w:p w14:paraId="2E02F9A2" w14:textId="77777777" w:rsidR="00867045" w:rsidRPr="00FD7E86" w:rsidRDefault="00867045" w:rsidP="00CE3B0C">
      <w:pPr>
        <w:spacing w:after="0"/>
        <w:rPr>
          <w:rFonts w:cs="Arial"/>
          <w:b/>
          <w:szCs w:val="20"/>
        </w:rPr>
      </w:pPr>
      <w:r w:rsidRPr="00FD7E86">
        <w:rPr>
          <w:rFonts w:cs="Arial"/>
          <w:b/>
          <w:szCs w:val="20"/>
        </w:rPr>
        <w:t>NRS—</w:t>
      </w:r>
      <w:r w:rsidRPr="00CE3B0C">
        <w:rPr>
          <w:rFonts w:cs="Arial"/>
          <w:b/>
        </w:rPr>
        <w:t>National</w:t>
      </w:r>
      <w:r w:rsidRPr="00FD7E86">
        <w:rPr>
          <w:rFonts w:cs="Arial"/>
          <w:b/>
          <w:szCs w:val="20"/>
        </w:rPr>
        <w:t xml:space="preserve"> Relay Service</w:t>
      </w:r>
    </w:p>
    <w:p w14:paraId="432F95B1" w14:textId="77777777" w:rsidR="00867045" w:rsidRPr="00FD7E86" w:rsidRDefault="00867045" w:rsidP="00867045">
      <w:r w:rsidRPr="00FD7E86">
        <w:t xml:space="preserve">Provides access to the standard telephone service for people with a hearing or speech impairment through the relay of voice, modem or TTY communications. Operates as a translation service between voice and non-voice users of the standard telephone service. </w:t>
      </w:r>
    </w:p>
    <w:p w14:paraId="138E78FA" w14:textId="77777777" w:rsidR="00867045" w:rsidRPr="00FD7E86" w:rsidRDefault="00867045" w:rsidP="00CE3B0C">
      <w:pPr>
        <w:spacing w:after="0"/>
        <w:rPr>
          <w:rFonts w:cs="Arial"/>
          <w:b/>
          <w:szCs w:val="20"/>
        </w:rPr>
      </w:pPr>
      <w:r w:rsidRPr="00FD7E86">
        <w:rPr>
          <w:rFonts w:cs="Arial"/>
          <w:b/>
          <w:szCs w:val="20"/>
        </w:rPr>
        <w:t xml:space="preserve">number </w:t>
      </w:r>
      <w:r w:rsidRPr="00CE3B0C">
        <w:rPr>
          <w:rFonts w:cs="Arial"/>
          <w:b/>
        </w:rPr>
        <w:t>portability</w:t>
      </w:r>
      <w:r w:rsidRPr="00FD7E86">
        <w:rPr>
          <w:rFonts w:cs="Arial"/>
          <w:b/>
          <w:szCs w:val="20"/>
        </w:rPr>
        <w:t xml:space="preserve"> </w:t>
      </w:r>
    </w:p>
    <w:p w14:paraId="5BC3C1D8" w14:textId="77777777" w:rsidR="00867045" w:rsidRPr="00FD7E86" w:rsidRDefault="00867045" w:rsidP="00867045">
      <w:r w:rsidRPr="00FD7E86">
        <w:t>Arrangements allowing customers to transfer their telecommunications service from one service provider to another without changing their number. Number portability is available for local numbers, freephone and local rate numbers, and mobile numbers.</w:t>
      </w:r>
    </w:p>
    <w:p w14:paraId="7FF0700E" w14:textId="77777777" w:rsidR="00867045" w:rsidRPr="00FD7E86" w:rsidRDefault="00867045" w:rsidP="00CE3B0C">
      <w:pPr>
        <w:spacing w:after="0"/>
        <w:rPr>
          <w:rFonts w:cs="Arial"/>
          <w:b/>
          <w:szCs w:val="20"/>
        </w:rPr>
      </w:pPr>
      <w:r w:rsidRPr="00FD7E86">
        <w:rPr>
          <w:rFonts w:cs="Arial"/>
          <w:b/>
          <w:szCs w:val="20"/>
        </w:rPr>
        <w:t>OTT—over-</w:t>
      </w:r>
      <w:r w:rsidRPr="00CE3B0C">
        <w:rPr>
          <w:rFonts w:cs="Arial"/>
          <w:b/>
        </w:rPr>
        <w:t>the</w:t>
      </w:r>
      <w:r w:rsidRPr="00FD7E86">
        <w:rPr>
          <w:rFonts w:cs="Arial"/>
          <w:b/>
          <w:szCs w:val="20"/>
        </w:rPr>
        <w:t>-top services</w:t>
      </w:r>
    </w:p>
    <w:p w14:paraId="4607BB34" w14:textId="77777777" w:rsidR="00867045" w:rsidRPr="00FD7E86" w:rsidRDefault="00867045" w:rsidP="00867045">
      <w:pPr>
        <w:autoSpaceDE w:val="0"/>
        <w:autoSpaceDN w:val="0"/>
        <w:adjustRightInd w:val="0"/>
        <w:spacing w:line="240" w:lineRule="auto"/>
      </w:pPr>
      <w:r w:rsidRPr="00FD7E86">
        <w:t xml:space="preserve">A general term for services delivered over a network that are not offered by that </w:t>
      </w:r>
      <w:r w:rsidRPr="002B4947">
        <w:t>network operator</w:t>
      </w:r>
      <w:r w:rsidRPr="00FD7E86">
        <w:t xml:space="preserve">. These services ride on top of the infrastructure service and are provided independently of the </w:t>
      </w:r>
      <w:r w:rsidRPr="002B4947">
        <w:t>network operator</w:t>
      </w:r>
      <w:r w:rsidRPr="00FD7E86">
        <w:t xml:space="preserve">. </w:t>
      </w:r>
    </w:p>
    <w:p w14:paraId="31A585F2" w14:textId="77777777" w:rsidR="00867045" w:rsidRPr="00FD7E86" w:rsidRDefault="00867045" w:rsidP="00CE3B0C">
      <w:pPr>
        <w:spacing w:after="0"/>
        <w:rPr>
          <w:rFonts w:cs="Arial"/>
          <w:b/>
          <w:szCs w:val="20"/>
        </w:rPr>
      </w:pPr>
      <w:r w:rsidRPr="00FD7E86">
        <w:rPr>
          <w:rFonts w:cs="Arial"/>
          <w:b/>
          <w:szCs w:val="20"/>
        </w:rPr>
        <w:t xml:space="preserve">pay TV </w:t>
      </w:r>
    </w:p>
    <w:p w14:paraId="36105667" w14:textId="77777777" w:rsidR="00867045" w:rsidRPr="00FD7E86" w:rsidRDefault="00867045" w:rsidP="00867045">
      <w:r w:rsidRPr="00FD7E86">
        <w:t xml:space="preserve">See </w:t>
      </w:r>
      <w:r w:rsidRPr="00FD7E86">
        <w:rPr>
          <w:b/>
        </w:rPr>
        <w:t>subscription television</w:t>
      </w:r>
      <w:r w:rsidRPr="00FD7E86">
        <w:t>.</w:t>
      </w:r>
    </w:p>
    <w:p w14:paraId="2BCF7DD1" w14:textId="77777777" w:rsidR="00867045" w:rsidRPr="00FD7E86" w:rsidRDefault="00867045" w:rsidP="00CE3B0C">
      <w:pPr>
        <w:spacing w:after="0"/>
        <w:rPr>
          <w:rFonts w:cs="Arial"/>
          <w:b/>
          <w:szCs w:val="20"/>
        </w:rPr>
      </w:pPr>
      <w:r w:rsidRPr="00CE3B0C">
        <w:rPr>
          <w:rFonts w:cs="Arial"/>
          <w:b/>
        </w:rPr>
        <w:t>payphone</w:t>
      </w:r>
      <w:r w:rsidRPr="00FD7E86">
        <w:rPr>
          <w:rFonts w:cs="Arial"/>
          <w:b/>
          <w:szCs w:val="20"/>
        </w:rPr>
        <w:t xml:space="preserve"> </w:t>
      </w:r>
    </w:p>
    <w:p w14:paraId="521A90F1" w14:textId="77777777" w:rsidR="00867045" w:rsidRPr="00FD7E86" w:rsidRDefault="00867045" w:rsidP="00867045">
      <w:r w:rsidRPr="00FD7E86">
        <w:t>A public telephone where calls may be paid for with coins, phone cards, credit cards or reverse charge facilities.</w:t>
      </w:r>
    </w:p>
    <w:p w14:paraId="60375B78" w14:textId="77777777" w:rsidR="00867045" w:rsidRPr="00FD7E86" w:rsidRDefault="00867045" w:rsidP="009A2DA4">
      <w:pPr>
        <w:keepNext/>
        <w:spacing w:after="0"/>
        <w:rPr>
          <w:rFonts w:cs="Arial"/>
          <w:b/>
          <w:szCs w:val="20"/>
        </w:rPr>
      </w:pPr>
      <w:r w:rsidRPr="00CE3B0C">
        <w:rPr>
          <w:rFonts w:cs="Arial"/>
          <w:b/>
        </w:rPr>
        <w:lastRenderedPageBreak/>
        <w:t>portability</w:t>
      </w:r>
      <w:r w:rsidRPr="00FD7E86">
        <w:rPr>
          <w:rFonts w:cs="Arial"/>
          <w:b/>
          <w:szCs w:val="20"/>
        </w:rPr>
        <w:t xml:space="preserve"> </w:t>
      </w:r>
    </w:p>
    <w:p w14:paraId="46BCF657" w14:textId="77777777" w:rsidR="00867045" w:rsidRPr="00FD7E86" w:rsidRDefault="00867045" w:rsidP="00867045">
      <w:r w:rsidRPr="00FD7E86">
        <w:t xml:space="preserve">See </w:t>
      </w:r>
      <w:r w:rsidRPr="00FD7E86">
        <w:rPr>
          <w:b/>
        </w:rPr>
        <w:t>number portability</w:t>
      </w:r>
      <w:r w:rsidRPr="00FD7E86">
        <w:t>.</w:t>
      </w:r>
    </w:p>
    <w:p w14:paraId="5A434916" w14:textId="77777777" w:rsidR="00867045" w:rsidRPr="00FD7E86" w:rsidRDefault="00867045" w:rsidP="00CE3B0C">
      <w:pPr>
        <w:spacing w:after="0"/>
        <w:rPr>
          <w:rFonts w:cs="Arial"/>
          <w:b/>
          <w:szCs w:val="20"/>
        </w:rPr>
      </w:pPr>
      <w:r w:rsidRPr="00FD7E86">
        <w:rPr>
          <w:rFonts w:cs="Arial"/>
          <w:b/>
          <w:szCs w:val="20"/>
        </w:rPr>
        <w:t xml:space="preserve">post-paid </w:t>
      </w:r>
    </w:p>
    <w:p w14:paraId="6257B6E5" w14:textId="77777777" w:rsidR="00867045" w:rsidRPr="00FD7E86" w:rsidRDefault="00867045" w:rsidP="00867045">
      <w:r w:rsidRPr="00FD7E86">
        <w:t>A contract under which a user is charged on a periodic basis, depending on service usage during the previous billing period.</w:t>
      </w:r>
    </w:p>
    <w:p w14:paraId="5A104A3A" w14:textId="77777777" w:rsidR="00867045" w:rsidRPr="00FD7E86" w:rsidRDefault="00867045" w:rsidP="00CE3B0C">
      <w:pPr>
        <w:spacing w:after="0"/>
        <w:rPr>
          <w:rFonts w:cs="Arial"/>
          <w:b/>
          <w:szCs w:val="20"/>
        </w:rPr>
      </w:pPr>
      <w:r w:rsidRPr="00CE3B0C">
        <w:rPr>
          <w:rFonts w:cs="Arial"/>
          <w:b/>
        </w:rPr>
        <w:t>prepaid</w:t>
      </w:r>
      <w:r w:rsidRPr="00FD7E86">
        <w:rPr>
          <w:rFonts w:cs="Arial"/>
          <w:b/>
          <w:szCs w:val="20"/>
        </w:rPr>
        <w:t xml:space="preserve"> </w:t>
      </w:r>
    </w:p>
    <w:p w14:paraId="3DFC8782" w14:textId="77777777" w:rsidR="00867045" w:rsidRPr="00FD7E86" w:rsidRDefault="00867045" w:rsidP="00867045">
      <w:r w:rsidRPr="00FD7E86">
        <w:t>A contract system by which users pay an amount up-front to purchase a certain amount of usage or credit.</w:t>
      </w:r>
    </w:p>
    <w:p w14:paraId="1BE76A69" w14:textId="77777777" w:rsidR="00867045" w:rsidRPr="00FD7E86" w:rsidRDefault="00867045" w:rsidP="00CE3B0C">
      <w:pPr>
        <w:spacing w:after="0"/>
        <w:rPr>
          <w:rFonts w:cs="Arial"/>
          <w:b/>
          <w:szCs w:val="20"/>
        </w:rPr>
      </w:pPr>
      <w:r w:rsidRPr="00FD7E86">
        <w:rPr>
          <w:rFonts w:cs="Arial"/>
          <w:b/>
          <w:szCs w:val="20"/>
        </w:rPr>
        <w:t>PSTN—public switched telecommunications network</w:t>
      </w:r>
    </w:p>
    <w:p w14:paraId="17E9EC01" w14:textId="77777777" w:rsidR="00867045" w:rsidRPr="00FD7E86" w:rsidRDefault="00867045" w:rsidP="00867045">
      <w:r w:rsidRPr="00FD7E86">
        <w:t>Public telecommunications network to provide telephone services to subscribers.</w:t>
      </w:r>
    </w:p>
    <w:p w14:paraId="040F9C23" w14:textId="77777777" w:rsidR="00867045" w:rsidRPr="00FD7E86" w:rsidRDefault="00867045" w:rsidP="00CE3B0C">
      <w:pPr>
        <w:spacing w:after="0"/>
        <w:rPr>
          <w:rFonts w:cs="Arial"/>
          <w:b/>
          <w:szCs w:val="20"/>
        </w:rPr>
      </w:pPr>
      <w:r w:rsidRPr="00CE3B0C">
        <w:rPr>
          <w:rFonts w:cs="Arial"/>
          <w:b/>
        </w:rPr>
        <w:t>PUSP</w:t>
      </w:r>
      <w:r w:rsidRPr="00FD7E86">
        <w:rPr>
          <w:rFonts w:cs="Arial"/>
          <w:b/>
          <w:szCs w:val="20"/>
        </w:rPr>
        <w:t>—primary universal service provider</w:t>
      </w:r>
    </w:p>
    <w:p w14:paraId="65E59FE9" w14:textId="77777777" w:rsidR="00867045" w:rsidRPr="00FD7E86" w:rsidRDefault="00867045" w:rsidP="00867045">
      <w:pPr>
        <w:rPr>
          <w:bCs/>
        </w:rPr>
      </w:pPr>
      <w:r w:rsidRPr="00FD7E86">
        <w:t xml:space="preserve">See </w:t>
      </w:r>
      <w:r w:rsidRPr="00FD7E86">
        <w:rPr>
          <w:b/>
          <w:bCs/>
        </w:rPr>
        <w:t>USP—universal service provider.</w:t>
      </w:r>
    </w:p>
    <w:p w14:paraId="3534AC80" w14:textId="77777777" w:rsidR="00867045" w:rsidRPr="00FD7E86" w:rsidRDefault="00867045" w:rsidP="00CE3B0C">
      <w:pPr>
        <w:spacing w:after="0"/>
        <w:rPr>
          <w:b/>
          <w:szCs w:val="26"/>
        </w:rPr>
      </w:pPr>
      <w:r w:rsidRPr="00FD7E86">
        <w:rPr>
          <w:rFonts w:cs="Arial"/>
          <w:b/>
          <w:szCs w:val="20"/>
        </w:rPr>
        <w:t>QCSP—Qualifying Carriage Service Provider</w:t>
      </w:r>
    </w:p>
    <w:p w14:paraId="40CA71D5" w14:textId="77777777" w:rsidR="00867045" w:rsidRPr="00FD7E86" w:rsidRDefault="00867045" w:rsidP="00867045">
      <w:r w:rsidRPr="00FD7E86">
        <w:t>CSPs that have 100,000 or more services covered by the CSG Standard as at the last day of the preceding financial year.</w:t>
      </w:r>
    </w:p>
    <w:p w14:paraId="317DCF39" w14:textId="77777777" w:rsidR="00867045" w:rsidRPr="00FD7E86" w:rsidRDefault="00867045" w:rsidP="00CE3B0C">
      <w:pPr>
        <w:spacing w:after="0"/>
        <w:rPr>
          <w:rFonts w:cs="Arial"/>
          <w:b/>
          <w:szCs w:val="20"/>
        </w:rPr>
      </w:pPr>
      <w:r w:rsidRPr="00FD7E86">
        <w:rPr>
          <w:rFonts w:cs="Arial"/>
          <w:b/>
          <w:szCs w:val="20"/>
        </w:rPr>
        <w:t>RVA—recorded voice announcement</w:t>
      </w:r>
    </w:p>
    <w:p w14:paraId="42838530" w14:textId="77777777" w:rsidR="00867045" w:rsidRPr="00FD7E86" w:rsidRDefault="00867045" w:rsidP="00867045">
      <w:pPr>
        <w:rPr>
          <w:bCs/>
        </w:rPr>
      </w:pPr>
      <w:r w:rsidRPr="00FD7E86">
        <w:rPr>
          <w:bCs/>
        </w:rPr>
        <w:t xml:space="preserve">A pre-recorded audio message played to listeners; for example, the message now played to all callers to the Triple Zero (000) emergency service. </w:t>
      </w:r>
    </w:p>
    <w:p w14:paraId="4A996737" w14:textId="77777777" w:rsidR="00867045" w:rsidRPr="00FD7E86" w:rsidRDefault="00867045" w:rsidP="00CE3B0C">
      <w:pPr>
        <w:spacing w:after="0"/>
        <w:rPr>
          <w:rFonts w:cs="Arial"/>
          <w:b/>
          <w:szCs w:val="20"/>
        </w:rPr>
      </w:pPr>
      <w:r w:rsidRPr="00FD7E86">
        <w:rPr>
          <w:rFonts w:cs="Arial"/>
          <w:b/>
          <w:szCs w:val="20"/>
        </w:rPr>
        <w:t>SAM—</w:t>
      </w:r>
      <w:r w:rsidR="009627C2">
        <w:rPr>
          <w:rFonts w:cs="Arial"/>
          <w:b/>
          <w:szCs w:val="20"/>
        </w:rPr>
        <w:t>s</w:t>
      </w:r>
      <w:r w:rsidRPr="00FD7E86">
        <w:rPr>
          <w:rFonts w:cs="Arial"/>
          <w:b/>
          <w:szCs w:val="20"/>
        </w:rPr>
        <w:t>erving area module</w:t>
      </w:r>
    </w:p>
    <w:p w14:paraId="7A198E94" w14:textId="77777777" w:rsidR="00867045" w:rsidRPr="00FD7E86" w:rsidRDefault="00867045" w:rsidP="00867045">
      <w:pPr>
        <w:rPr>
          <w:rFonts w:cs="Arial"/>
          <w:szCs w:val="20"/>
        </w:rPr>
      </w:pPr>
      <w:r w:rsidRPr="00FD7E86">
        <w:rPr>
          <w:rFonts w:cs="Arial"/>
          <w:szCs w:val="20"/>
        </w:rPr>
        <w:t xml:space="preserve">Defined, by </w:t>
      </w:r>
      <w:r w:rsidR="009627C2">
        <w:rPr>
          <w:rFonts w:cs="Arial"/>
          <w:szCs w:val="20"/>
        </w:rPr>
        <w:t>NBN Co</w:t>
      </w:r>
      <w:r w:rsidR="009627C2" w:rsidRPr="00FD7E86">
        <w:rPr>
          <w:rFonts w:cs="Arial"/>
          <w:szCs w:val="20"/>
        </w:rPr>
        <w:t xml:space="preserve"> </w:t>
      </w:r>
      <w:r w:rsidRPr="00FD7E86">
        <w:rPr>
          <w:rFonts w:cs="Arial"/>
          <w:szCs w:val="20"/>
        </w:rPr>
        <w:t xml:space="preserve">as part of </w:t>
      </w:r>
      <w:r>
        <w:rPr>
          <w:rFonts w:cs="Arial"/>
          <w:szCs w:val="20"/>
        </w:rPr>
        <w:t>its</w:t>
      </w:r>
      <w:r w:rsidRPr="00FD7E86">
        <w:rPr>
          <w:rFonts w:cs="Arial"/>
          <w:szCs w:val="20"/>
        </w:rPr>
        <w:t xml:space="preserve"> network architecture, as a geographical subset of premise</w:t>
      </w:r>
      <w:r w:rsidR="009627C2">
        <w:rPr>
          <w:rFonts w:cs="Arial"/>
          <w:szCs w:val="20"/>
        </w:rPr>
        <w:t>s</w:t>
      </w:r>
      <w:r w:rsidRPr="00FD7E86">
        <w:rPr>
          <w:rFonts w:cs="Arial"/>
          <w:szCs w:val="20"/>
        </w:rPr>
        <w:t xml:space="preserve"> to be served by the NBN.</w:t>
      </w:r>
    </w:p>
    <w:p w14:paraId="417FCFA8" w14:textId="77777777" w:rsidR="00867045" w:rsidRPr="00FD7E86" w:rsidRDefault="00867045" w:rsidP="00CE3B0C">
      <w:pPr>
        <w:spacing w:after="0"/>
        <w:rPr>
          <w:rFonts w:cs="Arial"/>
          <w:b/>
          <w:szCs w:val="20"/>
        </w:rPr>
      </w:pPr>
      <w:r w:rsidRPr="00FD7E86">
        <w:rPr>
          <w:rFonts w:cs="Arial"/>
          <w:b/>
          <w:szCs w:val="20"/>
        </w:rPr>
        <w:t xml:space="preserve">SBS—Special </w:t>
      </w:r>
      <w:r w:rsidRPr="00CE3B0C">
        <w:rPr>
          <w:rFonts w:cs="Arial"/>
          <w:b/>
        </w:rPr>
        <w:t>Broadcasting</w:t>
      </w:r>
      <w:r w:rsidRPr="00FD7E86">
        <w:rPr>
          <w:rFonts w:cs="Arial"/>
          <w:b/>
          <w:szCs w:val="20"/>
        </w:rPr>
        <w:t xml:space="preserve"> Service</w:t>
      </w:r>
    </w:p>
    <w:p w14:paraId="5F4E3EAA" w14:textId="77777777" w:rsidR="00867045" w:rsidRPr="00FD7E86" w:rsidRDefault="00867045" w:rsidP="00841849">
      <w:pPr>
        <w:keepLines/>
      </w:pPr>
      <w:r w:rsidRPr="00FD7E86">
        <w:t>Free-to-air national radio and television broadcasting service providing multilingual and multicultural programs that inform, educate and entertain all Australians and, in doing so, reflect Australia’s multicultural society. The SBS Online service also provides additional multilingual content through the internet.</w:t>
      </w:r>
    </w:p>
    <w:p w14:paraId="57C6E968" w14:textId="77777777" w:rsidR="00867045" w:rsidRPr="00FD7E86" w:rsidRDefault="00867045" w:rsidP="00CE3B0C">
      <w:pPr>
        <w:spacing w:after="0"/>
        <w:rPr>
          <w:rFonts w:cs="Arial"/>
          <w:b/>
          <w:szCs w:val="20"/>
        </w:rPr>
      </w:pPr>
      <w:r w:rsidRPr="00FD7E86">
        <w:rPr>
          <w:rFonts w:cs="Arial"/>
          <w:b/>
          <w:szCs w:val="20"/>
        </w:rPr>
        <w:t>SIO—</w:t>
      </w:r>
      <w:r w:rsidRPr="00CE3B0C">
        <w:rPr>
          <w:rFonts w:cs="Arial"/>
          <w:b/>
        </w:rPr>
        <w:t>services</w:t>
      </w:r>
      <w:r w:rsidRPr="00FD7E86">
        <w:rPr>
          <w:rFonts w:cs="Arial"/>
          <w:b/>
          <w:szCs w:val="20"/>
        </w:rPr>
        <w:t xml:space="preserve"> in operation</w:t>
      </w:r>
    </w:p>
    <w:p w14:paraId="04F518F8" w14:textId="77777777" w:rsidR="00867045" w:rsidRPr="00FD7E86" w:rsidRDefault="00867045" w:rsidP="00867045">
      <w:r w:rsidRPr="00FD7E86">
        <w:t>The number of services provided by a telephone company at a particular time. The term is used in the context of both fixed-line and mobile services.</w:t>
      </w:r>
    </w:p>
    <w:p w14:paraId="49CBA1EF" w14:textId="77777777" w:rsidR="00867045" w:rsidRPr="00FD7E86" w:rsidRDefault="00867045" w:rsidP="00CE3B0C">
      <w:pPr>
        <w:spacing w:after="0"/>
        <w:rPr>
          <w:rFonts w:cs="Arial"/>
          <w:b/>
          <w:szCs w:val="20"/>
        </w:rPr>
      </w:pPr>
      <w:r w:rsidRPr="00CE3B0C">
        <w:rPr>
          <w:rFonts w:cs="Arial"/>
          <w:b/>
        </w:rPr>
        <w:t>smartnumbers</w:t>
      </w:r>
      <w:r w:rsidRPr="00FD7E86">
        <w:rPr>
          <w:rFonts w:cs="Arial"/>
          <w:b/>
          <w:szCs w:val="20"/>
        </w:rPr>
        <w:t xml:space="preserve"> </w:t>
      </w:r>
    </w:p>
    <w:p w14:paraId="24101E60" w14:textId="77777777" w:rsidR="00867045" w:rsidRPr="00FD7E86" w:rsidRDefault="00867045" w:rsidP="00867045">
      <w:r w:rsidRPr="00FD7E86">
        <w:t xml:space="preserve">Specified freephone (1800) or local rate (13 or 1300) numbers </w:t>
      </w:r>
      <w:r w:rsidR="009D54DB">
        <w:t>that are</w:t>
      </w:r>
      <w:r w:rsidRPr="00FD7E86">
        <w:t xml:space="preserve"> considered desirable because they can be translated to a phoneword or they have a memorable pattern.</w:t>
      </w:r>
    </w:p>
    <w:p w14:paraId="196A0678" w14:textId="77777777" w:rsidR="00867045" w:rsidRPr="00FD7E86" w:rsidRDefault="00867045" w:rsidP="00CE3B0C">
      <w:pPr>
        <w:spacing w:after="0"/>
        <w:rPr>
          <w:rFonts w:cs="Arial"/>
          <w:b/>
          <w:szCs w:val="20"/>
        </w:rPr>
      </w:pPr>
      <w:r w:rsidRPr="00CE3B0C">
        <w:rPr>
          <w:rFonts w:cs="Arial"/>
          <w:b/>
        </w:rPr>
        <w:t>smartphone</w:t>
      </w:r>
    </w:p>
    <w:p w14:paraId="1386E8E9" w14:textId="77777777" w:rsidR="00867045" w:rsidRPr="00FD7E86" w:rsidRDefault="00867045" w:rsidP="00867045">
      <w:r w:rsidRPr="00FD7E86">
        <w:t xml:space="preserve">A mobile phone built on a mobile operating system, with more advanced computing capability and connectivity. </w:t>
      </w:r>
    </w:p>
    <w:p w14:paraId="39A1F8C7" w14:textId="77777777" w:rsidR="00867045" w:rsidRPr="00FD7E86" w:rsidRDefault="00867045" w:rsidP="00CE3B0C">
      <w:pPr>
        <w:spacing w:after="0"/>
        <w:rPr>
          <w:rFonts w:cs="Arial"/>
          <w:b/>
          <w:szCs w:val="20"/>
        </w:rPr>
      </w:pPr>
      <w:r w:rsidRPr="00FD7E86">
        <w:rPr>
          <w:rFonts w:cs="Arial"/>
          <w:b/>
          <w:szCs w:val="20"/>
        </w:rPr>
        <w:t>SMS—</w:t>
      </w:r>
      <w:r w:rsidRPr="00CE3B0C">
        <w:rPr>
          <w:rFonts w:cs="Arial"/>
          <w:b/>
        </w:rPr>
        <w:t>short</w:t>
      </w:r>
      <w:r w:rsidRPr="00FD7E86">
        <w:rPr>
          <w:rFonts w:cs="Arial"/>
          <w:b/>
          <w:szCs w:val="20"/>
        </w:rPr>
        <w:t xml:space="preserve"> message service</w:t>
      </w:r>
    </w:p>
    <w:p w14:paraId="15D1C4BC" w14:textId="77777777" w:rsidR="00867045" w:rsidRPr="00FD7E86" w:rsidRDefault="00867045" w:rsidP="00867045">
      <w:r w:rsidRPr="00FD7E86">
        <w:t>A mobile telecommunications data transmission service that allows users to send short text messages to each other using a mobile handset.</w:t>
      </w:r>
    </w:p>
    <w:p w14:paraId="2B751CFE" w14:textId="77777777" w:rsidR="00867045" w:rsidRDefault="00867045" w:rsidP="00CE3B0C">
      <w:pPr>
        <w:spacing w:after="0"/>
        <w:rPr>
          <w:rFonts w:cs="Arial"/>
          <w:b/>
          <w:szCs w:val="20"/>
        </w:rPr>
      </w:pPr>
      <w:r w:rsidRPr="00CE3B0C">
        <w:rPr>
          <w:rFonts w:cs="Arial"/>
          <w:b/>
        </w:rPr>
        <w:t>Software</w:t>
      </w:r>
      <w:r w:rsidRPr="0054217A">
        <w:rPr>
          <w:rFonts w:cs="Arial"/>
          <w:b/>
          <w:szCs w:val="20"/>
        </w:rPr>
        <w:t xml:space="preserve">-defined networking </w:t>
      </w:r>
    </w:p>
    <w:p w14:paraId="46E5F4B2" w14:textId="77777777" w:rsidR="00867045" w:rsidRPr="0032755E" w:rsidRDefault="00867045" w:rsidP="00531CD0">
      <w:pPr>
        <w:rPr>
          <w:rFonts w:cs="Arial"/>
          <w:szCs w:val="20"/>
        </w:rPr>
      </w:pPr>
      <w:r w:rsidRPr="0032755E">
        <w:rPr>
          <w:rFonts w:cs="Arial"/>
          <w:szCs w:val="20"/>
        </w:rPr>
        <w:t xml:space="preserve">An </w:t>
      </w:r>
      <w:r>
        <w:rPr>
          <w:rFonts w:cs="Arial"/>
          <w:szCs w:val="20"/>
        </w:rPr>
        <w:t xml:space="preserve">umbrella term encompassing several kinds of network technology aimed at making the network more flexible and </w:t>
      </w:r>
      <w:r w:rsidRPr="006451F5">
        <w:t>agile</w:t>
      </w:r>
      <w:r>
        <w:rPr>
          <w:rFonts w:cs="Arial"/>
          <w:szCs w:val="20"/>
        </w:rPr>
        <w:t xml:space="preserve"> to support </w:t>
      </w:r>
      <w:r w:rsidRPr="009C2BEB">
        <w:rPr>
          <w:rFonts w:cs="Arial"/>
          <w:szCs w:val="20"/>
        </w:rPr>
        <w:t>the virtuali</w:t>
      </w:r>
      <w:r w:rsidR="009627C2">
        <w:rPr>
          <w:rFonts w:cs="Arial"/>
          <w:szCs w:val="20"/>
        </w:rPr>
        <w:t>s</w:t>
      </w:r>
      <w:r w:rsidRPr="009C2BEB">
        <w:rPr>
          <w:rFonts w:cs="Arial"/>
          <w:szCs w:val="20"/>
        </w:rPr>
        <w:t>ed server and storage infrastr</w:t>
      </w:r>
      <w:r>
        <w:rPr>
          <w:rFonts w:cs="Arial"/>
          <w:szCs w:val="20"/>
        </w:rPr>
        <w:t xml:space="preserve">ucture of the modern data centre. </w:t>
      </w:r>
    </w:p>
    <w:p w14:paraId="7EE921E2" w14:textId="77777777" w:rsidR="00867045" w:rsidRPr="00FD7E86" w:rsidRDefault="00867045" w:rsidP="009A2DA4">
      <w:pPr>
        <w:keepNext/>
        <w:spacing w:after="0"/>
        <w:rPr>
          <w:rFonts w:cs="Arial"/>
          <w:b/>
          <w:szCs w:val="20"/>
        </w:rPr>
      </w:pPr>
      <w:r w:rsidRPr="00CE3B0C">
        <w:rPr>
          <w:rFonts w:cs="Arial"/>
          <w:b/>
        </w:rPr>
        <w:lastRenderedPageBreak/>
        <w:t>spam</w:t>
      </w:r>
    </w:p>
    <w:p w14:paraId="50C5D768" w14:textId="77777777" w:rsidR="00867045" w:rsidRPr="00FD7E86" w:rsidRDefault="00867045" w:rsidP="00867045">
      <w:r w:rsidRPr="00FD7E86">
        <w:t>Unsolicited commercial electronic messages that are sent by email, SMS, MMS and/or instant messaging.</w:t>
      </w:r>
    </w:p>
    <w:p w14:paraId="50E597CF" w14:textId="77777777" w:rsidR="00867045" w:rsidRPr="00FD7E86" w:rsidRDefault="00867045" w:rsidP="009A2DA4">
      <w:pPr>
        <w:keepNext/>
        <w:spacing w:after="0"/>
        <w:rPr>
          <w:rFonts w:cs="Arial"/>
          <w:b/>
          <w:szCs w:val="20"/>
        </w:rPr>
      </w:pPr>
      <w:r w:rsidRPr="00FD7E86">
        <w:rPr>
          <w:rFonts w:cs="Arial"/>
          <w:b/>
          <w:szCs w:val="20"/>
        </w:rPr>
        <w:t xml:space="preserve">standard </w:t>
      </w:r>
      <w:r w:rsidRPr="00CE3B0C">
        <w:rPr>
          <w:rFonts w:cs="Arial"/>
          <w:b/>
        </w:rPr>
        <w:t>telephone</w:t>
      </w:r>
      <w:r w:rsidRPr="00FD7E86">
        <w:rPr>
          <w:rFonts w:cs="Arial"/>
          <w:b/>
          <w:szCs w:val="20"/>
        </w:rPr>
        <w:t xml:space="preserve"> service</w:t>
      </w:r>
    </w:p>
    <w:p w14:paraId="12FDB0AD" w14:textId="77777777" w:rsidR="00867045" w:rsidRPr="00FD7E86" w:rsidRDefault="00867045" w:rsidP="00867045">
      <w:r w:rsidRPr="00FD7E86">
        <w:t xml:space="preserve">The telecommunications service defined as a carriage service providing voice telephony or an equivalent service that meets the requirements of the </w:t>
      </w:r>
      <w:r w:rsidRPr="00FD7E86">
        <w:rPr>
          <w:i/>
        </w:rPr>
        <w:t>Telecommunications (Consumer Protection and Service Standards) Act 1999</w:t>
      </w:r>
      <w:r w:rsidRPr="00FD7E86">
        <w:t xml:space="preserve"> and the </w:t>
      </w:r>
      <w:r w:rsidRPr="00FD7E86">
        <w:rPr>
          <w:i/>
        </w:rPr>
        <w:t>Disability Discrimination Act 1992</w:t>
      </w:r>
      <w:r w:rsidRPr="00FD7E86">
        <w:t>.</w:t>
      </w:r>
    </w:p>
    <w:p w14:paraId="296F9379" w14:textId="77777777" w:rsidR="00867045" w:rsidRPr="00FD7E86" w:rsidRDefault="00867045" w:rsidP="00CE3B0C">
      <w:pPr>
        <w:spacing w:after="0"/>
        <w:rPr>
          <w:rFonts w:cs="Arial"/>
          <w:b/>
          <w:szCs w:val="20"/>
        </w:rPr>
      </w:pPr>
      <w:r w:rsidRPr="00CE3B0C">
        <w:rPr>
          <w:rFonts w:cs="Arial"/>
          <w:b/>
        </w:rPr>
        <w:t>subscribers</w:t>
      </w:r>
    </w:p>
    <w:p w14:paraId="38794C65" w14:textId="77777777" w:rsidR="00867045" w:rsidRPr="00FD7E86" w:rsidRDefault="00867045" w:rsidP="00867045">
      <w:r w:rsidRPr="00FD7E86">
        <w:t xml:space="preserve">ABS subscriber statistics measure the number of ‘subscriber lines’ rather than the number of ‘users’. Counts of subscribers are not the same as counts of people/organisations with internet access. This is because some subscribers may have accounts with more than one ISP or multiple accounts with a single ISP. </w:t>
      </w:r>
    </w:p>
    <w:p w14:paraId="20748474" w14:textId="77777777" w:rsidR="00867045" w:rsidRPr="00FD7E86" w:rsidRDefault="00867045" w:rsidP="00CE3B0C">
      <w:pPr>
        <w:spacing w:after="0"/>
        <w:rPr>
          <w:rFonts w:cs="Arial"/>
          <w:b/>
          <w:szCs w:val="20"/>
        </w:rPr>
      </w:pPr>
      <w:r w:rsidRPr="00CE3B0C">
        <w:rPr>
          <w:rFonts w:cs="Arial"/>
          <w:b/>
        </w:rPr>
        <w:t>subscription</w:t>
      </w:r>
      <w:r w:rsidRPr="00FD7E86">
        <w:rPr>
          <w:rFonts w:cs="Arial"/>
          <w:b/>
          <w:szCs w:val="20"/>
        </w:rPr>
        <w:t xml:space="preserve"> television</w:t>
      </w:r>
    </w:p>
    <w:p w14:paraId="310A0DBD" w14:textId="77777777" w:rsidR="00867045" w:rsidRPr="00FD7E86" w:rsidRDefault="00867045" w:rsidP="00867045">
      <w:r w:rsidRPr="00FD7E86">
        <w:t>Service providing access, for a fee, to television channels transmitted using cable, satellite or terrestrial microwave.</w:t>
      </w:r>
    </w:p>
    <w:p w14:paraId="69BDDCF5" w14:textId="77777777" w:rsidR="00867045" w:rsidRPr="00821847" w:rsidRDefault="00867045" w:rsidP="00CE3B0C">
      <w:pPr>
        <w:spacing w:after="0"/>
        <w:rPr>
          <w:rFonts w:cs="Arial"/>
          <w:b/>
          <w:szCs w:val="20"/>
        </w:rPr>
      </w:pPr>
      <w:r w:rsidRPr="00821847">
        <w:rPr>
          <w:rFonts w:cs="Arial"/>
          <w:b/>
          <w:szCs w:val="20"/>
        </w:rPr>
        <w:t>SVOD—subscription video on demand</w:t>
      </w:r>
    </w:p>
    <w:p w14:paraId="33D27FEB" w14:textId="77777777" w:rsidR="00867045" w:rsidRPr="00FD7E86" w:rsidRDefault="00867045" w:rsidP="00867045">
      <w:pPr>
        <w:rPr>
          <w:b/>
        </w:rPr>
      </w:pPr>
      <w:r w:rsidRPr="00FD7E86">
        <w:rPr>
          <w:rStyle w:val="tgc"/>
          <w:color w:val="222222"/>
        </w:rPr>
        <w:t>An internet service that gives users unlimited access to a range of online video content at any time, for a flat monthly fee. Users can start and stop the program they are watching when they choose.</w:t>
      </w:r>
    </w:p>
    <w:p w14:paraId="2D8216D7" w14:textId="77777777" w:rsidR="00867045" w:rsidRPr="00FD7E86" w:rsidRDefault="00867045" w:rsidP="00CE3B0C">
      <w:pPr>
        <w:spacing w:after="0"/>
        <w:rPr>
          <w:rFonts w:cs="Arial"/>
          <w:b/>
          <w:szCs w:val="20"/>
        </w:rPr>
      </w:pPr>
      <w:r w:rsidRPr="00CE3B0C">
        <w:rPr>
          <w:rFonts w:cs="Arial"/>
          <w:b/>
        </w:rPr>
        <w:t>take</w:t>
      </w:r>
      <w:r w:rsidRPr="00FD7E86">
        <w:rPr>
          <w:rFonts w:cs="Arial"/>
          <w:b/>
          <w:szCs w:val="20"/>
        </w:rPr>
        <w:t xml:space="preserve">-up </w:t>
      </w:r>
    </w:p>
    <w:p w14:paraId="72B2FFFB" w14:textId="77777777" w:rsidR="00867045" w:rsidRPr="00FD7E86" w:rsidRDefault="00867045" w:rsidP="00867045">
      <w:r w:rsidRPr="00FD7E86">
        <w:t>Adoption of a service or product by users.</w:t>
      </w:r>
    </w:p>
    <w:p w14:paraId="58134422" w14:textId="77777777" w:rsidR="00867045" w:rsidRPr="00FD7E86" w:rsidRDefault="00867045" w:rsidP="00CE3B0C">
      <w:pPr>
        <w:spacing w:after="0"/>
        <w:rPr>
          <w:rFonts w:cs="Arial"/>
          <w:b/>
          <w:szCs w:val="20"/>
        </w:rPr>
      </w:pPr>
      <w:r w:rsidRPr="00FD7E86">
        <w:rPr>
          <w:rFonts w:cs="Arial"/>
          <w:b/>
          <w:szCs w:val="20"/>
        </w:rPr>
        <w:t>TB—</w:t>
      </w:r>
      <w:r w:rsidRPr="00CE3B0C">
        <w:rPr>
          <w:rFonts w:cs="Arial"/>
          <w:b/>
        </w:rPr>
        <w:t>terabyte</w:t>
      </w:r>
    </w:p>
    <w:p w14:paraId="7629A13E" w14:textId="77777777" w:rsidR="00867045" w:rsidRPr="00FD7E86" w:rsidRDefault="00867045" w:rsidP="00867045">
      <w:r w:rsidRPr="00FD7E86">
        <w:t>One thousand gigabytes.</w:t>
      </w:r>
    </w:p>
    <w:p w14:paraId="361BC002" w14:textId="77777777" w:rsidR="00867045" w:rsidRPr="00FD7E86" w:rsidRDefault="00867045" w:rsidP="00CE3B0C">
      <w:pPr>
        <w:spacing w:after="0"/>
        <w:rPr>
          <w:rFonts w:cs="Arial"/>
          <w:b/>
          <w:szCs w:val="20"/>
        </w:rPr>
      </w:pPr>
      <w:r w:rsidRPr="00FD7E86">
        <w:rPr>
          <w:rFonts w:cs="Arial"/>
          <w:b/>
          <w:szCs w:val="20"/>
        </w:rPr>
        <w:t>TIO scheme—Telecommunications Industry Ombudsman scheme</w:t>
      </w:r>
    </w:p>
    <w:p w14:paraId="61A1E990" w14:textId="77777777" w:rsidR="00867045" w:rsidRPr="00FD7E86" w:rsidRDefault="00867045" w:rsidP="00867045">
      <w:r w:rsidRPr="00FD7E86">
        <w:t>Industry-funded independent dispute resolution service, established in December 1993, for consumers unable to resolve complaints with their telecommunications carrier or CSP (including ISPs).</w:t>
      </w:r>
    </w:p>
    <w:p w14:paraId="1B8A152D" w14:textId="77777777" w:rsidR="00867045" w:rsidRPr="00FD7E86" w:rsidRDefault="00867045" w:rsidP="00CE3B0C">
      <w:pPr>
        <w:spacing w:after="0"/>
        <w:rPr>
          <w:rFonts w:cs="Arial"/>
          <w:b/>
          <w:szCs w:val="20"/>
        </w:rPr>
      </w:pPr>
      <w:r w:rsidRPr="00FD7E86">
        <w:rPr>
          <w:rFonts w:cs="Arial"/>
          <w:b/>
          <w:szCs w:val="20"/>
        </w:rPr>
        <w:t xml:space="preserve">trigger event </w:t>
      </w:r>
    </w:p>
    <w:p w14:paraId="1B5B2D5A" w14:textId="77777777" w:rsidR="00867045" w:rsidRPr="00FD7E86" w:rsidRDefault="00867045" w:rsidP="00867045">
      <w:r w:rsidRPr="00FD7E86">
        <w:t>Relates to commercial regional radio licences</w:t>
      </w:r>
      <w:r w:rsidR="00D677CE">
        <w:t>. I</w:t>
      </w:r>
      <w:r w:rsidRPr="00FD7E86">
        <w:t>ncludes a transfer of a licence, formation of a new registrable media group that includes a regional commercial radio broadcasting licence, or change of controller of a registrable media group that includes a regional commercial radio broadcasting licence.</w:t>
      </w:r>
    </w:p>
    <w:p w14:paraId="13E78C8C" w14:textId="77777777" w:rsidR="00867045" w:rsidRPr="00FD7E86" w:rsidRDefault="00867045" w:rsidP="00CE3B0C">
      <w:pPr>
        <w:spacing w:after="0"/>
        <w:rPr>
          <w:rFonts w:cs="Arial"/>
          <w:b/>
          <w:szCs w:val="20"/>
        </w:rPr>
      </w:pPr>
      <w:r w:rsidRPr="00FD7E86">
        <w:rPr>
          <w:rFonts w:cs="Arial"/>
          <w:b/>
          <w:szCs w:val="20"/>
        </w:rPr>
        <w:t>TTY—</w:t>
      </w:r>
      <w:r w:rsidRPr="00CE3B0C">
        <w:rPr>
          <w:rFonts w:cs="Arial"/>
          <w:b/>
        </w:rPr>
        <w:t>teletypewriter</w:t>
      </w:r>
    </w:p>
    <w:p w14:paraId="350788D6" w14:textId="77777777" w:rsidR="00867045" w:rsidRPr="00FD7E86" w:rsidRDefault="00867045" w:rsidP="00867045">
      <w:r w:rsidRPr="00FD7E86">
        <w:t>Telephone typewriter that allows communication to be typed after a call is connected, enabling people with a hearing or speech impairment to use voice telecommunications. Calls can be connected to another TTY user or relayed and translated to voice by the NRS.</w:t>
      </w:r>
    </w:p>
    <w:p w14:paraId="7D19597F" w14:textId="77777777" w:rsidR="00867045" w:rsidRPr="00FD7E86" w:rsidRDefault="00867045" w:rsidP="00CE3B0C">
      <w:pPr>
        <w:spacing w:after="0"/>
        <w:rPr>
          <w:rFonts w:cs="Arial"/>
          <w:b/>
          <w:szCs w:val="20"/>
        </w:rPr>
      </w:pPr>
      <w:r w:rsidRPr="00FD7E86">
        <w:rPr>
          <w:rFonts w:cs="Arial"/>
          <w:b/>
          <w:szCs w:val="20"/>
        </w:rPr>
        <w:t>URL—uniform resource locator</w:t>
      </w:r>
    </w:p>
    <w:p w14:paraId="508B6295" w14:textId="77777777" w:rsidR="00867045" w:rsidRPr="00FD7E86" w:rsidRDefault="00867045" w:rsidP="00867045">
      <w:r w:rsidRPr="00FD7E86">
        <w:t>A unique address for accessing information and services over the internet.</w:t>
      </w:r>
    </w:p>
    <w:p w14:paraId="0E51DB4E" w14:textId="77777777" w:rsidR="00867045" w:rsidRPr="00FD7E86" w:rsidRDefault="00867045" w:rsidP="00CE3B0C">
      <w:pPr>
        <w:spacing w:after="0"/>
        <w:rPr>
          <w:rFonts w:cs="Arial"/>
          <w:b/>
          <w:szCs w:val="20"/>
        </w:rPr>
      </w:pPr>
      <w:r w:rsidRPr="00FD7E86">
        <w:rPr>
          <w:rFonts w:cs="Arial"/>
          <w:b/>
          <w:szCs w:val="20"/>
        </w:rPr>
        <w:t xml:space="preserve">USO—universal service </w:t>
      </w:r>
      <w:r w:rsidRPr="00CE3B0C">
        <w:rPr>
          <w:rFonts w:cs="Arial"/>
          <w:b/>
        </w:rPr>
        <w:t>obligation</w:t>
      </w:r>
    </w:p>
    <w:p w14:paraId="7556E566" w14:textId="77777777" w:rsidR="00867045" w:rsidRPr="00FD7E86" w:rsidRDefault="00867045" w:rsidP="00867045">
      <w:r w:rsidRPr="00FD7E86">
        <w:t xml:space="preserve">Obligation under the </w:t>
      </w:r>
      <w:r w:rsidRPr="00FD7E86">
        <w:rPr>
          <w:i/>
        </w:rPr>
        <w:t>Telecommunications (Consumer Protection and Service Standards) Act 1999</w:t>
      </w:r>
      <w:r w:rsidRPr="00FD7E86">
        <w:rPr>
          <w:i/>
          <w:iCs/>
        </w:rPr>
        <w:t xml:space="preserve"> </w:t>
      </w:r>
      <w:r w:rsidRPr="00FD7E86">
        <w:t>to ensure that standard telephone services, payphones and prescribed carriage services are reasonably accessible to all people in Australia on an equitable basis, wherever they reside or carry on business.</w:t>
      </w:r>
    </w:p>
    <w:p w14:paraId="21AB5E63" w14:textId="77777777" w:rsidR="00867045" w:rsidRPr="00FD7E86" w:rsidRDefault="00867045" w:rsidP="00CE3B0C">
      <w:pPr>
        <w:spacing w:after="0"/>
        <w:rPr>
          <w:rFonts w:cs="Arial"/>
          <w:b/>
          <w:szCs w:val="20"/>
        </w:rPr>
      </w:pPr>
      <w:r w:rsidRPr="00FD7E86">
        <w:rPr>
          <w:rFonts w:cs="Arial"/>
          <w:b/>
          <w:szCs w:val="20"/>
        </w:rPr>
        <w:t>USP—universal service provider</w:t>
      </w:r>
    </w:p>
    <w:p w14:paraId="4650B7D5" w14:textId="77777777" w:rsidR="00867045" w:rsidRDefault="00867045" w:rsidP="00867045">
      <w:r w:rsidRPr="00FD7E86">
        <w:t xml:space="preserve">A nominated provider who receives government subsidies to provide a necessary service. Telstra is the primary USP and is responsible for fulfilling the universal service obligation throughout Australia. </w:t>
      </w:r>
    </w:p>
    <w:p w14:paraId="21A9453E" w14:textId="77777777" w:rsidR="00867045" w:rsidRDefault="00867045" w:rsidP="00CE3B0C">
      <w:pPr>
        <w:spacing w:after="0"/>
        <w:rPr>
          <w:rFonts w:cs="Arial"/>
          <w:b/>
          <w:szCs w:val="20"/>
        </w:rPr>
      </w:pPr>
      <w:r w:rsidRPr="0054217A">
        <w:rPr>
          <w:b/>
        </w:rPr>
        <w:t>ViLTE</w:t>
      </w:r>
      <w:r w:rsidRPr="0054217A">
        <w:rPr>
          <w:rFonts w:cs="Arial"/>
          <w:b/>
          <w:szCs w:val="20"/>
        </w:rPr>
        <w:t>—Video over LTE</w:t>
      </w:r>
    </w:p>
    <w:p w14:paraId="75D20D59" w14:textId="77777777" w:rsidR="00867045" w:rsidRPr="00EF0462" w:rsidRDefault="00867045" w:rsidP="00867045">
      <w:pPr>
        <w:rPr>
          <w:b/>
        </w:rPr>
      </w:pPr>
      <w:r>
        <w:t>An extension of VoLTE, which enhances voice services with a high</w:t>
      </w:r>
      <w:r w:rsidR="00D677CE">
        <w:t>-</w:t>
      </w:r>
      <w:r>
        <w:t xml:space="preserve">quality video channel. </w:t>
      </w:r>
    </w:p>
    <w:p w14:paraId="16570785" w14:textId="77777777" w:rsidR="00867045" w:rsidRPr="00FD7E86" w:rsidRDefault="00867045" w:rsidP="00CE3B0C">
      <w:pPr>
        <w:spacing w:after="0"/>
        <w:rPr>
          <w:rFonts w:cs="Arial"/>
          <w:b/>
          <w:szCs w:val="20"/>
        </w:rPr>
      </w:pPr>
      <w:r w:rsidRPr="00FD7E86">
        <w:rPr>
          <w:rFonts w:cs="Arial"/>
          <w:b/>
          <w:szCs w:val="20"/>
        </w:rPr>
        <w:lastRenderedPageBreak/>
        <w:t>VoIP—voice over internet protocol</w:t>
      </w:r>
    </w:p>
    <w:p w14:paraId="23C83A48" w14:textId="77777777" w:rsidR="00867045" w:rsidRPr="00780BD1" w:rsidRDefault="00867045" w:rsidP="00867045">
      <w:r w:rsidRPr="00FD7E86">
        <w:t>The transport of voice traffic inside data packets over an IP network</w:t>
      </w:r>
      <w:r>
        <w:rPr>
          <w:rFonts w:cs="Arial"/>
        </w:rPr>
        <w:t>―</w:t>
      </w:r>
      <w:r w:rsidRPr="00FD7E86">
        <w:t>used to make telephone calls using a data network (such as the internet) instead of over a fixed-line PSTN service.</w:t>
      </w:r>
    </w:p>
    <w:p w14:paraId="5370A223" w14:textId="77777777" w:rsidR="00D677CE" w:rsidRDefault="00867045" w:rsidP="00CE3B0C">
      <w:pPr>
        <w:spacing w:after="0"/>
        <w:rPr>
          <w:lang w:val="en-US"/>
        </w:rPr>
      </w:pPr>
      <w:r>
        <w:rPr>
          <w:b/>
          <w:lang w:val="en-US"/>
        </w:rPr>
        <w:t>VoLTE</w:t>
      </w:r>
      <w:r w:rsidRPr="00FD7E86">
        <w:rPr>
          <w:rFonts w:cs="Arial"/>
          <w:b/>
          <w:szCs w:val="20"/>
        </w:rPr>
        <w:t>—</w:t>
      </w:r>
      <w:r>
        <w:rPr>
          <w:b/>
          <w:lang w:val="en-US"/>
        </w:rPr>
        <w:t>voice o</w:t>
      </w:r>
      <w:r w:rsidRPr="00FD7E86">
        <w:rPr>
          <w:b/>
          <w:lang w:val="en-US"/>
        </w:rPr>
        <w:t xml:space="preserve">ver LTE </w:t>
      </w:r>
    </w:p>
    <w:p w14:paraId="23090B95" w14:textId="77777777" w:rsidR="00867045" w:rsidRDefault="00867045" w:rsidP="00867045">
      <w:r w:rsidRPr="00FD7E86">
        <w:rPr>
          <w:lang w:val="en-US"/>
        </w:rPr>
        <w:t xml:space="preserve">A standard allowing voice calls to be placed over an LTE </w:t>
      </w:r>
      <w:r w:rsidRPr="00EF0462">
        <w:rPr>
          <w:lang w:val="en-US"/>
        </w:rPr>
        <w:t>(Long Term Evolution)</w:t>
      </w:r>
      <w:r>
        <w:rPr>
          <w:lang w:val="en-US"/>
        </w:rPr>
        <w:t xml:space="preserve"> </w:t>
      </w:r>
      <w:r w:rsidRPr="00FD7E86">
        <w:rPr>
          <w:lang w:val="en-US"/>
        </w:rPr>
        <w:t xml:space="preserve">network. In the absence of VoLTE, </w:t>
      </w:r>
      <w:r w:rsidRPr="00531CD0">
        <w:t>LTE</w:t>
      </w:r>
      <w:r w:rsidRPr="00FD7E86">
        <w:rPr>
          <w:lang w:val="en-US"/>
        </w:rPr>
        <w:t xml:space="preserve"> networks generally only support a data service, with 2G or 3G networks used to support voice and other services such as SMS. </w:t>
      </w:r>
      <w:r w:rsidRPr="00FD7E86">
        <w:rPr>
          <w:bCs/>
        </w:rPr>
        <w:t>With VoLTE, voice calls</w:t>
      </w:r>
      <w:r w:rsidRPr="00FD7E86">
        <w:t xml:space="preserve"> (and SMS text messages) are integrated into the 4G LTE data stream rather than the previous arrangement of reverting back to 3G. VoLTE allows for multitasking, with simultaneous voice calls and 4G data connections. VoLTE also supports improved voice quality (HD Voice).</w:t>
      </w:r>
    </w:p>
    <w:p w14:paraId="2D0E1810" w14:textId="77777777" w:rsidR="00867045" w:rsidRPr="0054217A" w:rsidRDefault="00867045" w:rsidP="00CE3B0C">
      <w:pPr>
        <w:spacing w:after="0"/>
        <w:rPr>
          <w:rFonts w:cs="Arial"/>
          <w:b/>
          <w:szCs w:val="20"/>
        </w:rPr>
      </w:pPr>
      <w:r w:rsidRPr="0054217A">
        <w:rPr>
          <w:b/>
        </w:rPr>
        <w:t>VoWifi</w:t>
      </w:r>
      <w:r w:rsidRPr="0054217A">
        <w:rPr>
          <w:rFonts w:cs="Arial"/>
          <w:b/>
          <w:szCs w:val="20"/>
        </w:rPr>
        <w:t>—</w:t>
      </w:r>
      <w:r w:rsidRPr="00531CD0">
        <w:rPr>
          <w:b/>
          <w:lang w:val="en-US"/>
        </w:rPr>
        <w:t>voice</w:t>
      </w:r>
      <w:r w:rsidRPr="0054217A">
        <w:rPr>
          <w:rFonts w:cs="Arial"/>
          <w:b/>
          <w:szCs w:val="20"/>
        </w:rPr>
        <w:t xml:space="preserve"> over Wi</w:t>
      </w:r>
      <w:r w:rsidR="00EB0634">
        <w:rPr>
          <w:rFonts w:cs="Arial"/>
          <w:b/>
          <w:szCs w:val="20"/>
        </w:rPr>
        <w:t>-</w:t>
      </w:r>
      <w:r w:rsidRPr="0054217A">
        <w:rPr>
          <w:rFonts w:cs="Arial"/>
          <w:b/>
          <w:szCs w:val="20"/>
        </w:rPr>
        <w:t>Fi</w:t>
      </w:r>
    </w:p>
    <w:p w14:paraId="10BDFBDA" w14:textId="77777777" w:rsidR="00867045" w:rsidRPr="0032755E" w:rsidRDefault="00867045" w:rsidP="00867045">
      <w:r w:rsidRPr="0032755E">
        <w:t>A</w:t>
      </w:r>
      <w:r>
        <w:t xml:space="preserve"> technology that allows voice calls originating from</w:t>
      </w:r>
      <w:r w:rsidR="00D677CE">
        <w:t>,</w:t>
      </w:r>
      <w:r>
        <w:t xml:space="preserve"> or terminating on</w:t>
      </w:r>
      <w:r w:rsidR="00D677CE">
        <w:t>,</w:t>
      </w:r>
      <w:r>
        <w:t xml:space="preserve"> mobile handsets to be carried over Wi</w:t>
      </w:r>
      <w:r w:rsidR="00EB0634">
        <w:t>-</w:t>
      </w:r>
      <w:r>
        <w:t>Fi networks in environments where mobile network coverage is limited. VoWiFi is fully integrated with modern smartphones and does not require any additional apps to be installed on a device. End-users are typically unaware when a transition from the mobile network to the Wi</w:t>
      </w:r>
      <w:r w:rsidR="00F778AB">
        <w:t>-</w:t>
      </w:r>
      <w:r>
        <w:t xml:space="preserve">Fi network occurs. </w:t>
      </w:r>
    </w:p>
    <w:p w14:paraId="63738C19" w14:textId="77777777" w:rsidR="00867045" w:rsidRPr="009975A5" w:rsidRDefault="00867045" w:rsidP="00CE3B0C">
      <w:pPr>
        <w:spacing w:after="0"/>
        <w:rPr>
          <w:b/>
          <w:lang w:val="en-US"/>
        </w:rPr>
      </w:pPr>
      <w:r w:rsidRPr="0054217A">
        <w:rPr>
          <w:b/>
          <w:lang w:val="en-US"/>
        </w:rPr>
        <w:t xml:space="preserve">VPM—Video Player </w:t>
      </w:r>
      <w:r w:rsidRPr="00CE3B0C">
        <w:rPr>
          <w:rFonts w:cs="Arial"/>
          <w:b/>
        </w:rPr>
        <w:t>Measurement</w:t>
      </w:r>
    </w:p>
    <w:p w14:paraId="62D273DF" w14:textId="77777777" w:rsidR="00867045" w:rsidRPr="009975A5" w:rsidRDefault="00867045" w:rsidP="00841849">
      <w:pPr>
        <w:keepNext/>
      </w:pPr>
      <w:r w:rsidRPr="009975A5">
        <w:t>Measurement tool to capture all online video content p</w:t>
      </w:r>
      <w:r w:rsidR="00D677CE">
        <w:t>l</w:t>
      </w:r>
      <w:r w:rsidRPr="009975A5">
        <w:t>ayed on-demand via participating broadcasters’ video players</w:t>
      </w:r>
      <w:r w:rsidR="001A7B94">
        <w:t>.</w:t>
      </w:r>
      <w:r>
        <w:t xml:space="preserve"> </w:t>
      </w:r>
    </w:p>
    <w:p w14:paraId="3EB41538" w14:textId="77777777" w:rsidR="00867045" w:rsidRPr="00FD7E86" w:rsidRDefault="00867045" w:rsidP="00CE3B0C">
      <w:pPr>
        <w:spacing w:after="0"/>
        <w:rPr>
          <w:rFonts w:cs="Arial"/>
          <w:b/>
          <w:szCs w:val="20"/>
        </w:rPr>
      </w:pPr>
      <w:r w:rsidRPr="00FD7E86">
        <w:rPr>
          <w:rFonts w:cs="Arial"/>
          <w:b/>
          <w:szCs w:val="20"/>
        </w:rPr>
        <w:t xml:space="preserve">WiMAX—Worldwide </w:t>
      </w:r>
      <w:r w:rsidRPr="00CE3B0C">
        <w:rPr>
          <w:rFonts w:cs="Arial"/>
          <w:b/>
        </w:rPr>
        <w:t>Interoperability</w:t>
      </w:r>
      <w:r w:rsidRPr="00FD7E86">
        <w:rPr>
          <w:rFonts w:cs="Arial"/>
          <w:b/>
          <w:szCs w:val="20"/>
        </w:rPr>
        <w:t xml:space="preserve"> for Microwave Access</w:t>
      </w:r>
    </w:p>
    <w:p w14:paraId="1D9ECBB4" w14:textId="77777777" w:rsidR="00867045" w:rsidRPr="00FD7E86" w:rsidRDefault="00867045" w:rsidP="00867045">
      <w:r w:rsidRPr="00FD7E86">
        <w:t xml:space="preserve">The IEEE 802.16 standards for broadband wireless access networks for multimedia applications with a wireless connection. </w:t>
      </w:r>
    </w:p>
    <w:p w14:paraId="6FF9815E" w14:textId="77777777" w:rsidR="00867045" w:rsidRPr="00FD7E86" w:rsidRDefault="00867045" w:rsidP="00867045">
      <w:pPr>
        <w:pStyle w:val="Heading1"/>
      </w:pPr>
      <w:bookmarkStart w:id="833" w:name="_Toc462132264"/>
      <w:bookmarkStart w:id="834" w:name="_Toc462899697"/>
      <w:bookmarkStart w:id="835" w:name="_Toc463529193"/>
      <w:bookmarkStart w:id="836" w:name="_Toc465843009"/>
      <w:bookmarkEnd w:id="487"/>
      <w:r>
        <w:lastRenderedPageBreak/>
        <w:t>Index</w:t>
      </w:r>
      <w:bookmarkEnd w:id="833"/>
      <w:bookmarkEnd w:id="834"/>
      <w:bookmarkEnd w:id="835"/>
      <w:bookmarkEnd w:id="836"/>
    </w:p>
    <w:p w14:paraId="51E4F034" w14:textId="77777777" w:rsidR="001374C9" w:rsidRDefault="001374C9" w:rsidP="001374C9">
      <w:pPr>
        <w:pStyle w:val="Main"/>
        <w:rPr>
          <w:rFonts w:ascii="Arial" w:hAnsi="Arial" w:cs="Arial"/>
          <w:sz w:val="18"/>
          <w:szCs w:val="18"/>
        </w:rPr>
        <w:sectPr w:rsidR="001374C9" w:rsidSect="00531CD0">
          <w:headerReference w:type="even" r:id="rId135"/>
          <w:headerReference w:type="default" r:id="rId136"/>
          <w:footerReference w:type="even" r:id="rId137"/>
          <w:footerReference w:type="default" r:id="rId138"/>
          <w:endnotePr>
            <w:numFmt w:val="decimal"/>
            <w:numRestart w:val="eachSect"/>
          </w:endnotePr>
          <w:pgSz w:w="11906" w:h="16838" w:code="9"/>
          <w:pgMar w:top="1985" w:right="1134" w:bottom="1134" w:left="1134" w:header="709" w:footer="119" w:gutter="284"/>
          <w:cols w:space="708"/>
          <w:docGrid w:linePitch="360"/>
        </w:sectPr>
      </w:pPr>
    </w:p>
    <w:p w14:paraId="56DFDAD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lastRenderedPageBreak/>
        <w:t>2G networks  13, 20</w:t>
      </w:r>
    </w:p>
    <w:p w14:paraId="64DC910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3G networks  20</w:t>
      </w:r>
    </w:p>
    <w:p w14:paraId="7CB38DB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4G mobile services  20–1</w:t>
      </w:r>
    </w:p>
    <w:p w14:paraId="0F512BE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4G networks  1, 3–4, 13, 20–1, 25–6</w:t>
      </w:r>
    </w:p>
    <w:p w14:paraId="380D34C6"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coverage  1, 20</w:t>
      </w:r>
    </w:p>
    <w:p w14:paraId="6DAE6831"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Voice over LTE (VoLTE)  25</w:t>
      </w:r>
    </w:p>
    <w:p w14:paraId="56E01EF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4GX™ sites  20, 26</w:t>
      </w:r>
    </w:p>
    <w:p w14:paraId="6F1059E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4.5G technology  26</w:t>
      </w:r>
    </w:p>
    <w:p w14:paraId="6156800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5G mobile network developments  1, 4, 13, 26</w:t>
      </w:r>
    </w:p>
    <w:p w14:paraId="4E7BAAA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7flix  77</w:t>
      </w:r>
    </w:p>
    <w:p w14:paraId="794F5F8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7live  5, 77</w:t>
      </w:r>
    </w:p>
    <w:p w14:paraId="7511809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7Mate  77</w:t>
      </w:r>
    </w:p>
    <w:p w14:paraId="3B7FB92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9Life  77</w:t>
      </w:r>
    </w:p>
    <w:p w14:paraId="2DEF47A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9Now  5, 77, 85</w:t>
      </w:r>
    </w:p>
    <w:p w14:paraId="4F9D229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106 TTY (teletypewriter) text service  100, 102–3</w:t>
      </w:r>
    </w:p>
    <w:p w14:paraId="5A43FE6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112 emergency calls  11, 100–2</w:t>
      </w:r>
    </w:p>
    <w:p w14:paraId="7D83743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1800 MHz spectrum  21</w:t>
      </w:r>
    </w:p>
    <w:p w14:paraId="370DF756" w14:textId="77777777" w:rsidR="001374C9" w:rsidRPr="005E32D9" w:rsidRDefault="001374C9" w:rsidP="001374C9">
      <w:pPr>
        <w:pStyle w:val="Main"/>
        <w:rPr>
          <w:rFonts w:ascii="Arial" w:hAnsi="Arial" w:cs="Arial"/>
          <w:sz w:val="18"/>
          <w:szCs w:val="18"/>
        </w:rPr>
      </w:pPr>
    </w:p>
    <w:p w14:paraId="2DD66F3E"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A</w:t>
      </w:r>
    </w:p>
    <w:p w14:paraId="16765E9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ABC iView  84–5</w:t>
      </w:r>
    </w:p>
    <w:p w14:paraId="5616874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Acceleon Pty Ltd  109</w:t>
      </w:r>
    </w:p>
    <w:p w14:paraId="3950041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ACE Radio Broadcasters Pty Ltd  40</w:t>
      </w:r>
    </w:p>
    <w:p w14:paraId="4DB9854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ACMA-commissioned surveys  4, 133–4</w:t>
      </w:r>
    </w:p>
    <w:p w14:paraId="613BB57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ACMA </w:t>
      </w:r>
      <w:r w:rsidRPr="005E32D9">
        <w:rPr>
          <w:rFonts w:ascii="Arial" w:hAnsi="Arial" w:cs="Arial"/>
          <w:i/>
          <w:sz w:val="18"/>
          <w:szCs w:val="18"/>
        </w:rPr>
        <w:t>Communications report 2015–16</w:t>
      </w:r>
      <w:r w:rsidRPr="005E32D9">
        <w:rPr>
          <w:rFonts w:ascii="Arial" w:hAnsi="Arial" w:cs="Arial"/>
          <w:sz w:val="18"/>
          <w:szCs w:val="18"/>
        </w:rPr>
        <w:t xml:space="preserve">  3</w:t>
      </w:r>
    </w:p>
    <w:p w14:paraId="4AAE401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acquisitions  14, 34–5</w:t>
      </w:r>
    </w:p>
    <w:p w14:paraId="19DCCD3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advertising</w:t>
      </w:r>
    </w:p>
    <w:p w14:paraId="46B9157D"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expenditure  14, 42–5</w:t>
      </w:r>
    </w:p>
    <w:p w14:paraId="457A2ED5"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online  14, 42–3, 44–5</w:t>
      </w:r>
    </w:p>
    <w:p w14:paraId="7B6373B9"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radio  14, 44</w:t>
      </w:r>
    </w:p>
    <w:p w14:paraId="315B71F3"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TCP code  125</w:t>
      </w:r>
    </w:p>
    <w:p w14:paraId="1C2F46EE"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television  14, 44</w:t>
      </w:r>
    </w:p>
    <w:p w14:paraId="5CC0CF2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allocation of numbers  11, 36–7</w:t>
      </w:r>
    </w:p>
    <w:p w14:paraId="6BD8224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AM to FM conversions  96</w:t>
      </w:r>
    </w:p>
    <w:p w14:paraId="5DA8A59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Amaysim  35</w:t>
      </w:r>
    </w:p>
    <w:p w14:paraId="29E6300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Amazon Web Services (AWS)  33</w:t>
      </w:r>
    </w:p>
    <w:p w14:paraId="7ECC8A8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AmCom  34–5</w:t>
      </w:r>
    </w:p>
    <w:p w14:paraId="07EA3F2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anti-siphoning provisions  95</w:t>
      </w:r>
    </w:p>
    <w:p w14:paraId="4086396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app-based services  26</w:t>
      </w:r>
    </w:p>
    <w:p w14:paraId="7854E3A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Apple iMessage  61–2</w:t>
      </w:r>
    </w:p>
    <w:p w14:paraId="6BAE898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Apple Music  74, 77–8</w:t>
      </w:r>
    </w:p>
    <w:p w14:paraId="21E0119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Apple TV  78–9</w:t>
      </w:r>
    </w:p>
    <w:p w14:paraId="2C0F6AD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appointments  115–16</w:t>
      </w:r>
    </w:p>
    <w:p w14:paraId="6683125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apps  </w:t>
      </w:r>
      <w:r w:rsidRPr="005E32D9">
        <w:rPr>
          <w:rFonts w:ascii="Arial" w:hAnsi="Arial" w:cs="Arial"/>
          <w:i/>
          <w:sz w:val="18"/>
          <w:szCs w:val="18"/>
        </w:rPr>
        <w:t>see</w:t>
      </w:r>
      <w:r w:rsidRPr="005E32D9">
        <w:rPr>
          <w:rFonts w:ascii="Arial" w:hAnsi="Arial" w:cs="Arial"/>
          <w:sz w:val="18"/>
          <w:szCs w:val="18"/>
        </w:rPr>
        <w:t xml:space="preserve"> communications apps</w:t>
      </w:r>
    </w:p>
    <w:p w14:paraId="4D63C26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APW-West  31</w:t>
      </w:r>
    </w:p>
    <w:p w14:paraId="07262D6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asymmetric digital subscriber line (ADSL)  20</w:t>
      </w:r>
    </w:p>
    <w:p w14:paraId="5EA9B56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Attorney-General’s Department (AGD)  104–7</w:t>
      </w:r>
    </w:p>
    <w:p w14:paraId="2FA0B4C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.auDA (.au Domain Administration Ltd)  28</w:t>
      </w:r>
    </w:p>
    <w:p w14:paraId="43438B3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audiences</w:t>
      </w:r>
    </w:p>
    <w:p w14:paraId="11405F73"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measurement  77–8</w:t>
      </w:r>
    </w:p>
    <w:p w14:paraId="6D9A8788"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news sites  89</w:t>
      </w:r>
    </w:p>
    <w:p w14:paraId="5C4E548E"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radio  75–7</w:t>
      </w:r>
    </w:p>
    <w:p w14:paraId="440EB80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audio content  74–5</w:t>
      </w:r>
    </w:p>
    <w:p w14:paraId="03B5F833"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accessing  1, 4, 49, 63–4</w:t>
      </w:r>
    </w:p>
    <w:p w14:paraId="76FF7D56"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downloading versus streaming  49, 64–6</w:t>
      </w:r>
    </w:p>
    <w:p w14:paraId="4278510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audio interference  23</w:t>
      </w:r>
    </w:p>
    <w:p w14:paraId="1CC8DB3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audio streaming  4, 49, 63–4, 74–7</w:t>
      </w:r>
    </w:p>
    <w:p w14:paraId="608DF7B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AussieSim Pty Ltd  126</w:t>
      </w:r>
    </w:p>
    <w:p w14:paraId="4164E63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Austar Entertainment Pty Ltd  41</w:t>
      </w:r>
    </w:p>
    <w:p w14:paraId="56DFE74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Australian Communication Exchange (ACE)  100, 102</w:t>
      </w:r>
    </w:p>
    <w:p w14:paraId="66B863D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Australian Communications and Media Authority </w:t>
      </w:r>
      <w:r w:rsidRPr="005E32D9">
        <w:rPr>
          <w:rFonts w:ascii="Arial" w:hAnsi="Arial" w:cs="Arial"/>
          <w:sz w:val="18"/>
          <w:szCs w:val="18"/>
        </w:rPr>
        <w:lastRenderedPageBreak/>
        <w:t>(ACMA), disclosures of customer information to  104</w:t>
      </w:r>
    </w:p>
    <w:p w14:paraId="4ADAE8C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Australian Competition and Consumer Commission (ACCC)  34, 104</w:t>
      </w:r>
    </w:p>
    <w:p w14:paraId="4B21D51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Australian content on television  74, 90–2</w:t>
      </w:r>
    </w:p>
    <w:p w14:paraId="6BF7C9C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Australian Federal Police (AFP)  97</w:t>
      </w:r>
    </w:p>
    <w:p w14:paraId="1C05115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Australian Internet Security Initiative (AISI)  110, 129–30</w:t>
      </w:r>
    </w:p>
    <w:p w14:paraId="0977110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Australian Radio Network Pty Ltd  39–41</w:t>
      </w:r>
    </w:p>
    <w:p w14:paraId="37D5B60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Australian Tax Office  130</w:t>
      </w:r>
    </w:p>
    <w:p w14:paraId="1CB5EF82" w14:textId="77777777" w:rsidR="001374C9" w:rsidRPr="001374C9" w:rsidRDefault="001374C9" w:rsidP="001374C9">
      <w:pPr>
        <w:pStyle w:val="Main"/>
        <w:rPr>
          <w:rFonts w:ascii="Arial" w:hAnsi="Arial" w:cs="Arial"/>
          <w:sz w:val="17"/>
          <w:szCs w:val="17"/>
        </w:rPr>
      </w:pPr>
    </w:p>
    <w:p w14:paraId="0AB21F74"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B</w:t>
      </w:r>
    </w:p>
    <w:p w14:paraId="6E6D54B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banking  62–3, 71</w:t>
      </w:r>
    </w:p>
    <w:p w14:paraId="7357FDC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Bean, Richard  1–2</w:t>
      </w:r>
    </w:p>
    <w:p w14:paraId="11B044C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BigPond Movies  78</w:t>
      </w:r>
    </w:p>
    <w:p w14:paraId="324ADBF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billing and payments</w:t>
      </w:r>
    </w:p>
    <w:p w14:paraId="7CE52E27"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complaints  132</w:t>
      </w:r>
    </w:p>
    <w:p w14:paraId="7F287A70"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consumer satisfaction  69</w:t>
      </w:r>
    </w:p>
    <w:p w14:paraId="4EEE06A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Blyton, Kevin  40</w:t>
      </w:r>
    </w:p>
    <w:p w14:paraId="1C82517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broadband internet</w:t>
      </w:r>
    </w:p>
    <w:p w14:paraId="4E7D2F48"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data downloaded  9, 55–6, 80</w:t>
      </w:r>
    </w:p>
    <w:p w14:paraId="338BB533"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home  10, 50</w:t>
      </w:r>
    </w:p>
    <w:p w14:paraId="11B3296A"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international trends  70</w:t>
      </w:r>
    </w:p>
    <w:p w14:paraId="214890B7"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mobile wireless  7</w:t>
      </w:r>
    </w:p>
    <w:p w14:paraId="77E481B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Broadcast Operations Pty Ltd  39, 41</w:t>
      </w:r>
    </w:p>
    <w:p w14:paraId="14511D0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broadcasting complaints  12, 96–7</w:t>
      </w:r>
    </w:p>
    <w:p w14:paraId="06D35D6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broadcasting licences  </w:t>
      </w:r>
      <w:r w:rsidRPr="005E32D9">
        <w:rPr>
          <w:rFonts w:ascii="Arial" w:hAnsi="Arial" w:cs="Arial"/>
          <w:i/>
          <w:sz w:val="18"/>
          <w:szCs w:val="18"/>
        </w:rPr>
        <w:t>see</w:t>
      </w:r>
      <w:r w:rsidRPr="005E32D9">
        <w:rPr>
          <w:rFonts w:ascii="Arial" w:hAnsi="Arial" w:cs="Arial"/>
          <w:sz w:val="18"/>
          <w:szCs w:val="18"/>
        </w:rPr>
        <w:t xml:space="preserve"> licences</w:t>
      </w:r>
    </w:p>
    <w:p w14:paraId="75B2F34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broadcasting services  37–41</w:t>
      </w:r>
    </w:p>
    <w:p w14:paraId="6D2D150F" w14:textId="77777777" w:rsidR="001374C9" w:rsidRPr="005E32D9" w:rsidRDefault="001374C9" w:rsidP="00D501F1">
      <w:pPr>
        <w:pStyle w:val="Sub1"/>
        <w:rPr>
          <w:rFonts w:ascii="Arial" w:hAnsi="Arial" w:cs="Arial"/>
          <w:sz w:val="18"/>
          <w:szCs w:val="18"/>
        </w:rPr>
      </w:pPr>
      <w:r w:rsidRPr="005E32D9">
        <w:rPr>
          <w:rFonts w:ascii="Arial" w:hAnsi="Arial" w:cs="Arial"/>
          <w:sz w:val="18"/>
          <w:szCs w:val="18"/>
        </w:rPr>
        <w:t>commercial  37–41</w:t>
      </w:r>
    </w:p>
    <w:p w14:paraId="758DC7EC" w14:textId="77777777" w:rsidR="001374C9" w:rsidRPr="005E32D9" w:rsidRDefault="001374C9" w:rsidP="00D501F1">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radio; television</w:t>
      </w:r>
    </w:p>
    <w:p w14:paraId="5B3BA317"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Broadcasting Services Act 1992</w:t>
      </w:r>
      <w:r w:rsidRPr="005E32D9">
        <w:rPr>
          <w:rFonts w:ascii="Arial" w:hAnsi="Arial" w:cs="Arial"/>
          <w:sz w:val="18"/>
          <w:szCs w:val="18"/>
        </w:rPr>
        <w:t xml:space="preserve"> (BSA)  39, 90, 92, 94–7</w:t>
      </w:r>
    </w:p>
    <w:p w14:paraId="19EC9B0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Broadcasting Services (Australian Content) Standard 2016  90–1</w:t>
      </w:r>
    </w:p>
    <w:p w14:paraId="2503FDB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Broadcasting Services (Regional Commercial Radio—Material of Local Significance) Licence Condition 2014  95</w:t>
      </w:r>
    </w:p>
    <w:p w14:paraId="2529025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browsing internet  62–3, 71</w:t>
      </w:r>
    </w:p>
    <w:p w14:paraId="314C7C0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Btel Communications Pty Ltd  126</w:t>
      </w:r>
    </w:p>
    <w:p w14:paraId="5E400FD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businesses online  4, 49, 67</w:t>
      </w:r>
    </w:p>
    <w:p w14:paraId="5AAD3E8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buying online  49, 63, 66</w:t>
      </w:r>
    </w:p>
    <w:p w14:paraId="4345293F" w14:textId="77777777" w:rsidR="001374C9" w:rsidRPr="005E32D9" w:rsidRDefault="001374C9" w:rsidP="001374C9">
      <w:pPr>
        <w:pStyle w:val="Main"/>
        <w:rPr>
          <w:rFonts w:ascii="Arial" w:hAnsi="Arial" w:cs="Arial"/>
          <w:sz w:val="18"/>
          <w:szCs w:val="18"/>
        </w:rPr>
      </w:pPr>
    </w:p>
    <w:p w14:paraId="4F4C2C0E"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C</w:t>
      </w:r>
    </w:p>
    <w:p w14:paraId="3842EA9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cable internet  27</w:t>
      </w:r>
    </w:p>
    <w:p w14:paraId="7A2E134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cable runs  120</w:t>
      </w:r>
    </w:p>
    <w:p w14:paraId="54A6204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cablers, registered  127</w:t>
      </w:r>
    </w:p>
    <w:p w14:paraId="0431E28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cabling compliance  127</w:t>
      </w:r>
    </w:p>
    <w:p w14:paraId="08CCCDA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Cabling Industry Committee  125</w:t>
      </w:r>
    </w:p>
    <w:p w14:paraId="33FA73B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cabling regulation  127</w:t>
      </w:r>
    </w:p>
    <w:p w14:paraId="2A36B4A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Cabling Requirements for Business Industry Code  125</w:t>
      </w:r>
    </w:p>
    <w:p w14:paraId="0FBC93A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call quality, consumer satisfaction  69</w:t>
      </w:r>
    </w:p>
    <w:p w14:paraId="507A321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call/service costs, consumer satisfaction  49, 69</w:t>
      </w:r>
    </w:p>
    <w:p w14:paraId="7AE122F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Capital Radio Network  40</w:t>
      </w:r>
    </w:p>
    <w:p w14:paraId="2A07C39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captioning television</w:t>
      </w:r>
    </w:p>
    <w:p w14:paraId="06E81C01"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breaches  92–3</w:t>
      </w:r>
    </w:p>
    <w:p w14:paraId="11870E29"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compliance  92–3</w:t>
      </w:r>
    </w:p>
    <w:p w14:paraId="0536EC6D"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exemption orders  93–4</w:t>
      </w:r>
    </w:p>
    <w:p w14:paraId="2718C78C"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Legislation review  94</w:t>
      </w:r>
    </w:p>
    <w:p w14:paraId="7CAC174E"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target reduction orders  93–4</w:t>
      </w:r>
    </w:p>
    <w:p w14:paraId="7106F62E"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lastRenderedPageBreak/>
        <w:t>use of  94</w:t>
      </w:r>
    </w:p>
    <w:p w14:paraId="331F43D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carriage service providers (CSPs)  35</w:t>
      </w:r>
    </w:p>
    <w:p w14:paraId="51795B34"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allocation of numbers  36–7</w:t>
      </w:r>
    </w:p>
    <w:p w14:paraId="37ACAF29"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compliance  22</w:t>
      </w:r>
    </w:p>
    <w:p w14:paraId="76C8867E"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disclosures of customer information  11, 104–6</w:t>
      </w:r>
    </w:p>
    <w:p w14:paraId="05DC7E5F"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emergency call services  100</w:t>
      </w:r>
    </w:p>
    <w:p w14:paraId="76E8B9E1"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emergency suspension  100, 106</w:t>
      </w:r>
    </w:p>
    <w:p w14:paraId="592FF5DB"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fixed-line telephone services  14</w:t>
      </w:r>
    </w:p>
    <w:p w14:paraId="1FF7BBFC" w14:textId="77777777" w:rsidR="001374C9" w:rsidRPr="005E32D9" w:rsidRDefault="0048104B" w:rsidP="0048104B">
      <w:pPr>
        <w:pStyle w:val="Sub1"/>
        <w:rPr>
          <w:rFonts w:ascii="Arial" w:hAnsi="Arial" w:cs="Arial"/>
          <w:sz w:val="18"/>
          <w:szCs w:val="18"/>
        </w:rPr>
      </w:pPr>
      <w:r w:rsidRPr="005E32D9">
        <w:rPr>
          <w:rFonts w:ascii="Arial" w:hAnsi="Arial" w:cs="Arial"/>
          <w:sz w:val="18"/>
          <w:szCs w:val="18"/>
        </w:rPr>
        <w:t>identity-</w:t>
      </w:r>
      <w:r w:rsidR="001374C9" w:rsidRPr="005E32D9">
        <w:rPr>
          <w:rFonts w:ascii="Arial" w:hAnsi="Arial" w:cs="Arial"/>
          <w:sz w:val="18"/>
          <w:szCs w:val="18"/>
        </w:rPr>
        <w:t>checking  107–8</w:t>
      </w:r>
    </w:p>
    <w:p w14:paraId="7DF37BD3"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Integrated Public Number Database (IPND)  108</w:t>
      </w:r>
    </w:p>
    <w:p w14:paraId="00E24039"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interception  106–7</w:t>
      </w:r>
    </w:p>
    <w:p w14:paraId="02C673D9"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life-threatening calls  109</w:t>
      </w:r>
    </w:p>
    <w:p w14:paraId="1256F499"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number portability  124–5</w:t>
      </w:r>
    </w:p>
    <w:p w14:paraId="2CF2495E"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priority assistance  122</w:t>
      </w:r>
    </w:p>
    <w:p w14:paraId="65F553AE"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Telecommunications Industry Ombudsman Scheme  130</w:t>
      </w:r>
    </w:p>
    <w:p w14:paraId="0F982912" w14:textId="77777777" w:rsidR="001374C9" w:rsidRPr="005E32D9" w:rsidRDefault="001374C9" w:rsidP="0048104B">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Customer Service Guarantee Standard</w:t>
      </w:r>
    </w:p>
    <w:p w14:paraId="5B6C541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carrier licensing  35–6</w:t>
      </w:r>
    </w:p>
    <w:p w14:paraId="65E27A7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carriers, licensed  8</w:t>
      </w:r>
    </w:p>
    <w:p w14:paraId="3C8173C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CBO Telecommunications  34–5</w:t>
      </w:r>
    </w:p>
    <w:p w14:paraId="4D43BB3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Chairman's foreword  1–2</w:t>
      </w:r>
    </w:p>
    <w:p w14:paraId="3A71F49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children's programs  91–2</w:t>
      </w:r>
    </w:p>
    <w:p w14:paraId="40C1F76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Children’s Television Standards 2009  91</w:t>
      </w:r>
    </w:p>
    <w:p w14:paraId="6C3C6E5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Chromecast  79</w:t>
      </w:r>
    </w:p>
    <w:p w14:paraId="65614C6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Cloud Gateway  14, 33</w:t>
      </w:r>
    </w:p>
    <w:p w14:paraId="60BDEF8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Cloud-N Services  16, 33</w:t>
      </w:r>
    </w:p>
    <w:p w14:paraId="719BDB0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cloud services  14, 33–4</w:t>
      </w:r>
    </w:p>
    <w:p w14:paraId="032E571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Comedy Central  78</w:t>
      </w:r>
    </w:p>
    <w:p w14:paraId="23D0B69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commercial broadcasting services  37–41</w:t>
      </w:r>
    </w:p>
    <w:p w14:paraId="18F9D4D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Commercial Economic Advisory Service of Australia (CEASA)  42</w:t>
      </w:r>
    </w:p>
    <w:p w14:paraId="4368057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Commercial Radio Australia  77, 96</w:t>
      </w:r>
    </w:p>
    <w:p w14:paraId="08A7792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commercial radio broadcasting licences</w:t>
      </w:r>
    </w:p>
    <w:p w14:paraId="1BDED656"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AM to FM conversions  96</w:t>
      </w:r>
    </w:p>
    <w:p w14:paraId="4ED15192"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cross-media ownership  41</w:t>
      </w:r>
    </w:p>
    <w:p w14:paraId="4F332DF2"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local information on  74, 94–5</w:t>
      </w:r>
    </w:p>
    <w:p w14:paraId="797689EE"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notification of changes of control  94</w:t>
      </w:r>
    </w:p>
    <w:p w14:paraId="53967AAD"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numbers  10, 37–8, 40–1</w:t>
      </w:r>
    </w:p>
    <w:p w14:paraId="4EED2B91"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ownership and control  39–41</w:t>
      </w:r>
    </w:p>
    <w:p w14:paraId="7BAD490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commercial television broadcasters</w:t>
      </w:r>
    </w:p>
    <w:p w14:paraId="41D71B8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Australian content  74, 90–2</w:t>
      </w:r>
    </w:p>
    <w:p w14:paraId="74472A3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children's programs  91–2</w:t>
      </w:r>
    </w:p>
    <w:p w14:paraId="692B273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commercial television broadcasting licences</w:t>
      </w:r>
    </w:p>
    <w:p w14:paraId="378D564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anti-siphoning events  95</w:t>
      </w:r>
    </w:p>
    <w:p w14:paraId="4432E88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cross-media ownership  41</w:t>
      </w:r>
    </w:p>
    <w:p w14:paraId="701093D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local information on regional  94</w:t>
      </w:r>
    </w:p>
    <w:p w14:paraId="4704431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notification of changes of control  94</w:t>
      </w:r>
    </w:p>
    <w:p w14:paraId="098DEA9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numbers  10, 37–8</w:t>
      </w:r>
    </w:p>
    <w:p w14:paraId="246CC57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ownership and control  38–9</w:t>
      </w:r>
    </w:p>
    <w:p w14:paraId="7BE1668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Communications Access Co-ordinator (CAC)  106</w:t>
      </w:r>
    </w:p>
    <w:p w14:paraId="112787F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Communications Alliance  25, 124–26, 130</w:t>
      </w:r>
    </w:p>
    <w:p w14:paraId="3497BB5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communications apps</w:t>
      </w:r>
    </w:p>
    <w:p w14:paraId="3BF9C8D3"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activities undertaken  61–2</w:t>
      </w:r>
    </w:p>
    <w:p w14:paraId="789A1B8B"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devices used  60–1</w:t>
      </w:r>
    </w:p>
    <w:p w14:paraId="4B1F9BFB"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 use  61–2</w:t>
      </w:r>
    </w:p>
    <w:p w14:paraId="16AFC906"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use of  5, 59–60</w:t>
      </w:r>
    </w:p>
    <w:p w14:paraId="70BFA0A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Communications Compliance (CommCom)  126</w:t>
      </w:r>
    </w:p>
    <w:p w14:paraId="02840137"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Communications report 2016–17</w:t>
      </w:r>
      <w:r w:rsidRPr="005E32D9">
        <w:rPr>
          <w:rFonts w:ascii="Arial" w:hAnsi="Arial" w:cs="Arial"/>
          <w:sz w:val="18"/>
          <w:szCs w:val="18"/>
        </w:rPr>
        <w:t xml:space="preserve">  107</w:t>
      </w:r>
    </w:p>
    <w:p w14:paraId="1D2F51E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communications services</w:t>
      </w:r>
    </w:p>
    <w:p w14:paraId="3B65EA3B"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accessing  50–7</w:t>
      </w:r>
    </w:p>
    <w:p w14:paraId="4FD7A5B6"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consumer satisfaction  67–9</w:t>
      </w:r>
    </w:p>
    <w:p w14:paraId="1EFD0D83"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data trends  55–7</w:t>
      </w:r>
    </w:p>
    <w:p w14:paraId="6CFC1E9F"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industry supply  13–48</w:t>
      </w:r>
    </w:p>
    <w:p w14:paraId="1F2FB745"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international trends  70</w:t>
      </w:r>
    </w:p>
    <w:p w14:paraId="04968F23"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number used  51, 59</w:t>
      </w:r>
    </w:p>
    <w:p w14:paraId="1EFDE69E"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take-up  4, 49–50</w:t>
      </w:r>
    </w:p>
    <w:p w14:paraId="0D84F805"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lastRenderedPageBreak/>
        <w:t>use diversity  57–67</w:t>
      </w:r>
    </w:p>
    <w:p w14:paraId="412B8945"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used  4, 49, 57–8, 60</w:t>
      </w:r>
    </w:p>
    <w:p w14:paraId="3E3DF16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community radio broadcasting licences  41–2</w:t>
      </w:r>
    </w:p>
    <w:p w14:paraId="69631EB6"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numbers  14, 37–8, 41–2</w:t>
      </w:r>
    </w:p>
    <w:p w14:paraId="1A9E1698"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temporary  38, 42</w:t>
      </w:r>
    </w:p>
    <w:p w14:paraId="3DD57CF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community television broadcasting licences, numbers  14, 37–8, 42</w:t>
      </w:r>
    </w:p>
    <w:p w14:paraId="4227EEF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community television services  42</w:t>
      </w:r>
    </w:p>
    <w:p w14:paraId="11074E67"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transition  42</w:t>
      </w:r>
    </w:p>
    <w:p w14:paraId="605782A2"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trials  42</w:t>
      </w:r>
    </w:p>
    <w:p w14:paraId="183B6A0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compensation payments, Customer Service Guarantee Standard  6, 110, 117</w:t>
      </w:r>
    </w:p>
    <w:p w14:paraId="3A604F76" w14:textId="77777777" w:rsidR="001374C9" w:rsidRPr="005E32D9" w:rsidRDefault="00D501F1" w:rsidP="001374C9">
      <w:pPr>
        <w:pStyle w:val="Main"/>
        <w:rPr>
          <w:rFonts w:ascii="Arial" w:hAnsi="Arial" w:cs="Arial"/>
          <w:sz w:val="18"/>
          <w:szCs w:val="18"/>
        </w:rPr>
      </w:pPr>
      <w:r w:rsidRPr="005E32D9">
        <w:rPr>
          <w:rFonts w:ascii="Arial" w:hAnsi="Arial" w:cs="Arial"/>
          <w:sz w:val="18"/>
          <w:szCs w:val="18"/>
        </w:rPr>
        <w:t>complaints-</w:t>
      </w:r>
      <w:r w:rsidR="001374C9" w:rsidRPr="005E32D9">
        <w:rPr>
          <w:rFonts w:ascii="Arial" w:hAnsi="Arial" w:cs="Arial"/>
          <w:sz w:val="18"/>
          <w:szCs w:val="18"/>
        </w:rPr>
        <w:t>handling  132</w:t>
      </w:r>
    </w:p>
    <w:p w14:paraId="1BD53A6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complaints</w:t>
      </w:r>
    </w:p>
    <w:p w14:paraId="5E2F829F"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to ACMA  22</w:t>
      </w:r>
    </w:p>
    <w:p w14:paraId="5FB306D8"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billing and payments  132</w:t>
      </w:r>
    </w:p>
    <w:p w14:paraId="721A7AAF"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broadcasting  12, 96–7</w:t>
      </w:r>
    </w:p>
    <w:p w14:paraId="7CE19331"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domestic systems interference (DSI)  23–4</w:t>
      </w:r>
    </w:p>
    <w:p w14:paraId="74D8B64F"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e-marketing  128–29</w:t>
      </w:r>
    </w:p>
    <w:p w14:paraId="38D6EA1D"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facility installation  22–3</w:t>
      </w:r>
    </w:p>
    <w:p w14:paraId="27E0264A"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interactive gambling  97</w:t>
      </w:r>
    </w:p>
    <w:p w14:paraId="5D29B0DC"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interference  14, 23–4</w:t>
      </w:r>
    </w:p>
    <w:p w14:paraId="2372C8CE"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mobile phone base stations  21</w:t>
      </w:r>
    </w:p>
    <w:p w14:paraId="058E5B5C"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online content  5, 12, 97</w:t>
      </w:r>
    </w:p>
    <w:p w14:paraId="415387B4"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radiocommunications interference  23–4</w:t>
      </w:r>
    </w:p>
    <w:p w14:paraId="3C89CF78"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spam  12, 128–29</w:t>
      </w:r>
    </w:p>
    <w:p w14:paraId="0DE90896"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 xml:space="preserve">to Telecommunications Industry Ombudsman  5, 12, </w:t>
      </w:r>
      <w:r w:rsidR="00D501F1" w:rsidRPr="005E32D9">
        <w:rPr>
          <w:rFonts w:ascii="Arial" w:hAnsi="Arial" w:cs="Arial"/>
          <w:sz w:val="18"/>
          <w:szCs w:val="18"/>
        </w:rPr>
        <w:br/>
      </w:r>
      <w:r w:rsidRPr="005E32D9">
        <w:rPr>
          <w:rFonts w:ascii="Arial" w:hAnsi="Arial" w:cs="Arial"/>
          <w:sz w:val="18"/>
          <w:szCs w:val="18"/>
        </w:rPr>
        <w:t>22–3, 110, 131–32</w:t>
      </w:r>
    </w:p>
    <w:p w14:paraId="3FFB1BBD"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telemarketing  12, 128–29</w:t>
      </w:r>
    </w:p>
    <w:p w14:paraId="1F63F2CF"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Triple Zero calls  102</w:t>
      </w:r>
    </w:p>
    <w:p w14:paraId="5866BE2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compliance</w:t>
      </w:r>
    </w:p>
    <w:p w14:paraId="789A890E"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cabling  127</w:t>
      </w:r>
    </w:p>
    <w:p w14:paraId="5B88CD94"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captioning television  92–3</w:t>
      </w:r>
    </w:p>
    <w:p w14:paraId="2A438B65"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carriage service providers (CSPs)  22</w:t>
      </w:r>
    </w:p>
    <w:p w14:paraId="7C47795B"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Customer Service Guarantee Standard  110, 113–18</w:t>
      </w:r>
    </w:p>
    <w:p w14:paraId="5D0785D4"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Integrated Public Number Database (IPND)  108–9</w:t>
      </w:r>
    </w:p>
    <w:p w14:paraId="04A5F3E8"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interception capability plan  107–8</w:t>
      </w:r>
    </w:p>
    <w:p w14:paraId="6D8AAF3F"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notification of changes of control  94</w:t>
      </w:r>
    </w:p>
    <w:p w14:paraId="7C71E4EA"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Telecommunications Consumer Protection (TCP) Code  125–26</w:t>
      </w:r>
    </w:p>
    <w:p w14:paraId="3867EDE7"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Telecommunications Industry Ombudsman scheme  130–1</w:t>
      </w:r>
    </w:p>
    <w:p w14:paraId="061E8B5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computers</w:t>
      </w:r>
    </w:p>
    <w:p w14:paraId="5CD53D75"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internet access  49, 51–3, 55</w:t>
      </w:r>
    </w:p>
    <w:p w14:paraId="7BA3A710"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OTT VoIP services  16</w:t>
      </w:r>
    </w:p>
    <w:p w14:paraId="504D10C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connections  114–16</w:t>
      </w:r>
    </w:p>
    <w:p w14:paraId="3789F884"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priority assistance  123</w:t>
      </w:r>
    </w:p>
    <w:p w14:paraId="430F9F5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consumer engagement with communications  49–72</w:t>
      </w:r>
    </w:p>
    <w:p w14:paraId="4960C01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consumer safeguards, and quality of service  5, 110–32</w:t>
      </w:r>
    </w:p>
    <w:p w14:paraId="1FB548D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consumer satisfaction  67–9</w:t>
      </w:r>
    </w:p>
    <w:p w14:paraId="08B8DCF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content regulation, Australian content  74, 90–2</w:t>
      </w:r>
    </w:p>
    <w:p w14:paraId="3702B12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contracts, complaints  132</w:t>
      </w:r>
    </w:p>
    <w:p w14:paraId="7D53C7F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copper network switch-off  32–3</w:t>
      </w:r>
    </w:p>
    <w:p w14:paraId="122B268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credit management, complaints  132</w:t>
      </w:r>
    </w:p>
    <w:p w14:paraId="1C729E3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Critical Information Summary requirements  126</w:t>
      </w:r>
    </w:p>
    <w:p w14:paraId="742C067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cross-media ownership  41</w:t>
      </w:r>
    </w:p>
    <w:p w14:paraId="5800A0F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Customer and Network Fault Management Industry Code  125</w:t>
      </w:r>
    </w:p>
    <w:p w14:paraId="2B2C750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customer information disclosures  104–6</w:t>
      </w:r>
    </w:p>
    <w:p w14:paraId="63918D9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customer service, complaints  22–3, 132</w:t>
      </w:r>
    </w:p>
    <w:p w14:paraId="61F0C43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Customer Service Guarantee Standard  110</w:t>
      </w:r>
    </w:p>
    <w:p w14:paraId="6CA4A2A9"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appointments  115–16</w:t>
      </w:r>
    </w:p>
    <w:p w14:paraId="03011314"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benchmark performance  6, 110, 114–15</w:t>
      </w:r>
    </w:p>
    <w:p w14:paraId="5B45861C"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lastRenderedPageBreak/>
        <w:t>compensation payments  6, 110, 117</w:t>
      </w:r>
    </w:p>
    <w:p w14:paraId="1536C195"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compliance  110, 113–18</w:t>
      </w:r>
    </w:p>
    <w:p w14:paraId="70AD40B3"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connections  114–16</w:t>
      </w:r>
    </w:p>
    <w:p w14:paraId="41980F7C"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exceptions  117–18</w:t>
      </w:r>
    </w:p>
    <w:p w14:paraId="0196D6A7"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fault repairs  114–16</w:t>
      </w:r>
    </w:p>
    <w:p w14:paraId="12B5668A"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in-place connections  114–16</w:t>
      </w:r>
    </w:p>
    <w:p w14:paraId="542B7381"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new service connections  114–16</w:t>
      </w:r>
    </w:p>
    <w:p w14:paraId="21FB0A1F"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qualifying carriage service providers (QCSPs)  113</w:t>
      </w:r>
    </w:p>
    <w:p w14:paraId="36C018C9"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services subject to  113–14</w:t>
      </w:r>
    </w:p>
    <w:p w14:paraId="0283A27A"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telephone services covered by  8</w:t>
      </w:r>
    </w:p>
    <w:p w14:paraId="0EFCD26D"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time frames  6, 110, 114–17</w:t>
      </w:r>
    </w:p>
    <w:p w14:paraId="14216A9B" w14:textId="77777777" w:rsidR="001374C9" w:rsidRPr="005E32D9" w:rsidRDefault="001374C9" w:rsidP="0048104B">
      <w:pPr>
        <w:pStyle w:val="Sub1"/>
        <w:rPr>
          <w:rFonts w:ascii="Arial" w:hAnsi="Arial" w:cs="Arial"/>
          <w:sz w:val="18"/>
          <w:szCs w:val="18"/>
        </w:rPr>
      </w:pPr>
      <w:r w:rsidRPr="005E32D9">
        <w:rPr>
          <w:rFonts w:ascii="Arial" w:hAnsi="Arial" w:cs="Arial"/>
          <w:sz w:val="18"/>
          <w:szCs w:val="18"/>
        </w:rPr>
        <w:t>waivers  6, 8, 114</w:t>
      </w:r>
    </w:p>
    <w:p w14:paraId="61037FF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cybersecurity  129–30</w:t>
      </w:r>
    </w:p>
    <w:p w14:paraId="5E5127C1" w14:textId="77777777" w:rsidR="001374C9" w:rsidRPr="005E32D9" w:rsidRDefault="001374C9" w:rsidP="001374C9">
      <w:pPr>
        <w:pStyle w:val="Main"/>
        <w:rPr>
          <w:rFonts w:ascii="Arial" w:hAnsi="Arial" w:cs="Arial"/>
          <w:sz w:val="18"/>
          <w:szCs w:val="18"/>
        </w:rPr>
      </w:pPr>
    </w:p>
    <w:p w14:paraId="6A6F0F12"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D</w:t>
      </w:r>
    </w:p>
    <w:p w14:paraId="41A21E5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data allowances  56–7</w:t>
      </w:r>
    </w:p>
    <w:p w14:paraId="03722881" w14:textId="77777777" w:rsidR="001374C9" w:rsidRPr="005E32D9" w:rsidRDefault="001374C9" w:rsidP="004B3A22">
      <w:pPr>
        <w:pStyle w:val="Main"/>
        <w:ind w:hanging="113"/>
        <w:rPr>
          <w:rFonts w:ascii="Arial" w:hAnsi="Arial" w:cs="Arial"/>
          <w:sz w:val="18"/>
          <w:szCs w:val="18"/>
        </w:rPr>
      </w:pPr>
      <w:r w:rsidRPr="005E32D9">
        <w:rPr>
          <w:rFonts w:ascii="Arial" w:hAnsi="Arial" w:cs="Arial"/>
          <w:sz w:val="18"/>
          <w:szCs w:val="18"/>
        </w:rPr>
        <w:t>data downloaded  1, 3, 55–6, 80</w:t>
      </w:r>
    </w:p>
    <w:p w14:paraId="4D8881E1" w14:textId="77777777" w:rsidR="001374C9" w:rsidRPr="005E32D9" w:rsidRDefault="001374C9" w:rsidP="004B3A22">
      <w:pPr>
        <w:pStyle w:val="Sub1"/>
        <w:ind w:hanging="113"/>
        <w:rPr>
          <w:rFonts w:ascii="Arial" w:hAnsi="Arial" w:cs="Arial"/>
          <w:sz w:val="18"/>
          <w:szCs w:val="18"/>
        </w:rPr>
      </w:pPr>
      <w:r w:rsidRPr="005E32D9">
        <w:rPr>
          <w:rFonts w:ascii="Arial" w:hAnsi="Arial" w:cs="Arial"/>
          <w:sz w:val="18"/>
          <w:szCs w:val="18"/>
        </w:rPr>
        <w:t>video  80–1</w:t>
      </w:r>
    </w:p>
    <w:p w14:paraId="08EB643E" w14:textId="77777777" w:rsidR="001374C9" w:rsidRPr="005E32D9" w:rsidRDefault="001374C9" w:rsidP="004B3A22">
      <w:pPr>
        <w:pStyle w:val="Sub1"/>
        <w:ind w:hanging="113"/>
        <w:rPr>
          <w:rFonts w:ascii="Arial" w:hAnsi="Arial" w:cs="Arial"/>
          <w:sz w:val="18"/>
          <w:szCs w:val="18"/>
        </w:rPr>
      </w:pPr>
      <w:r w:rsidRPr="005E32D9">
        <w:rPr>
          <w:rFonts w:ascii="Arial" w:hAnsi="Arial" w:cs="Arial"/>
          <w:sz w:val="18"/>
          <w:szCs w:val="18"/>
        </w:rPr>
        <w:t>volumes  9, 80–1</w:t>
      </w:r>
    </w:p>
    <w:p w14:paraId="49714749" w14:textId="77777777" w:rsidR="001374C9" w:rsidRPr="005E32D9" w:rsidRDefault="001374C9" w:rsidP="004B3A22">
      <w:pPr>
        <w:pStyle w:val="Main"/>
        <w:rPr>
          <w:rFonts w:ascii="Arial" w:hAnsi="Arial" w:cs="Arial"/>
          <w:sz w:val="18"/>
          <w:szCs w:val="18"/>
        </w:rPr>
      </w:pPr>
      <w:r w:rsidRPr="005E32D9">
        <w:rPr>
          <w:rFonts w:ascii="Arial" w:hAnsi="Arial" w:cs="Arial"/>
          <w:sz w:val="18"/>
          <w:szCs w:val="18"/>
        </w:rPr>
        <w:t>data network service numbers  37</w:t>
      </w:r>
    </w:p>
    <w:p w14:paraId="19C88E2B"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data plans  17, 55–7</w:t>
      </w:r>
    </w:p>
    <w:p w14:paraId="3E02C882"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data retention  100, 107</w:t>
      </w:r>
    </w:p>
    <w:p w14:paraId="0BD3089C"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data speeds  81</w:t>
      </w:r>
    </w:p>
    <w:p w14:paraId="39FDF2EF"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consumer satisfaction  49, 69</w:t>
      </w:r>
    </w:p>
    <w:p w14:paraId="5E5D7F62"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Datawave Internet Pty Ltd  126</w:t>
      </w:r>
    </w:p>
    <w:p w14:paraId="43ECB429"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Deezer  77</w:t>
      </w:r>
    </w:p>
    <w:p w14:paraId="6AC84F66"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Department of Communications  95</w:t>
      </w:r>
    </w:p>
    <w:p w14:paraId="219AF956"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Department of Communications and the Arts  110</w:t>
      </w:r>
    </w:p>
    <w:p w14:paraId="515C26B1"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desktop computers, internet access  51–3</w:t>
      </w:r>
    </w:p>
    <w:p w14:paraId="574534F5"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dial-up internet  13, 27</w:t>
      </w:r>
    </w:p>
    <w:p w14:paraId="150D80FC"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data downloaded  55–6</w:t>
      </w:r>
    </w:p>
    <w:p w14:paraId="4219FF31"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digital broadcasting  95–6</w:t>
      </w:r>
    </w:p>
    <w:p w14:paraId="7A5FC4C0"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digital radio  73, 75, 95</w:t>
      </w:r>
    </w:p>
    <w:p w14:paraId="470C04AB"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Digital Radio Planning Committee  95</w:t>
      </w:r>
    </w:p>
    <w:p w14:paraId="331BE4F8"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digital services  8–10</w:t>
      </w:r>
    </w:p>
    <w:p w14:paraId="502BD78F"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digital television  77–8, 95</w:t>
      </w:r>
    </w:p>
    <w:p w14:paraId="3CF95E25"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interference  23</w:t>
      </w:r>
    </w:p>
    <w:p w14:paraId="459D7913"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disclosures of customer information  6, 11, 100, 104–6</w:t>
      </w:r>
    </w:p>
    <w:p w14:paraId="453A9A41" w14:textId="77777777" w:rsidR="001374C9" w:rsidRPr="005E32D9" w:rsidRDefault="001374C9" w:rsidP="0048104B">
      <w:pPr>
        <w:pStyle w:val="Main"/>
        <w:rPr>
          <w:rFonts w:ascii="Arial" w:hAnsi="Arial" w:cs="Arial"/>
          <w:sz w:val="18"/>
          <w:szCs w:val="18"/>
        </w:rPr>
      </w:pPr>
      <w:r w:rsidRPr="005E32D9">
        <w:rPr>
          <w:rFonts w:ascii="Arial" w:hAnsi="Arial" w:cs="Arial"/>
          <w:i/>
          <w:sz w:val="18"/>
          <w:szCs w:val="18"/>
        </w:rPr>
        <w:t>Do Not Call Register Act 2006</w:t>
      </w:r>
      <w:r w:rsidRPr="005E32D9">
        <w:rPr>
          <w:rFonts w:ascii="Arial" w:hAnsi="Arial" w:cs="Arial"/>
          <w:sz w:val="18"/>
          <w:szCs w:val="18"/>
        </w:rPr>
        <w:t xml:space="preserve">  127–28</w:t>
      </w:r>
    </w:p>
    <w:p w14:paraId="743C8CF9"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Do Not Call Register (DNCR)  127–28</w:t>
      </w:r>
    </w:p>
    <w:p w14:paraId="51F912BC"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numbers added  5, 110, 127</w:t>
      </w:r>
    </w:p>
    <w:p w14:paraId="5B508DE3"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numbers submitted for checking  127–28</w:t>
      </w:r>
    </w:p>
    <w:p w14:paraId="3C602444"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Document Verification Service  108</w:t>
      </w:r>
    </w:p>
    <w:p w14:paraId="4F5C26A2"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documentaries, Australian content  91</w:t>
      </w:r>
    </w:p>
    <w:p w14:paraId="1D42FE34" w14:textId="77777777" w:rsidR="001374C9" w:rsidRPr="005E32D9" w:rsidRDefault="001374C9" w:rsidP="0048104B">
      <w:pPr>
        <w:pStyle w:val="Main"/>
        <w:rPr>
          <w:rFonts w:ascii="Arial" w:hAnsi="Arial" w:cs="Arial"/>
          <w:sz w:val="18"/>
          <w:szCs w:val="18"/>
        </w:rPr>
      </w:pPr>
      <w:r w:rsidRPr="005E32D9">
        <w:rPr>
          <w:rFonts w:ascii="Arial" w:hAnsi="Arial" w:cs="Arial"/>
          <w:sz w:val="18"/>
          <w:szCs w:val="18"/>
        </w:rPr>
        <w:t>Dodo  29, 34</w:t>
      </w:r>
    </w:p>
    <w:p w14:paraId="2E1ED334"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appointments  116</w:t>
      </w:r>
    </w:p>
    <w:p w14:paraId="6F994236"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compensation payments  117</w:t>
      </w:r>
    </w:p>
    <w:p w14:paraId="658E0707"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Customer Service Guarantee Standard  113, 115–17</w:t>
      </w:r>
    </w:p>
    <w:p w14:paraId="14B089A9"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dial-up internet  27</w:t>
      </w:r>
    </w:p>
    <w:p w14:paraId="539DE45F"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fault repairs  116</w:t>
      </w:r>
    </w:p>
    <w:p w14:paraId="6B4EF164"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in-place connections  115–16</w:t>
      </w:r>
    </w:p>
    <w:p w14:paraId="4E8F8436"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new service connections  115–16</w:t>
      </w:r>
    </w:p>
    <w:p w14:paraId="72CFE142"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as qualifying carriage service providers (QCSPs)  113</w:t>
      </w:r>
    </w:p>
    <w:p w14:paraId="2C01926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domain names registered  4, 10, 14, 28, 67</w:t>
      </w:r>
    </w:p>
    <w:p w14:paraId="535AED0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domestic systems interference (DSI), complaints  23–4</w:t>
      </w:r>
    </w:p>
    <w:p w14:paraId="6243534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drama</w:t>
      </w:r>
    </w:p>
    <w:p w14:paraId="4BDE6D56"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Australian content  91–2</w:t>
      </w:r>
    </w:p>
    <w:p w14:paraId="2F154BF8"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expenditure scheme  92</w:t>
      </w:r>
    </w:p>
    <w:p w14:paraId="5F1026C2" w14:textId="77777777" w:rsidR="001374C9" w:rsidRPr="005E32D9" w:rsidRDefault="001374C9" w:rsidP="001374C9">
      <w:pPr>
        <w:pStyle w:val="Main"/>
        <w:rPr>
          <w:rFonts w:ascii="Arial" w:hAnsi="Arial" w:cs="Arial"/>
          <w:sz w:val="18"/>
          <w:szCs w:val="18"/>
        </w:rPr>
      </w:pPr>
    </w:p>
    <w:p w14:paraId="09ABCD20"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lastRenderedPageBreak/>
        <w:t>E</w:t>
      </w:r>
    </w:p>
    <w:p w14:paraId="1EE906A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e-commerce  10, 49, 63, 66</w:t>
      </w:r>
    </w:p>
    <w:p w14:paraId="6CB0760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eligible drama expenditure scheme  92</w:t>
      </w:r>
    </w:p>
    <w:p w14:paraId="48ACCA1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email  57–8, 60, 62–3, 71</w:t>
      </w:r>
    </w:p>
    <w:p w14:paraId="27D12B8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Emergency Call Persons Determination  102</w:t>
      </w:r>
    </w:p>
    <w:p w14:paraId="1E7F676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emergency call services  100–3</w:t>
      </w:r>
    </w:p>
    <w:p w14:paraId="18ADDAD1"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106 TTY (teletypewriter) text service  102–3</w:t>
      </w:r>
    </w:p>
    <w:p w14:paraId="60B050F3"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112 emergency calls  101</w:t>
      </w:r>
    </w:p>
    <w:p w14:paraId="671E6FFD"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disclosures of customer information to  105</w:t>
      </w:r>
    </w:p>
    <w:p w14:paraId="15BB2477"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non-emergency calls  101</w:t>
      </w:r>
    </w:p>
    <w:p w14:paraId="47729DC1"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number of calls offered  11, 100</w:t>
      </w:r>
    </w:p>
    <w:p w14:paraId="131ADB9E"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percentage of calls answered  11</w:t>
      </w:r>
    </w:p>
    <w:p w14:paraId="08680276"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teletypewriters (TTY)  102–3</w:t>
      </w:r>
    </w:p>
    <w:p w14:paraId="193315FA"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Triple Zero calls  101–3</w:t>
      </w:r>
    </w:p>
    <w:p w14:paraId="57DED8A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Emergency Call Services Requirements Industry Code  125</w:t>
      </w:r>
    </w:p>
    <w:p w14:paraId="1B299D4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emergency calls</w:t>
      </w:r>
    </w:p>
    <w:p w14:paraId="2682E816"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answering  101–3</w:t>
      </w:r>
    </w:p>
    <w:p w14:paraId="070E582E"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from fixed-line telephones  101</w:t>
      </w:r>
    </w:p>
    <w:p w14:paraId="4C599B6D"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genuine  101</w:t>
      </w:r>
    </w:p>
    <w:p w14:paraId="24AC7FB6"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and Global Positioning System (GPS) information  103</w:t>
      </w:r>
    </w:p>
    <w:p w14:paraId="08AC3E2A"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and mobile location  6, 100, 102</w:t>
      </w:r>
    </w:p>
    <w:p w14:paraId="52D98AF4"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from mobile phones  6, 101–3</w:t>
      </w:r>
    </w:p>
    <w:p w14:paraId="7EB4873B"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from payphones  101</w:t>
      </w:r>
    </w:p>
    <w:p w14:paraId="6EB4E568"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transfers  101–2</w:t>
      </w:r>
    </w:p>
    <w:p w14:paraId="2CD1B41A"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via National Relay Service (NRS)  102–3</w:t>
      </w:r>
    </w:p>
    <w:p w14:paraId="03F723E3"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volumes  101, 103</w:t>
      </w:r>
    </w:p>
    <w:p w14:paraId="3B28782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emergency service organisations (ESO)  100</w:t>
      </w:r>
    </w:p>
    <w:p w14:paraId="1A967551"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calls transferred to  101–2</w:t>
      </w:r>
    </w:p>
    <w:p w14:paraId="191F75A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emergency situations, news about  90</w:t>
      </w:r>
    </w:p>
    <w:p w14:paraId="66F1373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emergency suspension of carriage services  100, 106</w:t>
      </w:r>
    </w:p>
    <w:p w14:paraId="4EE152D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Ericsson  26, 33</w:t>
      </w:r>
    </w:p>
    <w:p w14:paraId="3533CB9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European Union  70</w:t>
      </w:r>
    </w:p>
    <w:p w14:paraId="1F1700C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Exceed Connect Pty Ltd  126</w:t>
      </w:r>
    </w:p>
    <w:p w14:paraId="5085BBB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exceptions, Customer Service Guarantee Standard  117–18</w:t>
      </w:r>
    </w:p>
    <w:p w14:paraId="357F4B2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executive summary  3–6</w:t>
      </w:r>
    </w:p>
    <w:p w14:paraId="6F71D6D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EzyFlix  78</w:t>
      </w:r>
    </w:p>
    <w:p w14:paraId="7D4B5270" w14:textId="77777777" w:rsidR="001374C9" w:rsidRPr="005E32D9" w:rsidRDefault="001374C9" w:rsidP="001374C9">
      <w:pPr>
        <w:pStyle w:val="Main"/>
        <w:rPr>
          <w:rFonts w:ascii="Arial" w:hAnsi="Arial" w:cs="Arial"/>
          <w:sz w:val="18"/>
          <w:szCs w:val="18"/>
        </w:rPr>
      </w:pPr>
    </w:p>
    <w:p w14:paraId="4DA68135"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F</w:t>
      </w:r>
    </w:p>
    <w:p w14:paraId="07B7A51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Facebook  59, 88, 130</w:t>
      </w:r>
    </w:p>
    <w:p w14:paraId="2B45779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Facebook Messenger  61–2</w:t>
      </w:r>
    </w:p>
    <w:p w14:paraId="2308B41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FaceTime  61–2</w:t>
      </w:r>
    </w:p>
    <w:p w14:paraId="1FF1BBF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facility installation complaints  22–3</w:t>
      </w:r>
    </w:p>
    <w:p w14:paraId="17C48B8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Fairfax Media Ltd  40–1, 88</w:t>
      </w:r>
    </w:p>
    <w:p w14:paraId="6A29BEF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fault repairs</w:t>
      </w:r>
    </w:p>
    <w:p w14:paraId="5E8FEC69"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consumer satisfaction  69</w:t>
      </w:r>
    </w:p>
    <w:p w14:paraId="526D5A73"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Customer Service Guarantee Standard  114–16</w:t>
      </w:r>
    </w:p>
    <w:p w14:paraId="4833D39B"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payphones  112–13</w:t>
      </w:r>
    </w:p>
    <w:p w14:paraId="0749B562"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priority assistance  122, 124</w:t>
      </w:r>
    </w:p>
    <w:p w14:paraId="31C01C7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faults  118–21, 132</w:t>
      </w:r>
    </w:p>
    <w:p w14:paraId="320FB22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fax marketing  128–9</w:t>
      </w:r>
    </w:p>
    <w:p w14:paraId="1F3173B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Fax Marketing Industry Standard 2011  128</w:t>
      </w:r>
    </w:p>
    <w:p w14:paraId="47319B4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Fetch TV  78–9</w:t>
      </w:r>
    </w:p>
    <w:p w14:paraId="551FFF6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fibre to the distribution point (FttDp)  30</w:t>
      </w:r>
    </w:p>
    <w:p w14:paraId="4795631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fibre to the node (FTTN) network  30</w:t>
      </w:r>
    </w:p>
    <w:p w14:paraId="49063E7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financial institutions  130</w:t>
      </w:r>
    </w:p>
    <w:p w14:paraId="0F9668E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fixed-line broadband</w:t>
      </w:r>
    </w:p>
    <w:p w14:paraId="1842C5A0"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average download per subscriber  9</w:t>
      </w:r>
    </w:p>
    <w:p w14:paraId="54A459F3"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data downloaded  9, 55–6, 80–1</w:t>
      </w:r>
    </w:p>
    <w:p w14:paraId="401B9C6A"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data speeds  81</w:t>
      </w:r>
    </w:p>
    <w:p w14:paraId="7E4C5FE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fixed-line telephone services</w:t>
      </w:r>
    </w:p>
    <w:p w14:paraId="53071E9E"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lastRenderedPageBreak/>
        <w:t>availability  14–17</w:t>
      </w:r>
    </w:p>
    <w:p w14:paraId="532E722F"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calls from  49, 57–8, 60</w:t>
      </w:r>
    </w:p>
    <w:p w14:paraId="37DF464C"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complaints  131</w:t>
      </w:r>
    </w:p>
    <w:p w14:paraId="0B98A78E"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consumer satisfaction  49, 67–9</w:t>
      </w:r>
    </w:p>
    <w:p w14:paraId="7A60B32C"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emergency calls from  101</w:t>
      </w:r>
    </w:p>
    <w:p w14:paraId="6AC68EDA"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Network Reliability Framework (NRF)  118–21</w:t>
      </w:r>
    </w:p>
    <w:p w14:paraId="5E632260"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in operation  1, 7, 13–4, 110</w:t>
      </w:r>
    </w:p>
    <w:p w14:paraId="1C2AAD58"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replaced by NBN  31–2</w:t>
      </w:r>
    </w:p>
    <w:p w14:paraId="2C48D519"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shift away from  4, 7, 13–5, 53</w:t>
      </w:r>
    </w:p>
    <w:p w14:paraId="0123E88B"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Telstra retail only  14</w:t>
      </w:r>
    </w:p>
    <w:p w14:paraId="599CC269"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use of  15–16, 60</w:t>
      </w:r>
    </w:p>
    <w:p w14:paraId="6DDB0C89"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users  7</w:t>
      </w:r>
    </w:p>
    <w:p w14:paraId="077CD9A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fixed-line telephone services network, reliability  118–21</w:t>
      </w:r>
    </w:p>
    <w:p w14:paraId="5BB5EB0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fixed wireless services  27, 31</w:t>
      </w:r>
    </w:p>
    <w:p w14:paraId="6D072B5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Fleurieu Link  109</w:t>
      </w:r>
    </w:p>
    <w:p w14:paraId="4716655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Food Network  77</w:t>
      </w:r>
    </w:p>
    <w:p w14:paraId="413BD35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Foxtel  5, 78, 82–4, 86</w:t>
      </w:r>
    </w:p>
    <w:p w14:paraId="2F2784A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Foxtel Play  78</w:t>
      </w:r>
    </w:p>
    <w:p w14:paraId="1A19B30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free-to-air television  </w:t>
      </w:r>
      <w:r w:rsidRPr="005E32D9">
        <w:rPr>
          <w:rFonts w:ascii="Arial" w:hAnsi="Arial" w:cs="Arial"/>
          <w:i/>
          <w:sz w:val="18"/>
          <w:szCs w:val="18"/>
        </w:rPr>
        <w:t>see</w:t>
      </w:r>
      <w:r w:rsidRPr="005E32D9">
        <w:rPr>
          <w:rFonts w:ascii="Arial" w:hAnsi="Arial" w:cs="Arial"/>
          <w:sz w:val="18"/>
          <w:szCs w:val="18"/>
        </w:rPr>
        <w:t xml:space="preserve"> television</w:t>
      </w:r>
    </w:p>
    <w:p w14:paraId="66F690C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freephone and local rate numbers (FLRNs)</w:t>
      </w:r>
    </w:p>
    <w:p w14:paraId="1C1DE037"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allocation of numbers  36</w:t>
      </w:r>
    </w:p>
    <w:p w14:paraId="412F6C5B" w14:textId="77777777" w:rsidR="001374C9" w:rsidRPr="005E32D9" w:rsidRDefault="001374C9" w:rsidP="0048104B">
      <w:pPr>
        <w:pStyle w:val="Sub1"/>
        <w:ind w:hanging="113"/>
        <w:rPr>
          <w:rFonts w:ascii="Arial" w:hAnsi="Arial" w:cs="Arial"/>
          <w:sz w:val="18"/>
          <w:szCs w:val="18"/>
        </w:rPr>
      </w:pPr>
      <w:r w:rsidRPr="005E32D9">
        <w:rPr>
          <w:rFonts w:ascii="Arial" w:hAnsi="Arial" w:cs="Arial"/>
          <w:sz w:val="18"/>
          <w:szCs w:val="18"/>
        </w:rPr>
        <w:t>portability  11, 124–5</w:t>
      </w:r>
    </w:p>
    <w:p w14:paraId="535CB8BF" w14:textId="77777777" w:rsidR="005D6742" w:rsidRPr="005E32D9" w:rsidRDefault="005D6742" w:rsidP="001374C9">
      <w:pPr>
        <w:pStyle w:val="Main"/>
        <w:rPr>
          <w:rFonts w:ascii="Arial" w:hAnsi="Arial" w:cs="Arial"/>
          <w:sz w:val="18"/>
          <w:szCs w:val="18"/>
        </w:rPr>
      </w:pPr>
    </w:p>
    <w:p w14:paraId="2728617D"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G</w:t>
      </w:r>
    </w:p>
    <w:p w14:paraId="5330B3A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gambling, interactive  97</w:t>
      </w:r>
    </w:p>
    <w:p w14:paraId="0E69E7B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games consoles, internet access  52</w:t>
      </w:r>
    </w:p>
    <w:p w14:paraId="0FEA1DB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games online, playing  71</w:t>
      </w:r>
    </w:p>
    <w:p w14:paraId="2383842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geographic number allocations  11, 36–7</w:t>
      </w:r>
    </w:p>
    <w:p w14:paraId="0770766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glossary  135–44</w:t>
      </w:r>
    </w:p>
    <w:p w14:paraId="007AF86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Golden IT Pty Ltd  126</w:t>
      </w:r>
    </w:p>
    <w:p w14:paraId="0899517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Google+ Hangout  61–2</w:t>
      </w:r>
    </w:p>
    <w:p w14:paraId="7CD7940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Google Play  74, 77</w:t>
      </w:r>
    </w:p>
    <w:p w14:paraId="7556CCA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government websites, accessing  63, 71</w:t>
      </w:r>
    </w:p>
    <w:p w14:paraId="1DF6583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Grant Broadcasters Pty Ltd  39–40</w:t>
      </w:r>
    </w:p>
    <w:p w14:paraId="0EA33AA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Groove  77</w:t>
      </w:r>
    </w:p>
    <w:p w14:paraId="270EF2F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Guvera  74, 77</w:t>
      </w:r>
    </w:p>
    <w:p w14:paraId="038C9C38" w14:textId="77777777" w:rsidR="001374C9" w:rsidRPr="005E32D9" w:rsidRDefault="001374C9" w:rsidP="001374C9">
      <w:pPr>
        <w:pStyle w:val="Main"/>
        <w:rPr>
          <w:rFonts w:ascii="Arial" w:hAnsi="Arial" w:cs="Arial"/>
          <w:sz w:val="18"/>
          <w:szCs w:val="18"/>
        </w:rPr>
      </w:pPr>
    </w:p>
    <w:p w14:paraId="4451CEAF"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H</w:t>
      </w:r>
    </w:p>
    <w:p w14:paraId="1172EE36" w14:textId="77777777" w:rsidR="001374C9" w:rsidRPr="005E32D9" w:rsidRDefault="001374C9" w:rsidP="001374C9">
      <w:pPr>
        <w:pStyle w:val="Main"/>
        <w:rPr>
          <w:rFonts w:ascii="Arial" w:hAnsi="Arial" w:cs="Arial"/>
          <w:sz w:val="18"/>
          <w:szCs w:val="18"/>
        </w:rPr>
      </w:pPr>
      <w:r w:rsidRPr="005E32D9">
        <w:rPr>
          <w:rFonts w:ascii="Arial" w:hAnsi="Arial" w:cs="Arial"/>
          <w:iCs/>
          <w:sz w:val="18"/>
          <w:szCs w:val="18"/>
        </w:rPr>
        <w:t>Handling of Life Threatenin</w:t>
      </w:r>
      <w:r w:rsidR="003D21F4">
        <w:rPr>
          <w:rFonts w:ascii="Arial" w:hAnsi="Arial" w:cs="Arial"/>
          <w:iCs/>
          <w:sz w:val="18"/>
          <w:szCs w:val="18"/>
        </w:rPr>
        <w:t>g and Unwelcome Communications Industry C</w:t>
      </w:r>
      <w:r w:rsidRPr="005E32D9">
        <w:rPr>
          <w:rFonts w:ascii="Arial" w:hAnsi="Arial" w:cs="Arial"/>
          <w:iCs/>
          <w:sz w:val="18"/>
          <w:szCs w:val="18"/>
        </w:rPr>
        <w:t>ode</w:t>
      </w:r>
      <w:r w:rsidRPr="005E32D9">
        <w:rPr>
          <w:rFonts w:ascii="Arial" w:hAnsi="Arial" w:cs="Arial"/>
          <w:sz w:val="18"/>
          <w:szCs w:val="18"/>
        </w:rPr>
        <w:t xml:space="preserve">  109</w:t>
      </w:r>
    </w:p>
    <w:p w14:paraId="012950E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Harbour Of Technology Pty Ltd  126</w:t>
      </w:r>
    </w:p>
    <w:p w14:paraId="29118C1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Harris, Geoffrey Mark  109</w:t>
      </w:r>
    </w:p>
    <w:p w14:paraId="2138A7A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Hayu  78</w:t>
      </w:r>
    </w:p>
    <w:p w14:paraId="1584675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home broadband connections  10, 50, 70</w:t>
      </w:r>
    </w:p>
    <w:p w14:paraId="137DDA4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home internet connections  10, 50</w:t>
      </w:r>
    </w:p>
    <w:p w14:paraId="5E2C7BB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homespots (Wi-Fi)  33</w:t>
      </w:r>
    </w:p>
    <w:p w14:paraId="6B925B4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Huawei  26</w:t>
      </w:r>
    </w:p>
    <w:p w14:paraId="68C5964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Hybrid Fibre Coaxial (HFC) services  30</w:t>
      </w:r>
    </w:p>
    <w:p w14:paraId="7F220A0F" w14:textId="77777777" w:rsidR="001374C9" w:rsidRPr="005E32D9" w:rsidRDefault="001374C9" w:rsidP="001374C9">
      <w:pPr>
        <w:pStyle w:val="Main"/>
        <w:rPr>
          <w:rFonts w:ascii="Arial" w:hAnsi="Arial" w:cs="Arial"/>
          <w:sz w:val="18"/>
          <w:szCs w:val="18"/>
        </w:rPr>
      </w:pPr>
    </w:p>
    <w:p w14:paraId="57E8E878"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I</w:t>
      </w:r>
    </w:p>
    <w:p w14:paraId="1D2B29B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IBM  33</w:t>
      </w:r>
    </w:p>
    <w:p w14:paraId="1BEC67CA" w14:textId="77777777" w:rsidR="001374C9" w:rsidRPr="005E32D9" w:rsidRDefault="001374C9" w:rsidP="001374C9">
      <w:pPr>
        <w:pStyle w:val="Main"/>
        <w:rPr>
          <w:rFonts w:ascii="Arial" w:hAnsi="Arial" w:cs="Arial"/>
          <w:sz w:val="18"/>
          <w:szCs w:val="18"/>
        </w:rPr>
      </w:pPr>
      <w:r w:rsidRPr="005E32D9">
        <w:rPr>
          <w:rFonts w:ascii="Arial" w:hAnsi="Arial" w:cs="Arial"/>
          <w:iCs/>
          <w:sz w:val="18"/>
          <w:szCs w:val="18"/>
        </w:rPr>
        <w:t>iCode—Internet Industry Code of Practice</w:t>
      </w:r>
      <w:r w:rsidRPr="005E32D9">
        <w:rPr>
          <w:rFonts w:ascii="Arial" w:hAnsi="Arial" w:cs="Arial"/>
          <w:sz w:val="18"/>
          <w:szCs w:val="18"/>
        </w:rPr>
        <w:t xml:space="preserve">  130</w:t>
      </w:r>
    </w:p>
    <w:p w14:paraId="5756721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identity checking  107–8</w:t>
      </w:r>
    </w:p>
    <w:p w14:paraId="2A63E80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iHeart Radio  77</w:t>
      </w:r>
    </w:p>
    <w:p w14:paraId="55C8F7D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iiNet</w:t>
      </w:r>
    </w:p>
    <w:p w14:paraId="19D8956D"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appointments  116</w:t>
      </w:r>
    </w:p>
    <w:p w14:paraId="24E9316B"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compensation payments  117</w:t>
      </w:r>
    </w:p>
    <w:p w14:paraId="21199FE7"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Customer Service Guarantee Standard  113, 115–18</w:t>
      </w:r>
    </w:p>
    <w:p w14:paraId="6F182613"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exceptions  118</w:t>
      </w:r>
    </w:p>
    <w:p w14:paraId="0C7999D9"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fault repairs  116</w:t>
      </w:r>
    </w:p>
    <w:p w14:paraId="300FBF86"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lastRenderedPageBreak/>
        <w:t>internet services in operation  29</w:t>
      </w:r>
    </w:p>
    <w:p w14:paraId="6733392A"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in-place connections  115–16</w:t>
      </w:r>
    </w:p>
    <w:p w14:paraId="3324F705"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mergers and acquisitions  29, 34–5</w:t>
      </w:r>
    </w:p>
    <w:p w14:paraId="2C2550D6"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new service connections  115–16</w:t>
      </w:r>
    </w:p>
    <w:p w14:paraId="2E9AE94D"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as qualifying carriage service providers (QCSPs)  113</w:t>
      </w:r>
    </w:p>
    <w:p w14:paraId="07F4F45C"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waivers  114</w:t>
      </w:r>
    </w:p>
    <w:p w14:paraId="5B4F288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Imparja Television Pty Ltd  38–9</w:t>
      </w:r>
    </w:p>
    <w:p w14:paraId="06D31C0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in-flight Wi-Fi  33</w:t>
      </w:r>
    </w:p>
    <w:p w14:paraId="6BE7604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in-place connections  114–16</w:t>
      </w:r>
    </w:p>
    <w:p w14:paraId="266684C7" w14:textId="77777777" w:rsidR="001374C9" w:rsidRPr="005E32D9" w:rsidRDefault="001374C9" w:rsidP="001374C9">
      <w:pPr>
        <w:pStyle w:val="Main"/>
        <w:rPr>
          <w:rFonts w:ascii="Arial" w:hAnsi="Arial" w:cs="Arial"/>
          <w:sz w:val="18"/>
          <w:szCs w:val="18"/>
        </w:rPr>
      </w:pPr>
      <w:r w:rsidRPr="005E32D9">
        <w:rPr>
          <w:rFonts w:ascii="Arial" w:hAnsi="Arial" w:cs="Arial"/>
          <w:iCs/>
          <w:sz w:val="18"/>
          <w:szCs w:val="18"/>
        </w:rPr>
        <w:t>Inbound Number Portability Code</w:t>
      </w:r>
      <w:r w:rsidRPr="005E32D9">
        <w:rPr>
          <w:rFonts w:ascii="Arial" w:hAnsi="Arial" w:cs="Arial"/>
          <w:sz w:val="18"/>
          <w:szCs w:val="18"/>
        </w:rPr>
        <w:t xml:space="preserve">  124–25</w:t>
      </w:r>
    </w:p>
    <w:p w14:paraId="4600844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Indigenous community television broadcasting services  42</w:t>
      </w:r>
    </w:p>
    <w:p w14:paraId="1CDEBA2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industry codes  </w:t>
      </w:r>
      <w:r w:rsidRPr="005E32D9">
        <w:rPr>
          <w:rFonts w:ascii="Arial" w:hAnsi="Arial" w:cs="Arial"/>
          <w:i/>
          <w:iCs/>
          <w:sz w:val="18"/>
          <w:szCs w:val="18"/>
        </w:rPr>
        <w:t>see</w:t>
      </w:r>
      <w:r w:rsidRPr="005E32D9">
        <w:rPr>
          <w:rFonts w:ascii="Arial" w:hAnsi="Arial" w:cs="Arial"/>
          <w:sz w:val="18"/>
          <w:szCs w:val="18"/>
        </w:rPr>
        <w:t xml:space="preserve"> telecommunications codes</w:t>
      </w:r>
    </w:p>
    <w:p w14:paraId="2797823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infrastructure regulation  21–4</w:t>
      </w:r>
    </w:p>
    <w:p w14:paraId="7A6C60D5" w14:textId="77777777" w:rsidR="001374C9" w:rsidRPr="005E32D9" w:rsidRDefault="001374C9" w:rsidP="001374C9">
      <w:pPr>
        <w:pStyle w:val="Main"/>
        <w:rPr>
          <w:rFonts w:ascii="Arial" w:hAnsi="Arial" w:cs="Arial"/>
          <w:sz w:val="18"/>
          <w:szCs w:val="18"/>
        </w:rPr>
      </w:pPr>
      <w:r w:rsidRPr="005E32D9">
        <w:rPr>
          <w:rFonts w:ascii="Arial" w:hAnsi="Arial" w:cs="Arial"/>
          <w:i/>
          <w:iCs/>
          <w:sz w:val="18"/>
          <w:szCs w:val="18"/>
        </w:rPr>
        <w:t>Installation Requirements for Customer Cabling</w:t>
      </w:r>
      <w:r w:rsidRPr="005E32D9">
        <w:rPr>
          <w:rFonts w:ascii="Arial" w:hAnsi="Arial" w:cs="Arial"/>
          <w:sz w:val="18"/>
          <w:szCs w:val="18"/>
        </w:rPr>
        <w:t xml:space="preserve">  127</w:t>
      </w:r>
    </w:p>
    <w:p w14:paraId="2ACBC33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instant messaging  58</w:t>
      </w:r>
    </w:p>
    <w:p w14:paraId="660BF35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instant messaging services  15</w:t>
      </w:r>
    </w:p>
    <w:p w14:paraId="7383F1F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Integrated Public Number Database (IPND)  108–9</w:t>
      </w:r>
    </w:p>
    <w:p w14:paraId="27E6F0B1"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compliance  108–9</w:t>
      </w:r>
    </w:p>
    <w:p w14:paraId="61AC8D4A"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number of connected records  108</w:t>
      </w:r>
    </w:p>
    <w:p w14:paraId="33B54BAA"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role of  108</w:t>
      </w:r>
    </w:p>
    <w:p w14:paraId="4D24954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interactive gambling  97</w:t>
      </w:r>
    </w:p>
    <w:p w14:paraId="0F80449A" w14:textId="77777777" w:rsidR="001374C9" w:rsidRPr="005E32D9" w:rsidRDefault="001374C9" w:rsidP="001374C9">
      <w:pPr>
        <w:pStyle w:val="Main"/>
        <w:rPr>
          <w:rFonts w:ascii="Arial" w:hAnsi="Arial" w:cs="Arial"/>
          <w:sz w:val="18"/>
          <w:szCs w:val="18"/>
        </w:rPr>
      </w:pPr>
      <w:r w:rsidRPr="005E32D9">
        <w:rPr>
          <w:rFonts w:ascii="Arial" w:hAnsi="Arial" w:cs="Arial"/>
          <w:i/>
          <w:iCs/>
          <w:sz w:val="18"/>
          <w:szCs w:val="18"/>
        </w:rPr>
        <w:t>Interactive Gambling Act 2001</w:t>
      </w:r>
      <w:r w:rsidRPr="005E32D9">
        <w:rPr>
          <w:rFonts w:ascii="Arial" w:hAnsi="Arial" w:cs="Arial"/>
          <w:sz w:val="18"/>
          <w:szCs w:val="18"/>
        </w:rPr>
        <w:t xml:space="preserve">  97</w:t>
      </w:r>
    </w:p>
    <w:p w14:paraId="46D4801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interception  106–7</w:t>
      </w:r>
    </w:p>
    <w:p w14:paraId="6141E7E3"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capability  100, 106</w:t>
      </w:r>
    </w:p>
    <w:p w14:paraId="3869D5E5"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capability plan compliance  106–7</w:t>
      </w:r>
    </w:p>
    <w:p w14:paraId="4F3F7148"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providing assistance  106</w:t>
      </w:r>
    </w:p>
    <w:p w14:paraId="4FE9AEB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interconnection and routing codes  37</w:t>
      </w:r>
    </w:p>
    <w:p w14:paraId="52E1BC3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interference, complaints  14, 23–4</w:t>
      </w:r>
    </w:p>
    <w:p w14:paraId="38FD5F5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international signalling point codes  37</w:t>
      </w:r>
    </w:p>
    <w:p w14:paraId="6B40827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international trends  70–1</w:t>
      </w:r>
    </w:p>
    <w:p w14:paraId="24DB2AD0"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communication services  70</w:t>
      </w:r>
    </w:p>
    <w:p w14:paraId="07063DF7"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internet access  70</w:t>
      </w:r>
    </w:p>
    <w:p w14:paraId="1583DC63"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internet access devices  70</w:t>
      </w:r>
    </w:p>
    <w:p w14:paraId="7EAA8985"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internet use  71</w:t>
      </w:r>
    </w:p>
    <w:p w14:paraId="6F6A9F1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w:t>
      </w:r>
    </w:p>
    <w:p w14:paraId="68650A71"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content complaints  5, 12, 97</w:t>
      </w:r>
    </w:p>
    <w:p w14:paraId="074E84F8"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domain names registered  4, 10, 14, 28, 67</w:t>
      </w:r>
    </w:p>
    <w:p w14:paraId="6A4FD17E"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security  130</w:t>
      </w:r>
    </w:p>
    <w:p w14:paraId="1324BFD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 access</w:t>
      </w:r>
    </w:p>
    <w:p w14:paraId="03E0789F"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businesses  4, 67</w:t>
      </w:r>
    </w:p>
    <w:p w14:paraId="5580133F"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connectivity  4, 13, 49–50</w:t>
      </w:r>
    </w:p>
    <w:p w14:paraId="2D6F4D87"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home  10, 50</w:t>
      </w:r>
    </w:p>
    <w:p w14:paraId="21FDEE44"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home broadband  10, 50, 70</w:t>
      </w:r>
    </w:p>
    <w:p w14:paraId="25AA5F5A"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international trends  70–1</w:t>
      </w:r>
    </w:p>
    <w:p w14:paraId="1418BF76"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mobile-only  53–4</w:t>
      </w:r>
    </w:p>
    <w:p w14:paraId="1475DB73"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no home access  4, 49, 51</w:t>
      </w:r>
    </w:p>
    <w:p w14:paraId="08708C7E"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via computers  49, 51–3, 55</w:t>
      </w:r>
    </w:p>
    <w:p w14:paraId="60CA7CB6"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via games consoles  52</w:t>
      </w:r>
    </w:p>
    <w:p w14:paraId="531F4222"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via mobile phones  1, 10, 27–8, 50–5, 70</w:t>
      </w:r>
    </w:p>
    <w:p w14:paraId="71390165"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via mp3 players  52</w:t>
      </w:r>
    </w:p>
    <w:p w14:paraId="32F760E0"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via tablets  51–2, 55</w:t>
      </w:r>
    </w:p>
    <w:p w14:paraId="574C3B7A"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via television  52</w:t>
      </w:r>
    </w:p>
    <w:p w14:paraId="2292A9D0"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Wi-Fi hotspots  33</w:t>
      </w:r>
    </w:p>
    <w:p w14:paraId="6F89590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 access devices</w:t>
      </w:r>
    </w:p>
    <w:p w14:paraId="0328E119"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data allowances  56–7</w:t>
      </w:r>
    </w:p>
    <w:p w14:paraId="52502C43"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diversification  51–3</w:t>
      </w:r>
    </w:p>
    <w:p w14:paraId="68BED850"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frequency of use  55</w:t>
      </w:r>
    </w:p>
    <w:p w14:paraId="7C7D5AF6"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international trends  70</w:t>
      </w:r>
    </w:p>
    <w:p w14:paraId="701790C4"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number used  51</w:t>
      </w:r>
    </w:p>
    <w:p w14:paraId="5319A3B7"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use by age  53</w:t>
      </w:r>
    </w:p>
    <w:p w14:paraId="19AA8EB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 commerce  49, 63, 66</w:t>
      </w:r>
    </w:p>
    <w:p w14:paraId="3F316675"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value of  10</w:t>
      </w:r>
    </w:p>
    <w:p w14:paraId="653472E3" w14:textId="77777777" w:rsidR="001374C9" w:rsidRPr="005E32D9" w:rsidRDefault="001374C9" w:rsidP="001374C9">
      <w:pPr>
        <w:pStyle w:val="Main"/>
        <w:rPr>
          <w:rFonts w:ascii="Arial" w:hAnsi="Arial" w:cs="Arial"/>
          <w:sz w:val="18"/>
          <w:szCs w:val="18"/>
        </w:rPr>
      </w:pPr>
      <w:r w:rsidRPr="005E32D9">
        <w:rPr>
          <w:rFonts w:ascii="Arial" w:hAnsi="Arial" w:cs="Arial"/>
          <w:i/>
          <w:iCs/>
          <w:sz w:val="18"/>
          <w:szCs w:val="18"/>
        </w:rPr>
        <w:t>Internet of Things and the ACMA’s areas of focus</w:t>
      </w:r>
      <w:r w:rsidRPr="005E32D9">
        <w:rPr>
          <w:rFonts w:ascii="Arial" w:hAnsi="Arial" w:cs="Arial"/>
          <w:sz w:val="18"/>
          <w:szCs w:val="18"/>
        </w:rPr>
        <w:t xml:space="preserve">  25</w:t>
      </w:r>
    </w:p>
    <w:p w14:paraId="28286D3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 of things (IoT)  25–6</w:t>
      </w:r>
    </w:p>
    <w:p w14:paraId="31F3CA4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lastRenderedPageBreak/>
        <w:t>internet protocol television (IPTV)  78</w:t>
      </w:r>
    </w:p>
    <w:p w14:paraId="70A2D43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 security  130</w:t>
      </w:r>
    </w:p>
    <w:p w14:paraId="31B4091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 service providers (ISPs)</w:t>
      </w:r>
    </w:p>
    <w:p w14:paraId="62CD795E"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icode  130</w:t>
      </w:r>
    </w:p>
    <w:p w14:paraId="7FB5E5F5"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numbers  8, 28–31</w:t>
      </w:r>
    </w:p>
    <w:p w14:paraId="0043EDE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 services</w:t>
      </w:r>
    </w:p>
    <w:p w14:paraId="490A812C"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availability  27–34</w:t>
      </w:r>
    </w:p>
    <w:p w14:paraId="330A4F0D"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complaints  131</w:t>
      </w:r>
    </w:p>
    <w:p w14:paraId="2D877453"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consumer satisfaction  67–9</w:t>
      </w:r>
    </w:p>
    <w:p w14:paraId="40865C62"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dial-up internet  13, 27</w:t>
      </w:r>
    </w:p>
    <w:p w14:paraId="7D92F955"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in operation  28–31</w:t>
      </w:r>
    </w:p>
    <w:p w14:paraId="0A743B0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 subscribers</w:t>
      </w:r>
    </w:p>
    <w:p w14:paraId="28083210"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by internet services in operation  29–31</w:t>
      </w:r>
    </w:p>
    <w:p w14:paraId="5D755917"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mobile phone  1, 7, 13, 27–8</w:t>
      </w:r>
    </w:p>
    <w:p w14:paraId="79E7B9EB"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mobile wireless internet  27–8</w:t>
      </w:r>
    </w:p>
    <w:p w14:paraId="49D46228"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numbers  1, 27</w:t>
      </w:r>
    </w:p>
    <w:p w14:paraId="73C6870C"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by technology type  27</w:t>
      </w:r>
    </w:p>
    <w:p w14:paraId="2237D47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internet use</w:t>
      </w:r>
    </w:p>
    <w:p w14:paraId="52DFA670"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activities performed online  62–7, 71</w:t>
      </w:r>
    </w:p>
    <w:p w14:paraId="6900E729"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data downloaded  1, 3, 9, 55–6, 80</w:t>
      </w:r>
    </w:p>
    <w:p w14:paraId="62B0ECE1"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frequency  55</w:t>
      </w:r>
    </w:p>
    <w:p w14:paraId="387C5D8A"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international trends  70–1</w:t>
      </w:r>
    </w:p>
    <w:p w14:paraId="161D3CE5"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mobile-only  53–4</w:t>
      </w:r>
    </w:p>
    <w:p w14:paraId="7AB5D4C9"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numbers  51</w:t>
      </w:r>
    </w:p>
    <w:p w14:paraId="2CB11AAE"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numbers offline  4, 49, 51</w:t>
      </w:r>
    </w:p>
    <w:p w14:paraId="2159623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internet video  </w:t>
      </w:r>
      <w:r w:rsidRPr="005E32D9">
        <w:rPr>
          <w:rFonts w:ascii="Arial" w:hAnsi="Arial" w:cs="Arial"/>
          <w:i/>
          <w:iCs/>
          <w:sz w:val="18"/>
          <w:szCs w:val="18"/>
        </w:rPr>
        <w:t>see</w:t>
      </w:r>
      <w:r w:rsidRPr="005E32D9">
        <w:rPr>
          <w:rFonts w:ascii="Arial" w:hAnsi="Arial" w:cs="Arial"/>
          <w:sz w:val="18"/>
          <w:szCs w:val="18"/>
        </w:rPr>
        <w:t xml:space="preserve"> online video content</w:t>
      </w:r>
    </w:p>
    <w:p w14:paraId="7D1901F6" w14:textId="77777777" w:rsidR="001374C9" w:rsidRPr="005E32D9" w:rsidRDefault="001374C9" w:rsidP="001374C9">
      <w:pPr>
        <w:pStyle w:val="Main"/>
        <w:rPr>
          <w:rFonts w:ascii="Arial" w:hAnsi="Arial" w:cs="Arial"/>
          <w:sz w:val="18"/>
          <w:szCs w:val="18"/>
        </w:rPr>
      </w:pPr>
      <w:r w:rsidRPr="005E32D9">
        <w:rPr>
          <w:rFonts w:ascii="Arial" w:hAnsi="Arial" w:cs="Arial"/>
          <w:i/>
          <w:iCs/>
          <w:sz w:val="18"/>
          <w:szCs w:val="18"/>
        </w:rPr>
        <w:t xml:space="preserve">Investigations concepts </w:t>
      </w:r>
      <w:r w:rsidRPr="005E32D9">
        <w:rPr>
          <w:rFonts w:ascii="Arial" w:hAnsi="Arial" w:cs="Arial"/>
          <w:sz w:val="18"/>
          <w:szCs w:val="18"/>
        </w:rPr>
        <w:t>series  96</w:t>
      </w:r>
    </w:p>
    <w:p w14:paraId="436D267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IoT Alliance (Australia)  25</w:t>
      </w:r>
    </w:p>
    <w:p w14:paraId="4D6A677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iPrimus  29</w:t>
      </w:r>
    </w:p>
    <w:p w14:paraId="060F58AF"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compensation payments  117</w:t>
      </w:r>
    </w:p>
    <w:p w14:paraId="15C9E401"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Customer Service Guarantee Standard  113</w:t>
      </w:r>
    </w:p>
    <w:p w14:paraId="7D3CB734" w14:textId="77777777" w:rsidR="001374C9" w:rsidRPr="005E32D9" w:rsidRDefault="001374C9" w:rsidP="001374C9">
      <w:pPr>
        <w:pStyle w:val="Sub1"/>
        <w:rPr>
          <w:rFonts w:ascii="Arial" w:hAnsi="Arial" w:cs="Arial"/>
          <w:sz w:val="18"/>
          <w:szCs w:val="18"/>
        </w:rPr>
      </w:pPr>
      <w:r w:rsidRPr="005E32D9">
        <w:rPr>
          <w:rFonts w:ascii="Arial" w:hAnsi="Arial" w:cs="Arial"/>
          <w:sz w:val="18"/>
          <w:szCs w:val="18"/>
        </w:rPr>
        <w:t>priority assistance  122–24</w:t>
      </w:r>
    </w:p>
    <w:p w14:paraId="1D4D329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iTalkBB Australia Pty Ltd  126</w:t>
      </w:r>
    </w:p>
    <w:p w14:paraId="359B7A1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iTunes  73, 76–7</w:t>
      </w:r>
    </w:p>
    <w:p w14:paraId="28A7A205" w14:textId="77777777" w:rsidR="001374C9" w:rsidRPr="005E32D9" w:rsidRDefault="001374C9" w:rsidP="001374C9">
      <w:pPr>
        <w:pStyle w:val="Main"/>
        <w:rPr>
          <w:rFonts w:ascii="Arial" w:hAnsi="Arial" w:cs="Arial"/>
          <w:sz w:val="18"/>
          <w:szCs w:val="18"/>
        </w:rPr>
      </w:pPr>
    </w:p>
    <w:p w14:paraId="41FF4F3E"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K</w:t>
      </w:r>
    </w:p>
    <w:p w14:paraId="7A8FC48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key highlights  3–4</w:t>
      </w:r>
    </w:p>
    <w:p w14:paraId="78745CE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key indicators  7–12</w:t>
      </w:r>
    </w:p>
    <w:p w14:paraId="231D7B6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Kik  62</w:t>
      </w:r>
    </w:p>
    <w:p w14:paraId="3D14557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Kloud  35</w:t>
      </w:r>
    </w:p>
    <w:p w14:paraId="501FACC4" w14:textId="77777777" w:rsidR="001374C9" w:rsidRPr="005E32D9" w:rsidRDefault="001374C9" w:rsidP="001374C9">
      <w:pPr>
        <w:pStyle w:val="Main"/>
        <w:rPr>
          <w:rFonts w:ascii="Arial" w:hAnsi="Arial" w:cs="Arial"/>
          <w:sz w:val="18"/>
          <w:szCs w:val="18"/>
        </w:rPr>
      </w:pPr>
    </w:p>
    <w:p w14:paraId="6A33C2AD"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L</w:t>
      </w:r>
    </w:p>
    <w:p w14:paraId="5EC0612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laptop computers</w:t>
      </w:r>
    </w:p>
    <w:p w14:paraId="155B199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internet access  49, 51–3</w:t>
      </w:r>
    </w:p>
    <w:p w14:paraId="62F261B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OTT VoIP services  16</w:t>
      </w:r>
    </w:p>
    <w:p w14:paraId="079BA6D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law enforcement  11, 100, 104–6</w:t>
      </w:r>
    </w:p>
    <w:p w14:paraId="795C352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LBM Australia Pty Ltd  131</w:t>
      </w:r>
    </w:p>
    <w:p w14:paraId="6170426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LED downlights, non-compliant  23</w:t>
      </w:r>
    </w:p>
    <w:p w14:paraId="2AB15C64"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Legislative Instruments Act 2003</w:t>
      </w:r>
      <w:r w:rsidRPr="005E32D9">
        <w:rPr>
          <w:rFonts w:ascii="Arial" w:hAnsi="Arial" w:cs="Arial"/>
          <w:sz w:val="18"/>
          <w:szCs w:val="18"/>
        </w:rPr>
        <w:t xml:space="preserve">  90</w:t>
      </w:r>
    </w:p>
    <w:p w14:paraId="7132276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letter of transmittal  iii</w:t>
      </w:r>
    </w:p>
    <w:p w14:paraId="2C1F0B7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levies  110–11</w:t>
      </w:r>
    </w:p>
    <w:p w14:paraId="3E0794B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LG  79</w:t>
      </w:r>
    </w:p>
    <w:p w14:paraId="43E225E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licences</w:t>
      </w:r>
    </w:p>
    <w:p w14:paraId="55D5B3F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broadcasting  10, 37–41</w:t>
      </w:r>
    </w:p>
    <w:p w14:paraId="0265CD6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cablers  127</w:t>
      </w:r>
    </w:p>
    <w:p w14:paraId="16864EA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carriers  8, 35–6</w:t>
      </w:r>
    </w:p>
    <w:p w14:paraId="3984FD4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commercial radio broadcasting  10, 37–41</w:t>
      </w:r>
    </w:p>
    <w:p w14:paraId="3DF60AC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commercial television broadcasting  10, 37–8</w:t>
      </w:r>
    </w:p>
    <w:p w14:paraId="23092B2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community radio broadcasting  14, 41–2</w:t>
      </w:r>
    </w:p>
    <w:p w14:paraId="31CA028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community television broadcasting licences  37–8, 42</w:t>
      </w:r>
    </w:p>
    <w:p w14:paraId="2DCF390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cross-media ownership  41</w:t>
      </w:r>
    </w:p>
    <w:p w14:paraId="01CB886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notification of changes of control  94</w:t>
      </w:r>
    </w:p>
    <w:p w14:paraId="783D90F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lastRenderedPageBreak/>
        <w:t>subscription television  10, 41</w:t>
      </w:r>
    </w:p>
    <w:p w14:paraId="6CF0407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temporary community radio broadcasting  38, 42</w:t>
      </w:r>
    </w:p>
    <w:p w14:paraId="57E6A84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life-threatening calls  109</w:t>
      </w:r>
    </w:p>
    <w:p w14:paraId="46D3179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Line (app)  61–2</w:t>
      </w:r>
    </w:p>
    <w:p w14:paraId="2B3CED9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line rental costs, consumer satisfaction  69</w:t>
      </w:r>
    </w:p>
    <w:p w14:paraId="5B73D61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Local Directories Pty Ltd  109</w:t>
      </w:r>
    </w:p>
    <w:p w14:paraId="05E8B2C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local number portability  5, 11, 110, 124</w:t>
      </w:r>
    </w:p>
    <w:p w14:paraId="4B1E68C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Local Number Portability Code  124–25</w:t>
      </w:r>
    </w:p>
    <w:p w14:paraId="68A5C1B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Local Phone Book Company Pty Ltd  109</w:t>
      </w:r>
    </w:p>
    <w:p w14:paraId="3A05E1F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Long Term Evolution Broadcast (LBT-B)  26</w:t>
      </w:r>
    </w:p>
    <w:p w14:paraId="0EB9F7E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low-impact facilities  21</w:t>
      </w:r>
    </w:p>
    <w:p w14:paraId="0F681D7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LTE-Broadcast Alliance  26</w:t>
      </w:r>
    </w:p>
    <w:p w14:paraId="283FB2E1" w14:textId="77777777" w:rsidR="001374C9" w:rsidRPr="005E32D9" w:rsidRDefault="001374C9" w:rsidP="001374C9">
      <w:pPr>
        <w:pStyle w:val="Main"/>
        <w:rPr>
          <w:rFonts w:ascii="Arial" w:hAnsi="Arial" w:cs="Arial"/>
          <w:sz w:val="18"/>
          <w:szCs w:val="18"/>
        </w:rPr>
      </w:pPr>
    </w:p>
    <w:p w14:paraId="2EBE283F"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M</w:t>
      </w:r>
    </w:p>
    <w:p w14:paraId="501ACFC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M2 Group  29, 35</w:t>
      </w:r>
    </w:p>
    <w:p w14:paraId="2FA2E04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machine-to-machine (M2M) communications  4, 13, 17, 25</w:t>
      </w:r>
    </w:p>
    <w:p w14:paraId="1683312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Macquarie Media Limited  39–40</w:t>
      </w:r>
    </w:p>
    <w:p w14:paraId="4202715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Macquarie Radio Network Ltd  40</w:t>
      </w:r>
    </w:p>
    <w:p w14:paraId="72C25F2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Macquarie Telecom  108–9</w:t>
      </w:r>
    </w:p>
    <w:p w14:paraId="25C971D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malware  110, 129–30</w:t>
      </w:r>
    </w:p>
    <w:p w14:paraId="3C21767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media ownership  40–41</w:t>
      </w:r>
    </w:p>
    <w:p w14:paraId="6ACA648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Melbourne Cricket Ground  26</w:t>
      </w:r>
    </w:p>
    <w:p w14:paraId="717FA32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mergers and acquisitions  14, 34–5</w:t>
      </w:r>
    </w:p>
    <w:p w14:paraId="48A3D33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Meshed Pty Ltd  25</w:t>
      </w:r>
    </w:p>
    <w:p w14:paraId="4FEB6F3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messages</w:t>
      </w:r>
    </w:p>
    <w:p w14:paraId="1615DF8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instant  15, 58</w:t>
      </w:r>
    </w:p>
    <w:p w14:paraId="602D1C60"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SMS  57–8, 60–2</w:t>
      </w:r>
    </w:p>
    <w:p w14:paraId="3DA6830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using communications apps  59–60</w:t>
      </w:r>
    </w:p>
    <w:p w14:paraId="37FCF8C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Microsoft  33</w:t>
      </w:r>
    </w:p>
    <w:p w14:paraId="7EE00F2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Milk Music  77</w:t>
      </w:r>
    </w:p>
    <w:p w14:paraId="74B3365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mining communications technology  34</w:t>
      </w:r>
    </w:p>
    <w:p w14:paraId="1A38B7B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Minister for Communications and the Arts  94, 96, 107, 109, 111</w:t>
      </w:r>
    </w:p>
    <w:p w14:paraId="0CEBE68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Ministerial Telecommunications (Low-impact Facilities) Determination 1997  21</w:t>
      </w:r>
    </w:p>
    <w:p w14:paraId="50F7B21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Ministry of Business, Innovation and Employment (MBIE), NZ  33</w:t>
      </w:r>
    </w:p>
    <w:p w14:paraId="49780F8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Ministry of Justice, NZ  33</w:t>
      </w:r>
    </w:p>
    <w:p w14:paraId="1DF8422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Mirvac  33</w:t>
      </w:r>
    </w:p>
    <w:p w14:paraId="580D932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MixRadio  74</w:t>
      </w:r>
    </w:p>
    <w:p w14:paraId="1BD3FF1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Black Spot Programme  13, 21</w:t>
      </w:r>
    </w:p>
    <w:p w14:paraId="2EEEC63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mobile-internet services  27</w:t>
      </w:r>
    </w:p>
    <w:p w14:paraId="1937EFA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mobile-internet subscribers  27–8</w:t>
      </w:r>
    </w:p>
    <w:p w14:paraId="11F2675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network codes  37</w:t>
      </w:r>
    </w:p>
    <w:p w14:paraId="1B731D8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Number Portability Code  125</w:t>
      </w:r>
    </w:p>
    <w:p w14:paraId="2A40318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numbers</w:t>
      </w:r>
    </w:p>
    <w:p w14:paraId="7BB933C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allocation  11, 37</w:t>
      </w:r>
    </w:p>
    <w:p w14:paraId="0B043F6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portability  5, 11, 110, 125</w:t>
      </w:r>
    </w:p>
    <w:p w14:paraId="3D01DBE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Phone Base Station Deployment Code  21</w:t>
      </w:r>
    </w:p>
    <w:p w14:paraId="0B5D828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phone base stations  21</w:t>
      </w:r>
    </w:p>
    <w:p w14:paraId="1D64966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phone internet</w:t>
      </w:r>
    </w:p>
    <w:p w14:paraId="36EB042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access  10, 50, 55, 70</w:t>
      </w:r>
    </w:p>
    <w:p w14:paraId="710BF78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average download per subscriber  9</w:t>
      </w:r>
    </w:p>
    <w:p w14:paraId="732302C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data allowances  56–7</w:t>
      </w:r>
    </w:p>
    <w:p w14:paraId="212F64E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data downloaded  9, 55–6, 80–1</w:t>
      </w:r>
    </w:p>
    <w:p w14:paraId="323E406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international trends  70</w:t>
      </w:r>
    </w:p>
    <w:p w14:paraId="193913B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living arrangements  54</w:t>
      </w:r>
    </w:p>
    <w:p w14:paraId="3DB56590"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only use  53–4</w:t>
      </w:r>
    </w:p>
    <w:p w14:paraId="73060D3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subscribers  1, 7, 13, 27–8</w:t>
      </w:r>
    </w:p>
    <w:p w14:paraId="4A36EBC0"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use by age  53–4</w:t>
      </w:r>
    </w:p>
    <w:p w14:paraId="37FEF1B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use of  17, 51–3</w:t>
      </w:r>
    </w:p>
    <w:p w14:paraId="4A8B4EC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phone services</w:t>
      </w:r>
    </w:p>
    <w:p w14:paraId="5D59C73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complaints  131</w:t>
      </w:r>
    </w:p>
    <w:p w14:paraId="583D49A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lastRenderedPageBreak/>
        <w:t>consumer satisfaction  49, 67–9</w:t>
      </w:r>
    </w:p>
    <w:p w14:paraId="4240358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identity checking for prepaid  107–8</w:t>
      </w:r>
    </w:p>
    <w:p w14:paraId="345196E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interference  23</w:t>
      </w:r>
    </w:p>
    <w:p w14:paraId="39167A6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phones</w:t>
      </w:r>
    </w:p>
    <w:p w14:paraId="2E637A0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4G subscribers  20</w:t>
      </w:r>
    </w:p>
    <w:p w14:paraId="394CE42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calls from  57–8, 60</w:t>
      </w:r>
    </w:p>
    <w:p w14:paraId="55D9EAA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communications apps  59–61</w:t>
      </w:r>
    </w:p>
    <w:p w14:paraId="240B3EB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consumer satisfaction  67–9</w:t>
      </w:r>
    </w:p>
    <w:p w14:paraId="5E71C19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coverage  20–1</w:t>
      </w:r>
    </w:p>
    <w:p w14:paraId="4D1D29F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data plans  17</w:t>
      </w:r>
    </w:p>
    <w:p w14:paraId="72DF5CE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emergency calls from  6, 101–3</w:t>
      </w:r>
    </w:p>
    <w:p w14:paraId="7DFB7C3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location for emergency service organisations  6, 100, 102</w:t>
      </w:r>
    </w:p>
    <w:p w14:paraId="33D8CDF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and no fixed-line telephone  4, 7, 13, 15, 53</w:t>
      </w:r>
    </w:p>
    <w:p w14:paraId="1F61D53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OTT VoIP services  16</w:t>
      </w:r>
    </w:p>
    <w:p w14:paraId="073E8FE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smartphones  1, 4, 7, 18–19, 70</w:t>
      </w:r>
    </w:p>
    <w:p w14:paraId="0624603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SMS messages from  13, 57–8, 60</w:t>
      </w:r>
    </w:p>
    <w:p w14:paraId="3C8C3E7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unlimited calls and messages  17</w:t>
      </w:r>
    </w:p>
    <w:p w14:paraId="6B45AB0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use of  4, 18–19</w:t>
      </w:r>
    </w:p>
    <w:p w14:paraId="6ABE39A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video calls  60</w:t>
      </w:r>
    </w:p>
    <w:p w14:paraId="1EB691EA" w14:textId="77777777" w:rsidR="001374C9" w:rsidRPr="005E32D9" w:rsidRDefault="001374C9" w:rsidP="0000021F">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mobile phone internet</w:t>
      </w:r>
    </w:p>
    <w:p w14:paraId="5D08741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premium services, complaints  131</w:t>
      </w:r>
    </w:p>
    <w:p w14:paraId="285B0F3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services</w:t>
      </w:r>
    </w:p>
    <w:p w14:paraId="4862AD6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4G  20–1</w:t>
      </w:r>
    </w:p>
    <w:p w14:paraId="0CA34A1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availability  17–21</w:t>
      </w:r>
    </w:p>
    <w:p w14:paraId="6F5F4AD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market share  19–20</w:t>
      </w:r>
    </w:p>
    <w:p w14:paraId="35C73A8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and mobile location  6, 100, 102</w:t>
      </w:r>
    </w:p>
    <w:p w14:paraId="371D22D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number in operation  17–18</w:t>
      </w:r>
    </w:p>
    <w:p w14:paraId="73CE44C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numbers  7</w:t>
      </w:r>
    </w:p>
    <w:p w14:paraId="4B30983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providers  19–20</w:t>
      </w:r>
    </w:p>
    <w:p w14:paraId="224CA32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virtual network operators (MVNOs)  20</w:t>
      </w:r>
    </w:p>
    <w:p w14:paraId="711B6D2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wireless broadband  7</w:t>
      </w:r>
    </w:p>
    <w:p w14:paraId="4437392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mobile wireless internet  27–8</w:t>
      </w:r>
    </w:p>
    <w:p w14:paraId="15993C4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mp3 players, internet access  52</w:t>
      </w:r>
    </w:p>
    <w:p w14:paraId="32A9595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Murdoch, Lachlan  41</w:t>
      </w:r>
    </w:p>
    <w:p w14:paraId="25D51C4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music streaming  </w:t>
      </w:r>
      <w:r w:rsidRPr="005E32D9">
        <w:rPr>
          <w:rFonts w:ascii="Arial" w:hAnsi="Arial" w:cs="Arial"/>
          <w:i/>
          <w:sz w:val="18"/>
          <w:szCs w:val="18"/>
        </w:rPr>
        <w:t>see</w:t>
      </w:r>
      <w:r w:rsidRPr="005E32D9">
        <w:rPr>
          <w:rFonts w:ascii="Arial" w:hAnsi="Arial" w:cs="Arial"/>
          <w:sz w:val="18"/>
          <w:szCs w:val="18"/>
        </w:rPr>
        <w:t xml:space="preserve"> audio streaming</w:t>
      </w:r>
    </w:p>
    <w:p w14:paraId="7BAA6FB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MVoice Pty Ltd  126</w:t>
      </w:r>
    </w:p>
    <w:p w14:paraId="548C817E" w14:textId="77777777" w:rsidR="001374C9" w:rsidRPr="005E32D9" w:rsidRDefault="001374C9" w:rsidP="001374C9">
      <w:pPr>
        <w:pStyle w:val="Main"/>
        <w:rPr>
          <w:rFonts w:ascii="Arial" w:hAnsi="Arial" w:cs="Arial"/>
          <w:sz w:val="18"/>
          <w:szCs w:val="18"/>
        </w:rPr>
      </w:pPr>
    </w:p>
    <w:p w14:paraId="2D5099AA"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N</w:t>
      </w:r>
    </w:p>
    <w:p w14:paraId="0823CEE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Narrowband Internet of Things (NB-IoT) technology  25</w:t>
      </w:r>
    </w:p>
    <w:p w14:paraId="60C5139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National Broadband Network (NBN)  1, 3, 6, 13, 30–1</w:t>
      </w:r>
    </w:p>
    <w:p w14:paraId="038E418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network services  30</w:t>
      </w:r>
    </w:p>
    <w:p w14:paraId="0373D90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premises activated  4, 8, 30–1</w:t>
      </w:r>
    </w:p>
    <w:p w14:paraId="0E5A330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premises serviceable  4, 8, 30–1</w:t>
      </w:r>
    </w:p>
    <w:p w14:paraId="356501B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switch-off  32–3</w:t>
      </w:r>
    </w:p>
    <w:p w14:paraId="7F009A3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national interest issues  6, 100–9</w:t>
      </w:r>
    </w:p>
    <w:p w14:paraId="5528C85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national interest matters  11</w:t>
      </w:r>
    </w:p>
    <w:p w14:paraId="189A4012" w14:textId="77777777" w:rsidR="001374C9" w:rsidRPr="005E32D9" w:rsidRDefault="001374C9" w:rsidP="0000021F">
      <w:pPr>
        <w:pStyle w:val="Main"/>
        <w:keepNext/>
        <w:ind w:left="113" w:hanging="113"/>
        <w:rPr>
          <w:rFonts w:ascii="Arial" w:hAnsi="Arial" w:cs="Arial"/>
          <w:sz w:val="18"/>
          <w:szCs w:val="18"/>
        </w:rPr>
      </w:pPr>
      <w:r w:rsidRPr="005E32D9">
        <w:rPr>
          <w:rFonts w:ascii="Arial" w:hAnsi="Arial" w:cs="Arial"/>
          <w:sz w:val="18"/>
          <w:szCs w:val="18"/>
        </w:rPr>
        <w:t>National Relay Service (NRS)  102–3</w:t>
      </w:r>
    </w:p>
    <w:p w14:paraId="7098A82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106 TTY (teletypewriter) text service  100, 102–3</w:t>
      </w:r>
    </w:p>
    <w:p w14:paraId="2B791560"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app services  103</w:t>
      </w:r>
    </w:p>
    <w:p w14:paraId="5F35D8E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levies and payments  110–11</w:t>
      </w:r>
    </w:p>
    <w:p w14:paraId="2FCF8F6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life-threatening calls  109</w:t>
      </w:r>
    </w:p>
    <w:p w14:paraId="48BE438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National Rugby League Grand Final  26</w:t>
      </w:r>
    </w:p>
    <w:p w14:paraId="46327B3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national security  104–6</w:t>
      </w:r>
    </w:p>
    <w:p w14:paraId="19AD1A7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National Site Archive  21</w:t>
      </w:r>
    </w:p>
    <w:p w14:paraId="20DDE16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NBC Universal  78</w:t>
      </w:r>
    </w:p>
    <w:p w14:paraId="7B1D553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NBN Co Limited  30, 117</w:t>
      </w:r>
    </w:p>
    <w:p w14:paraId="2F5B9B5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NBN Ltd  94</w:t>
      </w:r>
    </w:p>
    <w:p w14:paraId="6863297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Netflix  5, 17, 78, 82–4</w:t>
      </w:r>
    </w:p>
    <w:p w14:paraId="3F3A209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Network Reliability Framework (NRF)  118–21</w:t>
      </w:r>
    </w:p>
    <w:p w14:paraId="3401AF8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new service connections  114–16</w:t>
      </w:r>
    </w:p>
    <w:p w14:paraId="3FB6AF7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NewCom International  34–5</w:t>
      </w:r>
    </w:p>
    <w:p w14:paraId="5E77677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news  1</w:t>
      </w:r>
    </w:p>
    <w:p w14:paraId="25CA03C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lastRenderedPageBreak/>
        <w:t>in emergency situations  90</w:t>
      </w:r>
    </w:p>
    <w:p w14:paraId="51FF82D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local  74, 89–90</w:t>
      </w:r>
    </w:p>
    <w:p w14:paraId="524B6FF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online sites  74, 88–9</w:t>
      </w:r>
    </w:p>
    <w:p w14:paraId="3313F66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on social media  89</w:t>
      </w:r>
    </w:p>
    <w:p w14:paraId="1FDFCD4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trust in  89</w:t>
      </w:r>
    </w:p>
    <w:p w14:paraId="67D378D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News Corporation  41</w:t>
      </w:r>
    </w:p>
    <w:p w14:paraId="36D055C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news sites</w:t>
      </w:r>
    </w:p>
    <w:p w14:paraId="7176B20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accessed  9</w:t>
      </w:r>
    </w:p>
    <w:p w14:paraId="71991D2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paid for subscription  9</w:t>
      </w:r>
    </w:p>
    <w:p w14:paraId="1A00FE6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newspapers  88–90</w:t>
      </w:r>
    </w:p>
    <w:p w14:paraId="332D3C3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cross-media ownership  41</w:t>
      </w:r>
    </w:p>
    <w:p w14:paraId="696AFE2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notification of changes of control  94</w:t>
      </w:r>
    </w:p>
    <w:p w14:paraId="48A56D5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Nextgen</w:t>
      </w:r>
    </w:p>
    <w:p w14:paraId="0D60ABE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mergers and acquisitions  35</w:t>
      </w:r>
    </w:p>
    <w:p w14:paraId="50AE813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submarine cables  31</w:t>
      </w:r>
    </w:p>
    <w:p w14:paraId="51A0412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Nine Entertainment Co Holdings Ltd  39</w:t>
      </w:r>
    </w:p>
    <w:p w14:paraId="0BF10A2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Nine Network  38, 77–8, 91–2</w:t>
      </w:r>
    </w:p>
    <w:p w14:paraId="39204E5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Nokia  74</w:t>
      </w:r>
    </w:p>
    <w:p w14:paraId="276A525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nominated carrier declarations (NCDs)  35–6</w:t>
      </w:r>
    </w:p>
    <w:p w14:paraId="34E4F12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notification of changes of control  94</w:t>
      </w:r>
    </w:p>
    <w:p w14:paraId="4E04251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Nova Entertainment Pty Ltd  39–41</w:t>
      </w:r>
    </w:p>
    <w:p w14:paraId="100F6E2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number allocations  11, 36–7</w:t>
      </w:r>
    </w:p>
    <w:p w14:paraId="3B01614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number portability  11, 124–5</w:t>
      </w:r>
    </w:p>
    <w:p w14:paraId="3EFDA07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freephone and local-rate number (FLRN)  11, 124–25</w:t>
      </w:r>
    </w:p>
    <w:p w14:paraId="230277A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local numbers  5, 11, 110, 124</w:t>
      </w:r>
    </w:p>
    <w:p w14:paraId="30B5543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mobile numbers  5, 11, 110, 125</w:t>
      </w:r>
    </w:p>
    <w:p w14:paraId="376D1A00" w14:textId="77777777" w:rsidR="001374C9" w:rsidRPr="005E32D9" w:rsidRDefault="001374C9" w:rsidP="001374C9">
      <w:pPr>
        <w:pStyle w:val="Main"/>
        <w:rPr>
          <w:rFonts w:ascii="Arial" w:hAnsi="Arial" w:cs="Arial"/>
          <w:sz w:val="18"/>
          <w:szCs w:val="18"/>
        </w:rPr>
      </w:pPr>
    </w:p>
    <w:p w14:paraId="6F8B3F2C"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O</w:t>
      </w:r>
    </w:p>
    <w:p w14:paraId="4C037EA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Office of the Children’s eSafety Commissioner  97</w:t>
      </w:r>
    </w:p>
    <w:p w14:paraId="3D1DEC3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offline Australians  4, 49, 51</w:t>
      </w:r>
    </w:p>
    <w:p w14:paraId="3FFC9C6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OmniPoll  133</w:t>
      </w:r>
    </w:p>
    <w:p w14:paraId="5908F6C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activities  62–7, 71</w:t>
      </w:r>
    </w:p>
    <w:p w14:paraId="47EF341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audio  4, 49, 63–6, 74–7</w:t>
      </w:r>
    </w:p>
    <w:p w14:paraId="3EAD1D8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buying  49, 66</w:t>
      </w:r>
    </w:p>
    <w:p w14:paraId="1251D9F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content</w:t>
      </w:r>
    </w:p>
    <w:p w14:paraId="6922EAF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complaints  5, 12, 97</w:t>
      </w:r>
    </w:p>
    <w:p w14:paraId="7B9CB53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prohibited  97</w:t>
      </w:r>
    </w:p>
    <w:p w14:paraId="45E19EC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Content Scheme  97</w:t>
      </w:r>
    </w:p>
    <w:p w14:paraId="7B952C5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news services  9, 88–90</w:t>
      </w:r>
    </w:p>
    <w:p w14:paraId="24D386C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participation  10</w:t>
      </w:r>
    </w:p>
    <w:p w14:paraId="61E5A94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radio content  74, 76–7</w:t>
      </w:r>
    </w:p>
    <w:p w14:paraId="429CCD3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selling  49, 66</w:t>
      </w:r>
    </w:p>
    <w:p w14:paraId="147A3D9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shopping  49, 63, 66</w:t>
      </w:r>
    </w:p>
    <w:p w14:paraId="309A2FB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online usage  </w:t>
      </w:r>
      <w:r w:rsidRPr="005E32D9">
        <w:rPr>
          <w:rFonts w:ascii="Arial" w:hAnsi="Arial" w:cs="Arial"/>
          <w:i/>
          <w:sz w:val="18"/>
          <w:szCs w:val="18"/>
        </w:rPr>
        <w:t>see</w:t>
      </w:r>
      <w:r w:rsidRPr="005E32D9">
        <w:rPr>
          <w:rFonts w:ascii="Arial" w:hAnsi="Arial" w:cs="Arial"/>
          <w:sz w:val="18"/>
          <w:szCs w:val="18"/>
        </w:rPr>
        <w:t xml:space="preserve"> internet use</w:t>
      </w:r>
    </w:p>
    <w:p w14:paraId="262623A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video content  74, 78–80</w:t>
      </w:r>
    </w:p>
    <w:p w14:paraId="2031934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accessing  1, 4, 9, 49, 63–4, 80–1, 83</w:t>
      </w:r>
    </w:p>
    <w:p w14:paraId="28EC090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benefits  85–7</w:t>
      </w:r>
    </w:p>
    <w:p w14:paraId="0223EDA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downloading versus streaming  49, 64–5</w:t>
      </w:r>
    </w:p>
    <w:p w14:paraId="3761B0E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technical quality of  87–8</w:t>
      </w:r>
    </w:p>
    <w:p w14:paraId="39CD8550"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time spent viewing  86</w:t>
      </w:r>
    </w:p>
    <w:p w14:paraId="1C80194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viewing  4, 5, 73–4, 77–87</w:t>
      </w:r>
    </w:p>
    <w:p w14:paraId="795713CE" w14:textId="77777777" w:rsidR="001374C9" w:rsidRPr="005E32D9" w:rsidRDefault="001374C9" w:rsidP="0000021F">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subscription video on demand (SVOD)</w:t>
      </w:r>
    </w:p>
    <w:p w14:paraId="1C9FC39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online video services  77</w:t>
      </w:r>
    </w:p>
    <w:p w14:paraId="381E63B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technical experience  87–8</w:t>
      </w:r>
    </w:p>
    <w:p w14:paraId="00E4861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use of  83–4</w:t>
      </w:r>
    </w:p>
    <w:p w14:paraId="59F866E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Optus</w:t>
      </w:r>
    </w:p>
    <w:p w14:paraId="298FE01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2G networks  13, 20</w:t>
      </w:r>
    </w:p>
    <w:p w14:paraId="0F94BE8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4G networks  20–1</w:t>
      </w:r>
    </w:p>
    <w:p w14:paraId="585F0C2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4.5G technology  26</w:t>
      </w:r>
    </w:p>
    <w:p w14:paraId="5162015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1800 MHz spectrum  21</w:t>
      </w:r>
    </w:p>
    <w:p w14:paraId="37DA6A4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appointments  116</w:t>
      </w:r>
    </w:p>
    <w:p w14:paraId="512B1EE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cloud services  14, 33</w:t>
      </w:r>
    </w:p>
    <w:p w14:paraId="7E4E1F5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compensation payments  117</w:t>
      </w:r>
    </w:p>
    <w:p w14:paraId="16165EF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lastRenderedPageBreak/>
        <w:t>Customer Service Guarantee Standard  113, 115–18</w:t>
      </w:r>
    </w:p>
    <w:p w14:paraId="734639D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dial-up internet  27</w:t>
      </w:r>
    </w:p>
    <w:p w14:paraId="6824EC1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exceptions  118</w:t>
      </w:r>
    </w:p>
    <w:p w14:paraId="6B819D7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fault repairs  116</w:t>
      </w:r>
    </w:p>
    <w:p w14:paraId="6683EFF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internet protocol television (IPTV)  78</w:t>
      </w:r>
    </w:p>
    <w:p w14:paraId="6E9AE1F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internet services in operation  29</w:t>
      </w:r>
    </w:p>
    <w:p w14:paraId="46DC139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in-place connections  115–16</w:t>
      </w:r>
    </w:p>
    <w:p w14:paraId="03E7F40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market share  19–20</w:t>
      </w:r>
    </w:p>
    <w:p w14:paraId="748878A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mobile phone base stations  21</w:t>
      </w:r>
    </w:p>
    <w:p w14:paraId="328A1BB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mobile services  19–20</w:t>
      </w:r>
    </w:p>
    <w:p w14:paraId="77558B4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new service connections  115–16</w:t>
      </w:r>
    </w:p>
    <w:p w14:paraId="27CDEAA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as qualifying carriage service providers (QCSPs)  113</w:t>
      </w:r>
    </w:p>
    <w:p w14:paraId="21B0E9A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software-defined networking (SDN)  33</w:t>
      </w:r>
    </w:p>
    <w:p w14:paraId="1B00A0B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television streaming services  78</w:t>
      </w:r>
    </w:p>
    <w:p w14:paraId="02220EF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Voice over LTE (VoLTE)  25</w:t>
      </w:r>
    </w:p>
    <w:p w14:paraId="6FA4804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Voice over Wi-Fi (VoWiFi)  26</w:t>
      </w:r>
    </w:p>
    <w:p w14:paraId="14D920C0"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Wi-Fi services  33</w:t>
      </w:r>
    </w:p>
    <w:p w14:paraId="68CA15C7" w14:textId="77777777" w:rsidR="001374C9" w:rsidRPr="005E32D9" w:rsidRDefault="001374C9" w:rsidP="0000021F">
      <w:pPr>
        <w:pStyle w:val="Sub1"/>
        <w:rPr>
          <w:rFonts w:ascii="Arial" w:hAnsi="Arial" w:cs="Arial"/>
          <w:sz w:val="18"/>
          <w:szCs w:val="18"/>
        </w:rPr>
      </w:pPr>
      <w:r w:rsidRPr="005E32D9">
        <w:rPr>
          <w:rFonts w:ascii="Arial" w:hAnsi="Arial" w:cs="Arial"/>
          <w:i/>
          <w:sz w:val="18"/>
          <w:szCs w:val="18"/>
        </w:rPr>
        <w:t>WiFi Talk</w:t>
      </w:r>
      <w:r w:rsidRPr="005E32D9">
        <w:rPr>
          <w:rFonts w:ascii="Arial" w:hAnsi="Arial" w:cs="Arial"/>
          <w:sz w:val="18"/>
          <w:szCs w:val="18"/>
        </w:rPr>
        <w:t xml:space="preserve"> app  26</w:t>
      </w:r>
    </w:p>
    <w:p w14:paraId="2BB25DB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Optus Sport  5, 17, 78</w:t>
      </w:r>
    </w:p>
    <w:p w14:paraId="74C1267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Optus Wholesale  33</w:t>
      </w:r>
    </w:p>
    <w:p w14:paraId="30ECA06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over-the-top (OTT) VoIP services  15–17</w:t>
      </w:r>
    </w:p>
    <w:p w14:paraId="00D28A3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OzTAM  78</w:t>
      </w:r>
    </w:p>
    <w:p w14:paraId="280DA1BF" w14:textId="77777777" w:rsidR="001374C9" w:rsidRPr="005E32D9" w:rsidRDefault="001374C9" w:rsidP="001374C9">
      <w:pPr>
        <w:pStyle w:val="Main"/>
        <w:rPr>
          <w:rFonts w:ascii="Arial" w:hAnsi="Arial" w:cs="Arial"/>
          <w:sz w:val="18"/>
          <w:szCs w:val="18"/>
        </w:rPr>
      </w:pPr>
    </w:p>
    <w:p w14:paraId="2E02EB97"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P</w:t>
      </w:r>
    </w:p>
    <w:p w14:paraId="4114BE9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Pandora  74, 76–7</w:t>
      </w:r>
    </w:p>
    <w:p w14:paraId="53E1321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pay TV  </w:t>
      </w:r>
      <w:r w:rsidRPr="005E32D9">
        <w:rPr>
          <w:rFonts w:ascii="Arial" w:hAnsi="Arial" w:cs="Arial"/>
          <w:i/>
          <w:sz w:val="18"/>
          <w:szCs w:val="18"/>
        </w:rPr>
        <w:t>see</w:t>
      </w:r>
      <w:r w:rsidRPr="005E32D9">
        <w:rPr>
          <w:rFonts w:ascii="Arial" w:hAnsi="Arial" w:cs="Arial"/>
          <w:sz w:val="18"/>
          <w:szCs w:val="18"/>
        </w:rPr>
        <w:t xml:space="preserve"> subscription television</w:t>
      </w:r>
    </w:p>
    <w:p w14:paraId="014B5C3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payphones  8, 110, 111–13</w:t>
      </w:r>
    </w:p>
    <w:p w14:paraId="431CBAB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emergency calls from  101</w:t>
      </w:r>
    </w:p>
    <w:p w14:paraId="4033BC1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fault repairs  112–13</w:t>
      </w:r>
    </w:p>
    <w:p w14:paraId="1BC2EFAF" w14:textId="77777777" w:rsidR="001374C9" w:rsidRPr="005E32D9" w:rsidRDefault="00B4277C" w:rsidP="0000021F">
      <w:pPr>
        <w:pStyle w:val="Sub1"/>
        <w:rPr>
          <w:rFonts w:ascii="Arial" w:hAnsi="Arial" w:cs="Arial"/>
          <w:sz w:val="18"/>
          <w:szCs w:val="18"/>
        </w:rPr>
      </w:pPr>
      <w:r w:rsidRPr="005E32D9">
        <w:rPr>
          <w:rFonts w:ascii="Arial" w:hAnsi="Arial" w:cs="Arial"/>
          <w:sz w:val="18"/>
          <w:szCs w:val="18"/>
        </w:rPr>
        <w:t>numbers  6</w:t>
      </w:r>
      <w:r w:rsidR="001374C9" w:rsidRPr="005E32D9">
        <w:rPr>
          <w:rFonts w:ascii="Arial" w:hAnsi="Arial" w:cs="Arial"/>
          <w:sz w:val="18"/>
          <w:szCs w:val="18"/>
        </w:rPr>
        <w:t>, 111–12</w:t>
      </w:r>
    </w:p>
    <w:p w14:paraId="2071CAB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for people with disability  113</w:t>
      </w:r>
    </w:p>
    <w:p w14:paraId="4879B20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removals  111</w:t>
      </w:r>
    </w:p>
    <w:p w14:paraId="7FAFAC8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sites  111</w:t>
      </w:r>
    </w:p>
    <w:p w14:paraId="117BA0A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teletypewriters  113</w:t>
      </w:r>
    </w:p>
    <w:p w14:paraId="4ECECAD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use of  58</w:t>
      </w:r>
    </w:p>
    <w:p w14:paraId="6E49297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as Wi-Fi hotspots  33</w:t>
      </w:r>
    </w:p>
    <w:p w14:paraId="07C9C33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people with disability, payphones for  113</w:t>
      </w:r>
    </w:p>
    <w:p w14:paraId="62537D0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Perceptive Communications Pty Ltd  109</w:t>
      </w:r>
    </w:p>
    <w:p w14:paraId="37F08A8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performance, Network Reliability Framework (NRF)  118–21</w:t>
      </w:r>
    </w:p>
    <w:p w14:paraId="21FE2E3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phishing  129–30</w:t>
      </w:r>
    </w:p>
    <w:p w14:paraId="2F40968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phishing reports  130</w:t>
      </w:r>
    </w:p>
    <w:p w14:paraId="5BDC887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playing games  71</w:t>
      </w:r>
    </w:p>
    <w:p w14:paraId="366D51D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Plus7  84–5</w:t>
      </w:r>
    </w:p>
    <w:p w14:paraId="1AE99FE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police  97, 101, 106, 109</w:t>
      </w:r>
    </w:p>
    <w:p w14:paraId="0FA8A2B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Pre-selection Industry Code  125</w:t>
      </w:r>
    </w:p>
    <w:p w14:paraId="5375E2C6"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Prepaid Calling Card Guideline</w:t>
      </w:r>
      <w:r w:rsidRPr="005E32D9">
        <w:rPr>
          <w:rFonts w:ascii="Arial" w:hAnsi="Arial" w:cs="Arial"/>
          <w:sz w:val="18"/>
          <w:szCs w:val="18"/>
        </w:rPr>
        <w:t xml:space="preserve">  125</w:t>
      </w:r>
    </w:p>
    <w:p w14:paraId="6C899F8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prepaid mobile carriage services  107–8</w:t>
      </w:r>
    </w:p>
    <w:p w14:paraId="76BA7AA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Presto  5, 17, 78, 82</w:t>
      </w:r>
    </w:p>
    <w:p w14:paraId="6AFF31F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Prime Media Group Ltd  38–9</w:t>
      </w:r>
    </w:p>
    <w:p w14:paraId="5B2C31C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Prime Television  94</w:t>
      </w:r>
    </w:p>
    <w:p w14:paraId="497EC54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Primus Communications  34</w:t>
      </w:r>
    </w:p>
    <w:p w14:paraId="1F625BA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priority assistance  122–4</w:t>
      </w:r>
    </w:p>
    <w:p w14:paraId="1B62037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Priority Assistance for Life Threatening Medical Conditions  122</w:t>
      </w:r>
    </w:p>
    <w:p w14:paraId="1A2C7747" w14:textId="77777777" w:rsidR="001374C9" w:rsidRPr="005E32D9" w:rsidRDefault="0000021F" w:rsidP="001374C9">
      <w:pPr>
        <w:pStyle w:val="Main"/>
        <w:rPr>
          <w:rFonts w:ascii="Arial" w:hAnsi="Arial" w:cs="Arial"/>
          <w:sz w:val="18"/>
          <w:szCs w:val="18"/>
        </w:rPr>
      </w:pPr>
      <w:r w:rsidRPr="005E32D9">
        <w:rPr>
          <w:rFonts w:ascii="Arial" w:hAnsi="Arial" w:cs="Arial"/>
          <w:sz w:val="18"/>
          <w:szCs w:val="18"/>
        </w:rPr>
        <w:t>p</w:t>
      </w:r>
      <w:r w:rsidR="001374C9" w:rsidRPr="005E32D9">
        <w:rPr>
          <w:rFonts w:ascii="Arial" w:hAnsi="Arial" w:cs="Arial"/>
          <w:sz w:val="18"/>
          <w:szCs w:val="18"/>
        </w:rPr>
        <w:t xml:space="preserve">riority </w:t>
      </w:r>
      <w:r w:rsidRPr="005E32D9">
        <w:rPr>
          <w:rFonts w:ascii="Arial" w:hAnsi="Arial" w:cs="Arial"/>
          <w:sz w:val="18"/>
          <w:szCs w:val="18"/>
        </w:rPr>
        <w:t>c</w:t>
      </w:r>
      <w:r w:rsidR="001374C9" w:rsidRPr="005E32D9">
        <w:rPr>
          <w:rFonts w:ascii="Arial" w:hAnsi="Arial" w:cs="Arial"/>
          <w:sz w:val="18"/>
          <w:szCs w:val="18"/>
        </w:rPr>
        <w:t xml:space="preserve">ompliance </w:t>
      </w:r>
      <w:r w:rsidRPr="005E32D9">
        <w:rPr>
          <w:rFonts w:ascii="Arial" w:hAnsi="Arial" w:cs="Arial"/>
          <w:sz w:val="18"/>
          <w:szCs w:val="18"/>
        </w:rPr>
        <w:t>a</w:t>
      </w:r>
      <w:r w:rsidR="001374C9" w:rsidRPr="005E32D9">
        <w:rPr>
          <w:rFonts w:ascii="Arial" w:hAnsi="Arial" w:cs="Arial"/>
          <w:sz w:val="18"/>
          <w:szCs w:val="18"/>
        </w:rPr>
        <w:t>reas (PCAs)  24</w:t>
      </w:r>
    </w:p>
    <w:p w14:paraId="36E8A05B"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Privacy guidelines for broadcasters</w:t>
      </w:r>
      <w:r w:rsidRPr="005E32D9">
        <w:rPr>
          <w:rFonts w:ascii="Arial" w:hAnsi="Arial" w:cs="Arial"/>
          <w:sz w:val="18"/>
          <w:szCs w:val="18"/>
        </w:rPr>
        <w:t xml:space="preserve">  96</w:t>
      </w:r>
    </w:p>
    <w:p w14:paraId="155C9A6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prohibited online content  97</w:t>
      </w:r>
    </w:p>
    <w:p w14:paraId="1C9D197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protection zones  14, 31–2</w:t>
      </w:r>
    </w:p>
    <w:p w14:paraId="51E7E511" w14:textId="77777777" w:rsidR="001374C9" w:rsidRPr="005E32D9" w:rsidRDefault="001374C9" w:rsidP="001374C9">
      <w:pPr>
        <w:pStyle w:val="Main"/>
        <w:rPr>
          <w:rFonts w:ascii="Arial" w:hAnsi="Arial" w:cs="Arial"/>
          <w:sz w:val="18"/>
          <w:szCs w:val="18"/>
        </w:rPr>
      </w:pPr>
    </w:p>
    <w:p w14:paraId="484BA567"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lastRenderedPageBreak/>
        <w:t>Q</w:t>
      </w:r>
    </w:p>
    <w:p w14:paraId="19152D4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Qantas, Wi-Fi services  33</w:t>
      </w:r>
    </w:p>
    <w:p w14:paraId="5C777E0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Quickflix  78</w:t>
      </w:r>
    </w:p>
    <w:p w14:paraId="6F2A759B" w14:textId="77777777" w:rsidR="001374C9" w:rsidRPr="005E32D9" w:rsidRDefault="001374C9" w:rsidP="001374C9">
      <w:pPr>
        <w:pStyle w:val="Main"/>
        <w:rPr>
          <w:rFonts w:ascii="Arial" w:hAnsi="Arial" w:cs="Arial"/>
          <w:sz w:val="18"/>
          <w:szCs w:val="18"/>
        </w:rPr>
      </w:pPr>
    </w:p>
    <w:p w14:paraId="4AEEBBCF"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R</w:t>
      </w:r>
    </w:p>
    <w:p w14:paraId="43A7E1D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radio</w:t>
      </w:r>
    </w:p>
    <w:p w14:paraId="1A8F052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advertising  14, 44</w:t>
      </w:r>
    </w:p>
    <w:p w14:paraId="7BC5E7D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AM to FM conversions  96</w:t>
      </w:r>
    </w:p>
    <w:p w14:paraId="725CC75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audience engagement  75–7</w:t>
      </w:r>
    </w:p>
    <w:p w14:paraId="6C57A44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audience measurement  77</w:t>
      </w:r>
    </w:p>
    <w:p w14:paraId="79460BA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digital  73, 75, 95</w:t>
      </w:r>
    </w:p>
    <w:p w14:paraId="0F394FF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listening to  1, 73–6</w:t>
      </w:r>
    </w:p>
    <w:p w14:paraId="24BCC7C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local information on regional  74, 94–5</w:t>
      </w:r>
    </w:p>
    <w:p w14:paraId="79485D4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online usage  75</w:t>
      </w:r>
    </w:p>
    <w:p w14:paraId="68304E8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ownership and control of commercial  39–41</w:t>
      </w:r>
    </w:p>
    <w:p w14:paraId="20417F1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reach of  74–5</w:t>
      </w:r>
    </w:p>
    <w:p w14:paraId="0BB64EDC" w14:textId="77777777" w:rsidR="001374C9" w:rsidRPr="005E32D9" w:rsidRDefault="001374C9" w:rsidP="0000021F">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audio streaming</w:t>
      </w:r>
    </w:p>
    <w:p w14:paraId="6BFC00C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radio licences</w:t>
      </w:r>
    </w:p>
    <w:p w14:paraId="3DB778C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AM to FM conversions  96</w:t>
      </w:r>
    </w:p>
    <w:p w14:paraId="42A0A4F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commercial broadcasting  10, 37–8, 39–41, 74, 94–5</w:t>
      </w:r>
    </w:p>
    <w:p w14:paraId="27E630B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community broadcasting  14, 37–8, 41–2</w:t>
      </w:r>
    </w:p>
    <w:p w14:paraId="44E795C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notification of changes of control  94</w:t>
      </w:r>
    </w:p>
    <w:p w14:paraId="036AB19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temporary community broadcasting  38, 42</w:t>
      </w:r>
    </w:p>
    <w:p w14:paraId="2F2BB8B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radio transmitters  23</w:t>
      </w:r>
    </w:p>
    <w:p w14:paraId="3B59E334"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Radiocommunications Act 1992</w:t>
      </w:r>
      <w:r w:rsidRPr="005E32D9">
        <w:rPr>
          <w:rFonts w:ascii="Arial" w:hAnsi="Arial" w:cs="Arial"/>
          <w:sz w:val="18"/>
          <w:szCs w:val="18"/>
        </w:rPr>
        <w:t xml:space="preserve">  23</w:t>
      </w:r>
    </w:p>
    <w:p w14:paraId="026E078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radiocommunications compliance program  24</w:t>
      </w:r>
    </w:p>
    <w:p w14:paraId="5222898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radiocommunications interference  23–4</w:t>
      </w:r>
    </w:p>
    <w:p w14:paraId="1202B33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radiocommunications transmitters  23</w:t>
      </w:r>
    </w:p>
    <w:p w14:paraId="0CA25E8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Redwave Media Ltd  40</w:t>
      </w:r>
    </w:p>
    <w:p w14:paraId="4C10820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regional news  74, 89–90</w:t>
      </w:r>
    </w:p>
    <w:p w14:paraId="305960D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regional radio</w:t>
      </w:r>
    </w:p>
    <w:p w14:paraId="6FE4320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AM to FM conversions  96</w:t>
      </w:r>
    </w:p>
    <w:p w14:paraId="20610DC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local information on  74, 94–5</w:t>
      </w:r>
    </w:p>
    <w:p w14:paraId="465ADBF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regional television</w:t>
      </w:r>
    </w:p>
    <w:p w14:paraId="26B58DE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changes in  78</w:t>
      </w:r>
    </w:p>
    <w:p w14:paraId="1E12152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local information on  94</w:t>
      </w:r>
    </w:p>
    <w:p w14:paraId="36C2A6D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RegionalTAM  78</w:t>
      </w:r>
    </w:p>
    <w:p w14:paraId="6487D4A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registered cablers  127</w:t>
      </w:r>
    </w:p>
    <w:p w14:paraId="49F70F1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reliability, fixed-line telephone services network  118–21</w:t>
      </w:r>
    </w:p>
    <w:p w14:paraId="260AFD8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remote areas</w:t>
      </w:r>
    </w:p>
    <w:p w14:paraId="0EAD473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appointments  116</w:t>
      </w:r>
    </w:p>
    <w:p w14:paraId="2892BA2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Customer Service Guarantee Standard  114–16</w:t>
      </w:r>
    </w:p>
    <w:p w14:paraId="1FFCB04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fault repairs  114, 116</w:t>
      </w:r>
    </w:p>
    <w:p w14:paraId="3C03778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in-place connections  114</w:t>
      </w:r>
    </w:p>
    <w:p w14:paraId="6C0D207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Mobile Black Spot Programme  21</w:t>
      </w:r>
    </w:p>
    <w:p w14:paraId="4EA2D4A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new service connections  114–15</w:t>
      </w:r>
    </w:p>
    <w:p w14:paraId="57C44A9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payphones  113</w:t>
      </w:r>
    </w:p>
    <w:p w14:paraId="206EEA8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priority assistance  122–4</w:t>
      </w:r>
    </w:p>
    <w:p w14:paraId="5A28558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research methodology  4, 133–4</w:t>
      </w:r>
    </w:p>
    <w:p w14:paraId="5865C1A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Resonate Broadcasting Pty Ltd  40–1</w:t>
      </w:r>
    </w:p>
    <w:p w14:paraId="52C32AE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Rio Olympics, 2016  77</w:t>
      </w:r>
    </w:p>
    <w:p w14:paraId="2452278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Roku  79</w:t>
      </w:r>
    </w:p>
    <w:p w14:paraId="7EC33BA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Roy Morgan Research  133–4</w:t>
      </w:r>
    </w:p>
    <w:p w14:paraId="22D59A0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rural areas</w:t>
      </w:r>
    </w:p>
    <w:p w14:paraId="7782659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appointments  116</w:t>
      </w:r>
    </w:p>
    <w:p w14:paraId="60803F6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Customer Service Guarantee Standard  114–16</w:t>
      </w:r>
    </w:p>
    <w:p w14:paraId="330D1B7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fault repairs  114, 116</w:t>
      </w:r>
    </w:p>
    <w:p w14:paraId="18E3CE9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in-place connections  114</w:t>
      </w:r>
    </w:p>
    <w:p w14:paraId="767A5F2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new service connections  114–15</w:t>
      </w:r>
    </w:p>
    <w:p w14:paraId="4FA27B7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payphones  113</w:t>
      </w:r>
    </w:p>
    <w:p w14:paraId="27678BED" w14:textId="77777777" w:rsidR="001374C9" w:rsidRPr="005E32D9" w:rsidRDefault="001374C9" w:rsidP="005E32D9">
      <w:pPr>
        <w:pStyle w:val="Sub1"/>
        <w:spacing w:after="120"/>
        <w:rPr>
          <w:rFonts w:ascii="Arial" w:hAnsi="Arial" w:cs="Arial"/>
          <w:sz w:val="18"/>
          <w:szCs w:val="18"/>
        </w:rPr>
      </w:pPr>
      <w:r w:rsidRPr="005E32D9">
        <w:rPr>
          <w:rFonts w:ascii="Arial" w:hAnsi="Arial" w:cs="Arial"/>
          <w:sz w:val="18"/>
          <w:szCs w:val="18"/>
        </w:rPr>
        <w:t>priority assistance  122–4</w:t>
      </w:r>
    </w:p>
    <w:p w14:paraId="4A6FDB10"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lastRenderedPageBreak/>
        <w:t>S</w:t>
      </w:r>
    </w:p>
    <w:p w14:paraId="4033D81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satellite internet  27</w:t>
      </w:r>
    </w:p>
    <w:p w14:paraId="1FF5DE0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satellite services  31</w:t>
      </w:r>
    </w:p>
    <w:p w14:paraId="3654373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SBS  77</w:t>
      </w:r>
    </w:p>
    <w:p w14:paraId="57D7366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SBS on-Demand  85</w:t>
      </w:r>
    </w:p>
    <w:p w14:paraId="764F368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selling online  49, 66</w:t>
      </w:r>
    </w:p>
    <w:p w14:paraId="57EBD7D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service costs, consumer satisfaction  49, 69</w:t>
      </w:r>
    </w:p>
    <w:p w14:paraId="0DC37A0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service reliability, consumer satisfaction  69</w:t>
      </w:r>
    </w:p>
    <w:p w14:paraId="1F2CC66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Seven Group Holdings Ltd  39, 41</w:t>
      </w:r>
    </w:p>
    <w:p w14:paraId="13C4BDF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Seven Network  5, 38, 77–8, 91–2</w:t>
      </w:r>
    </w:p>
    <w:p w14:paraId="7DB9081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Seven Qld  94</w:t>
      </w:r>
    </w:p>
    <w:p w14:paraId="3E79611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Seven West Media  78</w:t>
      </w:r>
    </w:p>
    <w:p w14:paraId="518F2C8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shopping centres  33</w:t>
      </w:r>
    </w:p>
    <w:p w14:paraId="7CAC7AE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shopping online  49, 63, 66</w:t>
      </w:r>
    </w:p>
    <w:p w14:paraId="7FF3E8C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Singtel  31</w:t>
      </w:r>
    </w:p>
    <w:p w14:paraId="4B35F3A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Sky Muster™ 1  30</w:t>
      </w:r>
    </w:p>
    <w:p w14:paraId="6FD24ED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Sky Muster™ II  30</w:t>
      </w:r>
    </w:p>
    <w:p w14:paraId="7228BA1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Skype  61–2</w:t>
      </w:r>
    </w:p>
    <w:p w14:paraId="1F7818F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smart televisions  52, 79</w:t>
      </w:r>
    </w:p>
    <w:p w14:paraId="5D61908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smartnumbers  36</w:t>
      </w:r>
    </w:p>
    <w:p w14:paraId="02F2164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smartphones  1, 4, 7, 18–19, 70</w:t>
      </w:r>
    </w:p>
    <w:p w14:paraId="1C4DAB70" w14:textId="77777777" w:rsidR="001374C9" w:rsidRPr="005E32D9" w:rsidRDefault="001374C9" w:rsidP="0000021F">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mobile phone internet</w:t>
      </w:r>
    </w:p>
    <w:p w14:paraId="6AB6B50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SMS messages  57–8, 60–2</w:t>
      </w:r>
    </w:p>
    <w:p w14:paraId="7E4B365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Snapchat  61–2</w:t>
      </w:r>
    </w:p>
    <w:p w14:paraId="266F8F6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social media</w:t>
      </w:r>
    </w:p>
    <w:p w14:paraId="20DE25E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businesses on  4, 67</w:t>
      </w:r>
    </w:p>
    <w:p w14:paraId="05602E6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as source of news  74, 88</w:t>
      </w:r>
    </w:p>
    <w:p w14:paraId="55E14DC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social networking  58–9, 63, 71</w:t>
      </w:r>
    </w:p>
    <w:p w14:paraId="3F71D11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software-defined networking (SDN)  14, 33–4</w:t>
      </w:r>
    </w:p>
    <w:p w14:paraId="0C702F1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Southern Cross  94</w:t>
      </w:r>
    </w:p>
    <w:p w14:paraId="46CC1C6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Southern Cross Media Group Ltd  38–41</w:t>
      </w:r>
    </w:p>
    <w:p w14:paraId="1F69EC4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Southern Cross Ten  78</w:t>
      </w:r>
    </w:p>
    <w:p w14:paraId="3D9AA30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spam  5, 12, 128–9</w:t>
      </w:r>
    </w:p>
    <w:p w14:paraId="706E378F"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Spam Act 2003</w:t>
      </w:r>
      <w:r w:rsidRPr="005E32D9">
        <w:rPr>
          <w:rFonts w:ascii="Arial" w:hAnsi="Arial" w:cs="Arial"/>
          <w:sz w:val="18"/>
          <w:szCs w:val="18"/>
        </w:rPr>
        <w:t xml:space="preserve">  128</w:t>
      </w:r>
    </w:p>
    <w:p w14:paraId="4F56633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spectrum auctions  21</w:t>
      </w:r>
    </w:p>
    <w:p w14:paraId="4029B90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Speedcast International  34–5</w:t>
      </w:r>
    </w:p>
    <w:p w14:paraId="1BAD3A2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Spike  78</w:t>
      </w:r>
    </w:p>
    <w:p w14:paraId="5F9C015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SpinTel Pty Ltd  108</w:t>
      </w:r>
    </w:p>
    <w:p w14:paraId="7EEC626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Spotify  74, 76–7</w:t>
      </w:r>
    </w:p>
    <w:p w14:paraId="4D874C8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Stan  17, 78, 82</w:t>
      </w:r>
    </w:p>
    <w:p w14:paraId="5A8EB0E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State Emergency Service number  101</w:t>
      </w:r>
    </w:p>
    <w:p w14:paraId="2F26598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streaming devices  78–80</w:t>
      </w:r>
    </w:p>
    <w:p w14:paraId="6D464DD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streaming music services  </w:t>
      </w:r>
      <w:r w:rsidRPr="005E32D9">
        <w:rPr>
          <w:rFonts w:ascii="Arial" w:hAnsi="Arial" w:cs="Arial"/>
          <w:i/>
          <w:sz w:val="18"/>
          <w:szCs w:val="18"/>
        </w:rPr>
        <w:t>see</w:t>
      </w:r>
      <w:r w:rsidRPr="005E32D9">
        <w:rPr>
          <w:rFonts w:ascii="Arial" w:hAnsi="Arial" w:cs="Arial"/>
          <w:sz w:val="18"/>
          <w:szCs w:val="18"/>
        </w:rPr>
        <w:t xml:space="preserve"> audio streaming</w:t>
      </w:r>
    </w:p>
    <w:p w14:paraId="3D240B5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streaming television services  77–8</w:t>
      </w:r>
    </w:p>
    <w:p w14:paraId="2AD4D0B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streaming video content  </w:t>
      </w:r>
      <w:r w:rsidRPr="005E32D9">
        <w:rPr>
          <w:rFonts w:ascii="Arial" w:hAnsi="Arial" w:cs="Arial"/>
          <w:i/>
          <w:sz w:val="18"/>
          <w:szCs w:val="18"/>
        </w:rPr>
        <w:t>see</w:t>
      </w:r>
      <w:r w:rsidRPr="005E32D9">
        <w:rPr>
          <w:rFonts w:ascii="Arial" w:hAnsi="Arial" w:cs="Arial"/>
          <w:sz w:val="18"/>
          <w:szCs w:val="18"/>
        </w:rPr>
        <w:t xml:space="preserve"> online video content</w:t>
      </w:r>
    </w:p>
    <w:p w14:paraId="4157E5D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submarine cable protection  31–2</w:t>
      </w:r>
    </w:p>
    <w:p w14:paraId="6418DEB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submarine cables  1, 14, 31–2</w:t>
      </w:r>
    </w:p>
    <w:p w14:paraId="2923FCA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subscription television  41</w:t>
      </w:r>
    </w:p>
    <w:p w14:paraId="649F552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captioning  92–3</w:t>
      </w:r>
    </w:p>
    <w:p w14:paraId="4F936B0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drama expenditure scheme  92</w:t>
      </w:r>
    </w:p>
    <w:p w14:paraId="657DB08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subscription television licences, numbers  10, 37–8</w:t>
      </w:r>
    </w:p>
    <w:p w14:paraId="21EAF63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subscription video on demand (SVOD)  1, 4–5, 17, 78, 80</w:t>
      </w:r>
    </w:p>
    <w:p w14:paraId="4DF4E33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accessing  83</w:t>
      </w:r>
    </w:p>
    <w:p w14:paraId="46BD8E2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subscribers  74, 82</w:t>
      </w:r>
    </w:p>
    <w:p w14:paraId="7103011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technical experience  87–8</w:t>
      </w:r>
    </w:p>
    <w:p w14:paraId="1B4F00B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technical quality of  87–8</w:t>
      </w:r>
    </w:p>
    <w:p w14:paraId="40DC43E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time spent viewing  85–6</w:t>
      </w:r>
    </w:p>
    <w:p w14:paraId="5D24D3D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surveys</w:t>
      </w:r>
    </w:p>
    <w:p w14:paraId="68DF0B4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ACMA-commissioned  4, 133–4</w:t>
      </w:r>
    </w:p>
    <w:p w14:paraId="4FBFD95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Commercial Radio Australia  77</w:t>
      </w:r>
    </w:p>
    <w:p w14:paraId="0E029E54" w14:textId="77777777" w:rsidR="001374C9" w:rsidRPr="005E32D9" w:rsidRDefault="001374C9" w:rsidP="0000021F">
      <w:pPr>
        <w:pStyle w:val="Sub1"/>
        <w:rPr>
          <w:rFonts w:ascii="Arial" w:hAnsi="Arial" w:cs="Arial"/>
          <w:sz w:val="18"/>
          <w:szCs w:val="18"/>
        </w:rPr>
      </w:pPr>
    </w:p>
    <w:p w14:paraId="1580B251"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lastRenderedPageBreak/>
        <w:t>T</w:t>
      </w:r>
    </w:p>
    <w:p w14:paraId="054590F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tablets  1, 4</w:t>
      </w:r>
    </w:p>
    <w:p w14:paraId="58D613E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data allowances  56–7</w:t>
      </w:r>
    </w:p>
    <w:p w14:paraId="27C6D1D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international trends  70</w:t>
      </w:r>
    </w:p>
    <w:p w14:paraId="116D438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internet access  51–2, 55</w:t>
      </w:r>
    </w:p>
    <w:p w14:paraId="27C3854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numbers  18</w:t>
      </w:r>
    </w:p>
    <w:p w14:paraId="12DBDCD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OTT VoIP services  16</w:t>
      </w:r>
    </w:p>
    <w:p w14:paraId="17B3EFD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ownership  70</w:t>
      </w:r>
    </w:p>
    <w:p w14:paraId="6D0596E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Tango  62</w:t>
      </w:r>
    </w:p>
    <w:p w14:paraId="0A7AD67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technical support, consumer satisfaction  69</w:t>
      </w:r>
    </w:p>
    <w:p w14:paraId="25815B4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w:t>
      </w:r>
      <w:r w:rsidR="00741C6F">
        <w:rPr>
          <w:rFonts w:ascii="Arial" w:hAnsi="Arial" w:cs="Arial"/>
          <w:sz w:val="18"/>
          <w:szCs w:val="18"/>
        </w:rPr>
        <w:t>s</w:t>
      </w:r>
      <w:r w:rsidRPr="005E32D9">
        <w:rPr>
          <w:rFonts w:ascii="Arial" w:hAnsi="Arial" w:cs="Arial"/>
          <w:sz w:val="18"/>
          <w:szCs w:val="18"/>
        </w:rPr>
        <w:t xml:space="preserve"> services  7–8</w:t>
      </w:r>
    </w:p>
    <w:p w14:paraId="6E97B5C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numbers  7</w:t>
      </w:r>
    </w:p>
    <w:p w14:paraId="4D250D86"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Telecommunications Act 1997</w:t>
      </w:r>
      <w:r w:rsidRPr="005E32D9">
        <w:rPr>
          <w:rFonts w:ascii="Arial" w:hAnsi="Arial" w:cs="Arial"/>
          <w:sz w:val="18"/>
          <w:szCs w:val="18"/>
        </w:rPr>
        <w:t xml:space="preserve">  3, 6, 21–2, 31, 49, 100, 104–7, 125, 127</w:t>
      </w:r>
    </w:p>
    <w:p w14:paraId="2184A81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Cabling Provider Rules 2014  127</w:t>
      </w:r>
    </w:p>
    <w:p w14:paraId="793269F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Code of Practice 1997  21</w:t>
      </w:r>
    </w:p>
    <w:p w14:paraId="1E17946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codes</w:t>
      </w:r>
    </w:p>
    <w:p w14:paraId="09A5EAE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development and review  125</w:t>
      </w:r>
    </w:p>
    <w:p w14:paraId="3D31301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enquiries and objections  22</w:t>
      </w:r>
    </w:p>
    <w:p w14:paraId="230F3847" w14:textId="77777777" w:rsidR="001374C9" w:rsidRPr="005E32D9" w:rsidRDefault="001374C9" w:rsidP="0000021F">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specific codes such as Local Number Portability Code</w:t>
      </w:r>
    </w:p>
    <w:p w14:paraId="19EEC5AD"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Telecommunications (Consumer Protection and Service Standards) Act 1999</w:t>
      </w:r>
      <w:r w:rsidRPr="005E32D9">
        <w:rPr>
          <w:rFonts w:ascii="Arial" w:hAnsi="Arial" w:cs="Arial"/>
          <w:sz w:val="18"/>
          <w:szCs w:val="18"/>
        </w:rPr>
        <w:t xml:space="preserve">  111, 130</w:t>
      </w:r>
    </w:p>
    <w:p w14:paraId="7822351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Consumer Protection (TCP) Code</w:t>
      </w:r>
    </w:p>
    <w:p w14:paraId="535AC85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advertising  125</w:t>
      </w:r>
    </w:p>
    <w:p w14:paraId="5CC53C9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compliance  125–26</w:t>
      </w:r>
    </w:p>
    <w:p w14:paraId="15B1B45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industry compliance  125–26</w:t>
      </w:r>
    </w:p>
    <w:p w14:paraId="5D6108E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review  125</w:t>
      </w:r>
    </w:p>
    <w:p w14:paraId="6E9FA42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(Customer Service Guarantee–Retail Performance Benchmarks) Instrument (No. 1) 2011  113</w:t>
      </w:r>
    </w:p>
    <w:p w14:paraId="7D69D11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(Customer Service Guarantee) Standard 2011  6, 113</w:t>
      </w:r>
    </w:p>
    <w:p w14:paraId="5F869C71" w14:textId="77777777" w:rsidR="001374C9" w:rsidRPr="005E32D9" w:rsidRDefault="001374C9" w:rsidP="0000021F">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Customer Service Guarantee Standard</w:t>
      </w:r>
    </w:p>
    <w:p w14:paraId="4A2C937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(Emergency Call Service) Determination 2009  100</w:t>
      </w:r>
    </w:p>
    <w:p w14:paraId="2B21EBB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industry levy (TIL)  110–11</w:t>
      </w:r>
    </w:p>
    <w:p w14:paraId="4F5D6B4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Industry Ombudsman (TIO)</w:t>
      </w:r>
    </w:p>
    <w:p w14:paraId="4DE976C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complaints to  5, 12, 22–3, 110, 131–32</w:t>
      </w:r>
    </w:p>
    <w:p w14:paraId="107EB76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disclosures of customer information to  104–6</w:t>
      </w:r>
    </w:p>
    <w:p w14:paraId="684E3DE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facility installation  22–3</w:t>
      </w:r>
    </w:p>
    <w:p w14:paraId="1CA9F18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handling of life-threatening and unwelcome calls  109</w:t>
      </w:r>
    </w:p>
    <w:p w14:paraId="3EA3B8B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Industry Ombudsman scheme</w:t>
      </w:r>
    </w:p>
    <w:p w14:paraId="29F2E55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compliance  130–31</w:t>
      </w:r>
    </w:p>
    <w:p w14:paraId="6654A9F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members  8, 35, 130</w:t>
      </w:r>
    </w:p>
    <w:p w14:paraId="590982D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Integrated Public Number Database Scheme 2007  109</w:t>
      </w:r>
    </w:p>
    <w:p w14:paraId="5CEDFDBF"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Telecommunications (Interception and Access) Act 1979</w:t>
      </w:r>
      <w:r w:rsidRPr="005E32D9">
        <w:rPr>
          <w:rFonts w:ascii="Arial" w:hAnsi="Arial" w:cs="Arial"/>
          <w:sz w:val="18"/>
          <w:szCs w:val="18"/>
        </w:rPr>
        <w:t xml:space="preserve">  6, 104–7</w:t>
      </w:r>
    </w:p>
    <w:p w14:paraId="312C81B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licences, cablers  127</w:t>
      </w:r>
    </w:p>
    <w:p w14:paraId="1378666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(Low-impact Facilities) Determination 1997  21</w:t>
      </w:r>
    </w:p>
    <w:p w14:paraId="0CFE387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(Service Provider—Identity Checks for Prepaid Mobile Carriage Services) Determination 2013  107</w:t>
      </w:r>
    </w:p>
    <w:p w14:paraId="0FCA0BE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services  see communications services</w:t>
      </w:r>
    </w:p>
    <w:p w14:paraId="55372D0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Telecommunications Universal Service Obligation (Payphone Performa</w:t>
      </w:r>
      <w:r w:rsidR="00D501F1" w:rsidRPr="005E32D9">
        <w:rPr>
          <w:rFonts w:ascii="Arial" w:hAnsi="Arial" w:cs="Arial"/>
          <w:sz w:val="18"/>
          <w:szCs w:val="18"/>
        </w:rPr>
        <w:t>nce Benchmarks) Instrument (No. </w:t>
      </w:r>
      <w:r w:rsidRPr="005E32D9">
        <w:rPr>
          <w:rFonts w:ascii="Arial" w:hAnsi="Arial" w:cs="Arial"/>
          <w:sz w:val="18"/>
          <w:szCs w:val="18"/>
        </w:rPr>
        <w:t>1) 2011  112</w:t>
      </w:r>
    </w:p>
    <w:p w14:paraId="40C7416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telemarketing, complaints  12, 128–9</w:t>
      </w:r>
    </w:p>
    <w:p w14:paraId="372500C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lastRenderedPageBreak/>
        <w:t>Telemarketing and Research Industry Standard 2007  128</w:t>
      </w:r>
    </w:p>
    <w:p w14:paraId="219BD5D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telephone number allocations  11, 36–7</w:t>
      </w:r>
    </w:p>
    <w:p w14:paraId="72687DF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teletypewriters (TTY)</w:t>
      </w:r>
    </w:p>
    <w:p w14:paraId="2DB632A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emergency call service numbers  102–3</w:t>
      </w:r>
    </w:p>
    <w:p w14:paraId="41C2A95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payphones  113</w:t>
      </w:r>
    </w:p>
    <w:p w14:paraId="63E7DCB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television</w:t>
      </w:r>
    </w:p>
    <w:p w14:paraId="510BAF2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advertising  14, 42, 44</w:t>
      </w:r>
    </w:p>
    <w:p w14:paraId="484B2E0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anti-siphoning events  95</w:t>
      </w:r>
    </w:p>
    <w:p w14:paraId="0730B71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audience measurement  78</w:t>
      </w:r>
    </w:p>
    <w:p w14:paraId="72ED390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Australian content on  74, 90–2</w:t>
      </w:r>
    </w:p>
    <w:p w14:paraId="11B0F66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captioning  92–4</w:t>
      </w:r>
    </w:p>
    <w:p w14:paraId="4CE92D20"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catch-up services  4–5, 77, 83–5</w:t>
      </w:r>
    </w:p>
    <w:p w14:paraId="2874F37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digital  23, 77–8, 95</w:t>
      </w:r>
    </w:p>
    <w:p w14:paraId="29AC5FE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free-to-air viewing  1, 73, 79–80, 86</w:t>
      </w:r>
    </w:p>
    <w:p w14:paraId="54E8656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internet access  52</w:t>
      </w:r>
    </w:p>
    <w:p w14:paraId="72861E1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internet protocol television (IPTV)  78</w:t>
      </w:r>
    </w:p>
    <w:p w14:paraId="1E3E439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live streaming  4, 5, 77</w:t>
      </w:r>
    </w:p>
    <w:p w14:paraId="55B481E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local information on regional  94</w:t>
      </w:r>
    </w:p>
    <w:p w14:paraId="08E93B2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online usage  80–1</w:t>
      </w:r>
    </w:p>
    <w:p w14:paraId="768F7A7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regional  78</w:t>
      </w:r>
    </w:p>
    <w:p w14:paraId="795A40F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streaming services  77–8</w:t>
      </w:r>
    </w:p>
    <w:p w14:paraId="167BD2E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subscription  37–8, 41</w:t>
      </w:r>
    </w:p>
    <w:p w14:paraId="275682D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time spent viewing  85–6</w:t>
      </w:r>
    </w:p>
    <w:p w14:paraId="3CE56DC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viewing  4–5, 73, 77–87</w:t>
      </w:r>
    </w:p>
    <w:p w14:paraId="48B17409" w14:textId="77777777" w:rsidR="001374C9" w:rsidRPr="005E32D9" w:rsidRDefault="001374C9" w:rsidP="0000021F">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online video content; smart televisions; subscription video on demand (SVOD)</w:t>
      </w:r>
    </w:p>
    <w:p w14:paraId="5ABD6A1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television licences</w:t>
      </w:r>
    </w:p>
    <w:p w14:paraId="2F9ADE20"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commercial broadcasting  10, 37–9, 41</w:t>
      </w:r>
    </w:p>
    <w:p w14:paraId="6348443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community broadcasting  14, 37–8, 42</w:t>
      </w:r>
    </w:p>
    <w:p w14:paraId="666D127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notification of changes of control  94</w:t>
      </w:r>
    </w:p>
    <w:p w14:paraId="016988E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subscription  10, 37, 41</w:t>
      </w:r>
    </w:p>
    <w:p w14:paraId="48B6494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television sets  79</w:t>
      </w:r>
    </w:p>
    <w:p w14:paraId="1425311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television streaming devices  78–80</w:t>
      </w:r>
    </w:p>
    <w:p w14:paraId="71D7E7B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Telstra</w:t>
      </w:r>
    </w:p>
    <w:p w14:paraId="02E1141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2G networks  13, 20</w:t>
      </w:r>
    </w:p>
    <w:p w14:paraId="0FCCDAF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4G networks  20–1, 25–6</w:t>
      </w:r>
    </w:p>
    <w:p w14:paraId="40F95EC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5G networks  26</w:t>
      </w:r>
    </w:p>
    <w:p w14:paraId="39B59404"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1800 MHz spectrum  21</w:t>
      </w:r>
    </w:p>
    <w:p w14:paraId="05FC3F3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appointments  116</w:t>
      </w:r>
    </w:p>
    <w:p w14:paraId="3912BC3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audio streaming  74</w:t>
      </w:r>
    </w:p>
    <w:p w14:paraId="1ECB2E2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cable runs  120</w:t>
      </w:r>
    </w:p>
    <w:p w14:paraId="73B71D8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cloud services  14, 33–4</w:t>
      </w:r>
    </w:p>
    <w:p w14:paraId="52F5CD0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compensation payments  117</w:t>
      </w:r>
    </w:p>
    <w:p w14:paraId="3AC7ED99"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Customer Service Guarantee Standard  113, 115–18</w:t>
      </w:r>
    </w:p>
    <w:p w14:paraId="22F2CED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dial-up internet  13, 27</w:t>
      </w:r>
    </w:p>
    <w:p w14:paraId="57F4DF4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emergency call services  100</w:t>
      </w:r>
    </w:p>
    <w:p w14:paraId="6827495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emergency calls  101</w:t>
      </w:r>
    </w:p>
    <w:p w14:paraId="46365E0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exceptions  118</w:t>
      </w:r>
    </w:p>
    <w:p w14:paraId="2EC3472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fault repairs  116</w:t>
      </w:r>
    </w:p>
    <w:p w14:paraId="148D9DF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faults  118–21</w:t>
      </w:r>
    </w:p>
    <w:p w14:paraId="17F24E7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fixed-line telephone services  14</w:t>
      </w:r>
    </w:p>
    <w:p w14:paraId="45BA2D56"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fixed-voice product revenue  14</w:t>
      </w:r>
    </w:p>
    <w:p w14:paraId="126A15D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Integrated Public Number Database (IPND)  108</w:t>
      </w:r>
    </w:p>
    <w:p w14:paraId="0AD555B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internet of things (IoT)  25</w:t>
      </w:r>
    </w:p>
    <w:p w14:paraId="354526B1"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internet services in operation  29</w:t>
      </w:r>
    </w:p>
    <w:p w14:paraId="38EA216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in-place connections  115–16</w:t>
      </w:r>
    </w:p>
    <w:p w14:paraId="091042B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LTE-Broadcast Alliance  26</w:t>
      </w:r>
    </w:p>
    <w:p w14:paraId="4FDD09B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M2M services  25</w:t>
      </w:r>
    </w:p>
    <w:p w14:paraId="6DCAFFD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market share  19–20</w:t>
      </w:r>
    </w:p>
    <w:p w14:paraId="1FC5715D"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mergers and acquisitions  34–5</w:t>
      </w:r>
    </w:p>
    <w:p w14:paraId="749AAE4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Mobile Black Spot Programme  13, 21</w:t>
      </w:r>
    </w:p>
    <w:p w14:paraId="6D1E0F5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mobile data plans  17</w:t>
      </w:r>
    </w:p>
    <w:p w14:paraId="3540A753"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mobile phone base stations  13, 21</w:t>
      </w:r>
    </w:p>
    <w:p w14:paraId="0C5FDFB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mobile services  19–20</w:t>
      </w:r>
    </w:p>
    <w:p w14:paraId="55162AAC"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lastRenderedPageBreak/>
        <w:t>Network Reliability Framework (NRF)  118–21</w:t>
      </w:r>
    </w:p>
    <w:p w14:paraId="4E6FF55B"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new service connections  115–16</w:t>
      </w:r>
    </w:p>
    <w:p w14:paraId="38247AFA"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outages  20</w:t>
      </w:r>
    </w:p>
    <w:p w14:paraId="6A8E9745"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payphones  111–13</w:t>
      </w:r>
    </w:p>
    <w:p w14:paraId="7B4E12B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phishing reports  130</w:t>
      </w:r>
    </w:p>
    <w:p w14:paraId="7D31292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priority assistance  122–4</w:t>
      </w:r>
    </w:p>
    <w:p w14:paraId="6205D22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as qualifying carriage service providers (QCSPs)  113</w:t>
      </w:r>
    </w:p>
    <w:p w14:paraId="145C198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software-defined networking (SDN)  33</w:t>
      </w:r>
    </w:p>
    <w:p w14:paraId="2C4C3772"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submarine cables  31</w:t>
      </w:r>
    </w:p>
    <w:p w14:paraId="02F7DD5F"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subscription video on demand (SVOD)  79</w:t>
      </w:r>
    </w:p>
    <w:p w14:paraId="79F42787"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television streaming services  78</w:t>
      </w:r>
    </w:p>
    <w:p w14:paraId="269D51B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Voice over LTE (VoLTE)  25</w:t>
      </w:r>
    </w:p>
    <w:p w14:paraId="7C54CAFE"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Voice over Wi-Fi (VoWiFi)  26</w:t>
      </w:r>
    </w:p>
    <w:p w14:paraId="5BFC7998" w14:textId="77777777" w:rsidR="001374C9" w:rsidRPr="005E32D9" w:rsidRDefault="001374C9" w:rsidP="0000021F">
      <w:pPr>
        <w:pStyle w:val="Sub1"/>
        <w:rPr>
          <w:rFonts w:ascii="Arial" w:hAnsi="Arial" w:cs="Arial"/>
          <w:sz w:val="18"/>
          <w:szCs w:val="18"/>
        </w:rPr>
      </w:pPr>
      <w:r w:rsidRPr="005E32D9">
        <w:rPr>
          <w:rFonts w:ascii="Arial" w:hAnsi="Arial" w:cs="Arial"/>
          <w:sz w:val="18"/>
          <w:szCs w:val="18"/>
        </w:rPr>
        <w:t>Wi-Fi hotspots  33</w:t>
      </w:r>
    </w:p>
    <w:p w14:paraId="7FD197D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Telstra Air Network  33</w:t>
      </w:r>
    </w:p>
    <w:p w14:paraId="26BB8C0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Telstra Mining Services  34</w:t>
      </w:r>
    </w:p>
    <w:p w14:paraId="03F75F2E"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Telstra TV+  78</w:t>
      </w:r>
    </w:p>
    <w:p w14:paraId="440B268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temporary community radio broadcasting licences  38, 42</w:t>
      </w:r>
    </w:p>
    <w:p w14:paraId="7AD0DE9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Ten Network  38, 77–8, 91–2</w:t>
      </w:r>
    </w:p>
    <w:p w14:paraId="39F7CB0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Ten Network Holdings Ltd  39</w:t>
      </w:r>
    </w:p>
    <w:p w14:paraId="7235922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Ten Play  84–5</w:t>
      </w:r>
    </w:p>
    <w:p w14:paraId="0C34D99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text messages (SMS)  13, 57–8, 60</w:t>
      </w:r>
    </w:p>
    <w:p w14:paraId="628CD77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The Things Network  25</w:t>
      </w:r>
    </w:p>
    <w:p w14:paraId="5032C6F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Tidal  77</w:t>
      </w:r>
    </w:p>
    <w:p w14:paraId="47090B8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time frames  6, 110, 114–17</w:t>
      </w:r>
    </w:p>
    <w:p w14:paraId="410B897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TIO  </w:t>
      </w:r>
      <w:r w:rsidRPr="005E32D9">
        <w:rPr>
          <w:rFonts w:ascii="Arial" w:hAnsi="Arial" w:cs="Arial"/>
          <w:i/>
          <w:sz w:val="18"/>
          <w:szCs w:val="18"/>
        </w:rPr>
        <w:t>see</w:t>
      </w:r>
      <w:r w:rsidRPr="005E32D9">
        <w:rPr>
          <w:rFonts w:ascii="Arial" w:hAnsi="Arial" w:cs="Arial"/>
          <w:sz w:val="18"/>
          <w:szCs w:val="18"/>
        </w:rPr>
        <w:t xml:space="preserve"> Telecommunications Industry Ombudsman (TIO)</w:t>
      </w:r>
    </w:p>
    <w:p w14:paraId="72A665A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TPG Telecom</w:t>
      </w:r>
    </w:p>
    <w:p w14:paraId="74960743"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4G networks  20</w:t>
      </w:r>
    </w:p>
    <w:p w14:paraId="3AA188A8"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1800 MHz spectrum  21</w:t>
      </w:r>
    </w:p>
    <w:p w14:paraId="62045D7C"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dial-up internet  13</w:t>
      </w:r>
    </w:p>
    <w:p w14:paraId="5C8350B0"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internet services in operation  29</w:t>
      </w:r>
    </w:p>
    <w:p w14:paraId="34BB4655"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mergers and acquisitions  29, 34–5</w:t>
      </w:r>
    </w:p>
    <w:p w14:paraId="0F85EEEB"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mobile services  19–20</w:t>
      </w:r>
    </w:p>
    <w:p w14:paraId="202B5E27"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waivers  114</w:t>
      </w:r>
    </w:p>
    <w:p w14:paraId="3AC7BB2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Triple Zero calls  6, 11, 100–2</w:t>
      </w:r>
    </w:p>
    <w:p w14:paraId="1B63E831"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complaints  102</w:t>
      </w:r>
    </w:p>
    <w:p w14:paraId="62CF6089"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via National Relay Service (NRS)  102–3</w:t>
      </w:r>
    </w:p>
    <w:p w14:paraId="48B7659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Twitter  88</w:t>
      </w:r>
    </w:p>
    <w:p w14:paraId="3EC09145" w14:textId="77777777" w:rsidR="001374C9" w:rsidRPr="005E32D9" w:rsidRDefault="001374C9" w:rsidP="001374C9">
      <w:pPr>
        <w:pStyle w:val="Main"/>
        <w:rPr>
          <w:rFonts w:ascii="Arial" w:hAnsi="Arial" w:cs="Arial"/>
          <w:sz w:val="18"/>
          <w:szCs w:val="18"/>
        </w:rPr>
      </w:pPr>
    </w:p>
    <w:p w14:paraId="7C91C7E0"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U</w:t>
      </w:r>
    </w:p>
    <w:p w14:paraId="7FADC4F9"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unacceptable media diversity situation (UMDS)  40</w:t>
      </w:r>
    </w:p>
    <w:p w14:paraId="486A742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United Kingdom  70–1</w:t>
      </w:r>
    </w:p>
    <w:p w14:paraId="36F7B59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United States  70</w:t>
      </w:r>
    </w:p>
    <w:p w14:paraId="57FE5A7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universal service obligation (USO), levies and payments  110–11</w:t>
      </w:r>
    </w:p>
    <w:p w14:paraId="53E2582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University of Technology Sydney  25</w:t>
      </w:r>
    </w:p>
    <w:p w14:paraId="2D5DD6B2"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unsolicited communications  128–29</w:t>
      </w:r>
    </w:p>
    <w:p w14:paraId="0402396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unwelcome calls  109</w:t>
      </w:r>
    </w:p>
    <w:p w14:paraId="64616DAC"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urban areas</w:t>
      </w:r>
    </w:p>
    <w:p w14:paraId="08B95B58"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appointments  116</w:t>
      </w:r>
    </w:p>
    <w:p w14:paraId="49F1FC1C"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Customer Service Guarantee Standard  114–16</w:t>
      </w:r>
    </w:p>
    <w:p w14:paraId="6361A067"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fault repairs  114, 116</w:t>
      </w:r>
    </w:p>
    <w:p w14:paraId="33536E47"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in-place connections  114</w:t>
      </w:r>
    </w:p>
    <w:p w14:paraId="22BA71FC"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new service connections  114–15</w:t>
      </w:r>
    </w:p>
    <w:p w14:paraId="65B3A25E"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payphones  113</w:t>
      </w:r>
    </w:p>
    <w:p w14:paraId="3768D77A"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priority assistance  122–24</w:t>
      </w:r>
    </w:p>
    <w:p w14:paraId="4C1F294E" w14:textId="77777777" w:rsidR="001374C9" w:rsidRPr="005E32D9" w:rsidRDefault="001374C9" w:rsidP="001374C9">
      <w:pPr>
        <w:pStyle w:val="Main"/>
        <w:rPr>
          <w:rFonts w:ascii="Arial" w:hAnsi="Arial" w:cs="Arial"/>
          <w:sz w:val="18"/>
          <w:szCs w:val="18"/>
        </w:rPr>
      </w:pPr>
    </w:p>
    <w:p w14:paraId="628061D6" w14:textId="77777777" w:rsidR="001374C9" w:rsidRPr="001932B2" w:rsidRDefault="001374C9" w:rsidP="009557CA">
      <w:pPr>
        <w:keepNext/>
        <w:keepLines/>
        <w:pBdr>
          <w:bottom w:val="single" w:sz="4" w:space="1" w:color="auto"/>
        </w:pBdr>
        <w:spacing w:after="80"/>
        <w:rPr>
          <w:rFonts w:cs="Arial"/>
          <w:b/>
          <w:color w:val="007298"/>
          <w:sz w:val="32"/>
          <w:szCs w:val="32"/>
        </w:rPr>
      </w:pPr>
      <w:r w:rsidRPr="001932B2">
        <w:rPr>
          <w:rFonts w:cs="Arial"/>
          <w:b/>
          <w:color w:val="007298"/>
          <w:sz w:val="32"/>
          <w:szCs w:val="32"/>
        </w:rPr>
        <w:lastRenderedPageBreak/>
        <w:t>V</w:t>
      </w:r>
    </w:p>
    <w:p w14:paraId="72363A09" w14:textId="77777777" w:rsidR="001374C9" w:rsidRPr="005E32D9" w:rsidRDefault="001374C9" w:rsidP="009557CA">
      <w:pPr>
        <w:pStyle w:val="Main"/>
        <w:keepNext/>
        <w:keepLines/>
        <w:rPr>
          <w:rFonts w:ascii="Arial" w:hAnsi="Arial" w:cs="Arial"/>
          <w:sz w:val="18"/>
          <w:szCs w:val="18"/>
        </w:rPr>
      </w:pPr>
      <w:r w:rsidRPr="005E32D9">
        <w:rPr>
          <w:rFonts w:ascii="Arial" w:hAnsi="Arial" w:cs="Arial"/>
          <w:sz w:val="18"/>
          <w:szCs w:val="18"/>
        </w:rPr>
        <w:t>Vaya  35</w:t>
      </w:r>
    </w:p>
    <w:p w14:paraId="255D6FAB" w14:textId="77777777" w:rsidR="001374C9" w:rsidRPr="005E32D9" w:rsidRDefault="001374C9" w:rsidP="009557CA">
      <w:pPr>
        <w:pStyle w:val="Main"/>
        <w:keepNext/>
        <w:keepLines/>
        <w:rPr>
          <w:rFonts w:ascii="Arial" w:hAnsi="Arial" w:cs="Arial"/>
          <w:sz w:val="18"/>
          <w:szCs w:val="18"/>
        </w:rPr>
      </w:pPr>
      <w:r w:rsidRPr="005E32D9">
        <w:rPr>
          <w:rFonts w:ascii="Arial" w:hAnsi="Arial" w:cs="Arial"/>
          <w:sz w:val="18"/>
          <w:szCs w:val="18"/>
        </w:rPr>
        <w:t>Veda Advantage Limited  109</w:t>
      </w:r>
    </w:p>
    <w:p w14:paraId="0C91CB77" w14:textId="77777777" w:rsidR="001374C9" w:rsidRPr="005E32D9" w:rsidRDefault="001374C9" w:rsidP="009557CA">
      <w:pPr>
        <w:pStyle w:val="Main"/>
        <w:keepNext/>
        <w:keepLines/>
        <w:rPr>
          <w:rFonts w:ascii="Arial" w:hAnsi="Arial" w:cs="Arial"/>
          <w:sz w:val="18"/>
          <w:szCs w:val="18"/>
        </w:rPr>
      </w:pPr>
      <w:r w:rsidRPr="005E32D9">
        <w:rPr>
          <w:rFonts w:ascii="Arial" w:hAnsi="Arial" w:cs="Arial"/>
          <w:sz w:val="18"/>
          <w:szCs w:val="18"/>
        </w:rPr>
        <w:t>Viber  61–2</w:t>
      </w:r>
    </w:p>
    <w:p w14:paraId="50374DA0" w14:textId="77777777" w:rsidR="001374C9" w:rsidRPr="005E32D9" w:rsidRDefault="001374C9" w:rsidP="009557CA">
      <w:pPr>
        <w:pStyle w:val="Main"/>
        <w:keepNext/>
        <w:keepLines/>
        <w:rPr>
          <w:rFonts w:ascii="Arial" w:hAnsi="Arial" w:cs="Arial"/>
          <w:sz w:val="18"/>
          <w:szCs w:val="18"/>
        </w:rPr>
      </w:pPr>
      <w:r w:rsidRPr="005E32D9">
        <w:rPr>
          <w:rFonts w:ascii="Arial" w:hAnsi="Arial" w:cs="Arial"/>
          <w:sz w:val="18"/>
          <w:szCs w:val="18"/>
        </w:rPr>
        <w:t>video calls</w:t>
      </w:r>
    </w:p>
    <w:p w14:paraId="74A9D235" w14:textId="77777777" w:rsidR="001374C9" w:rsidRPr="005E32D9" w:rsidRDefault="001374C9" w:rsidP="009557CA">
      <w:pPr>
        <w:pStyle w:val="Sub1"/>
        <w:keepNext/>
        <w:keepLines/>
        <w:rPr>
          <w:rFonts w:ascii="Arial" w:hAnsi="Arial" w:cs="Arial"/>
          <w:sz w:val="18"/>
          <w:szCs w:val="18"/>
        </w:rPr>
      </w:pPr>
      <w:r w:rsidRPr="005E32D9">
        <w:rPr>
          <w:rFonts w:ascii="Arial" w:hAnsi="Arial" w:cs="Arial"/>
          <w:sz w:val="18"/>
          <w:szCs w:val="18"/>
        </w:rPr>
        <w:t>from mobile phones  60–1</w:t>
      </w:r>
    </w:p>
    <w:p w14:paraId="31F2285A"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using communications apps  59–62</w:t>
      </w:r>
    </w:p>
    <w:p w14:paraId="3202CA28"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using Voice over LTE (VoLTE)  25</w:t>
      </w:r>
    </w:p>
    <w:p w14:paraId="3012229F"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video content  4–5, 49, 63–5, 73–4, 77–81</w:t>
      </w:r>
    </w:p>
    <w:p w14:paraId="42C6E92E"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downloading versus streaming  49, 64–6</w:t>
      </w:r>
    </w:p>
    <w:p w14:paraId="63EC651F" w14:textId="77777777" w:rsidR="001374C9" w:rsidRPr="005E32D9" w:rsidRDefault="001374C9" w:rsidP="007A7049">
      <w:pPr>
        <w:pStyle w:val="Sub1"/>
        <w:rPr>
          <w:rFonts w:ascii="Arial" w:hAnsi="Arial" w:cs="Arial"/>
          <w:sz w:val="18"/>
          <w:szCs w:val="18"/>
        </w:rPr>
      </w:pPr>
      <w:r w:rsidRPr="005E32D9">
        <w:rPr>
          <w:rFonts w:ascii="Arial" w:hAnsi="Arial" w:cs="Arial"/>
          <w:i/>
          <w:sz w:val="18"/>
          <w:szCs w:val="18"/>
        </w:rPr>
        <w:t>see also</w:t>
      </w:r>
      <w:r w:rsidRPr="005E32D9">
        <w:rPr>
          <w:rFonts w:ascii="Arial" w:hAnsi="Arial" w:cs="Arial"/>
          <w:sz w:val="18"/>
          <w:szCs w:val="18"/>
        </w:rPr>
        <w:t xml:space="preserve"> online video content</w:t>
      </w:r>
    </w:p>
    <w:p w14:paraId="7EF0472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video on demand  </w:t>
      </w:r>
      <w:r w:rsidRPr="005E32D9">
        <w:rPr>
          <w:rFonts w:ascii="Arial" w:hAnsi="Arial" w:cs="Arial"/>
          <w:i/>
          <w:sz w:val="18"/>
          <w:szCs w:val="18"/>
        </w:rPr>
        <w:t>see</w:t>
      </w:r>
      <w:r w:rsidRPr="005E32D9">
        <w:rPr>
          <w:rFonts w:ascii="Arial" w:hAnsi="Arial" w:cs="Arial"/>
          <w:sz w:val="18"/>
          <w:szCs w:val="18"/>
        </w:rPr>
        <w:t xml:space="preserve"> subscription video on demand (SVOD)</w:t>
      </w:r>
    </w:p>
    <w:p w14:paraId="62E77F4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Video Player Measurement (VPM) report  78</w:t>
      </w:r>
    </w:p>
    <w:p w14:paraId="660AE9C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video streaming services  see subscription video on demand (SVOD)</w:t>
      </w:r>
    </w:p>
    <w:p w14:paraId="4BB6BA4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Virgin  33</w:t>
      </w:r>
    </w:p>
    <w:p w14:paraId="3C15FB5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VMware  33</w:t>
      </w:r>
    </w:p>
    <w:p w14:paraId="3258B4A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Vocus Communications  29</w:t>
      </w:r>
    </w:p>
    <w:p w14:paraId="1017B919"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Customer Service Guarantee Standard  118</w:t>
      </w:r>
    </w:p>
    <w:p w14:paraId="7924B7AA"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exceptions  118</w:t>
      </w:r>
    </w:p>
    <w:p w14:paraId="10A6EED2"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mergers and acquisitions  34–5</w:t>
      </w:r>
    </w:p>
    <w:p w14:paraId="6F249DB7"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submarine cables  31</w:t>
      </w:r>
    </w:p>
    <w:p w14:paraId="6AC374DB"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 xml:space="preserve">Vodafone Australia </w:t>
      </w:r>
    </w:p>
    <w:p w14:paraId="6766EDAB"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2G networks  13, 20</w:t>
      </w:r>
    </w:p>
    <w:p w14:paraId="72B8997A"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4G networks  20</w:t>
      </w:r>
    </w:p>
    <w:p w14:paraId="2EE4CDCA"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5G networks  26</w:t>
      </w:r>
    </w:p>
    <w:p w14:paraId="1AB78A96"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1800 MHz spectrum  21</w:t>
      </w:r>
    </w:p>
    <w:p w14:paraId="0E4C6BEB"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cloud services  33</w:t>
      </w:r>
    </w:p>
    <w:p w14:paraId="24D4DE87"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internet of things (IoT)  25</w:t>
      </w:r>
    </w:p>
    <w:p w14:paraId="1569B7D0"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market share  19–20</w:t>
      </w:r>
    </w:p>
    <w:p w14:paraId="13BD6714"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Mobile Black Spot Programme  13, 21</w:t>
      </w:r>
    </w:p>
    <w:p w14:paraId="64282CCD"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mobile phone base stations  13, 21</w:t>
      </w:r>
    </w:p>
    <w:p w14:paraId="744B99B3"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mobile services  19–20</w:t>
      </w:r>
    </w:p>
    <w:p w14:paraId="13545114"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Voice over LTE (VoLTE)  25</w:t>
      </w:r>
    </w:p>
    <w:p w14:paraId="24B73938"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Voice over Wi-Fi (VoWiFi)  26</w:t>
      </w:r>
    </w:p>
    <w:p w14:paraId="241AE1B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voice calls  59–60</w:t>
      </w:r>
    </w:p>
    <w:p w14:paraId="365261E1"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using communications apps  59–62</w:t>
      </w:r>
    </w:p>
    <w:p w14:paraId="1181CF4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Voice calls over Wi-Fi  26</w:t>
      </w:r>
    </w:p>
    <w:p w14:paraId="3BF8B44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voice over internet protocol (VoIP) services  4</w:t>
      </w:r>
    </w:p>
    <w:p w14:paraId="4F28BC18"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over-the-top (OTT)  15–7</w:t>
      </w:r>
    </w:p>
    <w:p w14:paraId="68C4B65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lastRenderedPageBreak/>
        <w:t>Voice over LTE (VoLTE)  25</w:t>
      </w:r>
    </w:p>
    <w:p w14:paraId="5D9313D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Voice over Wi-Fi (VoWiFi)  26</w:t>
      </w:r>
    </w:p>
    <w:p w14:paraId="6E6D3E2D" w14:textId="77777777" w:rsidR="001374C9" w:rsidRPr="005E32D9" w:rsidRDefault="001374C9" w:rsidP="001374C9">
      <w:pPr>
        <w:pStyle w:val="Main"/>
        <w:rPr>
          <w:rFonts w:ascii="Arial" w:hAnsi="Arial" w:cs="Arial"/>
          <w:sz w:val="18"/>
          <w:szCs w:val="18"/>
        </w:rPr>
      </w:pPr>
    </w:p>
    <w:p w14:paraId="6FF73616" w14:textId="77777777" w:rsidR="001374C9" w:rsidRPr="009557CA" w:rsidRDefault="001374C9" w:rsidP="005D6742">
      <w:pPr>
        <w:keepNext/>
        <w:keepLines/>
        <w:pBdr>
          <w:bottom w:val="single" w:sz="4" w:space="1" w:color="auto"/>
        </w:pBdr>
        <w:spacing w:after="80"/>
        <w:rPr>
          <w:rFonts w:cs="Arial"/>
          <w:b/>
          <w:color w:val="007298"/>
          <w:sz w:val="32"/>
          <w:szCs w:val="32"/>
        </w:rPr>
      </w:pPr>
      <w:r w:rsidRPr="009557CA">
        <w:rPr>
          <w:rFonts w:cs="Arial"/>
          <w:b/>
          <w:color w:val="007298"/>
          <w:sz w:val="32"/>
          <w:szCs w:val="32"/>
        </w:rPr>
        <w:t>W</w:t>
      </w:r>
    </w:p>
    <w:p w14:paraId="79E2E000"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waivers, Customer Service Guarantee Standard  6, 8, 114</w:t>
      </w:r>
    </w:p>
    <w:p w14:paraId="0FB8638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We chat  62</w:t>
      </w:r>
    </w:p>
    <w:p w14:paraId="2FCDF6F3"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WhatsApp  61–2</w:t>
      </w:r>
    </w:p>
    <w:p w14:paraId="0B878CC4"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Wi-Fi calling services  26</w:t>
      </w:r>
    </w:p>
    <w:p w14:paraId="6A2FEF6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Wi-Fi hotspots  33</w:t>
      </w:r>
    </w:p>
    <w:p w14:paraId="4C011997"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Wi-Fi services  33</w:t>
      </w:r>
    </w:p>
    <w:p w14:paraId="613F8C65"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WiFi Talk</w:t>
      </w:r>
      <w:r w:rsidRPr="005E32D9">
        <w:rPr>
          <w:rFonts w:ascii="Arial" w:hAnsi="Arial" w:cs="Arial"/>
          <w:sz w:val="18"/>
          <w:szCs w:val="18"/>
        </w:rPr>
        <w:t xml:space="preserve"> app  26</w:t>
      </w:r>
    </w:p>
    <w:p w14:paraId="5DF9F706"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WIN Corporation Pty Ltd  38–9, 41</w:t>
      </w:r>
    </w:p>
    <w:p w14:paraId="59869671"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WIN Network  78</w:t>
      </w:r>
    </w:p>
    <w:p w14:paraId="1B46512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WIN TV  94</w:t>
      </w:r>
    </w:p>
    <w:p w14:paraId="73A438C8"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wireless broadband</w:t>
      </w:r>
    </w:p>
    <w:p w14:paraId="7E2334E8"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data downloaded  9, 55–6, 80</w:t>
      </w:r>
    </w:p>
    <w:p w14:paraId="27B1A9FC"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mobile  7</w:t>
      </w:r>
    </w:p>
    <w:p w14:paraId="65D2EC35"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Wireless Broadband Alliance  33</w:t>
      </w:r>
    </w:p>
    <w:p w14:paraId="67BC87EA"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wireless internet</w:t>
      </w:r>
    </w:p>
    <w:p w14:paraId="46B713F8"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mobile  27–8</w:t>
      </w:r>
    </w:p>
    <w:p w14:paraId="7885E383"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publicly accessible  33</w:t>
      </w:r>
    </w:p>
    <w:p w14:paraId="4376114D" w14:textId="77777777" w:rsidR="001374C9" w:rsidRPr="005E32D9" w:rsidRDefault="001374C9" w:rsidP="007A7049">
      <w:pPr>
        <w:pStyle w:val="Sub1"/>
        <w:rPr>
          <w:rFonts w:ascii="Arial" w:hAnsi="Arial" w:cs="Arial"/>
          <w:sz w:val="18"/>
          <w:szCs w:val="18"/>
        </w:rPr>
      </w:pPr>
      <w:r w:rsidRPr="005E32D9">
        <w:rPr>
          <w:rFonts w:ascii="Arial" w:hAnsi="Arial" w:cs="Arial"/>
          <w:sz w:val="18"/>
          <w:szCs w:val="18"/>
        </w:rPr>
        <w:t>subscribers  27</w:t>
      </w:r>
    </w:p>
    <w:p w14:paraId="2382826D" w14:textId="77777777" w:rsidR="001374C9" w:rsidRPr="005E32D9" w:rsidRDefault="001374C9" w:rsidP="001374C9">
      <w:pPr>
        <w:pStyle w:val="Main"/>
        <w:rPr>
          <w:rFonts w:ascii="Arial" w:hAnsi="Arial" w:cs="Arial"/>
          <w:sz w:val="18"/>
          <w:szCs w:val="18"/>
        </w:rPr>
      </w:pPr>
      <w:r w:rsidRPr="005E32D9">
        <w:rPr>
          <w:rFonts w:ascii="Arial" w:hAnsi="Arial" w:cs="Arial"/>
          <w:sz w:val="18"/>
          <w:szCs w:val="18"/>
        </w:rPr>
        <w:t>working from home  63</w:t>
      </w:r>
    </w:p>
    <w:p w14:paraId="60D26610" w14:textId="77777777" w:rsidR="001374C9" w:rsidRPr="005E32D9" w:rsidRDefault="001374C9" w:rsidP="001374C9">
      <w:pPr>
        <w:pStyle w:val="Main"/>
        <w:rPr>
          <w:rFonts w:ascii="Arial" w:hAnsi="Arial" w:cs="Arial"/>
          <w:sz w:val="18"/>
          <w:szCs w:val="18"/>
        </w:rPr>
      </w:pPr>
      <w:r w:rsidRPr="005E32D9">
        <w:rPr>
          <w:rFonts w:ascii="Arial" w:hAnsi="Arial" w:cs="Arial"/>
          <w:i/>
          <w:sz w:val="18"/>
          <w:szCs w:val="18"/>
        </w:rPr>
        <w:t>World Wi-Fi Day</w:t>
      </w:r>
      <w:r w:rsidRPr="005E32D9">
        <w:rPr>
          <w:rFonts w:ascii="Arial" w:hAnsi="Arial" w:cs="Arial"/>
          <w:sz w:val="18"/>
          <w:szCs w:val="18"/>
        </w:rPr>
        <w:t xml:space="preserve">  33</w:t>
      </w:r>
    </w:p>
    <w:p w14:paraId="02A2652F" w14:textId="77777777" w:rsidR="001374C9" w:rsidRPr="005E32D9" w:rsidRDefault="001374C9" w:rsidP="001374C9">
      <w:pPr>
        <w:pStyle w:val="Main"/>
        <w:rPr>
          <w:rFonts w:ascii="Arial" w:hAnsi="Arial" w:cs="Arial"/>
          <w:sz w:val="18"/>
          <w:szCs w:val="18"/>
        </w:rPr>
      </w:pPr>
    </w:p>
    <w:p w14:paraId="2B1068BC"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X</w:t>
      </w:r>
    </w:p>
    <w:p w14:paraId="2F8EB1AB" w14:textId="77777777" w:rsidR="001374C9" w:rsidRPr="009557CA" w:rsidRDefault="001374C9" w:rsidP="001374C9">
      <w:pPr>
        <w:pStyle w:val="Main"/>
        <w:rPr>
          <w:rFonts w:ascii="Arial" w:hAnsi="Arial" w:cs="Arial"/>
          <w:sz w:val="18"/>
          <w:szCs w:val="18"/>
        </w:rPr>
      </w:pPr>
      <w:r w:rsidRPr="009557CA">
        <w:rPr>
          <w:rFonts w:ascii="Arial" w:hAnsi="Arial" w:cs="Arial"/>
          <w:sz w:val="18"/>
          <w:szCs w:val="18"/>
        </w:rPr>
        <w:t>Xtra Research  77</w:t>
      </w:r>
    </w:p>
    <w:p w14:paraId="1042AE89" w14:textId="77777777" w:rsidR="001374C9" w:rsidRPr="009557CA" w:rsidRDefault="001374C9" w:rsidP="001374C9">
      <w:pPr>
        <w:pStyle w:val="Main"/>
        <w:rPr>
          <w:rFonts w:ascii="Arial" w:hAnsi="Arial" w:cs="Arial"/>
          <w:sz w:val="18"/>
          <w:szCs w:val="18"/>
        </w:rPr>
      </w:pPr>
    </w:p>
    <w:p w14:paraId="692E8732"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Y</w:t>
      </w:r>
    </w:p>
    <w:p w14:paraId="390589AB" w14:textId="77777777" w:rsidR="001374C9" w:rsidRPr="009557CA" w:rsidRDefault="001374C9" w:rsidP="001374C9">
      <w:pPr>
        <w:pStyle w:val="Main"/>
        <w:rPr>
          <w:rFonts w:ascii="Arial" w:hAnsi="Arial" w:cs="Arial"/>
          <w:sz w:val="18"/>
          <w:szCs w:val="18"/>
        </w:rPr>
      </w:pPr>
      <w:r w:rsidRPr="009557CA">
        <w:rPr>
          <w:rFonts w:ascii="Arial" w:hAnsi="Arial" w:cs="Arial"/>
          <w:sz w:val="18"/>
          <w:szCs w:val="18"/>
        </w:rPr>
        <w:t>YouTube  5, 73, 79, 83–4</w:t>
      </w:r>
    </w:p>
    <w:p w14:paraId="247F2C4E" w14:textId="77777777" w:rsidR="001374C9" w:rsidRPr="009557CA" w:rsidRDefault="001374C9" w:rsidP="001374C9">
      <w:pPr>
        <w:pStyle w:val="Main"/>
        <w:rPr>
          <w:rFonts w:ascii="Arial" w:hAnsi="Arial" w:cs="Arial"/>
          <w:sz w:val="18"/>
          <w:szCs w:val="18"/>
        </w:rPr>
      </w:pPr>
    </w:p>
    <w:p w14:paraId="3DD3753E" w14:textId="77777777" w:rsidR="001374C9" w:rsidRPr="001932B2" w:rsidRDefault="001374C9" w:rsidP="005D6742">
      <w:pPr>
        <w:keepNext/>
        <w:keepLines/>
        <w:pBdr>
          <w:bottom w:val="single" w:sz="4" w:space="1" w:color="auto"/>
        </w:pBdr>
        <w:spacing w:after="80"/>
        <w:rPr>
          <w:rFonts w:cs="Arial"/>
          <w:b/>
          <w:color w:val="007298"/>
          <w:sz w:val="32"/>
          <w:szCs w:val="32"/>
        </w:rPr>
      </w:pPr>
      <w:r w:rsidRPr="001932B2">
        <w:rPr>
          <w:rFonts w:cs="Arial"/>
          <w:b/>
          <w:color w:val="007298"/>
          <w:sz w:val="32"/>
          <w:szCs w:val="32"/>
        </w:rPr>
        <w:t>Z</w:t>
      </w:r>
    </w:p>
    <w:p w14:paraId="74459B3F" w14:textId="77777777" w:rsidR="001374C9" w:rsidRPr="009557CA" w:rsidRDefault="001374C9" w:rsidP="001374C9">
      <w:pPr>
        <w:pStyle w:val="Main"/>
        <w:rPr>
          <w:rFonts w:ascii="Arial" w:hAnsi="Arial" w:cs="Arial"/>
          <w:sz w:val="18"/>
          <w:szCs w:val="18"/>
        </w:rPr>
      </w:pPr>
      <w:r w:rsidRPr="009557CA">
        <w:rPr>
          <w:rFonts w:ascii="Arial" w:hAnsi="Arial" w:cs="Arial"/>
          <w:sz w:val="18"/>
          <w:szCs w:val="18"/>
        </w:rPr>
        <w:t>ZOAK Pty Ltd  124</w:t>
      </w:r>
    </w:p>
    <w:p w14:paraId="2D61A3EB" w14:textId="77777777" w:rsidR="001374C9" w:rsidRDefault="001374C9" w:rsidP="00867045">
      <w:pPr>
        <w:sectPr w:rsidR="001374C9" w:rsidSect="001374C9">
          <w:endnotePr>
            <w:numFmt w:val="decimal"/>
            <w:numRestart w:val="eachSect"/>
          </w:endnotePr>
          <w:type w:val="continuous"/>
          <w:pgSz w:w="11906" w:h="16838" w:code="9"/>
          <w:pgMar w:top="1985" w:right="1134" w:bottom="1134" w:left="1134" w:header="709" w:footer="119" w:gutter="284"/>
          <w:cols w:num="2" w:space="708"/>
          <w:docGrid w:linePitch="360"/>
        </w:sectPr>
      </w:pPr>
    </w:p>
    <w:p w14:paraId="15DA34BB" w14:textId="77777777" w:rsidR="00867045" w:rsidRPr="001932B2" w:rsidRDefault="00867045" w:rsidP="001374C9">
      <w:pPr>
        <w:pStyle w:val="Main"/>
        <w:ind w:left="0" w:firstLine="0"/>
        <w:rPr>
          <w:rFonts w:ascii="Arial" w:hAnsi="Arial" w:cs="Arial"/>
          <w:sz w:val="4"/>
          <w:szCs w:val="4"/>
        </w:rPr>
      </w:pPr>
    </w:p>
    <w:sectPr w:rsidR="00867045" w:rsidRPr="001932B2" w:rsidSect="001374C9">
      <w:endnotePr>
        <w:numFmt w:val="decimal"/>
        <w:numRestart w:val="eachSect"/>
      </w:endnotePr>
      <w:type w:val="continuous"/>
      <w:pgSz w:w="11906" w:h="16838" w:code="9"/>
      <w:pgMar w:top="1985" w:right="1134" w:bottom="1134" w:left="1134" w:header="709" w:footer="11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6C048" w14:textId="77777777" w:rsidR="00A803E5" w:rsidRDefault="00A803E5" w:rsidP="00531CD0">
      <w:r>
        <w:separator/>
      </w:r>
    </w:p>
  </w:endnote>
  <w:endnote w:type="continuationSeparator" w:id="0">
    <w:p w14:paraId="5F573C76" w14:textId="77777777" w:rsidR="00A803E5" w:rsidRDefault="00A803E5" w:rsidP="00531CD0">
      <w:r>
        <w:separator/>
      </w:r>
    </w:p>
  </w:endnote>
  <w:endnote w:type="continuationNotice" w:id="1">
    <w:p w14:paraId="07D14C0C" w14:textId="77777777" w:rsidR="00A803E5" w:rsidRDefault="00A803E5">
      <w:pPr>
        <w:spacing w:after="0" w:line="240" w:lineRule="auto"/>
      </w:pPr>
    </w:p>
  </w:endnote>
  <w:endnote w:id="2">
    <w:p w14:paraId="52A7884E" w14:textId="77777777" w:rsidR="00A803E5" w:rsidRDefault="00A803E5" w:rsidP="00190B12">
      <w:pPr>
        <w:spacing w:after="80"/>
        <w:rPr>
          <w:b/>
        </w:rPr>
      </w:pPr>
      <w:r w:rsidRPr="001B5D0B">
        <w:rPr>
          <w:b/>
        </w:rPr>
        <w:t>Endnotes</w:t>
      </w:r>
    </w:p>
    <w:p w14:paraId="0024F879" w14:textId="77777777" w:rsidR="00A803E5" w:rsidRDefault="00A803E5" w:rsidP="000A1CD9">
      <w:pPr>
        <w:pStyle w:val="EndnoteText"/>
      </w:pPr>
      <w:r>
        <w:rPr>
          <w:rStyle w:val="EndnoteReference"/>
        </w:rPr>
        <w:endnoteRef/>
      </w:r>
      <w:r>
        <w:t xml:space="preserve"> Telstra, </w:t>
      </w:r>
      <w:hyperlink r:id="rId1" w:history="1">
        <w:r w:rsidRPr="00604073">
          <w:rPr>
            <w:rStyle w:val="Hyperlink"/>
            <w:i/>
          </w:rPr>
          <w:t>Telstra Annual Report</w:t>
        </w:r>
        <w:r w:rsidRPr="00604073">
          <w:rPr>
            <w:rStyle w:val="Hyperlink"/>
            <w:rFonts w:cs="Arial"/>
            <w:i/>
          </w:rPr>
          <w:t>―</w:t>
        </w:r>
        <w:r w:rsidRPr="00604073">
          <w:rPr>
            <w:rStyle w:val="Hyperlink"/>
            <w:i/>
          </w:rPr>
          <w:t>Full year 2016 financial results</w:t>
        </w:r>
      </w:hyperlink>
      <w:r w:rsidRPr="009C2A8D">
        <w:t>,</w:t>
      </w:r>
      <w:r>
        <w:t xml:space="preserve"> 11 August 2016. </w:t>
      </w:r>
    </w:p>
  </w:endnote>
  <w:endnote w:id="3">
    <w:p w14:paraId="255CEF28" w14:textId="77777777" w:rsidR="00A803E5" w:rsidRDefault="00A803E5" w:rsidP="000A1CD9">
      <w:pPr>
        <w:pStyle w:val="EndnoteText"/>
      </w:pPr>
      <w:r>
        <w:rPr>
          <w:rStyle w:val="EndnoteReference"/>
        </w:rPr>
        <w:endnoteRef/>
      </w:r>
      <w:r>
        <w:t xml:space="preserve"> </w:t>
      </w:r>
      <w:r w:rsidRPr="00FD7E86">
        <w:t>Over-the-top (OTT) communications are those delivered by an application that is run over the top of another carriage service, and can be accessed using any compatible internet access device</w:t>
      </w:r>
      <w:r>
        <w:t>.</w:t>
      </w:r>
    </w:p>
  </w:endnote>
  <w:endnote w:id="4">
    <w:p w14:paraId="794FAA05" w14:textId="77777777" w:rsidR="00A803E5" w:rsidRDefault="00A803E5" w:rsidP="000A1CD9">
      <w:pPr>
        <w:pStyle w:val="EndnoteText"/>
      </w:pPr>
      <w:r>
        <w:rPr>
          <w:rStyle w:val="EndnoteReference"/>
        </w:rPr>
        <w:endnoteRef/>
      </w:r>
      <w:r>
        <w:t xml:space="preserve"> ACMA, ‘</w:t>
      </w:r>
      <w:hyperlink r:id="rId2" w:history="1">
        <w:r w:rsidRPr="007F31F0">
          <w:rPr>
            <w:rStyle w:val="Hyperlink"/>
          </w:rPr>
          <w:t>Australians are going OTT for video and communications’</w:t>
        </w:r>
      </w:hyperlink>
      <w:r>
        <w:t>, 2 December 2015.</w:t>
      </w:r>
    </w:p>
  </w:endnote>
  <w:endnote w:id="5">
    <w:p w14:paraId="003A7DE7" w14:textId="77777777" w:rsidR="00A803E5" w:rsidRDefault="00A803E5" w:rsidP="000A1CD9">
      <w:pPr>
        <w:pStyle w:val="EndnoteText"/>
      </w:pPr>
      <w:r w:rsidRPr="00250A6D">
        <w:rPr>
          <w:rStyle w:val="EndnoteReference"/>
        </w:rPr>
        <w:endnoteRef/>
      </w:r>
      <w:r w:rsidRPr="00250A6D">
        <w:t xml:space="preserve"> </w:t>
      </w:r>
      <w:r w:rsidRPr="00250A6D">
        <w:rPr>
          <w:rFonts w:cs="Arial"/>
          <w:szCs w:val="16"/>
        </w:rPr>
        <w:t xml:space="preserve">ABS, </w:t>
      </w:r>
      <w:hyperlink r:id="rId3" w:history="1">
        <w:r>
          <w:rPr>
            <w:rStyle w:val="Hyperlink"/>
            <w:i/>
            <w:szCs w:val="16"/>
          </w:rPr>
          <w:t>8153.0—Internet activity, Australia</w:t>
        </w:r>
      </w:hyperlink>
      <w:r w:rsidRPr="00250A6D">
        <w:rPr>
          <w:rFonts w:cs="Arial"/>
          <w:szCs w:val="16"/>
        </w:rPr>
        <w:t>, June 2015.</w:t>
      </w:r>
    </w:p>
  </w:endnote>
  <w:endnote w:id="6">
    <w:p w14:paraId="5EFCB299" w14:textId="77777777" w:rsidR="00A803E5" w:rsidRDefault="00A803E5" w:rsidP="000A1CD9">
      <w:pPr>
        <w:pStyle w:val="EndnoteText"/>
      </w:pPr>
      <w:r>
        <w:rPr>
          <w:rStyle w:val="EndnoteReference"/>
        </w:rPr>
        <w:endnoteRef/>
      </w:r>
      <w:r>
        <w:t xml:space="preserve"> Hanlon, J., </w:t>
      </w:r>
      <w:hyperlink r:id="rId4" w:history="1">
        <w:r w:rsidRPr="00585477">
          <w:rPr>
            <w:rStyle w:val="Hyperlink"/>
          </w:rPr>
          <w:t>‘Australia’s cheapest unlimited phone plans’</w:t>
        </w:r>
      </w:hyperlink>
      <w:r>
        <w:t xml:space="preserve">, </w:t>
      </w:r>
      <w:r w:rsidRPr="00FA7DD4">
        <w:rPr>
          <w:i/>
        </w:rPr>
        <w:t>WhistleOut</w:t>
      </w:r>
      <w:r>
        <w:t>, 8 August 2016.</w:t>
      </w:r>
    </w:p>
  </w:endnote>
  <w:endnote w:id="7">
    <w:p w14:paraId="1F5C93D1" w14:textId="77777777" w:rsidR="00A803E5" w:rsidRDefault="00A803E5" w:rsidP="000A1CD9">
      <w:pPr>
        <w:pStyle w:val="EndnoteText"/>
      </w:pPr>
      <w:r>
        <w:rPr>
          <w:rStyle w:val="EndnoteReference"/>
        </w:rPr>
        <w:endnoteRef/>
      </w:r>
      <w:r>
        <w:t xml:space="preserve"> Simpson, C., </w:t>
      </w:r>
      <w:hyperlink r:id="rId5" w:history="1">
        <w:r w:rsidRPr="000D29C7">
          <w:rPr>
            <w:rStyle w:val="Hyperlink"/>
          </w:rPr>
          <w:t>‘Telstra is giving away free Netflix, Stan and Presto on some mobile plans’</w:t>
        </w:r>
      </w:hyperlink>
      <w:r>
        <w:t xml:space="preserve">, </w:t>
      </w:r>
      <w:r w:rsidRPr="00FA7DD4">
        <w:rPr>
          <w:i/>
        </w:rPr>
        <w:t>Gizmodo Australia</w:t>
      </w:r>
      <w:r>
        <w:rPr>
          <w:i/>
        </w:rPr>
        <w:t>,</w:t>
      </w:r>
      <w:r w:rsidRPr="00FA7DD4">
        <w:rPr>
          <w:i/>
        </w:rPr>
        <w:t xml:space="preserve"> </w:t>
      </w:r>
      <w:r>
        <w:t>18 August 2016.</w:t>
      </w:r>
    </w:p>
  </w:endnote>
  <w:endnote w:id="8">
    <w:p w14:paraId="3D9F80EF" w14:textId="77777777" w:rsidR="00A803E5" w:rsidRDefault="00A803E5" w:rsidP="000A1CD9">
      <w:pPr>
        <w:pStyle w:val="EndnoteText"/>
      </w:pPr>
      <w:r>
        <w:rPr>
          <w:rStyle w:val="EndnoteReference"/>
        </w:rPr>
        <w:endnoteRef/>
      </w:r>
      <w:r>
        <w:t xml:space="preserve"> Griffith, C., ‘</w:t>
      </w:r>
      <w:hyperlink r:id="rId6" w:history="1">
        <w:r w:rsidRPr="007F31F0">
          <w:rPr>
            <w:rStyle w:val="Hyperlink"/>
          </w:rPr>
          <w:t>Optus to offer 10 channels of streamed soccer on EPL app,</w:t>
        </w:r>
      </w:hyperlink>
      <w:r>
        <w:t xml:space="preserve">’ </w:t>
      </w:r>
      <w:r w:rsidRPr="00FA7DD4">
        <w:rPr>
          <w:i/>
        </w:rPr>
        <w:t>The Australian</w:t>
      </w:r>
      <w:r>
        <w:t>, 17 June 2016.</w:t>
      </w:r>
    </w:p>
  </w:endnote>
  <w:endnote w:id="9">
    <w:p w14:paraId="2B2219A8" w14:textId="77777777" w:rsidR="00A803E5" w:rsidRDefault="00A803E5" w:rsidP="000A1CD9">
      <w:pPr>
        <w:pStyle w:val="EndnoteText"/>
      </w:pPr>
      <w:r>
        <w:rPr>
          <w:rStyle w:val="EndnoteReference"/>
        </w:rPr>
        <w:endnoteRef/>
      </w:r>
      <w:r>
        <w:t xml:space="preserve"> </w:t>
      </w:r>
      <w:r w:rsidRPr="00E667CB">
        <w:t>Telstra, ‘</w:t>
      </w:r>
      <w:hyperlink r:id="rId7" w:history="1">
        <w:r w:rsidRPr="00FA7DD4">
          <w:rPr>
            <w:rStyle w:val="Hyperlink"/>
          </w:rPr>
          <w:t>Full year 2016 financial results – CEO/CFO Analyst Briefing Presentation’</w:t>
        </w:r>
      </w:hyperlink>
      <w:r w:rsidRPr="008C20E6">
        <w:t>, 11 August 2016.</w:t>
      </w:r>
      <w:r>
        <w:t xml:space="preserve"> </w:t>
      </w:r>
    </w:p>
  </w:endnote>
  <w:endnote w:id="10">
    <w:p w14:paraId="563F0AC9" w14:textId="77777777" w:rsidR="00A803E5" w:rsidRDefault="00A803E5" w:rsidP="000A1CD9">
      <w:pPr>
        <w:pStyle w:val="EndnoteText"/>
      </w:pPr>
      <w:r>
        <w:rPr>
          <w:rStyle w:val="EndnoteReference"/>
        </w:rPr>
        <w:endnoteRef/>
      </w:r>
      <w:r>
        <w:t xml:space="preserve"> ‘</w:t>
      </w:r>
      <w:r w:rsidRPr="00902D71">
        <w:t>Extra Data</w:t>
      </w:r>
      <w:r>
        <w:t>’</w:t>
      </w:r>
      <w:r w:rsidRPr="00902D71">
        <w:t xml:space="preserve"> gives customers the option to receive additional data in 1</w:t>
      </w:r>
      <w:r>
        <w:t> </w:t>
      </w:r>
      <w:r w:rsidRPr="00902D71">
        <w:t>GB blocks when they reach their monthly data limit for a flat rate of $10 per block.</w:t>
      </w:r>
    </w:p>
  </w:endnote>
  <w:endnote w:id="11">
    <w:p w14:paraId="4B8DA92B" w14:textId="77777777" w:rsidR="00A803E5" w:rsidRPr="000317E5" w:rsidRDefault="00A803E5" w:rsidP="000A1CD9">
      <w:pPr>
        <w:pStyle w:val="EndnoteText"/>
        <w:rPr>
          <w:rFonts w:cs="Arial"/>
          <w:szCs w:val="16"/>
        </w:rPr>
      </w:pPr>
      <w:r w:rsidRPr="002C3191">
        <w:rPr>
          <w:rStyle w:val="EndnoteReference"/>
        </w:rPr>
        <w:endnoteRef/>
      </w:r>
      <w:r w:rsidRPr="000317E5">
        <w:rPr>
          <w:rFonts w:cs="Arial"/>
          <w:szCs w:val="16"/>
        </w:rPr>
        <w:t xml:space="preserve"> </w:t>
      </w:r>
      <w:r>
        <w:rPr>
          <w:rFonts w:cs="Arial"/>
          <w:szCs w:val="16"/>
        </w:rPr>
        <w:t xml:space="preserve">For example, at June 2016 Telstra reported a 19.8 </w:t>
      </w:r>
      <w:r w:rsidRPr="000317E5">
        <w:rPr>
          <w:rFonts w:cs="Arial"/>
          <w:szCs w:val="16"/>
        </w:rPr>
        <w:t xml:space="preserve">per cent increase in M2M services </w:t>
      </w:r>
      <w:r>
        <w:rPr>
          <w:rFonts w:cs="Arial"/>
          <w:szCs w:val="16"/>
        </w:rPr>
        <w:t>on</w:t>
      </w:r>
      <w:r w:rsidRPr="000317E5">
        <w:rPr>
          <w:rFonts w:cs="Arial"/>
          <w:szCs w:val="16"/>
        </w:rPr>
        <w:t xml:space="preserve"> the previous year.</w:t>
      </w:r>
    </w:p>
  </w:endnote>
  <w:endnote w:id="12">
    <w:p w14:paraId="149FC2E5" w14:textId="77777777" w:rsidR="00A803E5" w:rsidRDefault="00A803E5" w:rsidP="000A1CD9">
      <w:pPr>
        <w:pStyle w:val="EndnoteText"/>
      </w:pPr>
      <w:r>
        <w:rPr>
          <w:rStyle w:val="EndnoteReference"/>
        </w:rPr>
        <w:endnoteRef/>
      </w:r>
      <w:r>
        <w:t xml:space="preserve"> For example, at June 2016 Vodafone reported a large increase in wholesale (MVNO) customers of 28.6 per cent on the previous year. </w:t>
      </w:r>
    </w:p>
  </w:endnote>
  <w:endnote w:id="13">
    <w:p w14:paraId="500490B9" w14:textId="77777777" w:rsidR="00A803E5" w:rsidRDefault="00A803E5" w:rsidP="000A1CD9">
      <w:pPr>
        <w:pStyle w:val="EndnoteText"/>
      </w:pPr>
      <w:r>
        <w:rPr>
          <w:rStyle w:val="EndnoteReference"/>
        </w:rPr>
        <w:endnoteRef/>
      </w:r>
      <w:r>
        <w:t xml:space="preserve"> IDC, ‘</w:t>
      </w:r>
      <w:hyperlink r:id="rId8" w:history="1">
        <w:r w:rsidRPr="009839A7">
          <w:rPr>
            <w:rStyle w:val="Hyperlink"/>
          </w:rPr>
          <w:t>Australian smartphone market holds its breath in anticipation of multiple vendor releases</w:t>
        </w:r>
      </w:hyperlink>
      <w:r>
        <w:t>,’ press release, 18 August 2016.</w:t>
      </w:r>
    </w:p>
  </w:endnote>
  <w:endnote w:id="14">
    <w:p w14:paraId="5A30F8A0" w14:textId="77777777" w:rsidR="00A803E5" w:rsidRDefault="00A803E5" w:rsidP="000A1CD9">
      <w:pPr>
        <w:pStyle w:val="EndnoteText"/>
      </w:pPr>
      <w:r>
        <w:rPr>
          <w:rStyle w:val="EndnoteReference"/>
        </w:rPr>
        <w:endnoteRef/>
      </w:r>
      <w:r>
        <w:t xml:space="preserve"> IDC, ‘</w:t>
      </w:r>
      <w:hyperlink r:id="rId9" w:history="1">
        <w:r w:rsidRPr="009839A7">
          <w:rPr>
            <w:rStyle w:val="Hyperlink"/>
          </w:rPr>
          <w:t>Worldwide tablet shipments decline more than 12% in second quarter as the market shifts its focus toward productivity, according to IDC</w:t>
        </w:r>
      </w:hyperlink>
      <w:r>
        <w:t>,’ press release, 1 August 2016.</w:t>
      </w:r>
    </w:p>
  </w:endnote>
  <w:endnote w:id="15">
    <w:p w14:paraId="23BEEFCA" w14:textId="77777777" w:rsidR="00A803E5" w:rsidRDefault="00A803E5" w:rsidP="000A1CD9">
      <w:pPr>
        <w:pStyle w:val="EndnoteText"/>
      </w:pPr>
      <w:r>
        <w:rPr>
          <w:rStyle w:val="EndnoteReference"/>
        </w:rPr>
        <w:endnoteRef/>
      </w:r>
      <w:r>
        <w:t xml:space="preserve"> </w:t>
      </w:r>
      <w:r w:rsidRPr="00E667CB">
        <w:t>Telstra, ‘</w:t>
      </w:r>
      <w:hyperlink r:id="rId10" w:history="1">
        <w:r w:rsidRPr="009C2A8D">
          <w:rPr>
            <w:rStyle w:val="Hyperlink"/>
          </w:rPr>
          <w:t>Full year 2016 financial results – CEO/CFO Analyst Briefing Presentation’</w:t>
        </w:r>
      </w:hyperlink>
      <w:r w:rsidRPr="009C2A8D">
        <w:t>, 11 August 2016.</w:t>
      </w:r>
      <w:r>
        <w:t xml:space="preserve"> </w:t>
      </w:r>
    </w:p>
  </w:endnote>
  <w:endnote w:id="16">
    <w:p w14:paraId="6F01CDCE" w14:textId="77777777" w:rsidR="00A803E5" w:rsidRDefault="00A803E5" w:rsidP="000A1CD9">
      <w:pPr>
        <w:pStyle w:val="EndnoteText"/>
      </w:pPr>
      <w:r>
        <w:rPr>
          <w:rStyle w:val="EndnoteReference"/>
        </w:rPr>
        <w:endnoteRef/>
      </w:r>
      <w:r>
        <w:t xml:space="preserve"> Vodafone Australia, ‘</w:t>
      </w:r>
      <w:hyperlink r:id="rId11" w:history="1">
        <w:r w:rsidRPr="009839A7">
          <w:rPr>
            <w:rStyle w:val="Hyperlink"/>
          </w:rPr>
          <w:t>Vodafone and TPG announce $1 billion deals’</w:t>
        </w:r>
      </w:hyperlink>
      <w:r>
        <w:t>, media release, 30 September 2015.</w:t>
      </w:r>
    </w:p>
  </w:endnote>
  <w:endnote w:id="17">
    <w:p w14:paraId="3341453B" w14:textId="77777777" w:rsidR="00A803E5" w:rsidRDefault="00A803E5" w:rsidP="000A1CD9">
      <w:pPr>
        <w:pStyle w:val="EndnoteText"/>
      </w:pPr>
      <w:r>
        <w:rPr>
          <w:rStyle w:val="EndnoteReference"/>
        </w:rPr>
        <w:endnoteRef/>
      </w:r>
      <w:r>
        <w:t xml:space="preserve"> TPG, ‘</w:t>
      </w:r>
      <w:hyperlink r:id="rId12" w:history="1">
        <w:r w:rsidRPr="009839A7">
          <w:rPr>
            <w:rStyle w:val="Hyperlink"/>
          </w:rPr>
          <w:t>Moving to Vodafone Network FAQs’</w:t>
        </w:r>
      </w:hyperlink>
      <w:r>
        <w:t>, accessed 10 August 2016.</w:t>
      </w:r>
    </w:p>
  </w:endnote>
  <w:endnote w:id="18">
    <w:p w14:paraId="6A09C9C3" w14:textId="77777777" w:rsidR="00A803E5" w:rsidRDefault="00A803E5" w:rsidP="000A1CD9">
      <w:pPr>
        <w:pStyle w:val="EndnoteText"/>
      </w:pPr>
      <w:r>
        <w:rPr>
          <w:rStyle w:val="EndnoteReference"/>
        </w:rPr>
        <w:endnoteRef/>
      </w:r>
      <w:r>
        <w:t xml:space="preserve"> Optus, ‘</w:t>
      </w:r>
      <w:hyperlink r:id="rId13" w:history="1">
        <w:r w:rsidRPr="007F31F0">
          <w:rPr>
            <w:rStyle w:val="Hyperlink"/>
          </w:rPr>
          <w:t>Optus delivers resilient Q1 results’</w:t>
        </w:r>
      </w:hyperlink>
      <w:r>
        <w:t>, media release, 11 August 2016.</w:t>
      </w:r>
    </w:p>
  </w:endnote>
  <w:endnote w:id="19">
    <w:p w14:paraId="148E3C2C" w14:textId="77777777" w:rsidR="00A803E5" w:rsidRDefault="00A803E5" w:rsidP="000A1CD9">
      <w:pPr>
        <w:pStyle w:val="EndnoteText"/>
      </w:pPr>
      <w:r>
        <w:rPr>
          <w:rStyle w:val="EndnoteReference"/>
        </w:rPr>
        <w:endnoteRef/>
      </w:r>
      <w:r>
        <w:t xml:space="preserve"> </w:t>
      </w:r>
      <w:r w:rsidRPr="00E667CB">
        <w:t>Telstra, ‘</w:t>
      </w:r>
      <w:hyperlink r:id="rId14" w:history="1">
        <w:r w:rsidRPr="009C2A8D">
          <w:rPr>
            <w:rStyle w:val="Hyperlink"/>
          </w:rPr>
          <w:t>Full year 2016 financial results – CEO/CFO Analyst Briefing Presentation’</w:t>
        </w:r>
      </w:hyperlink>
      <w:r w:rsidRPr="009C2A8D">
        <w:t>, 11 August 2016.</w:t>
      </w:r>
      <w:r>
        <w:t xml:space="preserve"> </w:t>
      </w:r>
    </w:p>
  </w:endnote>
  <w:endnote w:id="20">
    <w:p w14:paraId="2FA720E7" w14:textId="77777777" w:rsidR="00A803E5" w:rsidRDefault="00A803E5" w:rsidP="000A1CD9">
      <w:pPr>
        <w:pStyle w:val="EndnoteText"/>
      </w:pPr>
      <w:r>
        <w:rPr>
          <w:rStyle w:val="EndnoteReference"/>
        </w:rPr>
        <w:endnoteRef/>
      </w:r>
      <w:r>
        <w:t xml:space="preserve"> Telstra Wholesale Blog, ‘</w:t>
      </w:r>
      <w:hyperlink r:id="rId15" w:anchor=".V9ZYLU1f11M" w:history="1">
        <w:r w:rsidRPr="007F31F0">
          <w:rPr>
            <w:rStyle w:val="Hyperlink"/>
          </w:rPr>
          <w:t>Telstra delivers wholesale 4G ahead of schedule’</w:t>
        </w:r>
      </w:hyperlink>
      <w:r>
        <w:t>, 29 April 2016.</w:t>
      </w:r>
    </w:p>
  </w:endnote>
  <w:endnote w:id="21">
    <w:p w14:paraId="39A60B3F" w14:textId="77777777" w:rsidR="00A803E5" w:rsidRDefault="00A803E5" w:rsidP="000A1CD9">
      <w:pPr>
        <w:pStyle w:val="EndnoteText"/>
      </w:pPr>
      <w:r>
        <w:rPr>
          <w:rStyle w:val="EndnoteReference"/>
        </w:rPr>
        <w:endnoteRef/>
      </w:r>
      <w:r>
        <w:t xml:space="preserve"> Kogan Mobile, ‘</w:t>
      </w:r>
      <w:hyperlink r:id="rId16" w:history="1">
        <w:r w:rsidRPr="004A6258">
          <w:rPr>
            <w:rStyle w:val="Hyperlink"/>
          </w:rPr>
          <w:t>4G-is-live’</w:t>
        </w:r>
      </w:hyperlink>
      <w:r>
        <w:t>, accessed 26 May 2016.</w:t>
      </w:r>
    </w:p>
  </w:endnote>
  <w:endnote w:id="22">
    <w:p w14:paraId="320A34BF" w14:textId="77777777" w:rsidR="00A803E5" w:rsidRDefault="00A803E5" w:rsidP="000A1CD9">
      <w:pPr>
        <w:pStyle w:val="EndnoteText"/>
      </w:pPr>
      <w:r>
        <w:rPr>
          <w:rStyle w:val="EndnoteReference"/>
        </w:rPr>
        <w:endnoteRef/>
      </w:r>
      <w:r>
        <w:t xml:space="preserve"> </w:t>
      </w:r>
      <w:r w:rsidRPr="0036332C">
        <w:rPr>
          <w:i/>
        </w:rPr>
        <w:t>Communications Day</w:t>
      </w:r>
      <w:r>
        <w:t>, ‘</w:t>
      </w:r>
      <w:r w:rsidRPr="00A31417">
        <w:t>V</w:t>
      </w:r>
      <w:r>
        <w:t xml:space="preserve">odafone open to more MVNO deals </w:t>
      </w:r>
      <w:r w:rsidRPr="00A31417">
        <w:t>as it expands wholesale 4G</w:t>
      </w:r>
      <w:r>
        <w:t>’, 28 June 2016.</w:t>
      </w:r>
    </w:p>
  </w:endnote>
  <w:endnote w:id="23">
    <w:p w14:paraId="4C965A74" w14:textId="77777777" w:rsidR="00A803E5" w:rsidRDefault="00A803E5" w:rsidP="000A1CD9">
      <w:pPr>
        <w:pStyle w:val="EndnoteText"/>
      </w:pPr>
      <w:r>
        <w:rPr>
          <w:rStyle w:val="EndnoteReference"/>
        </w:rPr>
        <w:endnoteRef/>
      </w:r>
      <w:r>
        <w:t xml:space="preserve"> ACMA, ‘</w:t>
      </w:r>
      <w:hyperlink r:id="rId17" w:history="1">
        <w:r w:rsidRPr="009839A7">
          <w:rPr>
            <w:rStyle w:val="Hyperlink"/>
          </w:rPr>
          <w:t>1800 MHz band auction strong result reveals high demand for regional spectrum’</w:t>
        </w:r>
      </w:hyperlink>
      <w:r>
        <w:t>, 5 February 2016.</w:t>
      </w:r>
    </w:p>
  </w:endnote>
  <w:endnote w:id="24">
    <w:p w14:paraId="3F18F087" w14:textId="77777777" w:rsidR="00A803E5" w:rsidRDefault="00A803E5" w:rsidP="000A1CD9">
      <w:pPr>
        <w:pStyle w:val="EndnoteText"/>
      </w:pPr>
      <w:r>
        <w:rPr>
          <w:rStyle w:val="EndnoteReference"/>
        </w:rPr>
        <w:endnoteRef/>
      </w:r>
      <w:r>
        <w:t xml:space="preserve"> </w:t>
      </w:r>
      <w:r w:rsidRPr="0007560E">
        <w:t xml:space="preserve">Department of Communications and the Arts, </w:t>
      </w:r>
      <w:r>
        <w:t>‘</w:t>
      </w:r>
      <w:hyperlink r:id="rId18" w:history="1">
        <w:r w:rsidRPr="002271C1">
          <w:rPr>
            <w:rStyle w:val="Hyperlink"/>
          </w:rPr>
          <w:t>Mobile Black Spot 101’</w:t>
        </w:r>
      </w:hyperlink>
      <w:r w:rsidRPr="0007560E">
        <w:t>, 11 January 2016</w:t>
      </w:r>
      <w:r>
        <w:t>.</w:t>
      </w:r>
    </w:p>
  </w:endnote>
  <w:endnote w:id="25">
    <w:p w14:paraId="3AD04376" w14:textId="77777777" w:rsidR="00A803E5" w:rsidRDefault="00A803E5" w:rsidP="000A1CD9">
      <w:pPr>
        <w:pStyle w:val="EndnoteText"/>
      </w:pPr>
      <w:r>
        <w:rPr>
          <w:rStyle w:val="EndnoteReference"/>
        </w:rPr>
        <w:endnoteRef/>
      </w:r>
      <w:r>
        <w:t xml:space="preserve"> </w:t>
      </w:r>
      <w:r w:rsidRPr="0007560E">
        <w:t>Telstra, ‘</w:t>
      </w:r>
      <w:hyperlink r:id="rId19" w:history="1">
        <w:r w:rsidRPr="0093504F">
          <w:rPr>
            <w:rStyle w:val="Hyperlink"/>
          </w:rPr>
          <w:t>Telstra progressing rollout of Mobile Blackspot Programme’</w:t>
        </w:r>
      </w:hyperlink>
      <w:r w:rsidRPr="0007560E">
        <w:t>, media release</w:t>
      </w:r>
      <w:r>
        <w:t>,</w:t>
      </w:r>
      <w:r w:rsidRPr="0007560E">
        <w:t xml:space="preserve"> 17 February 2016</w:t>
      </w:r>
      <w:r>
        <w:t>.</w:t>
      </w:r>
    </w:p>
  </w:endnote>
  <w:endnote w:id="26">
    <w:p w14:paraId="62B8C63B" w14:textId="77777777" w:rsidR="00A803E5" w:rsidRDefault="00A803E5" w:rsidP="000A1CD9">
      <w:pPr>
        <w:pStyle w:val="EndnoteText"/>
      </w:pPr>
      <w:r>
        <w:rPr>
          <w:rStyle w:val="EndnoteReference"/>
        </w:rPr>
        <w:endnoteRef/>
      </w:r>
      <w:r>
        <w:t xml:space="preserve"> </w:t>
      </w:r>
      <w:r w:rsidRPr="0007560E">
        <w:t>Vodafone</w:t>
      </w:r>
      <w:r>
        <w:t xml:space="preserve"> Australia</w:t>
      </w:r>
      <w:r w:rsidRPr="0007560E">
        <w:t>, ‘</w:t>
      </w:r>
      <w:hyperlink r:id="rId20" w:history="1">
        <w:r w:rsidRPr="004A6258">
          <w:rPr>
            <w:rStyle w:val="Hyperlink"/>
          </w:rPr>
          <w:t>Vodafone announces Mobile Black Spot rollout schedule’</w:t>
        </w:r>
      </w:hyperlink>
      <w:r w:rsidRPr="0007560E">
        <w:t>, media release</w:t>
      </w:r>
      <w:r>
        <w:t>,</w:t>
      </w:r>
      <w:r w:rsidRPr="0007560E">
        <w:t xml:space="preserve"> 5 April 2016</w:t>
      </w:r>
      <w:r>
        <w:t>.</w:t>
      </w:r>
    </w:p>
  </w:endnote>
  <w:endnote w:id="27">
    <w:p w14:paraId="6599A065" w14:textId="77777777" w:rsidR="00A803E5" w:rsidRDefault="00A803E5" w:rsidP="00343D30">
      <w:pPr>
        <w:pStyle w:val="EndnoteText"/>
      </w:pPr>
      <w:r>
        <w:rPr>
          <w:rStyle w:val="EndnoteReference"/>
        </w:rPr>
        <w:endnoteRef/>
      </w:r>
      <w:r>
        <w:t xml:space="preserve"> Osman, H., </w:t>
      </w:r>
      <w:hyperlink r:id="rId21" w:history="1">
        <w:r w:rsidRPr="00903357">
          <w:rPr>
            <w:rStyle w:val="Hyperlink"/>
          </w:rPr>
          <w:t>‘Telstra activates another mobile base station’</w:t>
        </w:r>
      </w:hyperlink>
      <w:r>
        <w:t xml:space="preserve">, </w:t>
      </w:r>
      <w:r w:rsidRPr="00C91521">
        <w:rPr>
          <w:i/>
        </w:rPr>
        <w:t>ARN</w:t>
      </w:r>
      <w:r>
        <w:t>, 18 August 2016.</w:t>
      </w:r>
    </w:p>
  </w:endnote>
  <w:endnote w:id="28">
    <w:p w14:paraId="51AB3029" w14:textId="77777777" w:rsidR="00A803E5" w:rsidRDefault="00A803E5">
      <w:pPr>
        <w:pStyle w:val="EndnoteText"/>
      </w:pPr>
      <w:r>
        <w:rPr>
          <w:rStyle w:val="EndnoteReference"/>
        </w:rPr>
        <w:endnoteRef/>
      </w:r>
      <w:r>
        <w:t xml:space="preserve"> </w:t>
      </w:r>
      <w:hyperlink r:id="rId22" w:history="1">
        <w:r w:rsidRPr="0002773F">
          <w:rPr>
            <w:rStyle w:val="Hyperlink"/>
            <w:rFonts w:cs="Arial"/>
            <w:szCs w:val="16"/>
          </w:rPr>
          <w:t>www.telstra.com/blackspots</w:t>
        </w:r>
      </w:hyperlink>
      <w:r>
        <w:rPr>
          <w:rFonts w:cs="Arial"/>
          <w:szCs w:val="16"/>
        </w:rPr>
        <w:t xml:space="preserve"> </w:t>
      </w:r>
    </w:p>
  </w:endnote>
  <w:endnote w:id="29">
    <w:p w14:paraId="2F637D32" w14:textId="77777777" w:rsidR="00A803E5" w:rsidRDefault="00A803E5" w:rsidP="00343D30">
      <w:pPr>
        <w:pStyle w:val="EndnoteText"/>
      </w:pPr>
      <w:r>
        <w:rPr>
          <w:rStyle w:val="EndnoteReference"/>
        </w:rPr>
        <w:endnoteRef/>
      </w:r>
      <w:r>
        <w:t xml:space="preserve"> McPhail, T., </w:t>
      </w:r>
      <w:hyperlink r:id="rId23" w:history="1">
        <w:r w:rsidRPr="00903357">
          <w:rPr>
            <w:rStyle w:val="Hyperlink"/>
          </w:rPr>
          <w:t>‘Vodafone Mobile Black Spot investment’,</w:t>
        </w:r>
      </w:hyperlink>
      <w:r>
        <w:t xml:space="preserve"> Vodafone website, accessed 23 August 2016. </w:t>
      </w:r>
    </w:p>
  </w:endnote>
  <w:endnote w:id="30">
    <w:p w14:paraId="16C6BB03" w14:textId="77777777" w:rsidR="00A803E5" w:rsidRDefault="00A803E5" w:rsidP="000A1CD9">
      <w:pPr>
        <w:pStyle w:val="EndnoteText"/>
      </w:pPr>
      <w:r>
        <w:rPr>
          <w:rStyle w:val="EndnoteReference"/>
        </w:rPr>
        <w:endnoteRef/>
      </w:r>
      <w:r>
        <w:t xml:space="preserve"> </w:t>
      </w:r>
      <w:r w:rsidRPr="0007560E">
        <w:t xml:space="preserve">Department of Communications and the Arts, </w:t>
      </w:r>
      <w:r>
        <w:t>‘</w:t>
      </w:r>
      <w:hyperlink r:id="rId24" w:history="1">
        <w:r w:rsidRPr="002271C1">
          <w:rPr>
            <w:rStyle w:val="Hyperlink"/>
          </w:rPr>
          <w:t>Mobile Black Spot 101’</w:t>
        </w:r>
      </w:hyperlink>
      <w:r w:rsidRPr="0007560E">
        <w:t>, 11 January 2016</w:t>
      </w:r>
      <w:r>
        <w:t>.</w:t>
      </w:r>
    </w:p>
  </w:endnote>
  <w:endnote w:id="31">
    <w:p w14:paraId="61011F61" w14:textId="77777777" w:rsidR="00A803E5" w:rsidRDefault="00A803E5" w:rsidP="000A1CD9">
      <w:pPr>
        <w:pStyle w:val="EndnoteText"/>
      </w:pPr>
      <w:r>
        <w:rPr>
          <w:rStyle w:val="EndnoteReference"/>
        </w:rPr>
        <w:endnoteRef/>
      </w:r>
      <w:r>
        <w:t xml:space="preserve"> Turnbull, M, ‘</w:t>
      </w:r>
      <w:hyperlink r:id="rId25" w:history="1">
        <w:r w:rsidRPr="002271C1">
          <w:rPr>
            <w:rStyle w:val="Hyperlink"/>
          </w:rPr>
          <w:t>Turnbull Government commits $60 million to Mobile Black Spot Programme’</w:t>
        </w:r>
      </w:hyperlink>
      <w:r>
        <w:t>, media release, 24 May 2016.</w:t>
      </w:r>
    </w:p>
  </w:endnote>
  <w:endnote w:id="32">
    <w:p w14:paraId="031DBC69" w14:textId="77777777" w:rsidR="00A803E5" w:rsidRDefault="00A803E5" w:rsidP="000A1CD9">
      <w:pPr>
        <w:pStyle w:val="EndnoteText"/>
      </w:pPr>
      <w:r>
        <w:rPr>
          <w:rStyle w:val="EndnoteReference"/>
        </w:rPr>
        <w:endnoteRef/>
      </w:r>
      <w:r>
        <w:t xml:space="preserve"> </w:t>
      </w:r>
      <w:r w:rsidRPr="003A3932">
        <w:t xml:space="preserve">Enquiries to the ACMA may include requests for information about a site or carrier obligations under the industry code. Objections contain allegation(s) of an industry code breach and, as a result of an objection, the ACMA may undertake a Preliminary Assessment to determine whether a formal investigation under Part 26 of the </w:t>
      </w:r>
      <w:r w:rsidRPr="002B79B3">
        <w:rPr>
          <w:i/>
        </w:rPr>
        <w:t>Telecommunications Act 1997</w:t>
      </w:r>
      <w:r w:rsidRPr="003A3932">
        <w:t xml:space="preserve"> is required.</w:t>
      </w:r>
    </w:p>
  </w:endnote>
  <w:endnote w:id="33">
    <w:p w14:paraId="26D1B866" w14:textId="77777777" w:rsidR="00A803E5" w:rsidRDefault="00A803E5">
      <w:pPr>
        <w:pStyle w:val="EndnoteText"/>
      </w:pPr>
      <w:r>
        <w:rPr>
          <w:rStyle w:val="EndnoteReference"/>
        </w:rPr>
        <w:endnoteRef/>
      </w:r>
      <w:r>
        <w:t xml:space="preserve"> The six formal objections covered multiple carriers, resulting in nine cases.</w:t>
      </w:r>
    </w:p>
  </w:endnote>
  <w:endnote w:id="34">
    <w:p w14:paraId="569BF9FF" w14:textId="77777777" w:rsidR="00A803E5" w:rsidRDefault="00A803E5" w:rsidP="000A1CD9">
      <w:pPr>
        <w:pStyle w:val="EndnoteText"/>
      </w:pPr>
      <w:r>
        <w:rPr>
          <w:rStyle w:val="EndnoteReference"/>
        </w:rPr>
        <w:endnoteRef/>
      </w:r>
      <w:r>
        <w:t xml:space="preserve"> OECD Committee on Digital Economy Policy, ‘Emerging Issues: The Internet of Things’, </w:t>
      </w:r>
      <w:hyperlink r:id="rId26" w:history="1">
        <w:r w:rsidRPr="00FA7DD4">
          <w:rPr>
            <w:rStyle w:val="Hyperlink"/>
            <w:i/>
          </w:rPr>
          <w:t>Digital Economy Outlook</w:t>
        </w:r>
        <w:r w:rsidRPr="0093504F">
          <w:rPr>
            <w:rStyle w:val="Hyperlink"/>
            <w:i/>
          </w:rPr>
          <w:t xml:space="preserve"> 2015</w:t>
        </w:r>
      </w:hyperlink>
      <w:r w:rsidRPr="00901518">
        <w:t>.</w:t>
      </w:r>
    </w:p>
  </w:endnote>
  <w:endnote w:id="35">
    <w:p w14:paraId="38D28D6B" w14:textId="77777777" w:rsidR="00A803E5" w:rsidRDefault="00A803E5" w:rsidP="000A1CD9">
      <w:pPr>
        <w:pStyle w:val="EndnoteText"/>
      </w:pPr>
      <w:r>
        <w:rPr>
          <w:rStyle w:val="EndnoteReference"/>
        </w:rPr>
        <w:endnoteRef/>
      </w:r>
      <w:r>
        <w:t xml:space="preserve"> ACMA, </w:t>
      </w:r>
      <w:hyperlink r:id="rId27" w:history="1">
        <w:r w:rsidRPr="00901518">
          <w:rPr>
            <w:rStyle w:val="Hyperlink"/>
            <w:i/>
          </w:rPr>
          <w:t>Internet of Things and the ACMA’s areas of</w:t>
        </w:r>
        <w:r>
          <w:rPr>
            <w:rStyle w:val="Hyperlink"/>
            <w:i/>
          </w:rPr>
          <w:t xml:space="preserve"> focus—</w:t>
        </w:r>
        <w:r w:rsidRPr="00901518">
          <w:rPr>
            <w:rStyle w:val="Hyperlink"/>
            <w:i/>
          </w:rPr>
          <w:t>Emerging issues in media and communications occasional paper</w:t>
        </w:r>
      </w:hyperlink>
      <w:r>
        <w:t>, 3 March 2016.</w:t>
      </w:r>
    </w:p>
  </w:endnote>
  <w:endnote w:id="36">
    <w:p w14:paraId="00881D4A" w14:textId="77777777" w:rsidR="00A803E5" w:rsidRDefault="00A803E5" w:rsidP="000A1CD9">
      <w:pPr>
        <w:pStyle w:val="EndnoteText"/>
      </w:pPr>
      <w:r>
        <w:rPr>
          <w:rStyle w:val="EndnoteReference"/>
        </w:rPr>
        <w:endnoteRef/>
      </w:r>
      <w:r>
        <w:t xml:space="preserve"> Ericsson, </w:t>
      </w:r>
      <w:hyperlink r:id="rId28" w:history="1">
        <w:r w:rsidRPr="00604073">
          <w:rPr>
            <w:rStyle w:val="Hyperlink"/>
            <w:i/>
          </w:rPr>
          <w:t>Mobility Report</w:t>
        </w:r>
        <w:r w:rsidRPr="00077B89">
          <w:rPr>
            <w:rStyle w:val="Hyperlink"/>
          </w:rPr>
          <w:t>,</w:t>
        </w:r>
      </w:hyperlink>
      <w:r>
        <w:t xml:space="preserve"> June 2016, page 10.</w:t>
      </w:r>
    </w:p>
  </w:endnote>
  <w:endnote w:id="37">
    <w:p w14:paraId="00D84414" w14:textId="77777777" w:rsidR="00A803E5" w:rsidRDefault="00A803E5" w:rsidP="000A1CD9">
      <w:pPr>
        <w:pStyle w:val="EndnoteText"/>
      </w:pPr>
      <w:r>
        <w:rPr>
          <w:rStyle w:val="EndnoteReference"/>
        </w:rPr>
        <w:endnoteRef/>
      </w:r>
      <w:r>
        <w:t xml:space="preserve"> Vodafone M2M barometer cited in Key, M.,</w:t>
      </w:r>
      <w:r w:rsidRPr="0058690F">
        <w:rPr>
          <w:rFonts w:ascii="Open Sans" w:hAnsi="Open Sans"/>
          <w:color w:val="333333"/>
          <w:sz w:val="20"/>
          <w:szCs w:val="24"/>
          <w:lang w:val="en"/>
        </w:rPr>
        <w:t xml:space="preserve"> </w:t>
      </w:r>
      <w:r>
        <w:rPr>
          <w:rFonts w:ascii="Open Sans" w:hAnsi="Open Sans"/>
          <w:color w:val="333333"/>
          <w:sz w:val="20"/>
          <w:szCs w:val="24"/>
          <w:lang w:val="en"/>
        </w:rPr>
        <w:t>‘</w:t>
      </w:r>
      <w:hyperlink r:id="rId29" w:history="1">
        <w:r w:rsidRPr="0058690F">
          <w:rPr>
            <w:rStyle w:val="Hyperlink"/>
            <w:lang w:val="en"/>
          </w:rPr>
          <w:t>M2M and IoT: 2016 predictions from Vodafone’</w:t>
        </w:r>
      </w:hyperlink>
      <w:r>
        <w:rPr>
          <w:lang w:val="en"/>
        </w:rPr>
        <w:t>, 31 December 2016.</w:t>
      </w:r>
      <w:r>
        <w:t xml:space="preserve"> </w:t>
      </w:r>
    </w:p>
  </w:endnote>
  <w:endnote w:id="38">
    <w:p w14:paraId="03B85C7B" w14:textId="77777777" w:rsidR="00A803E5" w:rsidRDefault="00A803E5" w:rsidP="000A1CD9">
      <w:pPr>
        <w:pStyle w:val="EndnoteText"/>
      </w:pPr>
      <w:r>
        <w:rPr>
          <w:rStyle w:val="EndnoteReference"/>
        </w:rPr>
        <w:endnoteRef/>
      </w:r>
      <w:r>
        <w:t xml:space="preserve"> </w:t>
      </w:r>
      <w:r w:rsidRPr="00E667CB">
        <w:t>Telstra, ‘</w:t>
      </w:r>
      <w:hyperlink r:id="rId30" w:history="1">
        <w:r w:rsidRPr="009C2A8D">
          <w:rPr>
            <w:rStyle w:val="Hyperlink"/>
          </w:rPr>
          <w:t>Full year 2016 financial results – CEO/CFO Analyst Briefing Presentation’</w:t>
        </w:r>
      </w:hyperlink>
      <w:r w:rsidRPr="009C2A8D">
        <w:t>, 11 August 2016.</w:t>
      </w:r>
      <w:r>
        <w:t xml:space="preserve"> </w:t>
      </w:r>
    </w:p>
  </w:endnote>
  <w:endnote w:id="39">
    <w:p w14:paraId="52C095E9" w14:textId="77777777" w:rsidR="00A803E5" w:rsidRDefault="00A803E5" w:rsidP="000A1CD9">
      <w:pPr>
        <w:pStyle w:val="EndnoteText"/>
      </w:pPr>
      <w:r>
        <w:rPr>
          <w:rStyle w:val="EndnoteReference"/>
        </w:rPr>
        <w:endnoteRef/>
      </w:r>
      <w:r>
        <w:t xml:space="preserve"> Dinham, P.,</w:t>
      </w:r>
      <w:r w:rsidRPr="008C20E6" w:rsidDel="00F02FD8">
        <w:rPr>
          <w:i/>
        </w:rPr>
        <w:t xml:space="preserve"> </w:t>
      </w:r>
      <w:r>
        <w:t xml:space="preserve">‘Vodafone Readies for Internet of Things with ‘Successful’ NB-IOT Trial’, </w:t>
      </w:r>
      <w:r w:rsidRPr="007D6AA2">
        <w:rPr>
          <w:i/>
        </w:rPr>
        <w:t>CommsWire Daily</w:t>
      </w:r>
      <w:r>
        <w:t>, 18 May 2016.</w:t>
      </w:r>
    </w:p>
  </w:endnote>
  <w:endnote w:id="40">
    <w:p w14:paraId="4143F830" w14:textId="77777777" w:rsidR="00A803E5" w:rsidRDefault="00A803E5" w:rsidP="000A1CD9">
      <w:pPr>
        <w:pStyle w:val="EndnoteText"/>
      </w:pPr>
      <w:r>
        <w:rPr>
          <w:rStyle w:val="EndnoteReference"/>
        </w:rPr>
        <w:endnoteRef/>
      </w:r>
      <w:r>
        <w:t xml:space="preserve"> Telstra Exchange, </w:t>
      </w:r>
      <w:hyperlink r:id="rId31" w:history="1">
        <w:r w:rsidRPr="00864C83">
          <w:rPr>
            <w:rStyle w:val="Hyperlink"/>
          </w:rPr>
          <w:t>http://exchange.telstra.com.au/2016/02/19/our-network-ready-to-support-the-internet-of-things/</w:t>
        </w:r>
      </w:hyperlink>
      <w:r w:rsidRPr="00901518">
        <w:t xml:space="preserve">, </w:t>
      </w:r>
      <w:r>
        <w:t>19 February 2016.</w:t>
      </w:r>
    </w:p>
  </w:endnote>
  <w:endnote w:id="41">
    <w:p w14:paraId="6795236D" w14:textId="77777777" w:rsidR="00A803E5" w:rsidRDefault="00A803E5" w:rsidP="000A1CD9">
      <w:pPr>
        <w:pStyle w:val="EndnoteText"/>
      </w:pPr>
      <w:r>
        <w:rPr>
          <w:rStyle w:val="EndnoteReference"/>
        </w:rPr>
        <w:endnoteRef/>
      </w:r>
      <w:r>
        <w:t xml:space="preserve"> University of Technology, ‘</w:t>
      </w:r>
      <w:hyperlink r:id="rId32" w:history="1">
        <w:r w:rsidRPr="0040757B">
          <w:rPr>
            <w:rStyle w:val="Hyperlink"/>
          </w:rPr>
          <w:t>Internet of Things network to benefit research, students and startups</w:t>
        </w:r>
      </w:hyperlink>
      <w:r>
        <w:t>,’ media release, 20 July 2016.</w:t>
      </w:r>
    </w:p>
  </w:endnote>
  <w:endnote w:id="42">
    <w:p w14:paraId="5F7CEC34" w14:textId="77777777" w:rsidR="00A803E5" w:rsidRDefault="00A803E5" w:rsidP="000A1CD9">
      <w:pPr>
        <w:pStyle w:val="EndnoteText"/>
      </w:pPr>
      <w:r>
        <w:rPr>
          <w:rStyle w:val="EndnoteReference"/>
        </w:rPr>
        <w:endnoteRef/>
      </w:r>
      <w:r>
        <w:t xml:space="preserve"> Corner, S., </w:t>
      </w:r>
      <w:hyperlink r:id="rId33" w:history="1">
        <w:r w:rsidRPr="005C1DAA">
          <w:rPr>
            <w:rStyle w:val="Hyperlink"/>
          </w:rPr>
          <w:t>‘Comms Alliance IoT Think Tank morphing into stand alone IoT Alliance’</w:t>
        </w:r>
      </w:hyperlink>
      <w:r>
        <w:t xml:space="preserve">, </w:t>
      </w:r>
      <w:r w:rsidRPr="00FA7DD4">
        <w:rPr>
          <w:i/>
        </w:rPr>
        <w:t>IoT Australia,</w:t>
      </w:r>
      <w:r>
        <w:t xml:space="preserve"> 7 January 2016. </w:t>
      </w:r>
    </w:p>
  </w:endnote>
  <w:endnote w:id="43">
    <w:p w14:paraId="567E7E66" w14:textId="77777777" w:rsidR="00A803E5" w:rsidRDefault="00A803E5" w:rsidP="000A1CD9">
      <w:pPr>
        <w:pStyle w:val="EndnoteText"/>
      </w:pPr>
      <w:r>
        <w:rPr>
          <w:rStyle w:val="EndnoteReference"/>
        </w:rPr>
        <w:endnoteRef/>
      </w:r>
      <w:r>
        <w:t xml:space="preserve"> Pearce, R., ‘</w:t>
      </w:r>
      <w:hyperlink r:id="rId34" w:history="1">
        <w:r w:rsidRPr="00AD025C">
          <w:rPr>
            <w:rStyle w:val="Hyperlink"/>
          </w:rPr>
          <w:t>Industry group aims to help Australia realise IoT’s benefits</w:t>
        </w:r>
      </w:hyperlink>
      <w:r>
        <w:t xml:space="preserve">,’ </w:t>
      </w:r>
      <w:r w:rsidRPr="00FA7DD4">
        <w:rPr>
          <w:i/>
        </w:rPr>
        <w:t>Computerworld</w:t>
      </w:r>
      <w:r>
        <w:t>, 20 July 2016.</w:t>
      </w:r>
    </w:p>
  </w:endnote>
  <w:endnote w:id="44">
    <w:p w14:paraId="4DC40464" w14:textId="77777777" w:rsidR="00A803E5" w:rsidRDefault="00A803E5" w:rsidP="000A1CD9">
      <w:pPr>
        <w:pStyle w:val="EndnoteText"/>
      </w:pPr>
      <w:r>
        <w:rPr>
          <w:rStyle w:val="EndnoteReference"/>
        </w:rPr>
        <w:endnoteRef/>
      </w:r>
      <w:r>
        <w:t xml:space="preserve"> </w:t>
      </w:r>
      <w:r w:rsidRPr="003A26D0">
        <w:t>Telstra Exchange, ‘</w:t>
      </w:r>
      <w:hyperlink r:id="rId35" w:history="1">
        <w:r w:rsidRPr="00040F30">
          <w:rPr>
            <w:rStyle w:val="Hyperlink"/>
          </w:rPr>
          <w:t>The Next Generation of Voice Calling Starts Today—Telstra VoLTE’</w:t>
        </w:r>
      </w:hyperlink>
      <w:r w:rsidRPr="003A26D0">
        <w:t>, 16 September 2015</w:t>
      </w:r>
      <w:r>
        <w:t>.</w:t>
      </w:r>
    </w:p>
  </w:endnote>
  <w:endnote w:id="45">
    <w:p w14:paraId="73E95B66" w14:textId="77777777" w:rsidR="00A803E5" w:rsidRDefault="00A803E5" w:rsidP="000A1CD9">
      <w:pPr>
        <w:pStyle w:val="EndnoteText"/>
      </w:pPr>
      <w:r>
        <w:rPr>
          <w:rStyle w:val="EndnoteReference"/>
        </w:rPr>
        <w:endnoteRef/>
      </w:r>
      <w:r>
        <w:t xml:space="preserve"> </w:t>
      </w:r>
      <w:r w:rsidRPr="003A26D0">
        <w:t>Vodafone, ‘</w:t>
      </w:r>
      <w:hyperlink r:id="rId36" w:history="1">
        <w:r w:rsidRPr="00040F30">
          <w:rPr>
            <w:rStyle w:val="Hyperlink"/>
          </w:rPr>
          <w:t>Voice over LTE coming to Vodafone before Christmas’</w:t>
        </w:r>
      </w:hyperlink>
      <w:r w:rsidRPr="003A26D0">
        <w:t>, media release</w:t>
      </w:r>
      <w:r>
        <w:t>,</w:t>
      </w:r>
      <w:r w:rsidRPr="003A26D0">
        <w:t xml:space="preserve"> 14 October 2015</w:t>
      </w:r>
      <w:r>
        <w:t>.</w:t>
      </w:r>
    </w:p>
  </w:endnote>
  <w:endnote w:id="46">
    <w:p w14:paraId="5A64478C" w14:textId="77777777" w:rsidR="00A803E5" w:rsidRDefault="00A803E5" w:rsidP="000A1CD9">
      <w:pPr>
        <w:pStyle w:val="EndnoteText"/>
      </w:pPr>
      <w:r>
        <w:rPr>
          <w:rStyle w:val="EndnoteReference"/>
        </w:rPr>
        <w:endnoteRef/>
      </w:r>
      <w:r>
        <w:t xml:space="preserve"> </w:t>
      </w:r>
      <w:r w:rsidRPr="003A26D0">
        <w:t>Optus, ‘</w:t>
      </w:r>
      <w:hyperlink r:id="rId37" w:history="1">
        <w:r w:rsidRPr="00040F30">
          <w:rPr>
            <w:rStyle w:val="Hyperlink"/>
          </w:rPr>
          <w:t>Optus launches VoLTE to major Australian cities’</w:t>
        </w:r>
      </w:hyperlink>
      <w:r w:rsidRPr="003A26D0">
        <w:t>, media release</w:t>
      </w:r>
      <w:r>
        <w:t>,</w:t>
      </w:r>
      <w:r w:rsidRPr="003A26D0">
        <w:t xml:space="preserve"> 9 May 2016</w:t>
      </w:r>
      <w:r>
        <w:t>.</w:t>
      </w:r>
    </w:p>
  </w:endnote>
  <w:endnote w:id="47">
    <w:p w14:paraId="5419AA7D" w14:textId="77777777" w:rsidR="00A803E5" w:rsidRDefault="00A803E5" w:rsidP="000A1CD9">
      <w:pPr>
        <w:pStyle w:val="EndnoteText"/>
      </w:pPr>
      <w:r>
        <w:rPr>
          <w:rStyle w:val="EndnoteReference"/>
        </w:rPr>
        <w:endnoteRef/>
      </w:r>
      <w:r>
        <w:t xml:space="preserve"> </w:t>
      </w:r>
      <w:r w:rsidRPr="003A26D0">
        <w:t>Optus, ‘</w:t>
      </w:r>
      <w:hyperlink r:id="rId38" w:history="1">
        <w:r w:rsidRPr="002C133D">
          <w:rPr>
            <w:rStyle w:val="Hyperlink"/>
          </w:rPr>
          <w:t>Optus launches WiFi calling app</w:t>
        </w:r>
      </w:hyperlink>
      <w:r>
        <w:t>’</w:t>
      </w:r>
      <w:r w:rsidRPr="00604073">
        <w:t>, media release</w:t>
      </w:r>
      <w:r>
        <w:t>,</w:t>
      </w:r>
      <w:r w:rsidRPr="003A26D0">
        <w:t xml:space="preserve"> 11 August 2015</w:t>
      </w:r>
      <w:r>
        <w:t>.</w:t>
      </w:r>
    </w:p>
  </w:endnote>
  <w:endnote w:id="48">
    <w:p w14:paraId="77AE5513" w14:textId="77777777" w:rsidR="00A803E5" w:rsidRDefault="00A803E5" w:rsidP="000A1CD9">
      <w:pPr>
        <w:pStyle w:val="EndnoteText"/>
      </w:pPr>
      <w:r>
        <w:rPr>
          <w:rStyle w:val="EndnoteReference"/>
        </w:rPr>
        <w:endnoteRef/>
      </w:r>
      <w:r>
        <w:t xml:space="preserve"> </w:t>
      </w:r>
      <w:r w:rsidRPr="003A26D0">
        <w:t>Telstra Exchange, ‘</w:t>
      </w:r>
      <w:hyperlink r:id="rId39" w:history="1">
        <w:r w:rsidRPr="00040F30">
          <w:rPr>
            <w:rStyle w:val="Hyperlink"/>
          </w:rPr>
          <w:t>3 Reasons the Telstra Signature™ Premium should be your next smartphone’</w:t>
        </w:r>
      </w:hyperlink>
      <w:r w:rsidRPr="003A26D0">
        <w:t>, 26 April 2016</w:t>
      </w:r>
      <w:r>
        <w:t>.</w:t>
      </w:r>
    </w:p>
  </w:endnote>
  <w:endnote w:id="49">
    <w:p w14:paraId="7602A7AB" w14:textId="77777777" w:rsidR="00A803E5" w:rsidRDefault="00A803E5" w:rsidP="000A1CD9">
      <w:pPr>
        <w:pStyle w:val="EndnoteText"/>
      </w:pPr>
      <w:r>
        <w:rPr>
          <w:rStyle w:val="EndnoteReference"/>
        </w:rPr>
        <w:endnoteRef/>
      </w:r>
      <w:r>
        <w:t xml:space="preserve"> Pearce, R, ‘</w:t>
      </w:r>
      <w:hyperlink r:id="rId40" w:history="1">
        <w:r w:rsidRPr="00F02FD8">
          <w:rPr>
            <w:rStyle w:val="Hyperlink"/>
          </w:rPr>
          <w:t>Vodafone to launch Voice over WiFi ‘shortly’, CEO says,’</w:t>
        </w:r>
      </w:hyperlink>
      <w:r w:rsidRPr="00F02FD8">
        <w:t xml:space="preserve"> </w:t>
      </w:r>
      <w:r w:rsidRPr="00FA7DD4">
        <w:rPr>
          <w:i/>
        </w:rPr>
        <w:t>Computerworld</w:t>
      </w:r>
      <w:r>
        <w:t>, 6 April 2016.</w:t>
      </w:r>
    </w:p>
  </w:endnote>
  <w:endnote w:id="50">
    <w:p w14:paraId="5EE74F5E" w14:textId="77777777" w:rsidR="00A803E5" w:rsidRDefault="00A803E5" w:rsidP="000A1CD9">
      <w:pPr>
        <w:pStyle w:val="EndnoteText"/>
      </w:pPr>
      <w:r>
        <w:rPr>
          <w:rStyle w:val="EndnoteReference"/>
        </w:rPr>
        <w:endnoteRef/>
      </w:r>
      <w:r>
        <w:t xml:space="preserve"> Telstra Exchange, </w:t>
      </w:r>
      <w:hyperlink r:id="rId41" w:history="1">
        <w:r w:rsidRPr="00F02FD8">
          <w:rPr>
            <w:rStyle w:val="Hyperlink"/>
          </w:rPr>
          <w:t>‘Five world-class technologies coming your way’</w:t>
        </w:r>
      </w:hyperlink>
      <w:r>
        <w:t>, 22 February 2016.</w:t>
      </w:r>
    </w:p>
  </w:endnote>
  <w:endnote w:id="51">
    <w:p w14:paraId="6ADCB9EA" w14:textId="77777777" w:rsidR="00A803E5" w:rsidRDefault="00A803E5" w:rsidP="000A1CD9">
      <w:pPr>
        <w:pStyle w:val="EndnoteText"/>
      </w:pPr>
      <w:r>
        <w:rPr>
          <w:rStyle w:val="EndnoteReference"/>
        </w:rPr>
        <w:endnoteRef/>
      </w:r>
      <w:r>
        <w:t xml:space="preserve"> Ibid.</w:t>
      </w:r>
    </w:p>
  </w:endnote>
  <w:endnote w:id="52">
    <w:p w14:paraId="30D52E02" w14:textId="77777777" w:rsidR="00A803E5" w:rsidRDefault="00A803E5" w:rsidP="000A1CD9">
      <w:pPr>
        <w:pStyle w:val="EndnoteText"/>
      </w:pPr>
      <w:r>
        <w:rPr>
          <w:rStyle w:val="EndnoteReference"/>
        </w:rPr>
        <w:endnoteRef/>
      </w:r>
      <w:r>
        <w:t xml:space="preserve"> Optus Media Centre, </w:t>
      </w:r>
      <w:hyperlink r:id="rId42" w:history="1">
        <w:r w:rsidRPr="00903357">
          <w:rPr>
            <w:rStyle w:val="Hyperlink"/>
          </w:rPr>
          <w:t>‘Optus and Huawei trial 4.5 technology’</w:t>
        </w:r>
      </w:hyperlink>
      <w:r>
        <w:t xml:space="preserve">, 19 February 2016. </w:t>
      </w:r>
    </w:p>
  </w:endnote>
  <w:endnote w:id="53">
    <w:p w14:paraId="7D52E10F" w14:textId="77777777" w:rsidR="00A803E5" w:rsidRDefault="00A803E5" w:rsidP="000A1CD9">
      <w:pPr>
        <w:pStyle w:val="EndnoteText"/>
      </w:pPr>
      <w:r>
        <w:rPr>
          <w:rStyle w:val="EndnoteReference"/>
        </w:rPr>
        <w:endnoteRef/>
      </w:r>
      <w:r>
        <w:t xml:space="preserve"> Business Insider Australia, </w:t>
      </w:r>
      <w:hyperlink r:id="rId43" w:history="1">
        <w:r w:rsidRPr="00903357">
          <w:rPr>
            <w:rStyle w:val="Hyperlink"/>
          </w:rPr>
          <w:t>‘Vodafone CEO says Australia will have 5G by 2020’</w:t>
        </w:r>
      </w:hyperlink>
      <w:r>
        <w:t>, 13 January 2016.</w:t>
      </w:r>
    </w:p>
  </w:endnote>
  <w:endnote w:id="54">
    <w:p w14:paraId="6F90F096" w14:textId="77777777" w:rsidR="00A803E5" w:rsidRDefault="00A803E5" w:rsidP="000A1CD9">
      <w:pPr>
        <w:pStyle w:val="EndnoteText"/>
      </w:pPr>
      <w:r>
        <w:rPr>
          <w:rStyle w:val="EndnoteReference"/>
        </w:rPr>
        <w:endnoteRef/>
      </w:r>
      <w:r>
        <w:t xml:space="preserve"> Vodafone Media Centre, ‘</w:t>
      </w:r>
      <w:hyperlink r:id="rId44" w:history="1">
        <w:r w:rsidRPr="00903357">
          <w:rPr>
            <w:rStyle w:val="Hyperlink"/>
          </w:rPr>
          <w:t>Vodafone gears up for Internet of things’</w:t>
        </w:r>
      </w:hyperlink>
      <w:r>
        <w:t>, media release, 17 May 2016.</w:t>
      </w:r>
    </w:p>
  </w:endnote>
  <w:endnote w:id="55">
    <w:p w14:paraId="266A9950" w14:textId="77777777" w:rsidR="00A803E5" w:rsidRDefault="00A803E5" w:rsidP="000A1CD9">
      <w:pPr>
        <w:pStyle w:val="EndnoteText"/>
      </w:pPr>
      <w:r>
        <w:rPr>
          <w:rStyle w:val="EndnoteReference"/>
        </w:rPr>
        <w:endnoteRef/>
      </w:r>
      <w:r>
        <w:t xml:space="preserve"> Deloitte Access Economics, </w:t>
      </w:r>
      <w:hyperlink r:id="rId45" w:history="1">
        <w:r w:rsidRPr="00526EE3">
          <w:rPr>
            <w:rStyle w:val="Hyperlink"/>
          </w:rPr>
          <w:t>‘Mobile nation: driving workforce participation and productivity,</w:t>
        </w:r>
        <w:r w:rsidRPr="002D5FA9">
          <w:rPr>
            <w:rStyle w:val="Hyperlink"/>
            <w:color w:val="auto"/>
            <w:u w:val="none"/>
          </w:rPr>
          <w:t xml:space="preserve"> Australian Mobile Telecommunications Association, 2016’</w:t>
        </w:r>
      </w:hyperlink>
      <w:r>
        <w:t xml:space="preserve">. </w:t>
      </w:r>
    </w:p>
  </w:endnote>
  <w:endnote w:id="56">
    <w:p w14:paraId="62885E6A" w14:textId="77777777" w:rsidR="00A803E5" w:rsidRPr="000317E5" w:rsidRDefault="00A803E5" w:rsidP="000A1CD9">
      <w:pPr>
        <w:pStyle w:val="EndnoteText"/>
        <w:rPr>
          <w:rFonts w:cs="Arial"/>
          <w:szCs w:val="16"/>
        </w:rPr>
      </w:pPr>
      <w:r w:rsidRPr="002C3191">
        <w:rPr>
          <w:rStyle w:val="EndnoteReference"/>
        </w:rPr>
        <w:endnoteRef/>
      </w:r>
      <w:r w:rsidRPr="000317E5">
        <w:rPr>
          <w:rFonts w:cs="Arial"/>
          <w:szCs w:val="16"/>
        </w:rPr>
        <w:t xml:space="preserve"> </w:t>
      </w:r>
      <w:r>
        <w:rPr>
          <w:rFonts w:cs="Arial"/>
          <w:szCs w:val="16"/>
        </w:rPr>
        <w:t>Sadauskas</w:t>
      </w:r>
      <w:r w:rsidRPr="000317E5">
        <w:rPr>
          <w:rFonts w:cs="Arial"/>
          <w:szCs w:val="16"/>
        </w:rPr>
        <w:t>,</w:t>
      </w:r>
      <w:r>
        <w:rPr>
          <w:rFonts w:cs="Arial"/>
          <w:szCs w:val="16"/>
        </w:rPr>
        <w:t xml:space="preserve"> A.,</w:t>
      </w:r>
      <w:r w:rsidRPr="000317E5">
        <w:rPr>
          <w:rFonts w:cs="Arial"/>
          <w:szCs w:val="16"/>
        </w:rPr>
        <w:t xml:space="preserve"> ‘</w:t>
      </w:r>
      <w:hyperlink r:id="rId46" w:history="1">
        <w:r w:rsidRPr="00054D2E">
          <w:rPr>
            <w:rStyle w:val="Hyperlink"/>
            <w:szCs w:val="16"/>
          </w:rPr>
          <w:t>Telstra to kill off dial-up'</w:t>
        </w:r>
      </w:hyperlink>
      <w:r w:rsidRPr="000317E5">
        <w:rPr>
          <w:rFonts w:cs="Arial"/>
          <w:szCs w:val="16"/>
        </w:rPr>
        <w:t xml:space="preserve">, </w:t>
      </w:r>
      <w:r w:rsidRPr="00FA7DD4">
        <w:rPr>
          <w:rFonts w:cs="Arial"/>
          <w:i/>
          <w:szCs w:val="16"/>
        </w:rPr>
        <w:t>iTnews</w:t>
      </w:r>
      <w:r w:rsidRPr="000317E5">
        <w:rPr>
          <w:rFonts w:cs="Arial"/>
          <w:szCs w:val="16"/>
        </w:rPr>
        <w:t>, 19 June 2015.</w:t>
      </w:r>
    </w:p>
  </w:endnote>
  <w:endnote w:id="57">
    <w:p w14:paraId="249AE5DF" w14:textId="77777777" w:rsidR="00A803E5" w:rsidRPr="000317E5" w:rsidRDefault="00A803E5" w:rsidP="000A1CD9">
      <w:pPr>
        <w:pStyle w:val="EndnoteText"/>
        <w:rPr>
          <w:rFonts w:cs="Arial"/>
          <w:szCs w:val="16"/>
        </w:rPr>
      </w:pPr>
      <w:r w:rsidRPr="002C3191">
        <w:rPr>
          <w:rStyle w:val="EndnoteReference"/>
        </w:rPr>
        <w:endnoteRef/>
      </w:r>
      <w:r w:rsidRPr="000317E5">
        <w:rPr>
          <w:rFonts w:cs="Arial"/>
          <w:szCs w:val="16"/>
        </w:rPr>
        <w:t xml:space="preserve"> Mobile-internet subscribers provided by the ABS as a proportion of the total mobile voice and data subscribers provided by the ACMA.</w:t>
      </w:r>
    </w:p>
  </w:endnote>
  <w:endnote w:id="58">
    <w:p w14:paraId="65715BEC" w14:textId="77777777" w:rsidR="00A803E5" w:rsidRDefault="00A803E5" w:rsidP="000A1CD9">
      <w:pPr>
        <w:pStyle w:val="EndnoteText"/>
      </w:pPr>
      <w:r>
        <w:rPr>
          <w:rStyle w:val="EndnoteReference"/>
        </w:rPr>
        <w:endnoteRef/>
      </w:r>
      <w:r>
        <w:t xml:space="preserve"> auDA, Registry Reports, 2015–2016, </w:t>
      </w:r>
      <w:hyperlink r:id="rId47" w:history="1">
        <w:r w:rsidRPr="00B5558B">
          <w:rPr>
            <w:rStyle w:val="Hyperlink"/>
          </w:rPr>
          <w:t>www.auda.org.au/industry-information/registry/ausregistry-reports/</w:t>
        </w:r>
      </w:hyperlink>
      <w:r>
        <w:t xml:space="preserve">. </w:t>
      </w:r>
    </w:p>
  </w:endnote>
  <w:endnote w:id="59">
    <w:p w14:paraId="48E06A9D" w14:textId="77777777" w:rsidR="00A803E5" w:rsidRPr="008C20E6" w:rsidRDefault="00A803E5" w:rsidP="000A1CD9">
      <w:pPr>
        <w:pStyle w:val="EndnoteText"/>
        <w:rPr>
          <w:rFonts w:cs="Arial"/>
          <w:szCs w:val="16"/>
        </w:rPr>
      </w:pPr>
      <w:r w:rsidRPr="002C3191">
        <w:rPr>
          <w:rStyle w:val="EndnoteReference"/>
        </w:rPr>
        <w:endnoteRef/>
      </w:r>
      <w:r w:rsidRPr="000317E5">
        <w:rPr>
          <w:rFonts w:cs="Arial"/>
          <w:szCs w:val="16"/>
        </w:rPr>
        <w:t xml:space="preserve"> </w:t>
      </w:r>
      <w:r w:rsidRPr="00FA7DD4">
        <w:rPr>
          <w:lang w:eastAsia="en-US"/>
        </w:rPr>
        <w:t>gov.au Domain Name Administration, Digital Transformation Office, July 2016</w:t>
      </w:r>
      <w:r w:rsidRPr="008C20E6">
        <w:rPr>
          <w:rFonts w:cs="Arial"/>
          <w:szCs w:val="16"/>
        </w:rPr>
        <w:t xml:space="preserve">. </w:t>
      </w:r>
    </w:p>
  </w:endnote>
  <w:endnote w:id="60">
    <w:p w14:paraId="6466E8DE" w14:textId="77777777" w:rsidR="00A803E5" w:rsidRPr="000317E5" w:rsidRDefault="00A803E5" w:rsidP="000A1CD9">
      <w:pPr>
        <w:pStyle w:val="EndnoteText"/>
        <w:rPr>
          <w:rFonts w:cs="Arial"/>
          <w:szCs w:val="16"/>
        </w:rPr>
      </w:pPr>
      <w:r w:rsidRPr="002C3191">
        <w:rPr>
          <w:rStyle w:val="EndnoteReference"/>
        </w:rPr>
        <w:endnoteRef/>
      </w:r>
      <w:r w:rsidRPr="000317E5">
        <w:rPr>
          <w:rFonts w:cs="Arial"/>
          <w:szCs w:val="16"/>
        </w:rPr>
        <w:t xml:space="preserve"> ABS, </w:t>
      </w:r>
      <w:hyperlink r:id="rId48" w:history="1">
        <w:r w:rsidRPr="00163039">
          <w:rPr>
            <w:rStyle w:val="Hyperlink"/>
            <w:i/>
            <w:szCs w:val="16"/>
          </w:rPr>
          <w:t>8153.0—Internet activity</w:t>
        </w:r>
      </w:hyperlink>
      <w:r w:rsidRPr="00163039">
        <w:rPr>
          <w:rStyle w:val="Hyperlink"/>
          <w:i/>
        </w:rPr>
        <w:t>, Australia</w:t>
      </w:r>
      <w:r w:rsidRPr="000317E5">
        <w:rPr>
          <w:rFonts w:cs="Arial"/>
          <w:szCs w:val="16"/>
        </w:rPr>
        <w:t>, June 201</w:t>
      </w:r>
      <w:r>
        <w:rPr>
          <w:rFonts w:cs="Arial"/>
          <w:szCs w:val="16"/>
        </w:rPr>
        <w:t>5</w:t>
      </w:r>
      <w:r w:rsidRPr="000317E5">
        <w:rPr>
          <w:rFonts w:cs="Arial"/>
          <w:szCs w:val="16"/>
        </w:rPr>
        <w:t xml:space="preserve">. </w:t>
      </w:r>
    </w:p>
  </w:endnote>
  <w:endnote w:id="61">
    <w:p w14:paraId="5B0072B3" w14:textId="77777777" w:rsidR="00A803E5" w:rsidRDefault="00A803E5" w:rsidP="000A1CD9">
      <w:pPr>
        <w:pStyle w:val="EndnoteText"/>
      </w:pPr>
      <w:r>
        <w:rPr>
          <w:rStyle w:val="EndnoteReference"/>
        </w:rPr>
        <w:endnoteRef/>
      </w:r>
      <w:r>
        <w:t xml:space="preserve"> Ramli, D., </w:t>
      </w:r>
      <w:hyperlink r:id="rId49" w:history="1">
        <w:r w:rsidRPr="00167B0F">
          <w:rPr>
            <w:rStyle w:val="Hyperlink"/>
          </w:rPr>
          <w:t>‘How TPG’s David Teoh snared his prey iiNet’</w:t>
        </w:r>
      </w:hyperlink>
      <w:r>
        <w:t xml:space="preserve">, </w:t>
      </w:r>
      <w:r w:rsidRPr="00604073">
        <w:rPr>
          <w:i/>
        </w:rPr>
        <w:t>The Sydney Morning Herald</w:t>
      </w:r>
      <w:r>
        <w:t>, 5 September 2015.</w:t>
      </w:r>
    </w:p>
  </w:endnote>
  <w:endnote w:id="62">
    <w:p w14:paraId="3B3D2601" w14:textId="77777777" w:rsidR="00A803E5" w:rsidRDefault="00A803E5" w:rsidP="000A1CD9">
      <w:pPr>
        <w:pStyle w:val="EndnoteText"/>
      </w:pPr>
      <w:r>
        <w:rPr>
          <w:rStyle w:val="EndnoteReference"/>
        </w:rPr>
        <w:endnoteRef/>
      </w:r>
      <w:r>
        <w:t xml:space="preserve"> Vocus Communications, </w:t>
      </w:r>
      <w:hyperlink r:id="rId50" w:history="1">
        <w:r w:rsidRPr="00167B0F">
          <w:rPr>
            <w:rStyle w:val="Hyperlink"/>
          </w:rPr>
          <w:t>‘Bringing M2 and Vocus together’</w:t>
        </w:r>
      </w:hyperlink>
      <w:r>
        <w:t xml:space="preserve">, 19 February 2016. </w:t>
      </w:r>
    </w:p>
  </w:endnote>
  <w:endnote w:id="63">
    <w:p w14:paraId="33E7BA33" w14:textId="77777777" w:rsidR="00A803E5" w:rsidRDefault="00A803E5" w:rsidP="000A1CD9">
      <w:pPr>
        <w:pStyle w:val="EndnoteText"/>
      </w:pPr>
      <w:r>
        <w:rPr>
          <w:rStyle w:val="EndnoteReference"/>
        </w:rPr>
        <w:endnoteRef/>
      </w:r>
      <w:r>
        <w:t xml:space="preserve"> Reichert, C., </w:t>
      </w:r>
      <w:hyperlink r:id="rId51" w:history="1">
        <w:r w:rsidRPr="00D60D8A">
          <w:rPr>
            <w:rStyle w:val="Hyperlink"/>
          </w:rPr>
          <w:t>NBN switches on FttN network</w:t>
        </w:r>
      </w:hyperlink>
      <w:r>
        <w:t xml:space="preserve">, </w:t>
      </w:r>
      <w:r w:rsidRPr="009C2A8D">
        <w:rPr>
          <w:i/>
        </w:rPr>
        <w:t>ZDNet</w:t>
      </w:r>
      <w:r>
        <w:rPr>
          <w:i/>
        </w:rPr>
        <w:t>,</w:t>
      </w:r>
      <w:r>
        <w:t xml:space="preserve"> 21 September 2015. </w:t>
      </w:r>
    </w:p>
  </w:endnote>
  <w:endnote w:id="64">
    <w:p w14:paraId="5BDEF517" w14:textId="77777777" w:rsidR="00A803E5" w:rsidRDefault="00A803E5" w:rsidP="00AC701F">
      <w:pPr>
        <w:pStyle w:val="EndnoteText"/>
      </w:pPr>
      <w:r>
        <w:rPr>
          <w:rStyle w:val="EndnoteReference"/>
        </w:rPr>
        <w:endnoteRef/>
      </w:r>
      <w:r>
        <w:t xml:space="preserve"> NBN Co, ‘</w:t>
      </w:r>
      <w:hyperlink r:id="rId52" w:history="1">
        <w:r w:rsidRPr="00962AC7">
          <w:rPr>
            <w:rStyle w:val="Hyperlink"/>
          </w:rPr>
          <w:t>nbn launches Fibre to the Node technology’</w:t>
        </w:r>
      </w:hyperlink>
      <w:r>
        <w:t>, 21 September 2015.</w:t>
      </w:r>
    </w:p>
  </w:endnote>
  <w:endnote w:id="65">
    <w:p w14:paraId="136D66E6" w14:textId="77777777" w:rsidR="00A803E5" w:rsidRDefault="00A803E5" w:rsidP="00AC701F">
      <w:pPr>
        <w:pStyle w:val="EndnoteText"/>
      </w:pPr>
      <w:r>
        <w:rPr>
          <w:rStyle w:val="EndnoteReference"/>
        </w:rPr>
        <w:endnoteRef/>
      </w:r>
      <w:r>
        <w:t xml:space="preserve"> </w:t>
      </w:r>
      <w:r w:rsidRPr="00FA7DD4">
        <w:rPr>
          <w:i/>
        </w:rPr>
        <w:t>Comms Wire Daily</w:t>
      </w:r>
      <w:r>
        <w:t>, ‘</w:t>
      </w:r>
      <w:hyperlink r:id="rId53" w:history="1">
        <w:r w:rsidRPr="00040F30">
          <w:rPr>
            <w:rStyle w:val="Hyperlink"/>
          </w:rPr>
          <w:t>NBN switching on FTTN in South Australia’</w:t>
        </w:r>
      </w:hyperlink>
      <w:r>
        <w:t>, 26 April 2016.</w:t>
      </w:r>
    </w:p>
  </w:endnote>
  <w:endnote w:id="66">
    <w:p w14:paraId="67113C7A" w14:textId="77777777" w:rsidR="00A803E5" w:rsidRDefault="00A803E5" w:rsidP="00AC701F">
      <w:pPr>
        <w:pStyle w:val="EndnoteText"/>
      </w:pPr>
      <w:r>
        <w:rPr>
          <w:rStyle w:val="EndnoteReference"/>
        </w:rPr>
        <w:endnoteRef/>
      </w:r>
      <w:r>
        <w:t xml:space="preserve"> Palmer, D., ‘</w:t>
      </w:r>
      <w:hyperlink r:id="rId54" w:history="1">
        <w:r w:rsidRPr="00381684">
          <w:rPr>
            <w:rStyle w:val="Hyperlink"/>
          </w:rPr>
          <w:t>NBN launches first FTTN connections in Victoria’</w:t>
        </w:r>
      </w:hyperlink>
      <w:r>
        <w:t xml:space="preserve">, </w:t>
      </w:r>
      <w:r w:rsidRPr="00FA7DD4">
        <w:rPr>
          <w:i/>
        </w:rPr>
        <w:t>Delimiter</w:t>
      </w:r>
      <w:r>
        <w:t xml:space="preserve">, 3 June 2016. </w:t>
      </w:r>
    </w:p>
  </w:endnote>
  <w:endnote w:id="67">
    <w:p w14:paraId="1B49F3A2" w14:textId="77777777" w:rsidR="00A803E5" w:rsidRDefault="00A803E5" w:rsidP="00AC701F">
      <w:pPr>
        <w:pStyle w:val="EndnoteText"/>
      </w:pPr>
      <w:r>
        <w:rPr>
          <w:rStyle w:val="EndnoteReference"/>
        </w:rPr>
        <w:endnoteRef/>
      </w:r>
      <w:r>
        <w:t xml:space="preserve"> NBN Co, ‘</w:t>
      </w:r>
      <w:hyperlink r:id="rId55" w:history="1">
        <w:r w:rsidRPr="006F7C2B">
          <w:rPr>
            <w:rStyle w:val="Hyperlink"/>
          </w:rPr>
          <w:t>Redcliffe HFC Launch’</w:t>
        </w:r>
      </w:hyperlink>
      <w:r>
        <w:t>, 30 June 2016.</w:t>
      </w:r>
    </w:p>
  </w:endnote>
  <w:endnote w:id="68">
    <w:p w14:paraId="7F14431F" w14:textId="77777777" w:rsidR="00A803E5" w:rsidRDefault="00A803E5" w:rsidP="000A1CD9">
      <w:pPr>
        <w:pStyle w:val="EndnoteText"/>
      </w:pPr>
      <w:r>
        <w:rPr>
          <w:rStyle w:val="EndnoteReference"/>
        </w:rPr>
        <w:endnoteRef/>
      </w:r>
      <w:r>
        <w:t xml:space="preserve"> NBN Co, ‘</w:t>
      </w:r>
      <w:hyperlink r:id="rId56" w:history="1">
        <w:r w:rsidRPr="00B219A4">
          <w:rPr>
            <w:rStyle w:val="Hyperlink"/>
          </w:rPr>
          <w:t>The countdown is on: nbn announces second satellite launch’</w:t>
        </w:r>
      </w:hyperlink>
      <w:r>
        <w:t>, 25 July 2016.</w:t>
      </w:r>
    </w:p>
  </w:endnote>
  <w:endnote w:id="69">
    <w:p w14:paraId="47600215" w14:textId="77777777" w:rsidR="00A803E5" w:rsidRDefault="00A803E5" w:rsidP="000A1CD9">
      <w:pPr>
        <w:pStyle w:val="EndnoteText"/>
      </w:pPr>
      <w:r>
        <w:rPr>
          <w:rStyle w:val="EndnoteReference"/>
        </w:rPr>
        <w:endnoteRef/>
      </w:r>
      <w:r>
        <w:t xml:space="preserve"> </w:t>
      </w:r>
      <w:r w:rsidRPr="00FA7DD4">
        <w:rPr>
          <w:i/>
        </w:rPr>
        <w:t>Communications Day</w:t>
      </w:r>
      <w:r>
        <w:t>, ‘NBN’s long-term satellite service officially launched’, 2 May 2016.</w:t>
      </w:r>
    </w:p>
  </w:endnote>
  <w:endnote w:id="70">
    <w:p w14:paraId="493CC95A" w14:textId="77777777" w:rsidR="00A803E5" w:rsidRDefault="00A803E5" w:rsidP="000A1CD9">
      <w:pPr>
        <w:pStyle w:val="EndnoteText"/>
      </w:pPr>
      <w:r>
        <w:rPr>
          <w:rStyle w:val="EndnoteReference"/>
        </w:rPr>
        <w:endnoteRef/>
      </w:r>
      <w:r>
        <w:t>NBN Co, ‘</w:t>
      </w:r>
      <w:hyperlink r:id="rId57" w:history="1">
        <w:r w:rsidRPr="00740BF4">
          <w:rPr>
            <w:rStyle w:val="Hyperlink"/>
          </w:rPr>
          <w:t>We have lift off! nbn™ SkyMaster™ II launches into space’</w:t>
        </w:r>
      </w:hyperlink>
      <w:r>
        <w:t>, 6 October 2016.</w:t>
      </w:r>
    </w:p>
  </w:endnote>
  <w:endnote w:id="71">
    <w:p w14:paraId="3C0566D9" w14:textId="77777777" w:rsidR="00A803E5" w:rsidRDefault="00A803E5" w:rsidP="000A1CD9">
      <w:pPr>
        <w:pStyle w:val="EndnoteText"/>
      </w:pPr>
      <w:r>
        <w:rPr>
          <w:rStyle w:val="EndnoteReference"/>
        </w:rPr>
        <w:endnoteRef/>
      </w:r>
      <w:r>
        <w:t xml:space="preserve"> Sarumpaet, R., </w:t>
      </w:r>
      <w:hyperlink r:id="rId58" w:history="1">
        <w:r>
          <w:rPr>
            <w:rStyle w:val="Hyperlink"/>
          </w:rPr>
          <w:t>‘New technology up to 10 times faster than existing technology’ says nbn co,</w:t>
        </w:r>
      </w:hyperlink>
      <w:r>
        <w:t xml:space="preserve"> </w:t>
      </w:r>
      <w:r w:rsidRPr="00FA7DD4">
        <w:rPr>
          <w:i/>
        </w:rPr>
        <w:t>SBS News</w:t>
      </w:r>
      <w:r>
        <w:rPr>
          <w:i/>
        </w:rPr>
        <w:t xml:space="preserve"> </w:t>
      </w:r>
      <w:r w:rsidRPr="00FA7DD4">
        <w:t>[website]</w:t>
      </w:r>
      <w:r>
        <w:t xml:space="preserve">, 12 April 2016. </w:t>
      </w:r>
    </w:p>
  </w:endnote>
  <w:endnote w:id="72">
    <w:p w14:paraId="364774EA" w14:textId="77777777" w:rsidR="00A803E5" w:rsidRDefault="00A803E5" w:rsidP="000A1CD9">
      <w:pPr>
        <w:pStyle w:val="EndnoteText"/>
      </w:pPr>
      <w:r>
        <w:rPr>
          <w:rStyle w:val="EndnoteReference"/>
        </w:rPr>
        <w:endnoteRef/>
      </w:r>
      <w:r>
        <w:t xml:space="preserve"> Coyne, A., </w:t>
      </w:r>
      <w:hyperlink r:id="rId59" w:history="1">
        <w:r w:rsidRPr="00501C02">
          <w:rPr>
            <w:rStyle w:val="Hyperlink"/>
          </w:rPr>
          <w:t>‘NBN C</w:t>
        </w:r>
        <w:r>
          <w:rPr>
            <w:rStyle w:val="Hyperlink"/>
          </w:rPr>
          <w:t>o</w:t>
        </w:r>
        <w:r w:rsidRPr="00501C02">
          <w:rPr>
            <w:rStyle w:val="Hyperlink"/>
          </w:rPr>
          <w:t xml:space="preserve"> leaves door open for FTTdp in SAU’</w:t>
        </w:r>
      </w:hyperlink>
      <w:r>
        <w:t xml:space="preserve">, </w:t>
      </w:r>
      <w:r w:rsidRPr="00FA7DD4">
        <w:rPr>
          <w:i/>
        </w:rPr>
        <w:t>iTnews</w:t>
      </w:r>
      <w:r>
        <w:t>, 31 May 2016.</w:t>
      </w:r>
    </w:p>
  </w:endnote>
  <w:endnote w:id="73">
    <w:p w14:paraId="6E5D05EE" w14:textId="77777777" w:rsidR="00A803E5" w:rsidRPr="00FA7DD4" w:rsidRDefault="00A803E5" w:rsidP="000A1CD9">
      <w:pPr>
        <w:pStyle w:val="EndnoteText"/>
        <w:rPr>
          <w:u w:val="single"/>
        </w:rPr>
      </w:pPr>
      <w:r>
        <w:rPr>
          <w:rStyle w:val="EndnoteReference"/>
        </w:rPr>
        <w:endnoteRef/>
      </w:r>
      <w:r>
        <w:t xml:space="preserve"> NBN Co, </w:t>
      </w:r>
      <w:hyperlink r:id="rId60" w:history="1">
        <w:r w:rsidRPr="00604073">
          <w:rPr>
            <w:rStyle w:val="Hyperlink"/>
            <w:i/>
          </w:rPr>
          <w:t>Full Year Results 2016</w:t>
        </w:r>
      </w:hyperlink>
      <w:r w:rsidRPr="008C20E6">
        <w:rPr>
          <w:rStyle w:val="Hyperlink"/>
        </w:rPr>
        <w:t>,</w:t>
      </w:r>
      <w:r w:rsidRPr="003C75A9">
        <w:rPr>
          <w:rStyle w:val="Hyperlink"/>
        </w:rPr>
        <w:t xml:space="preserve"> </w:t>
      </w:r>
      <w:r w:rsidRPr="00FA7DD4">
        <w:t>16 August 2016</w:t>
      </w:r>
      <w:r w:rsidRPr="008C20E6">
        <w:rPr>
          <w:rStyle w:val="Hyperlink"/>
        </w:rPr>
        <w:t>.</w:t>
      </w:r>
    </w:p>
  </w:endnote>
  <w:endnote w:id="74">
    <w:p w14:paraId="01B95BE6" w14:textId="77777777" w:rsidR="00A803E5" w:rsidRDefault="00A803E5" w:rsidP="000A1CD9">
      <w:pPr>
        <w:pStyle w:val="EndnoteText"/>
      </w:pPr>
      <w:r>
        <w:rPr>
          <w:rStyle w:val="EndnoteReference"/>
        </w:rPr>
        <w:endnoteRef/>
      </w:r>
      <w:r>
        <w:t xml:space="preserve"> Wilson, P., ‘Telstra, Singtel and Bevan Slattery combine to build West Coast cable’, </w:t>
      </w:r>
      <w:r w:rsidRPr="00C91521">
        <w:rPr>
          <w:i/>
        </w:rPr>
        <w:t>Communications Day</w:t>
      </w:r>
      <w:r>
        <w:t>, 1 April 2016, pp. 1</w:t>
      </w:r>
      <w:r>
        <w:rPr>
          <w:rFonts w:cs="Arial"/>
        </w:rPr>
        <w:t>–</w:t>
      </w:r>
      <w:r>
        <w:t>3.</w:t>
      </w:r>
    </w:p>
  </w:endnote>
  <w:endnote w:id="75">
    <w:p w14:paraId="3F073157" w14:textId="77777777" w:rsidR="00A803E5" w:rsidRDefault="00A803E5" w:rsidP="000A1CD9">
      <w:pPr>
        <w:pStyle w:val="EndnoteText"/>
      </w:pPr>
      <w:r>
        <w:rPr>
          <w:rStyle w:val="EndnoteReference"/>
        </w:rPr>
        <w:endnoteRef/>
      </w:r>
      <w:r>
        <w:t xml:space="preserve"> Ibid.</w:t>
      </w:r>
    </w:p>
  </w:endnote>
  <w:endnote w:id="76">
    <w:p w14:paraId="11FCA596" w14:textId="77777777" w:rsidR="00A803E5" w:rsidRDefault="00A803E5" w:rsidP="000A1CD9">
      <w:pPr>
        <w:pStyle w:val="EndnoteText"/>
      </w:pPr>
      <w:r>
        <w:rPr>
          <w:rStyle w:val="EndnoteReference"/>
        </w:rPr>
        <w:endnoteRef/>
      </w:r>
      <w:r>
        <w:t xml:space="preserve"> Vocus Communications, </w:t>
      </w:r>
      <w:hyperlink r:id="rId61" w:history="1">
        <w:r w:rsidRPr="00C42BD6">
          <w:rPr>
            <w:rStyle w:val="Hyperlink"/>
          </w:rPr>
          <w:t>‘Vocus and Nextgen partner to invest in subsea cable’</w:t>
        </w:r>
      </w:hyperlink>
      <w:r w:rsidRPr="00163039">
        <w:t>, me</w:t>
      </w:r>
      <w:r>
        <w:t>dia release, 16 November 2015.</w:t>
      </w:r>
    </w:p>
  </w:endnote>
  <w:endnote w:id="77">
    <w:p w14:paraId="246920D8" w14:textId="77777777" w:rsidR="00A803E5" w:rsidRDefault="00A803E5" w:rsidP="000A1CD9">
      <w:pPr>
        <w:pStyle w:val="EndnoteText"/>
      </w:pPr>
      <w:r>
        <w:rPr>
          <w:rStyle w:val="EndnoteReference"/>
        </w:rPr>
        <w:endnoteRef/>
      </w:r>
      <w:r>
        <w:t xml:space="preserve"> Dinham, P., ‘</w:t>
      </w:r>
      <w:hyperlink r:id="rId62" w:history="1">
        <w:r w:rsidRPr="006F5695">
          <w:rPr>
            <w:rStyle w:val="Hyperlink"/>
          </w:rPr>
          <w:t>Trident partners with Matrix on Perth, Jakarta, Singapore subsea cable link</w:t>
        </w:r>
      </w:hyperlink>
      <w:r>
        <w:rPr>
          <w:rStyle w:val="Hyperlink"/>
        </w:rPr>
        <w:t>’</w:t>
      </w:r>
      <w:r>
        <w:t xml:space="preserve">, </w:t>
      </w:r>
      <w:r w:rsidRPr="009C2A8D">
        <w:rPr>
          <w:i/>
        </w:rPr>
        <w:t>iTWire</w:t>
      </w:r>
      <w:r>
        <w:rPr>
          <w:i/>
        </w:rPr>
        <w:t>,</w:t>
      </w:r>
      <w:r>
        <w:t xml:space="preserve"> 3 June 2016.</w:t>
      </w:r>
    </w:p>
  </w:endnote>
  <w:endnote w:id="78">
    <w:p w14:paraId="701DBE88" w14:textId="77777777" w:rsidR="00A803E5" w:rsidRPr="000317E5" w:rsidRDefault="00A803E5" w:rsidP="000A1CD9">
      <w:pPr>
        <w:pStyle w:val="EndnoteText"/>
        <w:rPr>
          <w:rFonts w:cs="Arial"/>
          <w:szCs w:val="16"/>
        </w:rPr>
      </w:pPr>
      <w:r w:rsidRPr="002C3191">
        <w:rPr>
          <w:rStyle w:val="EndnoteReference"/>
        </w:rPr>
        <w:endnoteRef/>
      </w:r>
      <w:r>
        <w:rPr>
          <w:rFonts w:cs="Arial"/>
          <w:szCs w:val="16"/>
        </w:rPr>
        <w:t xml:space="preserve">NBN Co, </w:t>
      </w:r>
      <w:hyperlink r:id="rId63" w:history="1">
        <w:r w:rsidRPr="005C1DAA">
          <w:rPr>
            <w:rStyle w:val="Hyperlink"/>
            <w:szCs w:val="16"/>
          </w:rPr>
          <w:t>Explore the nbn™ network rollout map</w:t>
        </w:r>
      </w:hyperlink>
      <w:r>
        <w:rPr>
          <w:rFonts w:cs="Arial"/>
          <w:szCs w:val="16"/>
        </w:rPr>
        <w:t>, accessed 23 August 2016.</w:t>
      </w:r>
    </w:p>
  </w:endnote>
  <w:endnote w:id="79">
    <w:p w14:paraId="40234CDC" w14:textId="77777777" w:rsidR="00A803E5" w:rsidRDefault="00A803E5" w:rsidP="000A1CD9">
      <w:pPr>
        <w:pStyle w:val="EndnoteText"/>
      </w:pPr>
      <w:r>
        <w:rPr>
          <w:rStyle w:val="EndnoteReference"/>
        </w:rPr>
        <w:endnoteRef/>
      </w:r>
      <w:r>
        <w:t xml:space="preserve"> Chester, R., </w:t>
      </w:r>
      <w:hyperlink r:id="rId64" w:history="1">
        <w:r w:rsidRPr="00526EE3">
          <w:rPr>
            <w:rStyle w:val="Hyperlink"/>
          </w:rPr>
          <w:t>‘Telstra opens up Telstra Air wi-fi network to millions of Australians for summer of free data’,</w:t>
        </w:r>
      </w:hyperlink>
      <w:r>
        <w:t xml:space="preserve"> news.com.au, 15 December 2015.</w:t>
      </w:r>
    </w:p>
  </w:endnote>
  <w:endnote w:id="80">
    <w:p w14:paraId="25486BAA" w14:textId="77777777" w:rsidR="00A803E5" w:rsidRDefault="00A803E5" w:rsidP="000A1CD9">
      <w:pPr>
        <w:pStyle w:val="EndnoteText"/>
      </w:pPr>
      <w:r>
        <w:rPr>
          <w:rStyle w:val="EndnoteReference"/>
        </w:rPr>
        <w:endnoteRef/>
      </w:r>
      <w:r>
        <w:t xml:space="preserve"> Telstra Personal, </w:t>
      </w:r>
      <w:hyperlink r:id="rId65" w:history="1">
        <w:r w:rsidRPr="00526EE3">
          <w:rPr>
            <w:rStyle w:val="Hyperlink"/>
          </w:rPr>
          <w:t>‘Free Wi-Fi for eligible Telstra customers’</w:t>
        </w:r>
      </w:hyperlink>
      <w:r w:rsidRPr="00163039">
        <w:t>, accessed 11 August 2016.</w:t>
      </w:r>
    </w:p>
  </w:endnote>
  <w:endnote w:id="81">
    <w:p w14:paraId="66572721" w14:textId="77777777" w:rsidR="00A803E5" w:rsidRDefault="00A803E5" w:rsidP="000A1CD9">
      <w:pPr>
        <w:pStyle w:val="EndnoteText"/>
      </w:pPr>
      <w:r>
        <w:rPr>
          <w:rStyle w:val="EndnoteReference"/>
        </w:rPr>
        <w:endnoteRef/>
      </w:r>
      <w:r>
        <w:t xml:space="preserve"> Zaharoff-Reutt, A.,</w:t>
      </w:r>
      <w:r w:rsidRPr="00FA7DD4">
        <w:rPr>
          <w:i/>
        </w:rPr>
        <w:t xml:space="preserve"> </w:t>
      </w:r>
      <w:hyperlink r:id="rId66" w:history="1">
        <w:r w:rsidRPr="00526EE3">
          <w:rPr>
            <w:rStyle w:val="Hyperlink"/>
          </w:rPr>
          <w:t>‘Telstra celebrates inaugural Wold Wi-Fi Day: free Wi-Fi from 17 to 20 June!’</w:t>
        </w:r>
      </w:hyperlink>
      <w:r>
        <w:t xml:space="preserve">, </w:t>
      </w:r>
      <w:r w:rsidRPr="00970392">
        <w:rPr>
          <w:i/>
        </w:rPr>
        <w:t>iTWire</w:t>
      </w:r>
      <w:r>
        <w:t xml:space="preserve">, 16 June 2016. </w:t>
      </w:r>
    </w:p>
  </w:endnote>
  <w:endnote w:id="82">
    <w:p w14:paraId="38851D0B" w14:textId="77777777" w:rsidR="00A803E5" w:rsidRDefault="00A803E5" w:rsidP="000A1CD9">
      <w:pPr>
        <w:pStyle w:val="EndnoteText"/>
      </w:pPr>
      <w:r>
        <w:rPr>
          <w:rStyle w:val="EndnoteReference"/>
        </w:rPr>
        <w:endnoteRef/>
      </w:r>
      <w:r>
        <w:t xml:space="preserve"> Dinham, P., </w:t>
      </w:r>
      <w:hyperlink r:id="rId67" w:history="1">
        <w:r w:rsidRPr="00955BC4">
          <w:rPr>
            <w:rStyle w:val="Hyperlink"/>
          </w:rPr>
          <w:t>‘Optus Wi-Fi up and running at Mirvac shopping centres’</w:t>
        </w:r>
      </w:hyperlink>
      <w:r>
        <w:t xml:space="preserve">, </w:t>
      </w:r>
      <w:r>
        <w:rPr>
          <w:i/>
        </w:rPr>
        <w:t xml:space="preserve">iTWire, </w:t>
      </w:r>
      <w:r>
        <w:t xml:space="preserve">10 March 2016. </w:t>
      </w:r>
    </w:p>
  </w:endnote>
  <w:endnote w:id="83">
    <w:p w14:paraId="65B7F2BB" w14:textId="77777777" w:rsidR="00A803E5" w:rsidRDefault="00A803E5" w:rsidP="000A1CD9">
      <w:pPr>
        <w:pStyle w:val="EndnoteText"/>
      </w:pPr>
      <w:r>
        <w:rPr>
          <w:rStyle w:val="EndnoteReference"/>
        </w:rPr>
        <w:endnoteRef/>
      </w:r>
      <w:r>
        <w:t xml:space="preserve"> McCosker, R., </w:t>
      </w:r>
      <w:hyperlink r:id="rId68" w:history="1">
        <w:r w:rsidRPr="00955BC4">
          <w:rPr>
            <w:rStyle w:val="Hyperlink"/>
          </w:rPr>
          <w:t>‘Council to spend $1 million to expand its Wi-Fi network with eight new suburban hubs’</w:t>
        </w:r>
      </w:hyperlink>
      <w:r>
        <w:t xml:space="preserve">, </w:t>
      </w:r>
      <w:r w:rsidRPr="00FA7DD4">
        <w:rPr>
          <w:i/>
        </w:rPr>
        <w:t>Courier Mail</w:t>
      </w:r>
      <w:r>
        <w:t xml:space="preserve">, 15 June 2016. </w:t>
      </w:r>
    </w:p>
  </w:endnote>
  <w:endnote w:id="84">
    <w:p w14:paraId="5CE7D190" w14:textId="77777777" w:rsidR="00A803E5" w:rsidRDefault="00A803E5" w:rsidP="000A1CD9">
      <w:pPr>
        <w:pStyle w:val="EndnoteText"/>
      </w:pPr>
      <w:r>
        <w:rPr>
          <w:rStyle w:val="EndnoteReference"/>
        </w:rPr>
        <w:endnoteRef/>
      </w:r>
      <w:r>
        <w:t xml:space="preserve"> Zaharoff-Reutt, A., </w:t>
      </w:r>
      <w:hyperlink r:id="rId69" w:history="1">
        <w:r w:rsidRPr="00955BC4">
          <w:rPr>
            <w:rStyle w:val="Hyperlink"/>
          </w:rPr>
          <w:t>‘Qantas finally bringing fast, free infli</w:t>
        </w:r>
        <w:r>
          <w:rPr>
            <w:rStyle w:val="Hyperlink"/>
          </w:rPr>
          <w:t>ght Wi-Fi to Aussie skies from “</w:t>
        </w:r>
        <w:r w:rsidRPr="00955BC4">
          <w:rPr>
            <w:rStyle w:val="Hyperlink"/>
          </w:rPr>
          <w:t>early</w:t>
        </w:r>
        <w:r>
          <w:rPr>
            <w:rStyle w:val="Hyperlink"/>
          </w:rPr>
          <w:t>”</w:t>
        </w:r>
        <w:r w:rsidRPr="00955BC4">
          <w:rPr>
            <w:rStyle w:val="Hyperlink"/>
          </w:rPr>
          <w:t xml:space="preserve"> 2017’</w:t>
        </w:r>
      </w:hyperlink>
      <w:r>
        <w:t>,</w:t>
      </w:r>
      <w:r w:rsidRPr="00FA7DD4">
        <w:rPr>
          <w:i/>
        </w:rPr>
        <w:t xml:space="preserve"> iTWire</w:t>
      </w:r>
      <w:r>
        <w:t>, 24 February 2016.</w:t>
      </w:r>
    </w:p>
  </w:endnote>
  <w:endnote w:id="85">
    <w:p w14:paraId="445F7527" w14:textId="77777777" w:rsidR="00A803E5" w:rsidRDefault="00A803E5" w:rsidP="000A1CD9">
      <w:pPr>
        <w:pStyle w:val="EndnoteText"/>
      </w:pPr>
      <w:r>
        <w:rPr>
          <w:rStyle w:val="EndnoteReference"/>
        </w:rPr>
        <w:endnoteRef/>
      </w:r>
      <w:r>
        <w:t xml:space="preserve"> Zaharoff-Reutt, A., </w:t>
      </w:r>
      <w:hyperlink r:id="rId70" w:history="1">
        <w:r w:rsidRPr="00955BC4">
          <w:rPr>
            <w:rStyle w:val="Hyperlink"/>
          </w:rPr>
          <w:t>‘In-flight Wi-Fi promised for Australian skies, again, for 2017’</w:t>
        </w:r>
      </w:hyperlink>
      <w:r>
        <w:t xml:space="preserve">, </w:t>
      </w:r>
      <w:r w:rsidRPr="00FA7DD4">
        <w:rPr>
          <w:i/>
        </w:rPr>
        <w:t>iTWire</w:t>
      </w:r>
      <w:r>
        <w:t xml:space="preserve">, 22 July 2016. </w:t>
      </w:r>
    </w:p>
  </w:endnote>
  <w:endnote w:id="86">
    <w:p w14:paraId="1D1E2BF7" w14:textId="77777777" w:rsidR="00A803E5" w:rsidRDefault="00A803E5" w:rsidP="000A1CD9">
      <w:pPr>
        <w:pStyle w:val="EndnoteText"/>
      </w:pPr>
      <w:r>
        <w:rPr>
          <w:rStyle w:val="EndnoteReference"/>
        </w:rPr>
        <w:endnoteRef/>
      </w:r>
      <w:r>
        <w:t xml:space="preserve"> </w:t>
      </w:r>
      <w:r w:rsidRPr="00FA7DD4">
        <w:rPr>
          <w:i/>
          <w:szCs w:val="16"/>
        </w:rPr>
        <w:t>Communications Day</w:t>
      </w:r>
      <w:r w:rsidRPr="00C64D3C">
        <w:rPr>
          <w:szCs w:val="16"/>
        </w:rPr>
        <w:t xml:space="preserve">, </w:t>
      </w:r>
      <w:r>
        <w:rPr>
          <w:szCs w:val="16"/>
        </w:rPr>
        <w:t>‘</w:t>
      </w:r>
      <w:r w:rsidRPr="00C64D3C">
        <w:rPr>
          <w:szCs w:val="16"/>
        </w:rPr>
        <w:t>Tomizone renews Wi-Fi deals with Sydney ferries operator’</w:t>
      </w:r>
      <w:r>
        <w:rPr>
          <w:szCs w:val="16"/>
        </w:rPr>
        <w:t xml:space="preserve">, </w:t>
      </w:r>
      <w:r w:rsidRPr="00C64D3C">
        <w:rPr>
          <w:szCs w:val="16"/>
        </w:rPr>
        <w:t>12 May 2016</w:t>
      </w:r>
      <w:r>
        <w:rPr>
          <w:szCs w:val="16"/>
        </w:rPr>
        <w:t>.</w:t>
      </w:r>
    </w:p>
  </w:endnote>
  <w:endnote w:id="87">
    <w:p w14:paraId="2989718F" w14:textId="77777777" w:rsidR="00A803E5" w:rsidRDefault="00A803E5" w:rsidP="000A1CD9">
      <w:pPr>
        <w:pStyle w:val="EndnoteText"/>
      </w:pPr>
      <w:r>
        <w:rPr>
          <w:rStyle w:val="EndnoteReference"/>
        </w:rPr>
        <w:endnoteRef/>
      </w:r>
      <w:r>
        <w:t xml:space="preserve"> Mavrakis, D., ‘The Telecoms Cloud Value Chain,’ Ovum, 25 May 2016.</w:t>
      </w:r>
    </w:p>
  </w:endnote>
  <w:endnote w:id="88">
    <w:p w14:paraId="18D631B9" w14:textId="77777777" w:rsidR="00A803E5" w:rsidRDefault="00A803E5" w:rsidP="000A1CD9">
      <w:pPr>
        <w:pStyle w:val="EndnoteText"/>
      </w:pPr>
      <w:r>
        <w:rPr>
          <w:rStyle w:val="EndnoteReference"/>
        </w:rPr>
        <w:endnoteRef/>
      </w:r>
      <w:r>
        <w:t xml:space="preserve"> Telstra, </w:t>
      </w:r>
      <w:hyperlink r:id="rId71" w:history="1">
        <w:r w:rsidRPr="00604073">
          <w:rPr>
            <w:rStyle w:val="Hyperlink"/>
            <w:i/>
          </w:rPr>
          <w:t>Telstra Annual Report</w:t>
        </w:r>
        <w:r>
          <w:rPr>
            <w:rStyle w:val="Hyperlink"/>
            <w:rFonts w:cs="Arial"/>
            <w:i/>
          </w:rPr>
          <w:t>—</w:t>
        </w:r>
        <w:r w:rsidRPr="00604073">
          <w:rPr>
            <w:rStyle w:val="Hyperlink"/>
            <w:i/>
          </w:rPr>
          <w:t>Full year 2016 financial results</w:t>
        </w:r>
      </w:hyperlink>
      <w:r w:rsidRPr="00FA7DD4">
        <w:t>,</w:t>
      </w:r>
      <w:r>
        <w:t xml:space="preserve"> 11 August 2016. </w:t>
      </w:r>
    </w:p>
  </w:endnote>
  <w:endnote w:id="89">
    <w:p w14:paraId="6C3E5794" w14:textId="77777777" w:rsidR="00A803E5" w:rsidRDefault="00A803E5" w:rsidP="000A1CD9">
      <w:pPr>
        <w:pStyle w:val="EndnoteText"/>
      </w:pPr>
      <w:r>
        <w:rPr>
          <w:rStyle w:val="EndnoteReference"/>
        </w:rPr>
        <w:endnoteRef/>
      </w:r>
      <w:r>
        <w:t xml:space="preserve"> Ibid.</w:t>
      </w:r>
    </w:p>
  </w:endnote>
  <w:endnote w:id="90">
    <w:p w14:paraId="2EB2ACA5" w14:textId="77777777" w:rsidR="00A803E5" w:rsidRDefault="00A803E5" w:rsidP="000A1CD9">
      <w:pPr>
        <w:pStyle w:val="EndnoteText"/>
      </w:pPr>
      <w:r>
        <w:rPr>
          <w:rStyle w:val="EndnoteReference"/>
        </w:rPr>
        <w:endnoteRef/>
      </w:r>
      <w:r>
        <w:t xml:space="preserve"> Ibid.</w:t>
      </w:r>
    </w:p>
  </w:endnote>
  <w:endnote w:id="91">
    <w:p w14:paraId="179614BA" w14:textId="77777777" w:rsidR="00A803E5" w:rsidRDefault="00A803E5" w:rsidP="009F33CB">
      <w:pPr>
        <w:pStyle w:val="EndnoteText"/>
      </w:pPr>
      <w:r w:rsidRPr="00163039">
        <w:rPr>
          <w:rStyle w:val="EndnoteReference"/>
        </w:rPr>
        <w:endnoteRef/>
      </w:r>
      <w:r w:rsidRPr="00163039">
        <w:t xml:space="preserve"> </w:t>
      </w:r>
      <w:r>
        <w:t>‘</w:t>
      </w:r>
      <w:r w:rsidRPr="00163039">
        <w:t>White label cloud service</w:t>
      </w:r>
      <w:r>
        <w:t>’</w:t>
      </w:r>
      <w:r w:rsidRPr="00163039">
        <w:t xml:space="preserve"> refers to a solution in which a cloud provider sells customers resources that they can, in turn, offer to their own customers under their own brand, enabling third-party company branding with control over appearance, policy, support and so on, along with access to infrastructure.</w:t>
      </w:r>
      <w:r>
        <w:t xml:space="preserve">   </w:t>
      </w:r>
    </w:p>
  </w:endnote>
  <w:endnote w:id="92">
    <w:p w14:paraId="73A5F4CA" w14:textId="77777777" w:rsidR="00A803E5" w:rsidRDefault="00A803E5" w:rsidP="000A1CD9">
      <w:pPr>
        <w:pStyle w:val="EndnoteText"/>
      </w:pPr>
      <w:r>
        <w:rPr>
          <w:rStyle w:val="EndnoteReference"/>
        </w:rPr>
        <w:endnoteRef/>
      </w:r>
      <w:r>
        <w:t xml:space="preserve"> Talevski, J., </w:t>
      </w:r>
      <w:hyperlink r:id="rId72" w:history="1">
        <w:r w:rsidRPr="00C20784">
          <w:rPr>
            <w:rStyle w:val="Hyperlink"/>
          </w:rPr>
          <w:t>‘Optus Wholesale delivers white label Cloud SDN’</w:t>
        </w:r>
      </w:hyperlink>
      <w:r>
        <w:t xml:space="preserve">, </w:t>
      </w:r>
      <w:r w:rsidRPr="00FA7DD4">
        <w:rPr>
          <w:i/>
        </w:rPr>
        <w:t>ARNnet</w:t>
      </w:r>
      <w:r>
        <w:rPr>
          <w:i/>
        </w:rPr>
        <w:t>,</w:t>
      </w:r>
      <w:r w:rsidRPr="00FA7DD4">
        <w:rPr>
          <w:i/>
        </w:rPr>
        <w:t xml:space="preserve"> </w:t>
      </w:r>
      <w:r>
        <w:t>31 May 2016.</w:t>
      </w:r>
    </w:p>
  </w:endnote>
  <w:endnote w:id="93">
    <w:p w14:paraId="40ACE5B0" w14:textId="77777777" w:rsidR="00A803E5" w:rsidRDefault="00A803E5" w:rsidP="000A1CD9">
      <w:pPr>
        <w:pStyle w:val="EndnoteText"/>
      </w:pPr>
      <w:r>
        <w:rPr>
          <w:rStyle w:val="EndnoteReference"/>
        </w:rPr>
        <w:endnoteRef/>
      </w:r>
      <w:r>
        <w:t xml:space="preserve"> Worthington, S., </w:t>
      </w:r>
      <w:hyperlink r:id="rId73" w:history="1">
        <w:r w:rsidRPr="00913ACD">
          <w:rPr>
            <w:rStyle w:val="Hyperlink"/>
          </w:rPr>
          <w:t>‘Two big government contract wins for Vodafone’</w:t>
        </w:r>
      </w:hyperlink>
      <w:r>
        <w:t xml:space="preserve">, </w:t>
      </w:r>
      <w:r w:rsidRPr="00FA7DD4">
        <w:rPr>
          <w:i/>
        </w:rPr>
        <w:t xml:space="preserve">IT Brief NZ, </w:t>
      </w:r>
      <w:r>
        <w:t xml:space="preserve">19 August 2016. </w:t>
      </w:r>
    </w:p>
  </w:endnote>
  <w:endnote w:id="94">
    <w:p w14:paraId="43F477F7" w14:textId="77777777" w:rsidR="00A803E5" w:rsidRDefault="00A803E5" w:rsidP="000A1CD9">
      <w:pPr>
        <w:pStyle w:val="EndnoteText"/>
      </w:pPr>
      <w:r>
        <w:rPr>
          <w:rStyle w:val="EndnoteReference"/>
        </w:rPr>
        <w:endnoteRef/>
      </w:r>
      <w:r>
        <w:t xml:space="preserve"> Morgan, H., ‘</w:t>
      </w:r>
      <w:hyperlink r:id="rId74" w:history="1">
        <w:r w:rsidRPr="00653B98">
          <w:rPr>
            <w:rStyle w:val="Hyperlink"/>
          </w:rPr>
          <w:t>Public cloud services spend to hit $195 billion by 2020’</w:t>
        </w:r>
      </w:hyperlink>
      <w:r>
        <w:t xml:space="preserve">, </w:t>
      </w:r>
      <w:r w:rsidRPr="00FA7DD4">
        <w:rPr>
          <w:i/>
        </w:rPr>
        <w:t>ARNnet,</w:t>
      </w:r>
      <w:r>
        <w:t xml:space="preserve"> 12 August 2016. </w:t>
      </w:r>
    </w:p>
  </w:endnote>
  <w:endnote w:id="95">
    <w:p w14:paraId="14AB0F35" w14:textId="77777777" w:rsidR="00A803E5" w:rsidRDefault="00A803E5" w:rsidP="000A1CD9">
      <w:pPr>
        <w:pStyle w:val="EndnoteText"/>
      </w:pPr>
      <w:r>
        <w:rPr>
          <w:rStyle w:val="EndnoteReference"/>
        </w:rPr>
        <w:endnoteRef/>
      </w:r>
      <w:r>
        <w:t xml:space="preserve"> Wright, W., ‘</w:t>
      </w:r>
      <w:hyperlink r:id="rId75" w:history="1">
        <w:r w:rsidRPr="009F532A">
          <w:rPr>
            <w:rStyle w:val="Hyperlink"/>
          </w:rPr>
          <w:t>Australian enterprise cloud spend to hit $775 million by 2019</w:t>
        </w:r>
      </w:hyperlink>
      <w:r>
        <w:rPr>
          <w:rStyle w:val="Hyperlink"/>
        </w:rPr>
        <w:t>’</w:t>
      </w:r>
      <w:r>
        <w:t xml:space="preserve">, </w:t>
      </w:r>
      <w:r w:rsidRPr="00FA7DD4">
        <w:rPr>
          <w:i/>
        </w:rPr>
        <w:t>IT Brief</w:t>
      </w:r>
      <w:r>
        <w:t>, 17 June 2015.</w:t>
      </w:r>
    </w:p>
  </w:endnote>
  <w:endnote w:id="96">
    <w:p w14:paraId="01731AE1" w14:textId="77777777" w:rsidR="00A803E5" w:rsidRDefault="00A803E5" w:rsidP="001F6210">
      <w:pPr>
        <w:pStyle w:val="EndnoteText"/>
      </w:pPr>
      <w:r>
        <w:rPr>
          <w:rStyle w:val="EndnoteReference"/>
        </w:rPr>
        <w:endnoteRef/>
      </w:r>
      <w:r>
        <w:t xml:space="preserve"> An announcement from the ACCC is expected on 22 September 2016.</w:t>
      </w:r>
    </w:p>
  </w:endnote>
  <w:endnote w:id="97">
    <w:p w14:paraId="37DAED2D" w14:textId="77777777" w:rsidR="00A803E5" w:rsidRDefault="00A803E5">
      <w:pPr>
        <w:pStyle w:val="EndnoteText"/>
      </w:pPr>
      <w:r>
        <w:rPr>
          <w:rStyle w:val="EndnoteReference"/>
        </w:rPr>
        <w:endnoteRef/>
      </w:r>
      <w:r>
        <w:t xml:space="preserve"> ACCC, ‘</w:t>
      </w:r>
      <w:hyperlink r:id="rId76" w:history="1">
        <w:r w:rsidRPr="001F6210">
          <w:rPr>
            <w:rStyle w:val="Hyperlink"/>
          </w:rPr>
          <w:t>ACCC will not oppose Vocus C</w:t>
        </w:r>
        <w:r>
          <w:rPr>
            <w:rStyle w:val="Hyperlink"/>
          </w:rPr>
          <w:t>o</w:t>
        </w:r>
        <w:r w:rsidRPr="001F6210">
          <w:rPr>
            <w:rStyle w:val="Hyperlink"/>
          </w:rPr>
          <w:t>mmunications’ move on Nextgen</w:t>
        </w:r>
      </w:hyperlink>
      <w:r>
        <w:t>’, 22 September 2016.</w:t>
      </w:r>
    </w:p>
  </w:endnote>
  <w:endnote w:id="98">
    <w:p w14:paraId="64C99D1B" w14:textId="77777777" w:rsidR="00A803E5" w:rsidRDefault="00A803E5" w:rsidP="000A1CD9">
      <w:pPr>
        <w:pStyle w:val="EndnoteText"/>
      </w:pPr>
      <w:r>
        <w:rPr>
          <w:rStyle w:val="EndnoteReference"/>
        </w:rPr>
        <w:endnoteRef/>
      </w:r>
      <w:r>
        <w:t xml:space="preserve"> Mason, M., </w:t>
      </w:r>
      <w:hyperlink r:id="rId77" w:history="1">
        <w:r w:rsidRPr="007C4AB4">
          <w:rPr>
            <w:rStyle w:val="Hyperlink"/>
          </w:rPr>
          <w:t>Vocus finally gets its man with $807 million Nextgen acquisition</w:t>
        </w:r>
      </w:hyperlink>
      <w:r>
        <w:t xml:space="preserve">, </w:t>
      </w:r>
      <w:r>
        <w:rPr>
          <w:i/>
        </w:rPr>
        <w:t xml:space="preserve">Australian Financial Review, </w:t>
      </w:r>
      <w:r w:rsidRPr="0073225C">
        <w:t>29 June 2016.</w:t>
      </w:r>
      <w:r>
        <w:t xml:space="preserve"> </w:t>
      </w:r>
    </w:p>
  </w:endnote>
  <w:endnote w:id="99">
    <w:p w14:paraId="259CFE3C" w14:textId="77777777" w:rsidR="00A803E5" w:rsidRDefault="00A803E5" w:rsidP="000A1CD9">
      <w:pPr>
        <w:pStyle w:val="EndnoteText"/>
      </w:pPr>
      <w:r>
        <w:rPr>
          <w:rStyle w:val="EndnoteReference"/>
        </w:rPr>
        <w:endnoteRef/>
      </w:r>
      <w:r>
        <w:t xml:space="preserve"> Speedcast, </w:t>
      </w:r>
      <w:hyperlink r:id="rId78" w:history="1">
        <w:r w:rsidRPr="00877742">
          <w:rPr>
            <w:rStyle w:val="Hyperlink"/>
          </w:rPr>
          <w:t xml:space="preserve">Speedcast </w:t>
        </w:r>
        <w:r>
          <w:rPr>
            <w:rStyle w:val="Hyperlink"/>
          </w:rPr>
          <w:t>c</w:t>
        </w:r>
        <w:r w:rsidRPr="00877742">
          <w:rPr>
            <w:rStyle w:val="Hyperlink"/>
          </w:rPr>
          <w:t>ompletes the acquisition of NewCom International</w:t>
        </w:r>
      </w:hyperlink>
      <w:r>
        <w:t>, media release, 31 March 2016.</w:t>
      </w:r>
    </w:p>
  </w:endnote>
  <w:endnote w:id="100">
    <w:p w14:paraId="12D20D14" w14:textId="77777777" w:rsidR="00A803E5" w:rsidRPr="0073225C" w:rsidRDefault="00A803E5" w:rsidP="000A1CD9">
      <w:pPr>
        <w:pStyle w:val="EndnoteText"/>
        <w:rPr>
          <w:i/>
        </w:rPr>
      </w:pPr>
      <w:r>
        <w:rPr>
          <w:rStyle w:val="EndnoteReference"/>
        </w:rPr>
        <w:endnoteRef/>
      </w:r>
      <w:r>
        <w:t xml:space="preserve"> Telstra, </w:t>
      </w:r>
      <w:hyperlink r:id="rId79" w:history="1">
        <w:r w:rsidRPr="00604073">
          <w:rPr>
            <w:rStyle w:val="Hyperlink"/>
            <w:i/>
          </w:rPr>
          <w:t>Telstra Annual Report</w:t>
        </w:r>
        <w:r>
          <w:rPr>
            <w:rStyle w:val="Hyperlink"/>
            <w:rFonts w:cs="Arial"/>
            <w:i/>
          </w:rPr>
          <w:t>—</w:t>
        </w:r>
        <w:r w:rsidRPr="00604073">
          <w:rPr>
            <w:rStyle w:val="Hyperlink"/>
            <w:i/>
          </w:rPr>
          <w:t>Full year 2016 financial results</w:t>
        </w:r>
      </w:hyperlink>
      <w:r w:rsidRPr="009C2A8D">
        <w:t>,</w:t>
      </w:r>
      <w:r>
        <w:t xml:space="preserve"> 11 August 2016. </w:t>
      </w:r>
    </w:p>
  </w:endnote>
  <w:endnote w:id="101">
    <w:p w14:paraId="1F4C8478" w14:textId="77777777" w:rsidR="00A803E5" w:rsidRPr="000317E5" w:rsidRDefault="00A803E5" w:rsidP="000A1CD9">
      <w:pPr>
        <w:pStyle w:val="EndnoteText"/>
        <w:rPr>
          <w:rFonts w:cs="Arial"/>
          <w:szCs w:val="16"/>
        </w:rPr>
      </w:pPr>
      <w:r w:rsidRPr="002C3191">
        <w:rPr>
          <w:rStyle w:val="EndnoteReference"/>
        </w:rPr>
        <w:endnoteRef/>
      </w:r>
      <w:r w:rsidRPr="000317E5">
        <w:rPr>
          <w:rFonts w:cs="Arial"/>
          <w:szCs w:val="16"/>
        </w:rPr>
        <w:t xml:space="preserve"> A nominated carrier declaration permits the owner(s) of one or more network units to nominate a carrier to supply carriage services over those units to the public, subject to the carrier satisfying the ACMA that it would be in a position to comply with carrier-related obligations in respect of those network units.</w:t>
      </w:r>
    </w:p>
  </w:endnote>
  <w:endnote w:id="102">
    <w:p w14:paraId="5582BF04" w14:textId="77777777" w:rsidR="00A803E5" w:rsidRPr="000317E5" w:rsidRDefault="00A803E5" w:rsidP="000A1CD9">
      <w:pPr>
        <w:pStyle w:val="EndnoteText"/>
        <w:rPr>
          <w:rFonts w:cs="Arial"/>
          <w:szCs w:val="16"/>
        </w:rPr>
      </w:pPr>
      <w:r w:rsidRPr="002C3191">
        <w:rPr>
          <w:rStyle w:val="EndnoteReference"/>
        </w:rPr>
        <w:endnoteRef/>
      </w:r>
      <w:r w:rsidRPr="000317E5">
        <w:rPr>
          <w:rFonts w:cs="Arial"/>
          <w:szCs w:val="16"/>
        </w:rPr>
        <w:t xml:space="preserve"> A trial certificate permits the owner of one or more network units to trial new network units and services without the need for a carrier licence. A trial certificate may be issued for a period up to six months.</w:t>
      </w:r>
    </w:p>
  </w:endnote>
  <w:endnote w:id="103">
    <w:p w14:paraId="13E6EAFA" w14:textId="77777777" w:rsidR="00A803E5" w:rsidRPr="000317E5" w:rsidRDefault="00A803E5" w:rsidP="000A1CD9">
      <w:pPr>
        <w:pStyle w:val="EndnoteText"/>
        <w:rPr>
          <w:rFonts w:cs="Arial"/>
          <w:szCs w:val="16"/>
        </w:rPr>
      </w:pPr>
      <w:r w:rsidRPr="002C3191">
        <w:rPr>
          <w:rStyle w:val="EndnoteReference"/>
        </w:rPr>
        <w:endnoteRef/>
      </w:r>
      <w:r w:rsidRPr="000317E5">
        <w:rPr>
          <w:rFonts w:cs="Arial"/>
          <w:szCs w:val="16"/>
        </w:rPr>
        <w:t xml:space="preserve"> Imparja Television Pty Ltd and Southern Cross Media Group Ltd jointly control digital-only television licences, one in each of the remote central and eastern Australian television licence areas and the Mt Isa television licence area.</w:t>
      </w:r>
    </w:p>
  </w:endnote>
  <w:endnote w:id="104">
    <w:p w14:paraId="1CD1293A" w14:textId="77777777" w:rsidR="00A803E5" w:rsidRDefault="00A803E5" w:rsidP="00250A6D">
      <w:pPr>
        <w:pStyle w:val="EndnoteText"/>
      </w:pPr>
      <w:r>
        <w:rPr>
          <w:rStyle w:val="EndnoteReference"/>
        </w:rPr>
        <w:endnoteRef/>
      </w:r>
      <w:r>
        <w:t xml:space="preserve"> Thomsen, S., ‘</w:t>
      </w:r>
      <w:hyperlink r:id="rId80" w:history="1">
        <w:r w:rsidRPr="0062183E">
          <w:rPr>
            <w:rStyle w:val="Hyperlink"/>
            <w:lang w:val="en"/>
          </w:rPr>
          <w:t>ACCC gives the nod to $200 million Macquarie-Fairfax radio merger</w:t>
        </w:r>
      </w:hyperlink>
      <w:r>
        <w:rPr>
          <w:rStyle w:val="Hyperlink"/>
          <w:lang w:val="en"/>
        </w:rPr>
        <w:t>’</w:t>
      </w:r>
      <w:r>
        <w:rPr>
          <w:lang w:val="en"/>
        </w:rPr>
        <w:t xml:space="preserve">, </w:t>
      </w:r>
      <w:r w:rsidRPr="00061BB6">
        <w:rPr>
          <w:i/>
          <w:lang w:val="en"/>
        </w:rPr>
        <w:t>Business Insider</w:t>
      </w:r>
      <w:r>
        <w:rPr>
          <w:lang w:val="en"/>
        </w:rPr>
        <w:t>, 27 February 2015.</w:t>
      </w:r>
    </w:p>
  </w:endnote>
  <w:endnote w:id="105">
    <w:p w14:paraId="1F275696" w14:textId="77777777" w:rsidR="00A803E5" w:rsidRDefault="00A803E5" w:rsidP="00250A6D">
      <w:pPr>
        <w:pStyle w:val="EndnoteText"/>
      </w:pPr>
      <w:r>
        <w:rPr>
          <w:rStyle w:val="EndnoteReference"/>
        </w:rPr>
        <w:endnoteRef/>
      </w:r>
      <w:r>
        <w:t xml:space="preserve"> McClymont, K., ‘</w:t>
      </w:r>
      <w:hyperlink r:id="rId81" w:history="1">
        <w:r w:rsidRPr="0091434E">
          <w:rPr>
            <w:rStyle w:val="Hyperlink"/>
          </w:rPr>
          <w:t>Government regulator to force sale of radio station 2CH</w:t>
        </w:r>
      </w:hyperlink>
      <w:r>
        <w:rPr>
          <w:rStyle w:val="Hyperlink"/>
        </w:rPr>
        <w:t>’</w:t>
      </w:r>
      <w:r>
        <w:t xml:space="preserve">, </w:t>
      </w:r>
      <w:r>
        <w:rPr>
          <w:i/>
        </w:rPr>
        <w:t xml:space="preserve">The Sydney Morning </w:t>
      </w:r>
      <w:r w:rsidRPr="001A2B80">
        <w:rPr>
          <w:i/>
        </w:rPr>
        <w:t>Herald</w:t>
      </w:r>
      <w:r>
        <w:t xml:space="preserve">, </w:t>
      </w:r>
      <w:r w:rsidRPr="001A2B80">
        <w:t>17</w:t>
      </w:r>
      <w:r>
        <w:t xml:space="preserve"> October 2016.</w:t>
      </w:r>
    </w:p>
  </w:endnote>
  <w:endnote w:id="106">
    <w:p w14:paraId="43317B07" w14:textId="77777777" w:rsidR="00A803E5" w:rsidRPr="000317E5" w:rsidRDefault="00A803E5" w:rsidP="000A1CD9">
      <w:pPr>
        <w:pStyle w:val="EndnoteText"/>
        <w:rPr>
          <w:rFonts w:cs="Arial"/>
          <w:szCs w:val="16"/>
        </w:rPr>
      </w:pPr>
      <w:r w:rsidRPr="002C3191">
        <w:rPr>
          <w:rStyle w:val="EndnoteReference"/>
        </w:rPr>
        <w:endnoteRef/>
      </w:r>
      <w:r w:rsidRPr="000317E5">
        <w:rPr>
          <w:rFonts w:cs="Arial"/>
          <w:szCs w:val="16"/>
        </w:rPr>
        <w:t xml:space="preserve"> The ACMA accepted an enforceable undertaking and granted prior approval of the temporary breach of the limit on a person being in a position to control more than two radio licences in a licence area, requiring one commercial radio licence in Sydney to be divested by 30 March 2016.</w:t>
      </w:r>
      <w:r>
        <w:rPr>
          <w:rFonts w:cs="Arial"/>
          <w:szCs w:val="16"/>
        </w:rPr>
        <w:t xml:space="preserve"> </w:t>
      </w:r>
      <w:r w:rsidRPr="009C1BE9">
        <w:rPr>
          <w:rFonts w:cs="Arial"/>
          <w:szCs w:val="16"/>
        </w:rPr>
        <w:t>That deadline was extended to 30 September 2016.</w:t>
      </w:r>
      <w:r>
        <w:rPr>
          <w:rFonts w:cs="Arial"/>
          <w:szCs w:val="16"/>
        </w:rPr>
        <w:t xml:space="preserve"> See Section 1.10 on broadcasting services.</w:t>
      </w:r>
    </w:p>
  </w:endnote>
  <w:endnote w:id="107">
    <w:p w14:paraId="5C49A0C5" w14:textId="77777777" w:rsidR="00A803E5" w:rsidRDefault="00A803E5" w:rsidP="000A1CD9">
      <w:pPr>
        <w:pStyle w:val="EndnoteText"/>
      </w:pPr>
      <w:r>
        <w:rPr>
          <w:rStyle w:val="EndnoteReference"/>
        </w:rPr>
        <w:endnoteRef/>
      </w:r>
      <w:r>
        <w:t xml:space="preserve"> </w:t>
      </w:r>
      <w:r w:rsidRPr="009028E4">
        <w:rPr>
          <w:rFonts w:cs="Arial"/>
        </w:rPr>
        <w:t xml:space="preserve">Commercial Economic Advisory Service of Australia (CEASA), </w:t>
      </w:r>
      <w:r w:rsidRPr="00FA7DD4">
        <w:rPr>
          <w:rFonts w:cs="Arial"/>
          <w:i/>
        </w:rPr>
        <w:t>Advertising expenditure in main media: Year ended 31st December 2015</w:t>
      </w:r>
      <w:r w:rsidRPr="009028E4">
        <w:rPr>
          <w:rFonts w:cs="Arial"/>
        </w:rPr>
        <w:t>. April 2016, p. 1.</w:t>
      </w:r>
    </w:p>
  </w:endnote>
  <w:endnote w:id="108">
    <w:p w14:paraId="0FA98E9F" w14:textId="77777777" w:rsidR="00A803E5" w:rsidRDefault="00A803E5" w:rsidP="00190B12">
      <w:pPr>
        <w:spacing w:after="80"/>
        <w:rPr>
          <w:b/>
        </w:rPr>
      </w:pPr>
      <w:r w:rsidRPr="001B5D0B">
        <w:rPr>
          <w:b/>
        </w:rPr>
        <w:t>Endnotes</w:t>
      </w:r>
    </w:p>
    <w:p w14:paraId="76D11032"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ACMA-commissioned survey, </w:t>
      </w:r>
      <w:r>
        <w:rPr>
          <w:rFonts w:cs="Arial"/>
          <w:szCs w:val="16"/>
        </w:rPr>
        <w:t>June</w:t>
      </w:r>
      <w:r w:rsidRPr="00282DEE">
        <w:rPr>
          <w:rFonts w:cs="Arial"/>
          <w:szCs w:val="16"/>
        </w:rPr>
        <w:t xml:space="preserve"> 2016.</w:t>
      </w:r>
    </w:p>
  </w:endnote>
  <w:endnote w:id="109">
    <w:p w14:paraId="4D675556"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10">
    <w:p w14:paraId="104191CC"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11">
    <w:p w14:paraId="3E82F283"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12">
    <w:p w14:paraId="409E564B"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13">
    <w:p w14:paraId="156158C2"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14">
    <w:p w14:paraId="5296D854"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15">
    <w:p w14:paraId="7FF5DDC9"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16">
    <w:p w14:paraId="164A6EF8"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17">
    <w:p w14:paraId="408FD8D1"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18">
    <w:p w14:paraId="697D90A8" w14:textId="77777777" w:rsidR="00A803E5" w:rsidRPr="00282DEE" w:rsidRDefault="00A803E5" w:rsidP="000A1CD9">
      <w:pPr>
        <w:pStyle w:val="EndnoteText"/>
        <w:rPr>
          <w:rFonts w:cs="Arial"/>
          <w:szCs w:val="16"/>
          <w:lang w:val="en-US"/>
        </w:rPr>
      </w:pPr>
      <w:r w:rsidRPr="00282DEE">
        <w:rPr>
          <w:rStyle w:val="EndnoteReference"/>
          <w:rFonts w:cs="Arial"/>
          <w:szCs w:val="16"/>
        </w:rPr>
        <w:endnoteRef/>
      </w:r>
      <w:r w:rsidRPr="00282DEE">
        <w:rPr>
          <w:rFonts w:cs="Arial"/>
          <w:szCs w:val="16"/>
        </w:rPr>
        <w:t xml:space="preserve"> ABS, </w:t>
      </w:r>
      <w:hyperlink r:id="rId82" w:history="1">
        <w:r w:rsidRPr="009C1BE9">
          <w:rPr>
            <w:rStyle w:val="Hyperlink"/>
            <w:rFonts w:cs="Arial"/>
            <w:i/>
            <w:szCs w:val="16"/>
          </w:rPr>
          <w:t>Business Use of Information Technology</w:t>
        </w:r>
      </w:hyperlink>
      <w:r w:rsidRPr="00282DEE">
        <w:rPr>
          <w:rFonts w:cs="Arial"/>
          <w:szCs w:val="16"/>
        </w:rPr>
        <w:t>, 16 June 2016.</w:t>
      </w:r>
    </w:p>
  </w:endnote>
  <w:endnote w:id="119">
    <w:p w14:paraId="112368DB"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ACMA-commissioned survey, </w:t>
      </w:r>
      <w:r>
        <w:rPr>
          <w:rFonts w:cs="Arial"/>
          <w:szCs w:val="16"/>
        </w:rPr>
        <w:t>June</w:t>
      </w:r>
      <w:r w:rsidRPr="00282DEE">
        <w:rPr>
          <w:rFonts w:cs="Arial"/>
          <w:szCs w:val="16"/>
        </w:rPr>
        <w:t xml:space="preserve"> 2016.</w:t>
      </w:r>
    </w:p>
  </w:endnote>
  <w:endnote w:id="120">
    <w:p w14:paraId="167A5BA6"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Roy Morgan Single Source, June 2016.</w:t>
      </w:r>
    </w:p>
  </w:endnote>
  <w:endnote w:id="121">
    <w:p w14:paraId="6F1AAAB8"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auDA, </w:t>
      </w:r>
      <w:hyperlink r:id="rId83" w:history="1">
        <w:r w:rsidRPr="00282DEE">
          <w:rPr>
            <w:rStyle w:val="Hyperlink"/>
            <w:rFonts w:cs="Arial"/>
            <w:szCs w:val="16"/>
          </w:rPr>
          <w:t>Registry Reports</w:t>
        </w:r>
      </w:hyperlink>
      <w:r w:rsidRPr="00282DEE">
        <w:rPr>
          <w:rFonts w:cs="Arial"/>
          <w:szCs w:val="16"/>
        </w:rPr>
        <w:t>, 12 August 2016.</w:t>
      </w:r>
    </w:p>
  </w:endnote>
  <w:endnote w:id="122">
    <w:p w14:paraId="6D14569E" w14:textId="77777777" w:rsidR="00A803E5" w:rsidRPr="00282DEE" w:rsidRDefault="00A803E5" w:rsidP="000A1CD9">
      <w:pPr>
        <w:pStyle w:val="EndnoteText"/>
        <w:rPr>
          <w:rFonts w:cs="Arial"/>
          <w:szCs w:val="16"/>
          <w:lang w:val="en-US"/>
        </w:rPr>
      </w:pPr>
      <w:r w:rsidRPr="00282DEE">
        <w:rPr>
          <w:rStyle w:val="EndnoteReference"/>
          <w:rFonts w:cs="Arial"/>
          <w:szCs w:val="16"/>
        </w:rPr>
        <w:endnoteRef/>
      </w:r>
      <w:r w:rsidRPr="00282DEE">
        <w:rPr>
          <w:rFonts w:cs="Arial"/>
          <w:szCs w:val="16"/>
        </w:rPr>
        <w:t xml:space="preserve"> ABS,</w:t>
      </w:r>
      <w:r w:rsidRPr="00097E11">
        <w:rPr>
          <w:rFonts w:cs="Arial"/>
          <w:i/>
          <w:szCs w:val="16"/>
        </w:rPr>
        <w:t xml:space="preserve"> </w:t>
      </w:r>
      <w:hyperlink r:id="rId84" w:history="1">
        <w:r>
          <w:rPr>
            <w:rStyle w:val="Hyperlink"/>
            <w:rFonts w:cs="Arial"/>
            <w:i/>
            <w:szCs w:val="16"/>
          </w:rPr>
          <w:t>Business Use of I</w:t>
        </w:r>
        <w:r w:rsidRPr="00097E11">
          <w:rPr>
            <w:rStyle w:val="Hyperlink"/>
            <w:rFonts w:cs="Arial"/>
            <w:i/>
            <w:szCs w:val="16"/>
          </w:rPr>
          <w:t>nformation Technology</w:t>
        </w:r>
      </w:hyperlink>
      <w:r w:rsidRPr="00282DEE">
        <w:rPr>
          <w:rFonts w:cs="Arial"/>
          <w:szCs w:val="16"/>
        </w:rPr>
        <w:t>, 16 June 2016.</w:t>
      </w:r>
    </w:p>
  </w:endnote>
  <w:endnote w:id="123">
    <w:p w14:paraId="404BDC51"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Pew Research Center, </w:t>
      </w:r>
      <w:hyperlink r:id="rId85" w:history="1">
        <w:r w:rsidRPr="00097E11">
          <w:rPr>
            <w:rStyle w:val="Hyperlink"/>
            <w:rFonts w:cs="Arial"/>
            <w:i/>
            <w:szCs w:val="16"/>
          </w:rPr>
          <w:t>Home broadband 2015</w:t>
        </w:r>
      </w:hyperlink>
      <w:r w:rsidRPr="00282DEE">
        <w:rPr>
          <w:rFonts w:cs="Arial"/>
          <w:szCs w:val="16"/>
        </w:rPr>
        <w:t>, 21 December 2015.</w:t>
      </w:r>
    </w:p>
  </w:endnote>
  <w:endnote w:id="124">
    <w:p w14:paraId="394FDF13"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Ofcom</w:t>
      </w:r>
      <w:r w:rsidRPr="00282DEE">
        <w:rPr>
          <w:rFonts w:cs="Arial"/>
          <w:szCs w:val="16"/>
        </w:rPr>
        <w:t xml:space="preserve">, </w:t>
      </w:r>
      <w:hyperlink r:id="rId86" w:history="1">
        <w:r w:rsidRPr="00282DEE">
          <w:rPr>
            <w:rStyle w:val="Hyperlink"/>
            <w:rFonts w:cs="Arial"/>
            <w:szCs w:val="16"/>
          </w:rPr>
          <w:t xml:space="preserve">CMR Facts &amp; </w:t>
        </w:r>
        <w:r>
          <w:rPr>
            <w:rStyle w:val="Hyperlink"/>
            <w:rFonts w:cs="Arial"/>
            <w:szCs w:val="16"/>
          </w:rPr>
          <w:t>F</w:t>
        </w:r>
        <w:r w:rsidRPr="00282DEE">
          <w:rPr>
            <w:rStyle w:val="Hyperlink"/>
            <w:rFonts w:cs="Arial"/>
            <w:szCs w:val="16"/>
          </w:rPr>
          <w:t>igures 2015</w:t>
        </w:r>
      </w:hyperlink>
      <w:r w:rsidRPr="00282DEE">
        <w:rPr>
          <w:rFonts w:cs="Arial"/>
          <w:szCs w:val="16"/>
        </w:rPr>
        <w:t>, accessed 12 August 2016.</w:t>
      </w:r>
    </w:p>
  </w:endnote>
  <w:endnote w:id="125">
    <w:p w14:paraId="482DB8F7"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European Commission, </w:t>
      </w:r>
      <w:hyperlink r:id="rId87" w:history="1">
        <w:r w:rsidRPr="00097E11">
          <w:rPr>
            <w:rStyle w:val="Hyperlink"/>
            <w:rFonts w:cs="Arial"/>
            <w:i/>
            <w:szCs w:val="16"/>
          </w:rPr>
          <w:t>Special Eurobarometer 438 Report – E-Communications and the Digital Single Market</w:t>
        </w:r>
      </w:hyperlink>
      <w:r w:rsidRPr="00282DEE">
        <w:rPr>
          <w:rFonts w:cs="Arial"/>
          <w:szCs w:val="16"/>
        </w:rPr>
        <w:t>, May 2016.</w:t>
      </w:r>
    </w:p>
  </w:endnote>
  <w:endnote w:id="126">
    <w:p w14:paraId="1D1DA623"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Ofcom</w:t>
      </w:r>
      <w:r w:rsidRPr="00282DEE">
        <w:rPr>
          <w:rFonts w:cs="Arial"/>
          <w:szCs w:val="16"/>
        </w:rPr>
        <w:t xml:space="preserve">, </w:t>
      </w:r>
      <w:hyperlink r:id="rId88" w:history="1">
        <w:r w:rsidRPr="00097E11">
          <w:rPr>
            <w:rStyle w:val="Hyperlink"/>
            <w:rFonts w:cs="Arial"/>
            <w:i/>
            <w:szCs w:val="16"/>
          </w:rPr>
          <w:t>The Communications Market Report</w:t>
        </w:r>
      </w:hyperlink>
      <w:r w:rsidRPr="00282DEE">
        <w:rPr>
          <w:rFonts w:cs="Arial"/>
          <w:szCs w:val="16"/>
        </w:rPr>
        <w:t>, 4 August 2016</w:t>
      </w:r>
    </w:p>
  </w:endnote>
  <w:endnote w:id="127">
    <w:p w14:paraId="157B4E5B"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Pew Research Center, </w:t>
      </w:r>
      <w:hyperlink r:id="rId89" w:history="1">
        <w:r w:rsidRPr="00097E11">
          <w:rPr>
            <w:rStyle w:val="Hyperlink"/>
            <w:rFonts w:cs="Arial"/>
            <w:i/>
            <w:szCs w:val="16"/>
          </w:rPr>
          <w:t>Smartphone Ownership and Internet Usage Continues to Climb in Emerging Economies</w:t>
        </w:r>
      </w:hyperlink>
      <w:r w:rsidRPr="00282DEE">
        <w:rPr>
          <w:rFonts w:cs="Arial"/>
          <w:szCs w:val="16"/>
        </w:rPr>
        <w:t xml:space="preserve">, 22 February 2015. </w:t>
      </w:r>
    </w:p>
  </w:endnote>
  <w:endnote w:id="128">
    <w:p w14:paraId="3679B108"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Ofcom</w:t>
      </w:r>
      <w:r w:rsidRPr="00282DEE">
        <w:rPr>
          <w:rFonts w:cs="Arial"/>
          <w:szCs w:val="16"/>
        </w:rPr>
        <w:t xml:space="preserve">, </w:t>
      </w:r>
      <w:hyperlink r:id="rId90" w:history="1">
        <w:r w:rsidRPr="00097E11">
          <w:rPr>
            <w:rStyle w:val="Hyperlink"/>
            <w:rFonts w:cs="Arial"/>
            <w:i/>
            <w:szCs w:val="16"/>
          </w:rPr>
          <w:t>Adults’ media use and attitudes report 2016</w:t>
        </w:r>
      </w:hyperlink>
      <w:r w:rsidRPr="00282DEE">
        <w:rPr>
          <w:rFonts w:cs="Arial"/>
          <w:szCs w:val="16"/>
        </w:rPr>
        <w:t>, April 2016.</w:t>
      </w:r>
    </w:p>
  </w:endnote>
  <w:endnote w:id="129">
    <w:p w14:paraId="75894DAE"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Ofcom</w:t>
      </w:r>
      <w:r w:rsidRPr="00282DEE">
        <w:rPr>
          <w:rFonts w:cs="Arial"/>
          <w:szCs w:val="16"/>
        </w:rPr>
        <w:t xml:space="preserve">, </w:t>
      </w:r>
      <w:hyperlink r:id="rId91" w:history="1">
        <w:r w:rsidRPr="00604073">
          <w:rPr>
            <w:rStyle w:val="Hyperlink"/>
            <w:rFonts w:cs="Arial"/>
            <w:i/>
            <w:szCs w:val="16"/>
          </w:rPr>
          <w:t>The Communications Market Report</w:t>
        </w:r>
      </w:hyperlink>
      <w:r w:rsidRPr="00282DEE">
        <w:rPr>
          <w:rFonts w:cs="Arial"/>
          <w:szCs w:val="16"/>
        </w:rPr>
        <w:t>, 4 August 2016</w:t>
      </w:r>
    </w:p>
  </w:endnote>
  <w:endnote w:id="130">
    <w:p w14:paraId="2F75FAE2" w14:textId="77777777" w:rsidR="00A803E5" w:rsidRPr="00282DEE"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Ofcom</w:t>
      </w:r>
      <w:r w:rsidRPr="00282DEE">
        <w:rPr>
          <w:rFonts w:cs="Arial"/>
          <w:szCs w:val="16"/>
        </w:rPr>
        <w:t>,</w:t>
      </w:r>
      <w:r w:rsidRPr="00097E11">
        <w:rPr>
          <w:rFonts w:cs="Arial"/>
          <w:i/>
          <w:szCs w:val="16"/>
        </w:rPr>
        <w:t xml:space="preserve"> </w:t>
      </w:r>
      <w:hyperlink r:id="rId92" w:history="1">
        <w:r w:rsidRPr="00097E11">
          <w:rPr>
            <w:rStyle w:val="Hyperlink"/>
            <w:rFonts w:cs="Arial"/>
            <w:i/>
            <w:szCs w:val="16"/>
          </w:rPr>
          <w:t>Adults’ media use and attitudes report 2016</w:t>
        </w:r>
      </w:hyperlink>
      <w:r w:rsidRPr="00282DEE">
        <w:rPr>
          <w:rFonts w:cs="Arial"/>
          <w:szCs w:val="16"/>
        </w:rPr>
        <w:t xml:space="preserve">, April 2016. </w:t>
      </w:r>
    </w:p>
  </w:endnote>
  <w:endnote w:id="131">
    <w:p w14:paraId="5C266E84" w14:textId="77777777" w:rsidR="00A803E5" w:rsidRPr="00D02C7B" w:rsidRDefault="00A803E5" w:rsidP="000A1CD9">
      <w:pPr>
        <w:pStyle w:val="EndnoteText"/>
        <w:rPr>
          <w:rFonts w:cs="Arial"/>
          <w:szCs w:val="16"/>
        </w:rPr>
      </w:pPr>
      <w:r w:rsidRPr="00282DEE">
        <w:rPr>
          <w:rStyle w:val="EndnoteReference"/>
          <w:rFonts w:cs="Arial"/>
          <w:szCs w:val="16"/>
        </w:rPr>
        <w:endnoteRef/>
      </w:r>
      <w:r w:rsidRPr="00282DEE">
        <w:rPr>
          <w:rFonts w:cs="Arial"/>
          <w:szCs w:val="16"/>
        </w:rPr>
        <w:t xml:space="preserve"> </w:t>
      </w:r>
      <w:r>
        <w:rPr>
          <w:rFonts w:cs="Arial"/>
          <w:szCs w:val="16"/>
        </w:rPr>
        <w:t>I</w:t>
      </w:r>
      <w:r w:rsidRPr="00282DEE">
        <w:rPr>
          <w:rFonts w:cs="Arial"/>
          <w:szCs w:val="16"/>
        </w:rPr>
        <w:t>bid.</w:t>
      </w:r>
    </w:p>
  </w:endnote>
  <w:endnote w:id="132">
    <w:p w14:paraId="496AA38E" w14:textId="77777777" w:rsidR="00A803E5" w:rsidRDefault="00A803E5" w:rsidP="00190B12">
      <w:pPr>
        <w:spacing w:after="80"/>
        <w:rPr>
          <w:b/>
        </w:rPr>
      </w:pPr>
      <w:r w:rsidRPr="001B5D0B">
        <w:rPr>
          <w:b/>
        </w:rPr>
        <w:t>Endnotes</w:t>
      </w:r>
    </w:p>
    <w:p w14:paraId="1B11641E" w14:textId="77777777" w:rsidR="00A803E5" w:rsidRPr="00872B0A" w:rsidRDefault="00A803E5" w:rsidP="00A77EE0">
      <w:pPr>
        <w:pStyle w:val="EndnoteText"/>
      </w:pPr>
      <w:r>
        <w:rPr>
          <w:rStyle w:val="EndnoteReference"/>
        </w:rPr>
        <w:endnoteRef/>
      </w:r>
      <w:r>
        <w:t xml:space="preserve"> Pash, C., ‘</w:t>
      </w:r>
      <w:hyperlink r:id="rId93" w:history="1">
        <w:r w:rsidRPr="00C73AB6">
          <w:rPr>
            <w:rStyle w:val="Hyperlink"/>
          </w:rPr>
          <w:t>Australian music sales are growing for the first time in years thanks to streaming’</w:t>
        </w:r>
      </w:hyperlink>
      <w:r>
        <w:t xml:space="preserve">, </w:t>
      </w:r>
      <w:r>
        <w:rPr>
          <w:i/>
        </w:rPr>
        <w:t xml:space="preserve">Business Insider, </w:t>
      </w:r>
      <w:r>
        <w:t>11 April 2016.</w:t>
      </w:r>
    </w:p>
  </w:endnote>
  <w:endnote w:id="133">
    <w:p w14:paraId="053A8B19" w14:textId="77777777" w:rsidR="00A803E5" w:rsidRDefault="00A803E5" w:rsidP="00A77EE0">
      <w:pPr>
        <w:pStyle w:val="EndnoteText"/>
      </w:pPr>
      <w:r>
        <w:rPr>
          <w:rStyle w:val="EndnoteReference"/>
        </w:rPr>
        <w:endnoteRef/>
      </w:r>
      <w:r>
        <w:t xml:space="preserve"> Boyd, T., ‘</w:t>
      </w:r>
      <w:hyperlink r:id="rId94" w:history="1">
        <w:r w:rsidRPr="00C73AB6">
          <w:rPr>
            <w:rStyle w:val="Hyperlink"/>
          </w:rPr>
          <w:t>Guvera shareholders learn the hard way about ASX powers</w:t>
        </w:r>
      </w:hyperlink>
      <w:r>
        <w:t xml:space="preserve">’, </w:t>
      </w:r>
      <w:r>
        <w:rPr>
          <w:i/>
        </w:rPr>
        <w:t>Financial Review</w:t>
      </w:r>
      <w:r>
        <w:t>, 20 June 2016.</w:t>
      </w:r>
    </w:p>
  </w:endnote>
  <w:endnote w:id="134">
    <w:p w14:paraId="31F6FA67" w14:textId="77777777" w:rsidR="00A803E5" w:rsidRPr="009D3150" w:rsidRDefault="00A803E5" w:rsidP="00A77EE0">
      <w:pPr>
        <w:pStyle w:val="EndnoteText"/>
      </w:pPr>
      <w:r>
        <w:rPr>
          <w:rStyle w:val="EndnoteReference"/>
        </w:rPr>
        <w:endnoteRef/>
      </w:r>
      <w:r>
        <w:t xml:space="preserve"> </w:t>
      </w:r>
      <w:r w:rsidRPr="00604073">
        <w:rPr>
          <w:i/>
        </w:rPr>
        <w:t>Business News Australia</w:t>
      </w:r>
      <w:r>
        <w:t>, ‘</w:t>
      </w:r>
      <w:hyperlink r:id="rId95" w:history="1">
        <w:r w:rsidRPr="00C73AB6">
          <w:rPr>
            <w:rStyle w:val="Hyperlink"/>
          </w:rPr>
          <w:t>Guvera switches off in Australia’</w:t>
        </w:r>
      </w:hyperlink>
      <w:r>
        <w:t>, 29 July 2016.</w:t>
      </w:r>
    </w:p>
  </w:endnote>
  <w:endnote w:id="135">
    <w:p w14:paraId="6AF0FD5C" w14:textId="77777777" w:rsidR="00A803E5" w:rsidRDefault="00A803E5" w:rsidP="00A77EE0">
      <w:pPr>
        <w:pStyle w:val="EndnoteText"/>
      </w:pPr>
      <w:r>
        <w:rPr>
          <w:rStyle w:val="EndnoteReference"/>
        </w:rPr>
        <w:endnoteRef/>
      </w:r>
      <w:r>
        <w:t xml:space="preserve"> Brian, M., ‘</w:t>
      </w:r>
      <w:hyperlink r:id="rId96" w:history="1">
        <w:r w:rsidRPr="00C73AB6">
          <w:rPr>
            <w:rStyle w:val="Hyperlink"/>
            <w:lang w:val="en"/>
          </w:rPr>
          <w:t>Former Nokia music service MixRadio is shutting down’</w:t>
        </w:r>
      </w:hyperlink>
      <w:r>
        <w:rPr>
          <w:rFonts w:cs="Arial"/>
          <w:lang w:val="en"/>
        </w:rPr>
        <w:t xml:space="preserve">, </w:t>
      </w:r>
      <w:r>
        <w:rPr>
          <w:rFonts w:cs="Arial"/>
          <w:i/>
          <w:lang w:val="en"/>
        </w:rPr>
        <w:t>Engadget,</w:t>
      </w:r>
      <w:r>
        <w:rPr>
          <w:rFonts w:cs="Arial"/>
          <w:lang w:val="en"/>
        </w:rPr>
        <w:t xml:space="preserve"> 16 February 2016.</w:t>
      </w:r>
    </w:p>
  </w:endnote>
  <w:endnote w:id="136">
    <w:p w14:paraId="3A349840" w14:textId="77777777" w:rsidR="00A803E5" w:rsidRPr="003D0B3A" w:rsidRDefault="00A803E5" w:rsidP="00A77EE0">
      <w:pPr>
        <w:pStyle w:val="EndnoteText"/>
      </w:pPr>
      <w:r>
        <w:rPr>
          <w:rStyle w:val="EndnoteReference"/>
        </w:rPr>
        <w:endnoteRef/>
      </w:r>
      <w:r>
        <w:t xml:space="preserve"> Hayes, A., </w:t>
      </w:r>
      <w:hyperlink r:id="rId97" w:history="1">
        <w:r w:rsidRPr="00C73AB6">
          <w:rPr>
            <w:rStyle w:val="Hyperlink"/>
          </w:rPr>
          <w:t>‘</w:t>
        </w:r>
        <w:r w:rsidRPr="00C73AB6">
          <w:rPr>
            <w:rStyle w:val="Hyperlink"/>
            <w:lang w:val="en-US"/>
          </w:rPr>
          <w:t>Telstra starts Apple Music push after quietly ditching its music streaming service Mog’</w:t>
        </w:r>
      </w:hyperlink>
      <w:r>
        <w:rPr>
          <w:lang w:val="en-US"/>
        </w:rPr>
        <w:t xml:space="preserve">, </w:t>
      </w:r>
      <w:r>
        <w:rPr>
          <w:i/>
          <w:lang w:val="en-US"/>
        </w:rPr>
        <w:t>Mumbrella</w:t>
      </w:r>
      <w:r>
        <w:rPr>
          <w:lang w:val="en-US"/>
        </w:rPr>
        <w:t>, 14 September 2016.</w:t>
      </w:r>
    </w:p>
  </w:endnote>
  <w:endnote w:id="137">
    <w:p w14:paraId="0EC1A366" w14:textId="77777777" w:rsidR="00A803E5" w:rsidRPr="009B3C24" w:rsidRDefault="00A803E5" w:rsidP="00A77EE0">
      <w:pPr>
        <w:pStyle w:val="EndnoteText"/>
        <w:rPr>
          <w:i/>
        </w:rPr>
      </w:pPr>
      <w:r>
        <w:rPr>
          <w:rStyle w:val="EndnoteReference"/>
        </w:rPr>
        <w:endnoteRef/>
      </w:r>
      <w:r>
        <w:t xml:space="preserve"> Reilly, C., </w:t>
      </w:r>
      <w:hyperlink r:id="rId98" w:history="1">
        <w:r w:rsidRPr="00C73AB6">
          <w:rPr>
            <w:rStyle w:val="Hyperlink"/>
          </w:rPr>
          <w:t>‘Unmetered Apple Music and free streaming subscriptions? Telstra, thanks!’</w:t>
        </w:r>
      </w:hyperlink>
      <w:r>
        <w:t xml:space="preserve"> </w:t>
      </w:r>
      <w:r>
        <w:rPr>
          <w:i/>
        </w:rPr>
        <w:t xml:space="preserve">CNET, </w:t>
      </w:r>
      <w:r>
        <w:t>18 August 2016.</w:t>
      </w:r>
    </w:p>
  </w:endnote>
  <w:endnote w:id="138">
    <w:p w14:paraId="35A632DB" w14:textId="77777777" w:rsidR="00A803E5" w:rsidRDefault="00A803E5" w:rsidP="00A77EE0">
      <w:pPr>
        <w:pStyle w:val="EndnoteText"/>
      </w:pPr>
      <w:r>
        <w:rPr>
          <w:rStyle w:val="EndnoteReference"/>
        </w:rPr>
        <w:endnoteRef/>
      </w:r>
      <w:r>
        <w:t xml:space="preserve"> Digita</w:t>
      </w:r>
      <w:r w:rsidRPr="002700C0">
        <w:t xml:space="preserve">l Radio Plus, </w:t>
      </w:r>
      <w:r>
        <w:t>‘</w:t>
      </w:r>
      <w:hyperlink r:id="rId99" w:history="1">
        <w:r w:rsidRPr="00C73AB6">
          <w:rPr>
            <w:rStyle w:val="Hyperlink"/>
          </w:rPr>
          <w:t>DAB+ digital radio reaches 3.5m listeners’</w:t>
        </w:r>
      </w:hyperlink>
      <w:r>
        <w:rPr>
          <w:rFonts w:cs="Arial"/>
        </w:rPr>
        <w:t>, media release, 27 June 2016.</w:t>
      </w:r>
    </w:p>
  </w:endnote>
  <w:endnote w:id="139">
    <w:p w14:paraId="43F9DB3E" w14:textId="77777777" w:rsidR="00A803E5" w:rsidRPr="00940A4A" w:rsidRDefault="00A803E5" w:rsidP="00A77EE0">
      <w:pPr>
        <w:pStyle w:val="EndnoteText"/>
      </w:pPr>
      <w:r w:rsidRPr="009D54DB">
        <w:rPr>
          <w:rStyle w:val="EndnoteReference"/>
        </w:rPr>
        <w:endnoteRef/>
      </w:r>
      <w:r w:rsidRPr="00940A4A">
        <w:t xml:space="preserve"> ACMA-commissioned survey, June 2016.</w:t>
      </w:r>
    </w:p>
  </w:endnote>
  <w:endnote w:id="140">
    <w:p w14:paraId="635CB1A3" w14:textId="77777777" w:rsidR="00A803E5" w:rsidRPr="009C1BE9" w:rsidRDefault="00A803E5" w:rsidP="00A77EE0">
      <w:pPr>
        <w:pStyle w:val="EndnoteText"/>
      </w:pPr>
      <w:r w:rsidRPr="009C1BE9">
        <w:rPr>
          <w:rStyle w:val="EndnoteReference"/>
        </w:rPr>
        <w:endnoteRef/>
      </w:r>
      <w:r w:rsidRPr="009C1BE9">
        <w:t xml:space="preserve"> Ibid.</w:t>
      </w:r>
    </w:p>
  </w:endnote>
  <w:endnote w:id="141">
    <w:p w14:paraId="7617AB6E" w14:textId="77777777" w:rsidR="00A803E5" w:rsidRPr="009C1BE9" w:rsidRDefault="00A803E5" w:rsidP="00DD6238">
      <w:pPr>
        <w:pStyle w:val="EndnoteText"/>
      </w:pPr>
      <w:r w:rsidRPr="009C1BE9">
        <w:rPr>
          <w:rStyle w:val="EndnoteReference"/>
        </w:rPr>
        <w:endnoteRef/>
      </w:r>
      <w:r w:rsidRPr="009C1BE9">
        <w:t xml:space="preserve"> Ibid.</w:t>
      </w:r>
    </w:p>
  </w:endnote>
  <w:endnote w:id="142">
    <w:p w14:paraId="05188669" w14:textId="77777777" w:rsidR="00A803E5" w:rsidRDefault="00A803E5" w:rsidP="00A77EE0">
      <w:pPr>
        <w:pStyle w:val="EndnoteText"/>
      </w:pPr>
      <w:r w:rsidRPr="009C1BE9">
        <w:rPr>
          <w:rStyle w:val="EndnoteReference"/>
        </w:rPr>
        <w:endnoteRef/>
      </w:r>
      <w:r w:rsidRPr="009C1BE9">
        <w:t xml:space="preserve"> Ibid.</w:t>
      </w:r>
    </w:p>
  </w:endnote>
  <w:endnote w:id="143">
    <w:p w14:paraId="18E92FE8" w14:textId="77777777" w:rsidR="00A803E5" w:rsidRDefault="00A803E5" w:rsidP="00A77EE0">
      <w:pPr>
        <w:pStyle w:val="EndnoteText"/>
      </w:pPr>
      <w:r>
        <w:rPr>
          <w:rStyle w:val="EndnoteReference"/>
        </w:rPr>
        <w:endnoteRef/>
      </w:r>
      <w:r>
        <w:t xml:space="preserve"> Commercial Radio Australia, </w:t>
      </w:r>
      <w:hyperlink r:id="rId100" w:history="1">
        <w:r w:rsidRPr="00C73AB6">
          <w:rPr>
            <w:rStyle w:val="Hyperlink"/>
          </w:rPr>
          <w:t>‘Regional radio in the spotlight in 2016,’</w:t>
        </w:r>
      </w:hyperlink>
      <w:r>
        <w:t xml:space="preserve"> media release, 28 January 2016.</w:t>
      </w:r>
    </w:p>
  </w:endnote>
  <w:endnote w:id="144">
    <w:p w14:paraId="44DF8EE1" w14:textId="77777777" w:rsidR="00A803E5" w:rsidRDefault="00A803E5" w:rsidP="00A77EE0">
      <w:pPr>
        <w:pStyle w:val="EndnoteText"/>
      </w:pPr>
      <w:r>
        <w:rPr>
          <w:rStyle w:val="EndnoteReference"/>
        </w:rPr>
        <w:endnoteRef/>
      </w:r>
      <w:r>
        <w:t xml:space="preserve"> Zrim, L.</w:t>
      </w:r>
      <w:r w:rsidRPr="00380DFC">
        <w:t xml:space="preserve">, </w:t>
      </w:r>
      <w:hyperlink r:id="rId101" w:history="1">
        <w:r w:rsidRPr="00C73AB6">
          <w:rPr>
            <w:rStyle w:val="Hyperlink"/>
          </w:rPr>
          <w:t>‘Video On Demand To Reach Two Thirds Of Online Population In 2016’</w:t>
        </w:r>
      </w:hyperlink>
      <w:r w:rsidRPr="00380DFC">
        <w:t>,</w:t>
      </w:r>
      <w:r>
        <w:t xml:space="preserve"> </w:t>
      </w:r>
      <w:r w:rsidRPr="00604073">
        <w:t>Nielsen</w:t>
      </w:r>
      <w:r>
        <w:rPr>
          <w:i/>
        </w:rPr>
        <w:t>,</w:t>
      </w:r>
      <w:r w:rsidRPr="00380DFC">
        <w:t xml:space="preserve"> </w:t>
      </w:r>
      <w:r>
        <w:t xml:space="preserve">2 </w:t>
      </w:r>
      <w:r w:rsidRPr="00380DFC">
        <w:t>May 2016</w:t>
      </w:r>
      <w:r>
        <w:t>.</w:t>
      </w:r>
    </w:p>
  </w:endnote>
  <w:endnote w:id="145">
    <w:p w14:paraId="4F791F09" w14:textId="77777777" w:rsidR="00A803E5" w:rsidRPr="003D0B3A" w:rsidRDefault="00A803E5" w:rsidP="00A77EE0">
      <w:pPr>
        <w:pStyle w:val="EndnoteText"/>
      </w:pPr>
      <w:r>
        <w:rPr>
          <w:rStyle w:val="EndnoteReference"/>
        </w:rPr>
        <w:endnoteRef/>
      </w:r>
      <w:r>
        <w:t xml:space="preserve"> Canning, S., </w:t>
      </w:r>
      <w:hyperlink r:id="rId102" w:history="1">
        <w:r w:rsidRPr="00C73AB6">
          <w:rPr>
            <w:rStyle w:val="Hyperlink"/>
          </w:rPr>
          <w:t>‘</w:t>
        </w:r>
        <w:r w:rsidRPr="00C73AB6">
          <w:rPr>
            <w:rStyle w:val="Hyperlink"/>
            <w:lang w:val="en-US"/>
          </w:rPr>
          <w:t>Seven Network launches live streaming nearly a week ahead of schedule’</w:t>
        </w:r>
      </w:hyperlink>
      <w:r>
        <w:rPr>
          <w:lang w:val="en-US"/>
        </w:rPr>
        <w:t xml:space="preserve">, </w:t>
      </w:r>
      <w:r>
        <w:rPr>
          <w:i/>
          <w:lang w:val="en-US"/>
        </w:rPr>
        <w:t xml:space="preserve">Mumbrella, </w:t>
      </w:r>
      <w:r>
        <w:rPr>
          <w:lang w:val="en-US"/>
        </w:rPr>
        <w:t>29 October 2015.</w:t>
      </w:r>
    </w:p>
  </w:endnote>
  <w:endnote w:id="146">
    <w:p w14:paraId="74A8792D" w14:textId="77777777" w:rsidR="00A803E5" w:rsidRDefault="00A803E5" w:rsidP="00A77EE0">
      <w:pPr>
        <w:pStyle w:val="EndnoteText"/>
      </w:pPr>
      <w:r>
        <w:rPr>
          <w:rStyle w:val="EndnoteReference"/>
        </w:rPr>
        <w:endnoteRef/>
      </w:r>
      <w:r>
        <w:t xml:space="preserve"> Christensen, N., </w:t>
      </w:r>
      <w:hyperlink r:id="rId103" w:history="1">
        <w:r w:rsidRPr="00C73AB6">
          <w:rPr>
            <w:rStyle w:val="Hyperlink"/>
          </w:rPr>
          <w:t>‘</w:t>
        </w:r>
        <w:r w:rsidRPr="00C73AB6">
          <w:rPr>
            <w:rStyle w:val="Hyperlink"/>
            <w:lang w:val="en-US"/>
          </w:rPr>
          <w:t>Nine begins roll-out of catch-up and streaming service 9Now and registration system My9’</w:t>
        </w:r>
      </w:hyperlink>
      <w:r>
        <w:rPr>
          <w:lang w:val="en-US"/>
        </w:rPr>
        <w:t xml:space="preserve">, </w:t>
      </w:r>
      <w:r>
        <w:rPr>
          <w:i/>
          <w:lang w:val="en-US"/>
        </w:rPr>
        <w:t xml:space="preserve">Mumbrella, </w:t>
      </w:r>
      <w:r>
        <w:rPr>
          <w:lang w:val="en-US"/>
        </w:rPr>
        <w:t>27 January 2016.</w:t>
      </w:r>
    </w:p>
  </w:endnote>
  <w:endnote w:id="147">
    <w:p w14:paraId="7E3DBC8A" w14:textId="77777777" w:rsidR="00A803E5" w:rsidRPr="003D0B3A" w:rsidRDefault="00A803E5" w:rsidP="00A77EE0">
      <w:pPr>
        <w:pStyle w:val="EndnoteText"/>
      </w:pPr>
      <w:r>
        <w:rPr>
          <w:rStyle w:val="EndnoteReference"/>
        </w:rPr>
        <w:endnoteRef/>
      </w:r>
      <w:r>
        <w:t xml:space="preserve"> Burrowes, T., </w:t>
      </w:r>
      <w:hyperlink r:id="rId104" w:history="1">
        <w:r w:rsidRPr="00C73AB6">
          <w:rPr>
            <w:rStyle w:val="Hyperlink"/>
          </w:rPr>
          <w:t>‘</w:t>
        </w:r>
        <w:r w:rsidRPr="00C73AB6">
          <w:rPr>
            <w:rStyle w:val="Hyperlink"/>
            <w:lang w:val="en-US"/>
          </w:rPr>
          <w:t>Seven reveals new channel – 7flix’</w:t>
        </w:r>
      </w:hyperlink>
      <w:r>
        <w:rPr>
          <w:lang w:val="en-US"/>
        </w:rPr>
        <w:t xml:space="preserve">, </w:t>
      </w:r>
      <w:r>
        <w:rPr>
          <w:i/>
          <w:lang w:val="en-US"/>
        </w:rPr>
        <w:t>Mumbrella,</w:t>
      </w:r>
      <w:r>
        <w:rPr>
          <w:lang w:val="en-US"/>
        </w:rPr>
        <w:t xml:space="preserve"> 7 February 2016.</w:t>
      </w:r>
    </w:p>
  </w:endnote>
  <w:endnote w:id="148">
    <w:p w14:paraId="2176EA74" w14:textId="77777777" w:rsidR="00A803E5" w:rsidRDefault="00A803E5" w:rsidP="00A77EE0">
      <w:pPr>
        <w:pStyle w:val="EndnoteText"/>
      </w:pPr>
      <w:r>
        <w:rPr>
          <w:rStyle w:val="EndnoteReference"/>
        </w:rPr>
        <w:endnoteRef/>
      </w:r>
      <w:r>
        <w:t xml:space="preserve"> Turner, A., </w:t>
      </w:r>
      <w:hyperlink r:id="rId105" w:history="1">
        <w:r w:rsidRPr="00C73AB6">
          <w:rPr>
            <w:rStyle w:val="Hyperlink"/>
          </w:rPr>
          <w:t>‘Seven's fragmented HD revival divides a nation of viewers’</w:t>
        </w:r>
      </w:hyperlink>
      <w:r>
        <w:rPr>
          <w:rFonts w:cs="Arial"/>
          <w:color w:val="1D1D1D"/>
        </w:rPr>
        <w:t xml:space="preserve">, </w:t>
      </w:r>
      <w:r>
        <w:rPr>
          <w:rFonts w:cs="Arial"/>
          <w:i/>
          <w:color w:val="1D1D1D"/>
        </w:rPr>
        <w:t xml:space="preserve">Sydney Morning Herald, </w:t>
      </w:r>
      <w:r>
        <w:rPr>
          <w:rFonts w:cs="Arial"/>
          <w:color w:val="1D1D1D"/>
        </w:rPr>
        <w:t>11 May 2016.</w:t>
      </w:r>
    </w:p>
  </w:endnote>
  <w:endnote w:id="149">
    <w:p w14:paraId="6A0D2267" w14:textId="77777777" w:rsidR="00A803E5" w:rsidRPr="006155EB" w:rsidRDefault="00A803E5" w:rsidP="00A77EE0">
      <w:pPr>
        <w:pStyle w:val="EndnoteText"/>
      </w:pPr>
      <w:r>
        <w:rPr>
          <w:rStyle w:val="EndnoteReference"/>
        </w:rPr>
        <w:endnoteRef/>
      </w:r>
      <w:r>
        <w:t xml:space="preserve"> Jager, C., </w:t>
      </w:r>
      <w:hyperlink r:id="rId106" w:history="1">
        <w:r w:rsidRPr="00C73AB6">
          <w:rPr>
            <w:rStyle w:val="Hyperlink"/>
          </w:rPr>
          <w:t>‘</w:t>
        </w:r>
        <w:r w:rsidRPr="00C73AB6">
          <w:rPr>
            <w:rStyle w:val="Hyperlink"/>
            <w:lang w:val="en"/>
          </w:rPr>
          <w:t>How To Watch The 2016 Rio Olympics In Australia Online And For Free’</w:t>
        </w:r>
      </w:hyperlink>
      <w:r>
        <w:rPr>
          <w:lang w:val="en"/>
        </w:rPr>
        <w:t xml:space="preserve">, </w:t>
      </w:r>
      <w:r>
        <w:rPr>
          <w:i/>
          <w:lang w:val="en"/>
        </w:rPr>
        <w:t xml:space="preserve">Life Hacker Australia, </w:t>
      </w:r>
      <w:r>
        <w:rPr>
          <w:lang w:val="en"/>
        </w:rPr>
        <w:t>11 August 2016.</w:t>
      </w:r>
    </w:p>
  </w:endnote>
  <w:endnote w:id="150">
    <w:p w14:paraId="14EDC773" w14:textId="77777777" w:rsidR="00A803E5" w:rsidRDefault="00A803E5" w:rsidP="00A77EE0">
      <w:pPr>
        <w:pStyle w:val="EndnoteText"/>
      </w:pPr>
      <w:r>
        <w:rPr>
          <w:rStyle w:val="EndnoteReference"/>
        </w:rPr>
        <w:endnoteRef/>
      </w:r>
      <w:r>
        <w:t xml:space="preserve"> C-Scott, M., ‘</w:t>
      </w:r>
      <w:hyperlink r:id="rId107" w:history="1">
        <w:r w:rsidRPr="00C73AB6">
          <w:rPr>
            <w:rStyle w:val="Hyperlink"/>
            <w:lang w:val="en"/>
          </w:rPr>
          <w:t>Regional television set for a shake-up as Nine partners Southern Cross Austereo’</w:t>
        </w:r>
      </w:hyperlink>
      <w:r w:rsidRPr="009D54DB">
        <w:rPr>
          <w:rStyle w:val="Strong"/>
          <w:b w:val="0"/>
          <w:lang w:val="en"/>
        </w:rPr>
        <w:t>,</w:t>
      </w:r>
      <w:r w:rsidRPr="0038369E">
        <w:rPr>
          <w:rStyle w:val="Strong"/>
          <w:lang w:val="en"/>
        </w:rPr>
        <w:t xml:space="preserve"> </w:t>
      </w:r>
      <w:r w:rsidRPr="003C590F">
        <w:rPr>
          <w:rStyle w:val="Strong"/>
          <w:b w:val="0"/>
          <w:i/>
          <w:lang w:val="en"/>
        </w:rPr>
        <w:t>The Conversation,</w:t>
      </w:r>
      <w:r w:rsidRPr="003C590F">
        <w:rPr>
          <w:rStyle w:val="Strong"/>
          <w:b w:val="0"/>
          <w:lang w:val="en"/>
        </w:rPr>
        <w:t xml:space="preserve"> 2 May 2016</w:t>
      </w:r>
      <w:r w:rsidRPr="009D54DB">
        <w:rPr>
          <w:rStyle w:val="Strong"/>
          <w:b w:val="0"/>
          <w:lang w:val="en"/>
        </w:rPr>
        <w:t>.</w:t>
      </w:r>
    </w:p>
  </w:endnote>
  <w:endnote w:id="151">
    <w:p w14:paraId="01094E30" w14:textId="77777777" w:rsidR="00A803E5" w:rsidRPr="005D6107" w:rsidRDefault="00A803E5" w:rsidP="00A77EE0">
      <w:pPr>
        <w:pStyle w:val="EndnoteText"/>
      </w:pPr>
      <w:r>
        <w:rPr>
          <w:rStyle w:val="EndnoteReference"/>
        </w:rPr>
        <w:endnoteRef/>
      </w:r>
      <w:r>
        <w:t xml:space="preserve"> Christensen, N., </w:t>
      </w:r>
      <w:hyperlink r:id="rId108" w:history="1">
        <w:r w:rsidRPr="00C73AB6">
          <w:rPr>
            <w:rStyle w:val="Hyperlink"/>
          </w:rPr>
          <w:t>‘</w:t>
        </w:r>
        <w:r w:rsidRPr="00C73AB6">
          <w:rPr>
            <w:rStyle w:val="Hyperlink"/>
            <w:lang w:val="en-US"/>
          </w:rPr>
          <w:t>NBC Universal and Foxtel agree to provide Hayu free to Foxtel subscribers’</w:t>
        </w:r>
      </w:hyperlink>
      <w:r>
        <w:rPr>
          <w:lang w:val="en-US"/>
        </w:rPr>
        <w:t xml:space="preserve">, </w:t>
      </w:r>
      <w:r>
        <w:rPr>
          <w:i/>
          <w:lang w:val="en-US"/>
        </w:rPr>
        <w:t>Mumbrella</w:t>
      </w:r>
      <w:r>
        <w:rPr>
          <w:lang w:val="en-US"/>
        </w:rPr>
        <w:t>, 7 June 2016.</w:t>
      </w:r>
    </w:p>
  </w:endnote>
  <w:endnote w:id="152">
    <w:p w14:paraId="5D093EE2" w14:textId="77777777" w:rsidR="00A803E5" w:rsidRPr="00C339C4" w:rsidRDefault="00A803E5" w:rsidP="00A77EE0">
      <w:pPr>
        <w:pStyle w:val="EndnoteText"/>
      </w:pPr>
      <w:r>
        <w:rPr>
          <w:rStyle w:val="EndnoteReference"/>
        </w:rPr>
        <w:endnoteRef/>
      </w:r>
      <w:r>
        <w:t xml:space="preserve"> Pash, C., </w:t>
      </w:r>
      <w:hyperlink r:id="rId109" w:history="1">
        <w:r w:rsidRPr="00C73AB6">
          <w:rPr>
            <w:rStyle w:val="Hyperlink"/>
          </w:rPr>
          <w:t>‘Local Netflix competitor Stan is heading to profit’</w:t>
        </w:r>
      </w:hyperlink>
      <w:r w:rsidRPr="00C339C4">
        <w:t xml:space="preserve">, </w:t>
      </w:r>
      <w:r>
        <w:rPr>
          <w:i/>
        </w:rPr>
        <w:t>Business Insider</w:t>
      </w:r>
      <w:r>
        <w:t>, 6 May 2016.</w:t>
      </w:r>
    </w:p>
  </w:endnote>
  <w:endnote w:id="153">
    <w:p w14:paraId="46BE4DD4" w14:textId="77777777" w:rsidR="00A803E5" w:rsidRPr="00C6018F" w:rsidRDefault="00A803E5" w:rsidP="00A77EE0">
      <w:pPr>
        <w:pStyle w:val="EndnoteText"/>
      </w:pPr>
      <w:r>
        <w:rPr>
          <w:rStyle w:val="EndnoteReference"/>
        </w:rPr>
        <w:endnoteRef/>
      </w:r>
      <w:r>
        <w:t xml:space="preserve"> Mason, M., ‘</w:t>
      </w:r>
      <w:hyperlink r:id="rId110" w:history="1">
        <w:r w:rsidRPr="00C6018F">
          <w:rPr>
            <w:rStyle w:val="Hyperlink"/>
          </w:rPr>
          <w:t>Foxtel to slash IP prices, shut down Presto</w:t>
        </w:r>
      </w:hyperlink>
      <w:r>
        <w:t xml:space="preserve">’, </w:t>
      </w:r>
      <w:r>
        <w:rPr>
          <w:i/>
        </w:rPr>
        <w:t xml:space="preserve">Financial Review, </w:t>
      </w:r>
      <w:r>
        <w:t>4 October 2016.</w:t>
      </w:r>
    </w:p>
  </w:endnote>
  <w:endnote w:id="154">
    <w:p w14:paraId="0DBC8846" w14:textId="77777777" w:rsidR="00A803E5" w:rsidRPr="006E119C" w:rsidRDefault="00A803E5" w:rsidP="00A77EE0">
      <w:pPr>
        <w:pStyle w:val="EndnoteText"/>
      </w:pPr>
      <w:r>
        <w:rPr>
          <w:rStyle w:val="EndnoteReference"/>
        </w:rPr>
        <w:endnoteRef/>
      </w:r>
      <w:r>
        <w:t xml:space="preserve"> Turner, A., ‘</w:t>
      </w:r>
      <w:hyperlink r:id="rId111" w:history="1">
        <w:r w:rsidRPr="00C73AB6">
          <w:rPr>
            <w:rStyle w:val="Hyperlink"/>
          </w:rPr>
          <w:t>Hands on review: Fetch TV Mini and Mighty’</w:t>
        </w:r>
      </w:hyperlink>
      <w:r>
        <w:t xml:space="preserve">, </w:t>
      </w:r>
      <w:r>
        <w:rPr>
          <w:i/>
        </w:rPr>
        <w:t>The Sydney Morning Herald</w:t>
      </w:r>
      <w:r>
        <w:t>, 11 July 2016.</w:t>
      </w:r>
    </w:p>
  </w:endnote>
  <w:endnote w:id="155">
    <w:p w14:paraId="14C49922" w14:textId="77777777" w:rsidR="00A803E5" w:rsidRDefault="00A803E5" w:rsidP="00A77EE0">
      <w:pPr>
        <w:pStyle w:val="EndnoteText"/>
      </w:pPr>
      <w:r>
        <w:rPr>
          <w:rStyle w:val="EndnoteReference"/>
        </w:rPr>
        <w:endnoteRef/>
      </w:r>
      <w:r>
        <w:t xml:space="preserve"> </w:t>
      </w:r>
      <w:r w:rsidRPr="00604073">
        <w:rPr>
          <w:i/>
        </w:rPr>
        <w:t>Mediaweek</w:t>
      </w:r>
      <w:r w:rsidRPr="005E66BB">
        <w:t xml:space="preserve">, </w:t>
      </w:r>
      <w:hyperlink r:id="rId112" w:history="1">
        <w:r w:rsidRPr="00C73AB6">
          <w:rPr>
            <w:rStyle w:val="Hyperlink"/>
          </w:rPr>
          <w:t>‘Presto arrives on Fetch TV’</w:t>
        </w:r>
      </w:hyperlink>
      <w:r w:rsidRPr="005E66BB">
        <w:t xml:space="preserve">, </w:t>
      </w:r>
      <w:r>
        <w:t xml:space="preserve">16 </w:t>
      </w:r>
      <w:r w:rsidRPr="005E66BB">
        <w:t>June 2016</w:t>
      </w:r>
      <w:r>
        <w:t>.</w:t>
      </w:r>
    </w:p>
  </w:endnote>
  <w:endnote w:id="156">
    <w:p w14:paraId="55336D90" w14:textId="77777777" w:rsidR="00A803E5" w:rsidRPr="004A1FEF" w:rsidRDefault="00A803E5" w:rsidP="00A77EE0">
      <w:pPr>
        <w:pStyle w:val="EndnoteText"/>
      </w:pPr>
      <w:r>
        <w:rPr>
          <w:rStyle w:val="EndnoteReference"/>
        </w:rPr>
        <w:endnoteRef/>
      </w:r>
      <w:r>
        <w:t xml:space="preserve"> Griffith, C., ‘</w:t>
      </w:r>
      <w:hyperlink r:id="rId113" w:history="1">
        <w:r w:rsidRPr="00C73AB6">
          <w:rPr>
            <w:rStyle w:val="Hyperlink"/>
          </w:rPr>
          <w:t>Optus to offer 10 channels of streamed soccer on EPL app’</w:t>
        </w:r>
      </w:hyperlink>
      <w:r>
        <w:rPr>
          <w:color w:val="333333"/>
        </w:rPr>
        <w:t xml:space="preserve">, </w:t>
      </w:r>
      <w:r>
        <w:rPr>
          <w:i/>
          <w:color w:val="333333"/>
        </w:rPr>
        <w:t>The Australian</w:t>
      </w:r>
      <w:r>
        <w:rPr>
          <w:color w:val="333333"/>
        </w:rPr>
        <w:t>, 17 June 2016.</w:t>
      </w:r>
    </w:p>
  </w:endnote>
  <w:endnote w:id="157">
    <w:p w14:paraId="30FF20B4" w14:textId="77777777" w:rsidR="00A803E5" w:rsidRPr="00EB3D0D" w:rsidRDefault="00A803E5" w:rsidP="00A77EE0">
      <w:pPr>
        <w:pStyle w:val="EndnoteText"/>
      </w:pPr>
      <w:r>
        <w:rPr>
          <w:rStyle w:val="EndnoteReference"/>
        </w:rPr>
        <w:endnoteRef/>
      </w:r>
      <w:r>
        <w:t xml:space="preserve"> Wilton, P., ‘</w:t>
      </w:r>
      <w:r w:rsidRPr="00EB3D0D">
        <w:t>Telstra ups the content ante with plan refresh</w:t>
      </w:r>
      <w:r>
        <w:t xml:space="preserve">’, </w:t>
      </w:r>
      <w:r>
        <w:rPr>
          <w:i/>
        </w:rPr>
        <w:t xml:space="preserve">Communications Day, </w:t>
      </w:r>
      <w:r>
        <w:t>19 August 2016.</w:t>
      </w:r>
    </w:p>
  </w:endnote>
  <w:endnote w:id="158">
    <w:p w14:paraId="469668BD" w14:textId="77777777" w:rsidR="00A803E5" w:rsidRPr="001570BC" w:rsidRDefault="00A803E5" w:rsidP="00A77EE0">
      <w:pPr>
        <w:pStyle w:val="EndnoteText"/>
      </w:pPr>
      <w:r>
        <w:rPr>
          <w:rStyle w:val="EndnoteReference"/>
        </w:rPr>
        <w:endnoteRef/>
      </w:r>
      <w:r>
        <w:t xml:space="preserve"> </w:t>
      </w:r>
      <w:hyperlink r:id="rId114" w:history="1">
        <w:r>
          <w:rPr>
            <w:rFonts w:cs="Arial"/>
            <w:lang w:val="en"/>
          </w:rPr>
          <w:t>Roettgers</w:t>
        </w:r>
      </w:hyperlink>
      <w:r>
        <w:rPr>
          <w:rFonts w:cs="Arial"/>
          <w:lang w:val="en"/>
        </w:rPr>
        <w:t xml:space="preserve">, J., </w:t>
      </w:r>
      <w:hyperlink r:id="rId115" w:history="1">
        <w:r w:rsidRPr="00C73AB6">
          <w:rPr>
            <w:rStyle w:val="Hyperlink"/>
            <w:lang w:val="en"/>
          </w:rPr>
          <w:t>‘LG’s New TVs Mix Streaming Channels from Buzzfeed, GQ &amp; Vogue with Traditional Networks’</w:t>
        </w:r>
      </w:hyperlink>
      <w:r>
        <w:rPr>
          <w:rFonts w:cs="Arial"/>
          <w:lang w:val="en"/>
        </w:rPr>
        <w:t xml:space="preserve">, </w:t>
      </w:r>
      <w:r>
        <w:rPr>
          <w:rFonts w:cs="Arial"/>
          <w:i/>
          <w:lang w:val="en"/>
        </w:rPr>
        <w:t>Variety</w:t>
      </w:r>
      <w:r>
        <w:rPr>
          <w:rFonts w:cs="Arial"/>
          <w:lang w:val="en"/>
        </w:rPr>
        <w:t>, 8 January 2016.</w:t>
      </w:r>
    </w:p>
  </w:endnote>
  <w:endnote w:id="159">
    <w:p w14:paraId="133D0237" w14:textId="77777777" w:rsidR="00A803E5" w:rsidRDefault="00A803E5" w:rsidP="00A77EE0">
      <w:pPr>
        <w:pStyle w:val="EndnoteText"/>
      </w:pPr>
      <w:r>
        <w:rPr>
          <w:rStyle w:val="EndnoteReference"/>
        </w:rPr>
        <w:endnoteRef/>
      </w:r>
      <w:r>
        <w:t xml:space="preserve"> </w:t>
      </w:r>
      <w:r w:rsidRPr="00070D74">
        <w:t>Regional TAM, O</w:t>
      </w:r>
      <w:r>
        <w:t>z</w:t>
      </w:r>
      <w:r w:rsidRPr="00070D74">
        <w:t>T</w:t>
      </w:r>
      <w:r>
        <w:t>AM</w:t>
      </w:r>
      <w:r w:rsidRPr="00070D74">
        <w:t xml:space="preserve">, </w:t>
      </w:r>
      <w:r w:rsidRPr="00604073">
        <w:t xml:space="preserve">Nielsen, </w:t>
      </w:r>
      <w:hyperlink r:id="rId116" w:history="1">
        <w:r w:rsidRPr="00604073">
          <w:rPr>
            <w:rStyle w:val="Hyperlink"/>
            <w:i/>
          </w:rPr>
          <w:t>More Screens, Choice and Activates Across Devices: Q1 2016 Australian Multi-screen Report</w:t>
        </w:r>
      </w:hyperlink>
      <w:r>
        <w:t>, 20 July 2016.</w:t>
      </w:r>
    </w:p>
  </w:endnote>
  <w:endnote w:id="160">
    <w:p w14:paraId="268AAC82" w14:textId="77777777" w:rsidR="00A803E5" w:rsidRDefault="00A803E5" w:rsidP="00A77EE0">
      <w:pPr>
        <w:pStyle w:val="EndnoteText"/>
      </w:pPr>
      <w:r>
        <w:rPr>
          <w:rStyle w:val="EndnoteReference"/>
        </w:rPr>
        <w:endnoteRef/>
      </w:r>
      <w:r>
        <w:t xml:space="preserve"> </w:t>
      </w:r>
      <w:r w:rsidRPr="00E031A9">
        <w:t>OzT</w:t>
      </w:r>
      <w:r>
        <w:t>AM</w:t>
      </w:r>
      <w:r w:rsidRPr="00E031A9">
        <w:t xml:space="preserve">, </w:t>
      </w:r>
      <w:hyperlink r:id="rId117" w:history="1">
        <w:r w:rsidRPr="00C430DF">
          <w:rPr>
            <w:rStyle w:val="Hyperlink"/>
          </w:rPr>
          <w:t>OzTAM television ratings panels to increase by 50 percent with Nielsen contract extension</w:t>
        </w:r>
      </w:hyperlink>
      <w:r w:rsidRPr="00E031A9">
        <w:t xml:space="preserve">, </w:t>
      </w:r>
      <w:r>
        <w:t xml:space="preserve">media release, 20 </w:t>
      </w:r>
      <w:r w:rsidRPr="00E031A9">
        <w:t>July</w:t>
      </w:r>
      <w:r w:rsidRPr="00E031A9">
        <w:rPr>
          <w:vertAlign w:val="superscript"/>
        </w:rPr>
        <w:t xml:space="preserve"> </w:t>
      </w:r>
      <w:r w:rsidRPr="00E031A9">
        <w:t>2016.</w:t>
      </w:r>
      <w:r>
        <w:t xml:space="preserve"> </w:t>
      </w:r>
    </w:p>
  </w:endnote>
  <w:endnote w:id="161">
    <w:p w14:paraId="3108B75E" w14:textId="77777777" w:rsidR="00A803E5" w:rsidRDefault="00A803E5" w:rsidP="00A77EE0">
      <w:pPr>
        <w:pStyle w:val="EndnoteText"/>
      </w:pPr>
      <w:r>
        <w:rPr>
          <w:rStyle w:val="EndnoteReference"/>
        </w:rPr>
        <w:endnoteRef/>
      </w:r>
      <w:r>
        <w:t xml:space="preserve"> </w:t>
      </w:r>
      <w:r w:rsidRPr="00070D74">
        <w:t>Regional TAM, O</w:t>
      </w:r>
      <w:r>
        <w:t>z</w:t>
      </w:r>
      <w:r w:rsidRPr="00070D74">
        <w:t>T</w:t>
      </w:r>
      <w:r>
        <w:t>AM</w:t>
      </w:r>
      <w:r w:rsidRPr="00070D74">
        <w:t xml:space="preserve">, </w:t>
      </w:r>
      <w:r w:rsidRPr="00B62567">
        <w:t xml:space="preserve">Nielsen, </w:t>
      </w:r>
      <w:hyperlink r:id="rId118" w:history="1">
        <w:r w:rsidRPr="00B62567">
          <w:rPr>
            <w:rStyle w:val="Hyperlink"/>
            <w:i/>
          </w:rPr>
          <w:t>More Screens, Choice and Activates Across Devices: Q1 2016 Australian Multi-screen Report</w:t>
        </w:r>
      </w:hyperlink>
      <w:r>
        <w:t>, 20 July 2016.</w:t>
      </w:r>
      <w:r>
        <w:rPr>
          <w:rStyle w:val="A0"/>
          <w:rFonts w:eastAsia="Calibri"/>
        </w:rPr>
        <w:t xml:space="preserve"> </w:t>
      </w:r>
    </w:p>
  </w:endnote>
  <w:endnote w:id="162">
    <w:p w14:paraId="366F5735" w14:textId="77777777" w:rsidR="00A803E5" w:rsidRDefault="00A803E5" w:rsidP="00A77EE0">
      <w:pPr>
        <w:pStyle w:val="EndnoteText"/>
      </w:pPr>
      <w:r>
        <w:rPr>
          <w:rStyle w:val="EndnoteReference"/>
        </w:rPr>
        <w:endnoteRef/>
      </w:r>
      <w:r>
        <w:t xml:space="preserve"> ‘ACMA-commissioned survey, June 2015.</w:t>
      </w:r>
    </w:p>
  </w:endnote>
  <w:endnote w:id="163">
    <w:p w14:paraId="68715FB9" w14:textId="77777777" w:rsidR="00A803E5" w:rsidRDefault="00A803E5" w:rsidP="00A77EE0">
      <w:pPr>
        <w:pStyle w:val="EndnoteText"/>
      </w:pPr>
      <w:r>
        <w:rPr>
          <w:rStyle w:val="EndnoteReference"/>
        </w:rPr>
        <w:endnoteRef/>
      </w:r>
      <w:r>
        <w:t xml:space="preserve"> Zrim, L.</w:t>
      </w:r>
      <w:r w:rsidRPr="00380DFC">
        <w:t xml:space="preserve">, </w:t>
      </w:r>
      <w:r>
        <w:t>‘</w:t>
      </w:r>
      <w:hyperlink r:id="rId119" w:history="1">
        <w:r w:rsidRPr="00C430DF">
          <w:rPr>
            <w:rStyle w:val="Hyperlink"/>
          </w:rPr>
          <w:t>Video On Demand To Reach Two Thirds Of Online Population In 2016’</w:t>
        </w:r>
      </w:hyperlink>
      <w:r w:rsidRPr="00380DFC">
        <w:t>,</w:t>
      </w:r>
      <w:r>
        <w:t xml:space="preserve"> </w:t>
      </w:r>
      <w:r w:rsidRPr="00531CD0">
        <w:rPr>
          <w:i/>
        </w:rPr>
        <w:t>Nielsen</w:t>
      </w:r>
      <w:r>
        <w:rPr>
          <w:i/>
        </w:rPr>
        <w:t>,</w:t>
      </w:r>
      <w:r w:rsidRPr="00380DFC">
        <w:t xml:space="preserve"> </w:t>
      </w:r>
      <w:r>
        <w:t xml:space="preserve">2 </w:t>
      </w:r>
      <w:r w:rsidRPr="00380DFC">
        <w:t>May 2016</w:t>
      </w:r>
      <w:r>
        <w:t>.</w:t>
      </w:r>
    </w:p>
  </w:endnote>
  <w:endnote w:id="164">
    <w:p w14:paraId="60722362" w14:textId="77777777" w:rsidR="00A803E5" w:rsidRDefault="00A803E5" w:rsidP="00A77EE0">
      <w:pPr>
        <w:pStyle w:val="EndnoteText"/>
      </w:pPr>
      <w:r>
        <w:rPr>
          <w:rStyle w:val="EndnoteReference"/>
        </w:rPr>
        <w:endnoteRef/>
      </w:r>
      <w:r>
        <w:t xml:space="preserve"> Turner, Adam, </w:t>
      </w:r>
      <w:hyperlink r:id="rId120" w:history="1">
        <w:r w:rsidRPr="00C430DF">
          <w:rPr>
            <w:rStyle w:val="Hyperlink"/>
          </w:rPr>
          <w:t>SMH, Tablets killing bedroom televisions: Australian Multi-Screen Report</w:t>
        </w:r>
      </w:hyperlink>
      <w:r>
        <w:t>, 8 June 2016.</w:t>
      </w:r>
    </w:p>
  </w:endnote>
  <w:endnote w:id="165">
    <w:p w14:paraId="15C44504" w14:textId="77777777" w:rsidR="00A803E5" w:rsidRDefault="00A803E5" w:rsidP="00A77EE0">
      <w:pPr>
        <w:pStyle w:val="EndnoteText"/>
      </w:pPr>
      <w:r>
        <w:rPr>
          <w:rStyle w:val="EndnoteReference"/>
        </w:rPr>
        <w:endnoteRef/>
      </w:r>
      <w:r>
        <w:t xml:space="preserve"> </w:t>
      </w:r>
      <w:r w:rsidRPr="000317E5">
        <w:rPr>
          <w:rFonts w:cs="Arial"/>
          <w:szCs w:val="16"/>
        </w:rPr>
        <w:t xml:space="preserve">ABS, </w:t>
      </w:r>
      <w:hyperlink r:id="rId121" w:history="1">
        <w:r w:rsidRPr="009C1BE9">
          <w:rPr>
            <w:rStyle w:val="Hyperlink"/>
            <w:i/>
            <w:szCs w:val="16"/>
          </w:rPr>
          <w:t>8153.0—Internet activity</w:t>
        </w:r>
        <w:r w:rsidRPr="009C1BE9">
          <w:rPr>
            <w:rStyle w:val="Hyperlink"/>
            <w:rFonts w:cs="Arial"/>
            <w:i/>
            <w:szCs w:val="16"/>
          </w:rPr>
          <w:t>, Australia</w:t>
        </w:r>
      </w:hyperlink>
      <w:r w:rsidRPr="000317E5">
        <w:rPr>
          <w:rFonts w:cs="Arial"/>
          <w:szCs w:val="16"/>
        </w:rPr>
        <w:t>, June 201</w:t>
      </w:r>
      <w:r>
        <w:rPr>
          <w:rFonts w:cs="Arial"/>
          <w:szCs w:val="16"/>
        </w:rPr>
        <w:t>6</w:t>
      </w:r>
      <w:r w:rsidRPr="000317E5">
        <w:rPr>
          <w:rFonts w:cs="Arial"/>
          <w:szCs w:val="16"/>
        </w:rPr>
        <w:t>.</w:t>
      </w:r>
    </w:p>
  </w:endnote>
  <w:endnote w:id="166">
    <w:p w14:paraId="259858D6" w14:textId="77777777" w:rsidR="00A803E5" w:rsidRDefault="00A803E5" w:rsidP="00A77EE0">
      <w:pPr>
        <w:pStyle w:val="EndnoteText"/>
      </w:pPr>
      <w:r>
        <w:rPr>
          <w:rStyle w:val="EndnoteReference"/>
        </w:rPr>
        <w:endnoteRef/>
      </w:r>
      <w:r>
        <w:t xml:space="preserve"> Cisco, </w:t>
      </w:r>
      <w:hyperlink r:id="rId122" w:history="1">
        <w:r w:rsidRPr="00604073">
          <w:rPr>
            <w:rStyle w:val="Hyperlink"/>
            <w:i/>
          </w:rPr>
          <w:t>Cisco Visual Networking Index: Forecast and Methodology, 2015–2020</w:t>
        </w:r>
      </w:hyperlink>
      <w:r>
        <w:t>, 1 June 2016.</w:t>
      </w:r>
    </w:p>
  </w:endnote>
  <w:endnote w:id="167">
    <w:p w14:paraId="6094CDED" w14:textId="77777777" w:rsidR="00A803E5" w:rsidRDefault="00A803E5" w:rsidP="00A77EE0">
      <w:pPr>
        <w:pStyle w:val="EndnoteText"/>
      </w:pPr>
      <w:r w:rsidRPr="009C1BE9">
        <w:rPr>
          <w:rStyle w:val="EndnoteReference"/>
        </w:rPr>
        <w:endnoteRef/>
      </w:r>
      <w:r w:rsidRPr="009C1BE9">
        <w:t xml:space="preserve"> Ibid.</w:t>
      </w:r>
    </w:p>
  </w:endnote>
  <w:endnote w:id="168">
    <w:p w14:paraId="47ACE22D" w14:textId="77777777" w:rsidR="00A803E5" w:rsidRDefault="00A803E5" w:rsidP="00A77EE0">
      <w:pPr>
        <w:pStyle w:val="EndnoteText"/>
      </w:pPr>
      <w:r>
        <w:rPr>
          <w:rStyle w:val="EndnoteReference"/>
        </w:rPr>
        <w:endnoteRef/>
      </w:r>
      <w:r>
        <w:t xml:space="preserve"> </w:t>
      </w:r>
      <w:r w:rsidRPr="00070D74">
        <w:t>Regional TAM, O</w:t>
      </w:r>
      <w:r>
        <w:t>z</w:t>
      </w:r>
      <w:r w:rsidRPr="00070D74">
        <w:t>T</w:t>
      </w:r>
      <w:r>
        <w:t>AM</w:t>
      </w:r>
      <w:r w:rsidRPr="00070D74">
        <w:t xml:space="preserve">, </w:t>
      </w:r>
      <w:r w:rsidRPr="00B62567">
        <w:t xml:space="preserve">Nielsen, </w:t>
      </w:r>
      <w:hyperlink r:id="rId123" w:history="1">
        <w:r w:rsidRPr="00B62567">
          <w:rPr>
            <w:rStyle w:val="Hyperlink"/>
            <w:i/>
          </w:rPr>
          <w:t>More Screens, Choice and Activates Across Devices: Q1 2016 Australian Multi-screen Report</w:t>
        </w:r>
      </w:hyperlink>
      <w:r>
        <w:t xml:space="preserve">, 20 July 2016. </w:t>
      </w:r>
    </w:p>
  </w:endnote>
  <w:endnote w:id="169">
    <w:p w14:paraId="4E6DB376" w14:textId="77777777" w:rsidR="00A803E5" w:rsidRDefault="00A803E5" w:rsidP="00A77EE0">
      <w:pPr>
        <w:pStyle w:val="EndnoteText"/>
      </w:pPr>
      <w:r w:rsidRPr="009C1BE9">
        <w:rPr>
          <w:rStyle w:val="EndnoteReference"/>
        </w:rPr>
        <w:endnoteRef/>
      </w:r>
      <w:r w:rsidRPr="009C1BE9">
        <w:t xml:space="preserve"> Ibid.</w:t>
      </w:r>
    </w:p>
  </w:endnote>
  <w:endnote w:id="170">
    <w:p w14:paraId="618A8AE9" w14:textId="77777777" w:rsidR="00A803E5" w:rsidRDefault="00A803E5" w:rsidP="00A77EE0">
      <w:pPr>
        <w:pStyle w:val="EndnoteText"/>
      </w:pPr>
      <w:r>
        <w:rPr>
          <w:rStyle w:val="EndnoteReference"/>
        </w:rPr>
        <w:endnoteRef/>
      </w:r>
      <w:r>
        <w:t xml:space="preserve"> </w:t>
      </w:r>
      <w:r w:rsidRPr="00C66338">
        <w:t xml:space="preserve">Roy Morgan, </w:t>
      </w:r>
      <w:hyperlink r:id="rId124" w:history="1">
        <w:r w:rsidRPr="00591837">
          <w:rPr>
            <w:rStyle w:val="Hyperlink"/>
          </w:rPr>
          <w:t>‘Netflix finishes 2015 reaching 2,728,000 Australians’</w:t>
        </w:r>
      </w:hyperlink>
      <w:r w:rsidRPr="00C66338">
        <w:t xml:space="preserve">, </w:t>
      </w:r>
      <w:r>
        <w:t>19 January 2016.</w:t>
      </w:r>
    </w:p>
  </w:endnote>
  <w:endnote w:id="171">
    <w:p w14:paraId="1AFFECB5" w14:textId="77777777" w:rsidR="00A803E5" w:rsidRDefault="00A803E5" w:rsidP="00A77EE0">
      <w:pPr>
        <w:pStyle w:val="EndnoteText"/>
      </w:pPr>
      <w:r>
        <w:rPr>
          <w:rStyle w:val="EndnoteReference"/>
        </w:rPr>
        <w:endnoteRef/>
      </w:r>
      <w:r>
        <w:t xml:space="preserve"> </w:t>
      </w:r>
      <w:r w:rsidRPr="00C66338">
        <w:t xml:space="preserve">Roy Morgan, </w:t>
      </w:r>
      <w:r>
        <w:t>‘</w:t>
      </w:r>
      <w:hyperlink r:id="rId125" w:history="1">
        <w:r w:rsidRPr="00591837">
          <w:rPr>
            <w:rStyle w:val="Hyperlink"/>
          </w:rPr>
          <w:t>Five million Australians now have Netflix; Stan and Presto are still well behind, but growing’</w:t>
        </w:r>
      </w:hyperlink>
      <w:r w:rsidRPr="00C66338">
        <w:t xml:space="preserve">, </w:t>
      </w:r>
      <w:r>
        <w:t xml:space="preserve">15 </w:t>
      </w:r>
      <w:r w:rsidRPr="00C66338">
        <w:t>June 2016</w:t>
      </w:r>
      <w:r>
        <w:t>.</w:t>
      </w:r>
    </w:p>
  </w:endnote>
  <w:endnote w:id="172">
    <w:p w14:paraId="672889FC" w14:textId="77777777" w:rsidR="00A803E5" w:rsidRDefault="00A803E5" w:rsidP="00A77EE0">
      <w:pPr>
        <w:pStyle w:val="EndnoteText"/>
      </w:pPr>
      <w:r>
        <w:rPr>
          <w:rStyle w:val="EndnoteReference"/>
        </w:rPr>
        <w:endnoteRef/>
      </w:r>
      <w:r>
        <w:t xml:space="preserve"> </w:t>
      </w:r>
      <w:r w:rsidRPr="00BC31DC">
        <w:t>Telsyte</w:t>
      </w:r>
      <w:r>
        <w:t xml:space="preserve">, </w:t>
      </w:r>
      <w:hyperlink r:id="rId126" w:history="1">
        <w:r w:rsidRPr="00591837">
          <w:rPr>
            <w:rStyle w:val="Hyperlink"/>
          </w:rPr>
          <w:t>‘Strong SVOD growth creates opportunities for content providers and resellers in Australia’</w:t>
        </w:r>
      </w:hyperlink>
      <w:r>
        <w:t>, media release, 27 June 2016.</w:t>
      </w:r>
    </w:p>
  </w:endnote>
  <w:endnote w:id="173">
    <w:p w14:paraId="19426529" w14:textId="77777777" w:rsidR="00A803E5" w:rsidRDefault="00A803E5" w:rsidP="00A77EE0">
      <w:pPr>
        <w:pStyle w:val="EndnoteText"/>
      </w:pPr>
      <w:r>
        <w:rPr>
          <w:rStyle w:val="EndnoteReference"/>
        </w:rPr>
        <w:endnoteRef/>
      </w:r>
      <w:r>
        <w:t xml:space="preserve"> </w:t>
      </w:r>
      <w:r w:rsidRPr="005C068C">
        <w:t>Pash</w:t>
      </w:r>
      <w:r>
        <w:t>, C.,</w:t>
      </w:r>
      <w:r w:rsidRPr="005C068C">
        <w:t xml:space="preserve"> </w:t>
      </w:r>
      <w:hyperlink r:id="rId127" w:history="1">
        <w:r w:rsidRPr="00591837">
          <w:rPr>
            <w:rStyle w:val="Hyperlink"/>
          </w:rPr>
          <w:t>‘Stan and Presto are growing faster than Netflix’</w:t>
        </w:r>
      </w:hyperlink>
      <w:r w:rsidRPr="005C068C">
        <w:t>,</w:t>
      </w:r>
      <w:r>
        <w:t xml:space="preserve"> </w:t>
      </w:r>
      <w:r w:rsidRPr="005C068C">
        <w:rPr>
          <w:i/>
        </w:rPr>
        <w:t>Business Insider</w:t>
      </w:r>
      <w:r>
        <w:t>,</w:t>
      </w:r>
      <w:r w:rsidRPr="005C068C">
        <w:t xml:space="preserve"> </w:t>
      </w:r>
      <w:r>
        <w:t>28</w:t>
      </w:r>
      <w:r w:rsidRPr="005C068C">
        <w:t xml:space="preserve"> June 2016</w:t>
      </w:r>
      <w:r>
        <w:t>.</w:t>
      </w:r>
    </w:p>
  </w:endnote>
  <w:endnote w:id="174">
    <w:p w14:paraId="232F9CDB" w14:textId="77777777" w:rsidR="00A803E5" w:rsidRPr="008E6BEC" w:rsidRDefault="00A803E5" w:rsidP="00A77EE0">
      <w:pPr>
        <w:pStyle w:val="EndnoteText"/>
      </w:pPr>
      <w:r>
        <w:rPr>
          <w:rStyle w:val="EndnoteReference"/>
        </w:rPr>
        <w:endnoteRef/>
      </w:r>
      <w:r>
        <w:t xml:space="preserve"> </w:t>
      </w:r>
      <w:r w:rsidRPr="008E6BEC">
        <w:t>van der Draay</w:t>
      </w:r>
      <w:r>
        <w:t xml:space="preserve">, R., ‘Aussie SVOD subs to double by 2019 as local players outpace Netflix: Telsyte’, </w:t>
      </w:r>
      <w:r>
        <w:rPr>
          <w:i/>
        </w:rPr>
        <w:t>Communications Day,</w:t>
      </w:r>
      <w:r>
        <w:t xml:space="preserve"> 28 June 2016.</w:t>
      </w:r>
    </w:p>
  </w:endnote>
  <w:endnote w:id="175">
    <w:p w14:paraId="74A1318E" w14:textId="77777777" w:rsidR="00A803E5" w:rsidRDefault="00A803E5" w:rsidP="00A77EE0">
      <w:pPr>
        <w:pStyle w:val="EndnoteText"/>
      </w:pPr>
      <w:r>
        <w:rPr>
          <w:rStyle w:val="EndnoteReference"/>
        </w:rPr>
        <w:endnoteRef/>
      </w:r>
      <w:r>
        <w:t xml:space="preserve"> Telstra, transcript from ‘</w:t>
      </w:r>
      <w:hyperlink r:id="rId128" w:history="1">
        <w:r w:rsidRPr="00BC31DC">
          <w:rPr>
            <w:rStyle w:val="Hyperlink"/>
          </w:rPr>
          <w:t>Full Year 2016 Results – CEO/CFO Analyst Briefing Presentation’</w:t>
        </w:r>
      </w:hyperlink>
      <w:r>
        <w:t>, 11 August 2016.</w:t>
      </w:r>
    </w:p>
  </w:endnote>
  <w:endnote w:id="176">
    <w:p w14:paraId="66F71709" w14:textId="77777777" w:rsidR="00A803E5" w:rsidRDefault="00A803E5" w:rsidP="00A77EE0">
      <w:pPr>
        <w:pStyle w:val="EndnoteText"/>
      </w:pPr>
      <w:r>
        <w:rPr>
          <w:rStyle w:val="EndnoteReference"/>
        </w:rPr>
        <w:endnoteRef/>
      </w:r>
      <w:r>
        <w:t xml:space="preserve"> </w:t>
      </w:r>
      <w:r w:rsidRPr="00C66338">
        <w:t xml:space="preserve">Roy Morgan, </w:t>
      </w:r>
      <w:r>
        <w:t>‘</w:t>
      </w:r>
      <w:hyperlink r:id="rId129" w:history="1">
        <w:r w:rsidRPr="00591837">
          <w:rPr>
            <w:rStyle w:val="Hyperlink"/>
          </w:rPr>
          <w:t>1 in 7 Australians now watch no Commercial TV, nearly half of all broadcasting reaches people 50+, and those with SVOD watch 30 minutes less a day’</w:t>
        </w:r>
      </w:hyperlink>
      <w:r w:rsidRPr="00C66338">
        <w:t xml:space="preserve">, </w:t>
      </w:r>
      <w:r>
        <w:t>1 February</w:t>
      </w:r>
      <w:r w:rsidRPr="00C66338">
        <w:t xml:space="preserve"> 2016</w:t>
      </w:r>
      <w:r>
        <w:t xml:space="preserve">. </w:t>
      </w:r>
    </w:p>
  </w:endnote>
  <w:endnote w:id="177">
    <w:p w14:paraId="303B9740" w14:textId="77777777" w:rsidR="00A803E5" w:rsidRDefault="00A803E5" w:rsidP="00A77EE0">
      <w:pPr>
        <w:pStyle w:val="EndnoteText"/>
      </w:pPr>
      <w:r>
        <w:rPr>
          <w:rStyle w:val="EndnoteReference"/>
        </w:rPr>
        <w:endnoteRef/>
      </w:r>
      <w:r>
        <w:t xml:space="preserve"> </w:t>
      </w:r>
      <w:r w:rsidRPr="00AD5511">
        <w:t xml:space="preserve">Deloitte, </w:t>
      </w:r>
      <w:hyperlink r:id="rId130" w:history="1">
        <w:r w:rsidRPr="00604073">
          <w:rPr>
            <w:rStyle w:val="Hyperlink"/>
            <w:i/>
          </w:rPr>
          <w:t>Media Consumer Survey 2015—Australian media and digital preferences</w:t>
        </w:r>
        <w:r w:rsidRPr="003C590F">
          <w:rPr>
            <w:rStyle w:val="Hyperlink"/>
          </w:rPr>
          <w:t>,</w:t>
        </w:r>
      </w:hyperlink>
      <w:r w:rsidRPr="00AD5511">
        <w:t xml:space="preserve"> </w:t>
      </w:r>
      <w:r>
        <w:t>4th</w:t>
      </w:r>
      <w:r w:rsidRPr="00AD5511">
        <w:t xml:space="preserve"> edition.</w:t>
      </w:r>
    </w:p>
  </w:endnote>
  <w:endnote w:id="178">
    <w:p w14:paraId="79264A10" w14:textId="77777777" w:rsidR="00A803E5" w:rsidRPr="00585E33" w:rsidRDefault="00A803E5" w:rsidP="00A77EE0">
      <w:pPr>
        <w:pStyle w:val="EndnoteText"/>
      </w:pPr>
      <w:r>
        <w:rPr>
          <w:rStyle w:val="EndnoteReference"/>
        </w:rPr>
        <w:endnoteRef/>
      </w:r>
      <w:r>
        <w:t xml:space="preserve"> White, D. and Mason, M., ‘</w:t>
      </w:r>
      <w:hyperlink r:id="rId131" w:history="1">
        <w:r w:rsidRPr="00591837">
          <w:rPr>
            <w:rStyle w:val="Hyperlink"/>
          </w:rPr>
          <w:t>Greg Hywood flags future print changes as Fairfax embraces 24/7 digital,</w:t>
        </w:r>
      </w:hyperlink>
      <w:r>
        <w:t xml:space="preserve">’ </w:t>
      </w:r>
      <w:r>
        <w:rPr>
          <w:i/>
        </w:rPr>
        <w:t>The Sydney Morning Herald</w:t>
      </w:r>
      <w:r>
        <w:t>, 6 May 2016.</w:t>
      </w:r>
    </w:p>
  </w:endnote>
  <w:endnote w:id="179">
    <w:p w14:paraId="4CF44385" w14:textId="77777777" w:rsidR="00A803E5" w:rsidRDefault="00A803E5" w:rsidP="00A77EE0">
      <w:pPr>
        <w:pStyle w:val="EndnoteText"/>
      </w:pPr>
      <w:r>
        <w:rPr>
          <w:rStyle w:val="EndnoteReference"/>
        </w:rPr>
        <w:endnoteRef/>
      </w:r>
      <w:r>
        <w:t xml:space="preserve"> </w:t>
      </w:r>
      <w:r w:rsidRPr="00F64058">
        <w:rPr>
          <w:szCs w:val="16"/>
        </w:rPr>
        <w:t>ACMA</w:t>
      </w:r>
      <w:r>
        <w:rPr>
          <w:szCs w:val="16"/>
        </w:rPr>
        <w:t>-commissioned surveys, May 2015 and June 2016.</w:t>
      </w:r>
    </w:p>
  </w:endnote>
  <w:endnote w:id="180">
    <w:p w14:paraId="51CF1AF5" w14:textId="77777777" w:rsidR="00A803E5" w:rsidRDefault="00A803E5" w:rsidP="00A77EE0">
      <w:pPr>
        <w:pStyle w:val="EndnoteText"/>
      </w:pPr>
      <w:r>
        <w:rPr>
          <w:rStyle w:val="EndnoteReference"/>
        </w:rPr>
        <w:endnoteRef/>
      </w:r>
      <w:r>
        <w:t xml:space="preserve"> </w:t>
      </w:r>
      <w:r w:rsidRPr="00AD5511">
        <w:t xml:space="preserve">Deloitte, </w:t>
      </w:r>
      <w:hyperlink r:id="rId132" w:history="1">
        <w:r w:rsidRPr="00604073">
          <w:rPr>
            <w:rStyle w:val="Hyperlink"/>
            <w:i/>
          </w:rPr>
          <w:t>Media Consumer Survey 2016—Australian media and digital preferences</w:t>
        </w:r>
      </w:hyperlink>
      <w:r w:rsidRPr="00AD5511">
        <w:t xml:space="preserve">, </w:t>
      </w:r>
      <w:r>
        <w:t>5th</w:t>
      </w:r>
      <w:r w:rsidRPr="00AD5511">
        <w:t xml:space="preserve"> edition.</w:t>
      </w:r>
    </w:p>
  </w:endnote>
  <w:endnote w:id="181">
    <w:p w14:paraId="114A1A73" w14:textId="77777777" w:rsidR="00A803E5" w:rsidRPr="009C1BE9" w:rsidRDefault="00A803E5" w:rsidP="00A77EE0">
      <w:pPr>
        <w:pStyle w:val="EndnoteText"/>
      </w:pPr>
      <w:r w:rsidRPr="009C1BE9">
        <w:rPr>
          <w:rStyle w:val="EndnoteReference"/>
        </w:rPr>
        <w:endnoteRef/>
      </w:r>
      <w:r w:rsidRPr="009C1BE9">
        <w:t xml:space="preserve"> Ibid.</w:t>
      </w:r>
    </w:p>
  </w:endnote>
  <w:endnote w:id="182">
    <w:p w14:paraId="62E56167" w14:textId="77777777" w:rsidR="00A803E5" w:rsidRPr="009C1BE9" w:rsidRDefault="00A803E5" w:rsidP="00A77EE0">
      <w:pPr>
        <w:pStyle w:val="EndnoteText"/>
      </w:pPr>
      <w:r w:rsidRPr="009C1BE9">
        <w:rPr>
          <w:rStyle w:val="EndnoteReference"/>
        </w:rPr>
        <w:endnoteRef/>
      </w:r>
      <w:r w:rsidRPr="009C1BE9">
        <w:t xml:space="preserve"> Ibid.</w:t>
      </w:r>
    </w:p>
  </w:endnote>
  <w:endnote w:id="183">
    <w:p w14:paraId="14D68C08" w14:textId="77777777" w:rsidR="00A803E5" w:rsidRPr="009C1BE9" w:rsidRDefault="00A803E5" w:rsidP="00A77EE0">
      <w:pPr>
        <w:pStyle w:val="EndnoteText"/>
      </w:pPr>
      <w:r w:rsidRPr="009C1BE9">
        <w:rPr>
          <w:rStyle w:val="EndnoteReference"/>
        </w:rPr>
        <w:endnoteRef/>
      </w:r>
      <w:r w:rsidRPr="009C1BE9">
        <w:t xml:space="preserve"> Ibid.</w:t>
      </w:r>
    </w:p>
  </w:endnote>
  <w:endnote w:id="184">
    <w:p w14:paraId="05C6B9B2" w14:textId="77777777" w:rsidR="00A803E5" w:rsidRDefault="00A803E5" w:rsidP="00A77EE0">
      <w:pPr>
        <w:pStyle w:val="EndnoteText"/>
      </w:pPr>
      <w:r w:rsidRPr="009C1BE9">
        <w:rPr>
          <w:rStyle w:val="EndnoteReference"/>
        </w:rPr>
        <w:endnoteRef/>
      </w:r>
      <w:r w:rsidRPr="009C1BE9">
        <w:t xml:space="preserve"> Ibid.</w:t>
      </w:r>
    </w:p>
  </w:endnote>
  <w:endnote w:id="185">
    <w:p w14:paraId="33CE8A47" w14:textId="77777777" w:rsidR="00A803E5" w:rsidRDefault="00A803E5" w:rsidP="00A77EE0">
      <w:pPr>
        <w:pStyle w:val="EndnoteText"/>
      </w:pPr>
      <w:r>
        <w:rPr>
          <w:rStyle w:val="EndnoteReference"/>
        </w:rPr>
        <w:endnoteRef/>
      </w:r>
      <w:r>
        <w:t xml:space="preserve"> Reuters Institute, ‘</w:t>
      </w:r>
      <w:hyperlink r:id="rId133" w:history="1">
        <w:r w:rsidRPr="00604073">
          <w:rPr>
            <w:rStyle w:val="Hyperlink"/>
            <w:i/>
          </w:rPr>
          <w:t>Reuters Institute Digital News Report 2016’</w:t>
        </w:r>
      </w:hyperlink>
      <w:r>
        <w:t xml:space="preserve">, </w:t>
      </w:r>
      <w:r w:rsidRPr="00604073">
        <w:t>14 June 2016</w:t>
      </w:r>
      <w:r w:rsidRPr="00E9110F">
        <w:t>.</w:t>
      </w:r>
    </w:p>
  </w:endnote>
  <w:endnote w:id="186">
    <w:p w14:paraId="159B8A81" w14:textId="77777777" w:rsidR="00A803E5" w:rsidRDefault="00A803E5" w:rsidP="00A77EE0">
      <w:pPr>
        <w:pStyle w:val="EndnoteText"/>
      </w:pPr>
      <w:r>
        <w:rPr>
          <w:rStyle w:val="EndnoteReference"/>
        </w:rPr>
        <w:endnoteRef/>
      </w:r>
      <w:r>
        <w:t xml:space="preserve"> Nielsen, ‘</w:t>
      </w:r>
      <w:hyperlink r:id="rId134" w:history="1">
        <w:r w:rsidRPr="00591837">
          <w:rPr>
            <w:rStyle w:val="Hyperlink"/>
          </w:rPr>
          <w:t>Social Media Brands Grow and Shifts in News Rankings’</w:t>
        </w:r>
      </w:hyperlink>
      <w:r>
        <w:t>, media release, 27 July 2016.</w:t>
      </w:r>
    </w:p>
  </w:endnote>
  <w:endnote w:id="187">
    <w:p w14:paraId="0B1D3FFF" w14:textId="77777777" w:rsidR="00A803E5" w:rsidRDefault="00A803E5" w:rsidP="00A77EE0">
      <w:pPr>
        <w:pStyle w:val="EndnoteText"/>
      </w:pPr>
      <w:r>
        <w:rPr>
          <w:rStyle w:val="EndnoteReference"/>
        </w:rPr>
        <w:endnoteRef/>
      </w:r>
      <w:r>
        <w:t xml:space="preserve"> Essential Report, ‘</w:t>
      </w:r>
      <w:r w:rsidRPr="00604073">
        <w:rPr>
          <w:i/>
        </w:rPr>
        <w:t>Trust in media’</w:t>
      </w:r>
      <w:r>
        <w:rPr>
          <w:rFonts w:cs="Arial"/>
          <w:lang w:val="en-US"/>
        </w:rPr>
        <w:t>, 2 August 2016, 2 February 2016, 23 June 2015.</w:t>
      </w:r>
    </w:p>
  </w:endnote>
  <w:endnote w:id="188">
    <w:p w14:paraId="7C2CD7E6" w14:textId="77777777" w:rsidR="00A803E5" w:rsidRDefault="00A803E5" w:rsidP="00A77EE0">
      <w:pPr>
        <w:pStyle w:val="EndnoteText"/>
      </w:pPr>
      <w:r>
        <w:rPr>
          <w:rStyle w:val="EndnoteReference"/>
        </w:rPr>
        <w:endnoteRef/>
      </w:r>
      <w:r>
        <w:t xml:space="preserve"> ACMA-commissioned survey, June 2016.</w:t>
      </w:r>
    </w:p>
  </w:endnote>
  <w:endnote w:id="189">
    <w:p w14:paraId="5F639095" w14:textId="77777777" w:rsidR="00A803E5" w:rsidRDefault="00A803E5" w:rsidP="00A77EE0">
      <w:pPr>
        <w:pStyle w:val="EndnoteText"/>
      </w:pPr>
      <w:r w:rsidRPr="009C1BE9">
        <w:rPr>
          <w:rStyle w:val="EndnoteReference"/>
        </w:rPr>
        <w:endnoteRef/>
      </w:r>
      <w:r w:rsidRPr="009C1BE9">
        <w:t xml:space="preserve"> Ibid.</w:t>
      </w:r>
    </w:p>
  </w:endnote>
  <w:endnote w:id="190">
    <w:p w14:paraId="09AE920D" w14:textId="77777777" w:rsidR="00A803E5" w:rsidRPr="00CF02AF" w:rsidRDefault="00A803E5" w:rsidP="00A77EE0">
      <w:pPr>
        <w:pStyle w:val="EndnoteText"/>
        <w:keepNext/>
        <w:keepLines/>
        <w:rPr>
          <w:rFonts w:cs="Arial"/>
          <w:szCs w:val="16"/>
          <w:lang w:val="en-US"/>
        </w:rPr>
      </w:pPr>
      <w:r w:rsidRPr="00CF02AF">
        <w:rPr>
          <w:rStyle w:val="EndnoteReference"/>
          <w:rFonts w:cs="Arial"/>
          <w:szCs w:val="16"/>
        </w:rPr>
        <w:endnoteRef/>
      </w:r>
      <w:r w:rsidRPr="00CF02AF">
        <w:rPr>
          <w:rFonts w:cs="Arial"/>
          <w:szCs w:val="16"/>
          <w:lang w:val="en-US"/>
        </w:rPr>
        <w:t xml:space="preserve"> The scheme imposes a spending obligation on subscription television broadcasting licensees and channel providers on Australian and New Zealand programs, but there is no requirement to broadcast such programs</w:t>
      </w:r>
      <w:r>
        <w:rPr>
          <w:rFonts w:cs="Arial"/>
          <w:szCs w:val="16"/>
          <w:lang w:val="en-US"/>
        </w:rPr>
        <w:t>.</w:t>
      </w:r>
    </w:p>
  </w:endnote>
  <w:endnote w:id="191">
    <w:p w14:paraId="0925C21C" w14:textId="77777777" w:rsidR="00A803E5" w:rsidRPr="00CF02AF" w:rsidRDefault="00A803E5" w:rsidP="00A77EE0">
      <w:pPr>
        <w:pStyle w:val="EndnoteText"/>
        <w:keepNext/>
        <w:keepLines/>
        <w:rPr>
          <w:rFonts w:cs="Arial"/>
          <w:szCs w:val="16"/>
          <w:lang w:val="en-US"/>
        </w:rPr>
      </w:pPr>
      <w:r w:rsidRPr="00CF02AF">
        <w:rPr>
          <w:rStyle w:val="EndnoteReference"/>
          <w:rFonts w:cs="Arial"/>
          <w:szCs w:val="16"/>
        </w:rPr>
        <w:endnoteRef/>
      </w:r>
      <w:r w:rsidRPr="00CF02AF">
        <w:rPr>
          <w:rFonts w:cs="Arial"/>
          <w:szCs w:val="16"/>
          <w:lang w:val="en-US"/>
        </w:rPr>
        <w:t xml:space="preserve"> This is the most recent available data at time of publication</w:t>
      </w:r>
      <w:r>
        <w:rPr>
          <w:rFonts w:cs="Arial"/>
          <w:szCs w:val="16"/>
          <w:lang w:val="en-US"/>
        </w:rPr>
        <w:t>.</w:t>
      </w:r>
    </w:p>
  </w:endnote>
  <w:endnote w:id="192">
    <w:p w14:paraId="0894674B" w14:textId="77777777" w:rsidR="00A803E5" w:rsidRDefault="00A803E5" w:rsidP="00A77EE0">
      <w:pPr>
        <w:pStyle w:val="EndnoteText"/>
      </w:pPr>
      <w:r>
        <w:rPr>
          <w:rStyle w:val="EndnoteReference"/>
        </w:rPr>
        <w:endnoteRef/>
      </w:r>
      <w:r>
        <w:t xml:space="preserve"> ACMA-commissioned survey, June 2016.</w:t>
      </w:r>
    </w:p>
  </w:endnote>
  <w:endnote w:id="193">
    <w:p w14:paraId="404B67C9" w14:textId="77777777" w:rsidR="00A803E5" w:rsidRPr="00CF02AF" w:rsidRDefault="00A803E5" w:rsidP="00A77EE0">
      <w:pPr>
        <w:pStyle w:val="EndnoteText"/>
        <w:rPr>
          <w:rFonts w:cs="Arial"/>
          <w:szCs w:val="16"/>
        </w:rPr>
      </w:pPr>
      <w:r w:rsidRPr="00C05F4C">
        <w:rPr>
          <w:rStyle w:val="EndnoteReference"/>
          <w:rFonts w:cs="Arial"/>
          <w:szCs w:val="16"/>
        </w:rPr>
        <w:endnoteRef/>
      </w:r>
      <w:r w:rsidRPr="00C05F4C">
        <w:rPr>
          <w:rFonts w:cs="Arial"/>
          <w:szCs w:val="16"/>
        </w:rPr>
        <w:t xml:space="preserve"> </w:t>
      </w:r>
      <w:r>
        <w:rPr>
          <w:rFonts w:cs="Arial"/>
          <w:szCs w:val="16"/>
        </w:rPr>
        <w:t>The following services are exempt from local content obligation—</w:t>
      </w:r>
      <w:r w:rsidRPr="00C05F4C">
        <w:rPr>
          <w:rFonts w:cs="Arial"/>
          <w:szCs w:val="16"/>
        </w:rPr>
        <w:t>regional</w:t>
      </w:r>
      <w:r w:rsidRPr="00CF02AF">
        <w:rPr>
          <w:rFonts w:cs="Arial"/>
          <w:szCs w:val="16"/>
        </w:rPr>
        <w:t xml:space="preserve"> commercial radio broadcasting services licensed under section 40 of the </w:t>
      </w:r>
      <w:r>
        <w:rPr>
          <w:rFonts w:cs="Arial"/>
          <w:szCs w:val="16"/>
        </w:rPr>
        <w:t xml:space="preserve">BSA, regional racing services and </w:t>
      </w:r>
      <w:r w:rsidRPr="00CF02AF">
        <w:rPr>
          <w:rFonts w:cs="Arial"/>
          <w:szCs w:val="16"/>
        </w:rPr>
        <w:t>remote licences</w:t>
      </w:r>
      <w:r>
        <w:rPr>
          <w:rFonts w:cs="Arial"/>
          <w:szCs w:val="16"/>
        </w:rPr>
        <w:t>.</w:t>
      </w:r>
    </w:p>
  </w:endnote>
  <w:endnote w:id="194">
    <w:p w14:paraId="27D9650F" w14:textId="77777777" w:rsidR="00A803E5" w:rsidRPr="00D41B98" w:rsidRDefault="00A803E5" w:rsidP="00A77EE0">
      <w:pPr>
        <w:pStyle w:val="EndnoteText"/>
        <w:rPr>
          <w:rFonts w:cs="Arial"/>
          <w:szCs w:val="16"/>
          <w:lang w:val="en-US"/>
        </w:rPr>
      </w:pPr>
      <w:r w:rsidRPr="001F0EB6">
        <w:rPr>
          <w:rStyle w:val="EndnoteReference"/>
          <w:rFonts w:cs="Arial"/>
          <w:szCs w:val="16"/>
        </w:rPr>
        <w:endnoteRef/>
      </w:r>
      <w:r>
        <w:rPr>
          <w:rFonts w:cs="Arial"/>
          <w:szCs w:val="16"/>
        </w:rPr>
        <w:t xml:space="preserve"> S</w:t>
      </w:r>
      <w:r w:rsidRPr="00C845DD">
        <w:rPr>
          <w:rFonts w:cs="Arial"/>
          <w:szCs w:val="16"/>
          <w:lang w:val="en-US"/>
        </w:rPr>
        <w:t>ubject to certain exceptions, a ‘trigger event’ is defined as: (a) a change in control of a regional commercial radio licence, (b) the formation of a new registrable media group where a regional commercial radio broadcasting licence is in the group or (c) a change in controller of a registrable media group where a regional commercial radio broadcasting licence is in the group.</w:t>
      </w:r>
    </w:p>
  </w:endnote>
  <w:endnote w:id="195">
    <w:p w14:paraId="5A06BE86" w14:textId="77777777" w:rsidR="00A803E5" w:rsidRDefault="00A803E5" w:rsidP="00A77EE0">
      <w:pPr>
        <w:pStyle w:val="EndnoteText"/>
      </w:pPr>
      <w:r>
        <w:rPr>
          <w:rStyle w:val="EndnoteReference"/>
        </w:rPr>
        <w:endnoteRef/>
      </w:r>
      <w:r>
        <w:t xml:space="preserve"> The following services are exempt from minimum service standards and local presence obligations—</w:t>
      </w:r>
      <w:r w:rsidRPr="00C05F4C">
        <w:rPr>
          <w:rFonts w:cs="Arial"/>
          <w:szCs w:val="16"/>
        </w:rPr>
        <w:t>regional</w:t>
      </w:r>
      <w:r w:rsidRPr="00CF02AF">
        <w:rPr>
          <w:rFonts w:cs="Arial"/>
          <w:szCs w:val="16"/>
        </w:rPr>
        <w:t xml:space="preserve"> commercial radio broadcasting services licensed under section 40 of the </w:t>
      </w:r>
      <w:r>
        <w:rPr>
          <w:rFonts w:cs="Arial"/>
          <w:szCs w:val="16"/>
        </w:rPr>
        <w:t xml:space="preserve">BSA, regional racing services and </w:t>
      </w:r>
      <w:r w:rsidRPr="00CF02AF">
        <w:rPr>
          <w:rFonts w:cs="Arial"/>
          <w:szCs w:val="16"/>
        </w:rPr>
        <w:t>remote licences</w:t>
      </w:r>
      <w:r>
        <w:rPr>
          <w:rFonts w:cs="Arial"/>
          <w:szCs w:val="16"/>
        </w:rPr>
        <w:t>.</w:t>
      </w:r>
    </w:p>
  </w:endnote>
  <w:endnote w:id="196">
    <w:p w14:paraId="4FC7FEDC" w14:textId="77777777" w:rsidR="00A803E5" w:rsidRDefault="00A803E5" w:rsidP="00A77EE0">
      <w:pPr>
        <w:pStyle w:val="EndnoteText"/>
      </w:pPr>
      <w:r>
        <w:rPr>
          <w:rStyle w:val="EndnoteReference"/>
        </w:rPr>
        <w:endnoteRef/>
      </w:r>
      <w:r>
        <w:t xml:space="preserve"> </w:t>
      </w:r>
      <w:r w:rsidRPr="0015506D">
        <w:t xml:space="preserve">Department of Communications, </w:t>
      </w:r>
      <w:hyperlink r:id="rId135" w:history="1">
        <w:r w:rsidRPr="00604073">
          <w:rPr>
            <w:rStyle w:val="Hyperlink"/>
            <w:i/>
          </w:rPr>
          <w:t>Digital Radio Report</w:t>
        </w:r>
      </w:hyperlink>
      <w:r>
        <w:t>, July 2015.</w:t>
      </w:r>
    </w:p>
  </w:endnote>
  <w:endnote w:id="197">
    <w:p w14:paraId="46891224" w14:textId="77777777" w:rsidR="00A803E5" w:rsidRDefault="00A803E5" w:rsidP="00A77EE0">
      <w:pPr>
        <w:pStyle w:val="EndnoteText"/>
      </w:pPr>
      <w:r>
        <w:rPr>
          <w:rStyle w:val="EndnoteReference"/>
        </w:rPr>
        <w:endnoteRef/>
      </w:r>
      <w:r>
        <w:t xml:space="preserve"> A</w:t>
      </w:r>
      <w:r w:rsidRPr="00F458C7">
        <w:t>reas</w:t>
      </w:r>
      <w:r>
        <w:t xml:space="preserve"> </w:t>
      </w:r>
      <w:r w:rsidRPr="00F458C7">
        <w:t>with less than 30</w:t>
      </w:r>
      <w:r>
        <w:t xml:space="preserve"> per cent</w:t>
      </w:r>
      <w:r w:rsidRPr="00F458C7">
        <w:t xml:space="preserve"> overlap with another licence area</w:t>
      </w:r>
      <w:r>
        <w:t xml:space="preserve">. </w:t>
      </w:r>
    </w:p>
  </w:endnote>
  <w:endnote w:id="198">
    <w:p w14:paraId="1389CF37" w14:textId="77777777" w:rsidR="00A803E5" w:rsidRDefault="00A803E5" w:rsidP="00A77EE0">
      <w:pPr>
        <w:pStyle w:val="EndnoteText"/>
      </w:pPr>
      <w:r>
        <w:rPr>
          <w:rStyle w:val="EndnoteReference"/>
        </w:rPr>
        <w:endnoteRef/>
      </w:r>
      <w:r>
        <w:t xml:space="preserve"> Office of the Children’s eSafety Commissioner, </w:t>
      </w:r>
      <w:hyperlink r:id="rId136" w:history="1">
        <w:r w:rsidRPr="00604073">
          <w:rPr>
            <w:rStyle w:val="Hyperlink"/>
            <w:i/>
          </w:rPr>
          <w:t>12 month report card</w:t>
        </w:r>
      </w:hyperlink>
      <w:r>
        <w:t>, accessed 22 September 2016.</w:t>
      </w:r>
    </w:p>
  </w:endnote>
  <w:endnote w:id="199">
    <w:p w14:paraId="28DF262E" w14:textId="77777777" w:rsidR="00A803E5" w:rsidRDefault="00A803E5" w:rsidP="000B52D7">
      <w:pPr>
        <w:spacing w:after="80"/>
        <w:rPr>
          <w:b/>
        </w:rPr>
      </w:pPr>
      <w:r w:rsidRPr="001B5D0B">
        <w:rPr>
          <w:b/>
        </w:rPr>
        <w:t>Endnotes</w:t>
      </w:r>
    </w:p>
    <w:p w14:paraId="13C88B34" w14:textId="77777777" w:rsidR="00A803E5" w:rsidRPr="0032755E" w:rsidRDefault="00A803E5" w:rsidP="000B52D7">
      <w:pPr>
        <w:pStyle w:val="EndnoteText"/>
        <w:rPr>
          <w:rFonts w:cs="Arial"/>
          <w:szCs w:val="16"/>
        </w:rPr>
      </w:pPr>
      <w:r w:rsidRPr="0032755E">
        <w:rPr>
          <w:rStyle w:val="EndnoteReference"/>
          <w:rFonts w:cs="Arial"/>
          <w:szCs w:val="16"/>
        </w:rPr>
        <w:endnoteRef/>
      </w:r>
      <w:r w:rsidRPr="0032755E">
        <w:rPr>
          <w:rFonts w:cs="Arial"/>
          <w:szCs w:val="16"/>
        </w:rPr>
        <w:t xml:space="preserve"> The definition of a carrier under section 5 of the TIA Act includes CSPs for these provisions.</w:t>
      </w:r>
    </w:p>
  </w:endnote>
  <w:endnote w:id="200">
    <w:p w14:paraId="0F91113A" w14:textId="77777777" w:rsidR="00A803E5" w:rsidRPr="00FF5649" w:rsidRDefault="00A803E5" w:rsidP="000B52D7">
      <w:pPr>
        <w:pStyle w:val="EndnoteText"/>
        <w:rPr>
          <w:rFonts w:cs="Arial"/>
          <w:b/>
          <w:szCs w:val="16"/>
        </w:rPr>
      </w:pPr>
      <w:r w:rsidRPr="0032755E">
        <w:rPr>
          <w:rStyle w:val="EndnoteReference"/>
          <w:rFonts w:cs="Arial"/>
          <w:szCs w:val="16"/>
        </w:rPr>
        <w:endnoteRef/>
      </w:r>
      <w:r w:rsidRPr="0032755E">
        <w:rPr>
          <w:rFonts w:cs="Arial"/>
          <w:szCs w:val="16"/>
        </w:rPr>
        <w:t xml:space="preserve"> Nominated CSPs are CSPs covered by a declaration in force under subsection 197(4) of the TIA Act.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Regular">
    <w:panose1 w:val="00000000000000000000"/>
    <w:charset w:val="00"/>
    <w:family w:val="auto"/>
    <w:notTrueType/>
    <w:pitch w:val="default"/>
    <w:sig w:usb0="00000003" w:usb1="00000000" w:usb2="00000000" w:usb3="00000000" w:csb0="00000001" w:csb1="00000000"/>
  </w:font>
  <w:font w:name="Source Sans Pro Light">
    <w:panose1 w:val="00000000000000000000"/>
    <w:charset w:val="00"/>
    <w:family w:val="swiss"/>
    <w:notTrueType/>
    <w:pitch w:val="variable"/>
    <w:sig w:usb0="20000007" w:usb1="00000001" w:usb2="00000000" w:usb3="00000000" w:csb0="00000193"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Open Sans">
    <w:altName w:val="Times New Roman"/>
    <w:charset w:val="00"/>
    <w:family w:val="auto"/>
    <w:pitch w:val="default"/>
  </w:font>
  <w:font w:name="ECSquareSans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00217" w14:textId="77777777" w:rsidR="00A803E5" w:rsidRDefault="00A803E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A74C2" w14:textId="77777777" w:rsidR="00A803E5" w:rsidRPr="00622A3B" w:rsidRDefault="00A803E5" w:rsidP="00AB442B">
    <w:pPr>
      <w:pStyle w:val="Footer"/>
      <w:framePr w:w="2863" w:h="357" w:hRule="exact" w:vSpace="425" w:wrap="around" w:vAnchor="page" w:hAnchor="page" w:x="7939" w:y="16166"/>
      <w:pBdr>
        <w:top w:val="single" w:sz="4" w:space="1" w:color="auto"/>
      </w:pBdr>
      <w:tabs>
        <w:tab w:val="clear" w:pos="113"/>
        <w:tab w:val="left" w:pos="397"/>
      </w:tabs>
      <w:ind w:left="1560"/>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484C11">
      <w:rPr>
        <w:noProof/>
        <w:color w:val="505050"/>
      </w:rPr>
      <w:t>11</w:t>
    </w:r>
    <w:r w:rsidRPr="00575AC5">
      <w:rPr>
        <w:color w:val="505050"/>
      </w:rPr>
      <w:fldChar w:fldCharType="end"/>
    </w:r>
  </w:p>
  <w:p w14:paraId="7F9DE621" w14:textId="77777777" w:rsidR="00A803E5" w:rsidRPr="00A5474E" w:rsidRDefault="00A803E5" w:rsidP="00A5474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B0A0F" w14:textId="77777777" w:rsidR="00A803E5" w:rsidRPr="00622A3B" w:rsidRDefault="00A803E5" w:rsidP="0091360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484C11">
      <w:rPr>
        <w:noProof/>
      </w:rPr>
      <w:t>152</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14:paraId="610DA6D5" w14:textId="77777777" w:rsidR="00A803E5" w:rsidRPr="00A5474E" w:rsidRDefault="00A803E5" w:rsidP="0091360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14FD3" w14:textId="77777777" w:rsidR="00A803E5" w:rsidRPr="00622A3B" w:rsidRDefault="00A803E5" w:rsidP="00AB442B">
    <w:pPr>
      <w:pStyle w:val="Footer"/>
      <w:framePr w:w="1440" w:h="357" w:hRule="exact" w:vSpace="425" w:wrap="around" w:vAnchor="page" w:hAnchor="page" w:x="9357" w:y="16166"/>
      <w:pBdr>
        <w:top w:val="single" w:sz="4" w:space="1" w:color="auto"/>
      </w:pBdr>
      <w:tabs>
        <w:tab w:val="clear" w:pos="113"/>
        <w:tab w:val="left" w:pos="397"/>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484C11">
      <w:rPr>
        <w:noProof/>
        <w:color w:val="505050"/>
      </w:rPr>
      <w:t>153</w:t>
    </w:r>
    <w:r w:rsidRPr="00575AC5">
      <w:rPr>
        <w:color w:val="505050"/>
      </w:rPr>
      <w:fldChar w:fldCharType="end"/>
    </w:r>
  </w:p>
  <w:p w14:paraId="47602CB1" w14:textId="77777777" w:rsidR="00A803E5" w:rsidRPr="00A5474E" w:rsidRDefault="00A803E5" w:rsidP="009136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1DD31" w14:textId="77777777" w:rsidR="00A803E5" w:rsidRDefault="00A803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91299" w14:textId="77777777" w:rsidR="00A803E5" w:rsidRDefault="00A803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8786E" w14:textId="77777777" w:rsidR="00A803E5" w:rsidRDefault="00A803E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8E665" w14:textId="77777777" w:rsidR="00A803E5" w:rsidRDefault="00A803E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78A8D" w14:textId="77777777" w:rsidR="00A803E5" w:rsidRPr="00622A3B" w:rsidRDefault="00A803E5" w:rsidP="0078252F">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484C11">
      <w:rPr>
        <w:noProof/>
        <w:color w:val="505050"/>
      </w:rPr>
      <w:t>x</w:t>
    </w:r>
    <w:r w:rsidRPr="002E4DDC">
      <w:rPr>
        <w:color w:val="505050"/>
      </w:rPr>
      <w:fldChar w:fldCharType="end"/>
    </w:r>
  </w:p>
  <w:p w14:paraId="190B0024" w14:textId="77777777" w:rsidR="00A803E5" w:rsidRPr="00A5474E" w:rsidRDefault="00A803E5" w:rsidP="00A547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784A3" w14:textId="77777777" w:rsidR="00A803E5" w:rsidRPr="00622A3B" w:rsidRDefault="00A803E5" w:rsidP="00531CD0">
    <w:pPr>
      <w:pStyle w:val="Footer"/>
      <w:framePr w:w="2865" w:h="357" w:hRule="exact" w:vSpace="425" w:wrap="around" w:vAnchor="page" w:hAnchor="page" w:x="7335" w:y="16166"/>
      <w:pBdr>
        <w:top w:val="single" w:sz="4" w:space="1" w:color="auto"/>
      </w:pBdr>
      <w:tabs>
        <w:tab w:val="clear" w:pos="113"/>
        <w:tab w:val="left" w:pos="284"/>
      </w:tabs>
      <w:ind w:left="1560"/>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484C11">
      <w:rPr>
        <w:noProof/>
        <w:color w:val="505050"/>
      </w:rPr>
      <w:t>ix</w:t>
    </w:r>
    <w:r w:rsidRPr="002E4DDC">
      <w:rPr>
        <w:color w:val="505050"/>
      </w:rPr>
      <w:fldChar w:fldCharType="end"/>
    </w:r>
  </w:p>
  <w:p w14:paraId="3D385EA5" w14:textId="77777777" w:rsidR="00A803E5" w:rsidRPr="00A5474E" w:rsidRDefault="00A803E5" w:rsidP="00A547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27AAC" w14:textId="77777777" w:rsidR="00A803E5" w:rsidRPr="00622A3B" w:rsidRDefault="00A803E5" w:rsidP="008F5B03">
    <w:pPr>
      <w:pStyle w:val="Footer"/>
      <w:framePr w:w="2865" w:h="357" w:hRule="exact" w:vSpace="425" w:wrap="around" w:vAnchor="page" w:hAnchor="page" w:x="7335" w:y="16166"/>
      <w:pBdr>
        <w:top w:val="single" w:sz="4" w:space="1" w:color="auto"/>
      </w:pBdr>
      <w:tabs>
        <w:tab w:val="clear" w:pos="113"/>
        <w:tab w:val="left" w:pos="284"/>
      </w:tabs>
      <w:ind w:left="1560"/>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484C11">
      <w:rPr>
        <w:noProof/>
        <w:color w:val="505050"/>
      </w:rPr>
      <w:t>v</w:t>
    </w:r>
    <w:r w:rsidRPr="002E4DDC">
      <w:rPr>
        <w:color w:val="505050"/>
      </w:rPr>
      <w:fldChar w:fldCharType="end"/>
    </w:r>
  </w:p>
  <w:p w14:paraId="4618F6F8" w14:textId="77777777" w:rsidR="00A803E5" w:rsidRPr="00A5474E" w:rsidRDefault="00A803E5" w:rsidP="00A547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BABEE" w14:textId="77777777" w:rsidR="00A803E5" w:rsidRPr="00622A3B" w:rsidRDefault="00A803E5"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484C11">
      <w:rPr>
        <w:noProof/>
      </w:rPr>
      <w:t>10</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14:paraId="6F0F8C72" w14:textId="77777777" w:rsidR="00A803E5" w:rsidRPr="00A5474E" w:rsidRDefault="00A803E5" w:rsidP="00A5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2841D" w14:textId="77777777" w:rsidR="00A803E5" w:rsidRDefault="00A803E5" w:rsidP="00531CD0">
      <w:r>
        <w:separator/>
      </w:r>
    </w:p>
  </w:footnote>
  <w:footnote w:type="continuationSeparator" w:id="0">
    <w:p w14:paraId="404FB9D8" w14:textId="77777777" w:rsidR="00A803E5" w:rsidRDefault="00A803E5" w:rsidP="00531CD0">
      <w:r>
        <w:continuationSeparator/>
      </w:r>
    </w:p>
  </w:footnote>
  <w:footnote w:type="continuationNotice" w:id="1">
    <w:p w14:paraId="1292FAE8" w14:textId="77777777" w:rsidR="00A803E5" w:rsidRDefault="00A803E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C3545" w14:textId="77777777" w:rsidR="00A803E5" w:rsidRDefault="00A803E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491A" w14:textId="77777777" w:rsidR="00A803E5" w:rsidRDefault="00A803E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CFD20" w14:textId="77777777" w:rsidR="00A803E5" w:rsidRDefault="00A803E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48459" w14:textId="77777777" w:rsidR="00A803E5" w:rsidRDefault="00A803E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6E14" w14:textId="77777777" w:rsidR="00A803E5" w:rsidRDefault="00A803E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966A8" w14:textId="77777777" w:rsidR="00A803E5" w:rsidRDefault="00A803E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4AB8" w14:textId="77777777" w:rsidR="00A803E5" w:rsidRDefault="00A803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784E4" w14:textId="77777777" w:rsidR="00A803E5" w:rsidRDefault="00A803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28C05" w14:textId="77777777" w:rsidR="00A803E5" w:rsidRPr="00A5474E" w:rsidRDefault="00A803E5" w:rsidP="00594E9C">
    <w:pPr>
      <w:pStyle w:val="TOCHeading"/>
    </w:pPr>
    <w:r w:rsidRPr="0029593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3EEB6" w14:textId="77777777" w:rsidR="00A803E5" w:rsidRDefault="00A803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8C8B" w14:textId="77777777" w:rsidR="00A803E5" w:rsidRDefault="00A803E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A803E5" w14:paraId="29BE762F" w14:textId="77777777" w:rsidTr="00244C97">
      <w:trPr>
        <w:trHeight w:hRule="exact" w:val="988"/>
      </w:trPr>
      <w:tc>
        <w:tcPr>
          <w:tcW w:w="7678" w:type="dxa"/>
          <w:shd w:val="clear" w:color="auto" w:fill="auto"/>
        </w:tcPr>
        <w:p w14:paraId="45BE1F2A" w14:textId="77777777" w:rsidR="00A803E5" w:rsidRDefault="00A803E5" w:rsidP="0078252F">
          <w:pPr>
            <w:pStyle w:val="Header"/>
          </w:pPr>
        </w:p>
      </w:tc>
    </w:tr>
    <w:tr w:rsidR="00A803E5" w14:paraId="528B80F2" w14:textId="77777777" w:rsidTr="00244C97">
      <w:tc>
        <w:tcPr>
          <w:tcW w:w="7678" w:type="dxa"/>
          <w:shd w:val="clear" w:color="auto" w:fill="auto"/>
        </w:tcPr>
        <w:p w14:paraId="0AC8C072" w14:textId="77777777" w:rsidR="00A803E5" w:rsidRDefault="00A803E5" w:rsidP="0078252F">
          <w:pPr>
            <w:pStyle w:val="GridTable31"/>
          </w:pPr>
          <w:r>
            <w:t xml:space="preserve">Contents </w:t>
          </w:r>
          <w:r w:rsidRPr="00915B1C">
            <w:rPr>
              <w:b w:val="0"/>
              <w:spacing w:val="0"/>
              <w:sz w:val="28"/>
              <w:szCs w:val="28"/>
            </w:rPr>
            <w:t>(Continued)</w:t>
          </w:r>
        </w:p>
      </w:tc>
    </w:tr>
    <w:tr w:rsidR="00A803E5" w14:paraId="1667837B" w14:textId="77777777" w:rsidTr="00244C97">
      <w:trPr>
        <w:trHeight w:val="1220"/>
      </w:trPr>
      <w:tc>
        <w:tcPr>
          <w:tcW w:w="7678" w:type="dxa"/>
          <w:shd w:val="clear" w:color="auto" w:fill="auto"/>
        </w:tcPr>
        <w:p w14:paraId="4CDEB235" w14:textId="77777777" w:rsidR="00A803E5" w:rsidRDefault="00A803E5" w:rsidP="0078252F"/>
      </w:tc>
    </w:tr>
  </w:tbl>
  <w:p w14:paraId="1C2BD290" w14:textId="77777777" w:rsidR="00A803E5" w:rsidRPr="00A5474E" w:rsidRDefault="00A803E5" w:rsidP="00A547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A803E5" w14:paraId="72891623" w14:textId="77777777" w:rsidTr="00244C97">
      <w:trPr>
        <w:trHeight w:hRule="exact" w:val="988"/>
      </w:trPr>
      <w:tc>
        <w:tcPr>
          <w:tcW w:w="7678" w:type="dxa"/>
          <w:shd w:val="clear" w:color="auto" w:fill="auto"/>
        </w:tcPr>
        <w:p w14:paraId="35B16C00" w14:textId="77777777" w:rsidR="00A803E5" w:rsidRDefault="00A803E5" w:rsidP="0078252F">
          <w:pPr>
            <w:pStyle w:val="Header"/>
          </w:pPr>
        </w:p>
      </w:tc>
    </w:tr>
    <w:tr w:rsidR="00A803E5" w14:paraId="30191565" w14:textId="77777777" w:rsidTr="00244C97">
      <w:tc>
        <w:tcPr>
          <w:tcW w:w="7678" w:type="dxa"/>
          <w:shd w:val="clear" w:color="auto" w:fill="auto"/>
        </w:tcPr>
        <w:p w14:paraId="10232A43" w14:textId="77777777" w:rsidR="00A803E5" w:rsidRDefault="00A803E5" w:rsidP="0078252F">
          <w:pPr>
            <w:pStyle w:val="GridTable31"/>
          </w:pPr>
          <w:r>
            <w:t xml:space="preserve">Contents </w:t>
          </w:r>
          <w:r w:rsidRPr="00915B1C">
            <w:rPr>
              <w:b w:val="0"/>
              <w:spacing w:val="0"/>
              <w:sz w:val="28"/>
              <w:szCs w:val="28"/>
            </w:rPr>
            <w:t>(Continued)</w:t>
          </w:r>
        </w:p>
      </w:tc>
    </w:tr>
    <w:tr w:rsidR="00A803E5" w14:paraId="0F78D57C" w14:textId="77777777" w:rsidTr="00244C97">
      <w:trPr>
        <w:trHeight w:val="1220"/>
      </w:trPr>
      <w:tc>
        <w:tcPr>
          <w:tcW w:w="7678" w:type="dxa"/>
          <w:shd w:val="clear" w:color="auto" w:fill="auto"/>
        </w:tcPr>
        <w:p w14:paraId="4D56A15A" w14:textId="77777777" w:rsidR="00A803E5" w:rsidRDefault="00A803E5" w:rsidP="0078252F"/>
      </w:tc>
    </w:tr>
  </w:tbl>
  <w:p w14:paraId="29A2BD15" w14:textId="77777777" w:rsidR="00A803E5" w:rsidRPr="00A5474E" w:rsidRDefault="00A803E5" w:rsidP="00A547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CBC43" w14:textId="77777777" w:rsidR="00A803E5" w:rsidRDefault="00A803E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5B257" w14:textId="77777777" w:rsidR="00A803E5" w:rsidRDefault="00A803E5" w:rsidP="00531CD0">
    <w:pPr>
      <w:pStyle w:val="Header"/>
      <w:tabs>
        <w:tab w:val="clear" w:pos="4153"/>
        <w:tab w:val="clear" w:pos="8306"/>
        <w:tab w:val="left" w:pos="34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9A45EC4"/>
    <w:lvl w:ilvl="0">
      <w:start w:val="1"/>
      <w:numFmt w:val="decimal"/>
      <w:lvlText w:val="%1."/>
      <w:lvlJc w:val="left"/>
      <w:pPr>
        <w:tabs>
          <w:tab w:val="num" w:pos="1492"/>
        </w:tabs>
        <w:ind w:left="1492" w:hanging="360"/>
      </w:pPr>
    </w:lvl>
  </w:abstractNum>
  <w:abstractNum w:abstractNumId="1">
    <w:nsid w:val="FFFFFF7D"/>
    <w:multiLevelType w:val="singleLevel"/>
    <w:tmpl w:val="6C568E82"/>
    <w:lvl w:ilvl="0">
      <w:start w:val="1"/>
      <w:numFmt w:val="decimal"/>
      <w:lvlText w:val="%1."/>
      <w:lvlJc w:val="left"/>
      <w:pPr>
        <w:tabs>
          <w:tab w:val="num" w:pos="1209"/>
        </w:tabs>
        <w:ind w:left="1209" w:hanging="360"/>
      </w:pPr>
    </w:lvl>
  </w:abstractNum>
  <w:abstractNum w:abstractNumId="2">
    <w:nsid w:val="FFFFFF7E"/>
    <w:multiLevelType w:val="singleLevel"/>
    <w:tmpl w:val="19145618"/>
    <w:lvl w:ilvl="0">
      <w:start w:val="1"/>
      <w:numFmt w:val="decimal"/>
      <w:lvlText w:val="%1."/>
      <w:lvlJc w:val="left"/>
      <w:pPr>
        <w:tabs>
          <w:tab w:val="num" w:pos="926"/>
        </w:tabs>
        <w:ind w:left="926" w:hanging="360"/>
      </w:pPr>
    </w:lvl>
  </w:abstractNum>
  <w:abstractNum w:abstractNumId="3">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4">
    <w:nsid w:val="FFFFFF80"/>
    <w:multiLevelType w:val="singleLevel"/>
    <w:tmpl w:val="786AE8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8803A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D482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E7C6770"/>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8">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9">
    <w:nsid w:val="FFFFFF89"/>
    <w:multiLevelType w:val="singleLevel"/>
    <w:tmpl w:val="730AD25C"/>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0">
    <w:nsid w:val="01F65CEC"/>
    <w:multiLevelType w:val="multilevel"/>
    <w:tmpl w:val="069256AE"/>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024964F1"/>
    <w:multiLevelType w:val="hybridMultilevel"/>
    <w:tmpl w:val="81E0E110"/>
    <w:lvl w:ilvl="0" w:tplc="C7686166">
      <w:start w:val="1"/>
      <w:numFmt w:val="bullet"/>
      <w:lvlText w:val="&gt;"/>
      <w:lvlJc w:val="left"/>
      <w:pPr>
        <w:ind w:left="720" w:hanging="360"/>
      </w:pPr>
      <w:rPr>
        <w:rFonts w:ascii="Calibri" w:hAnsi="Calibri" w:hint="default"/>
        <w:b w:val="0"/>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BE547E"/>
    <w:multiLevelType w:val="hybridMultilevel"/>
    <w:tmpl w:val="3768F3CC"/>
    <w:lvl w:ilvl="0" w:tplc="4356B364">
      <w:start w:val="1"/>
      <w:numFmt w:val="bullet"/>
      <w:lvlText w:val="&gt;"/>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A836EEE"/>
    <w:multiLevelType w:val="hybridMultilevel"/>
    <w:tmpl w:val="E4844EA8"/>
    <w:lvl w:ilvl="0" w:tplc="C7686166">
      <w:start w:val="1"/>
      <w:numFmt w:val="bullet"/>
      <w:lvlText w:val="&gt;"/>
      <w:lvlJc w:val="left"/>
      <w:pPr>
        <w:ind w:left="720" w:hanging="360"/>
      </w:pPr>
      <w:rPr>
        <w:rFonts w:ascii="Calibri" w:hAnsi="Calibri" w:hint="default"/>
        <w:b w:val="0"/>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C3E64F7"/>
    <w:multiLevelType w:val="hybridMultilevel"/>
    <w:tmpl w:val="55C49888"/>
    <w:lvl w:ilvl="0" w:tplc="C7686166">
      <w:start w:val="1"/>
      <w:numFmt w:val="bullet"/>
      <w:lvlText w:val="&gt;"/>
      <w:lvlJc w:val="left"/>
      <w:pPr>
        <w:ind w:left="928" w:hanging="360"/>
      </w:pPr>
      <w:rPr>
        <w:rFonts w:ascii="Calibri" w:hAnsi="Calibri" w:hint="default"/>
        <w:b w:val="0"/>
        <w:i w:val="0"/>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5">
    <w:nsid w:val="1190654D"/>
    <w:multiLevelType w:val="hybridMultilevel"/>
    <w:tmpl w:val="04E89E70"/>
    <w:lvl w:ilvl="0" w:tplc="4356B364">
      <w:start w:val="1"/>
      <w:numFmt w:val="bullet"/>
      <w:lvlText w:val="&gt;"/>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29F1FC1"/>
    <w:multiLevelType w:val="multilevel"/>
    <w:tmpl w:val="D74297A4"/>
    <w:lvl w:ilvl="0">
      <w:start w:val="1"/>
      <w:numFmt w:val="bullet"/>
      <w:lvlText w:val="&gt;"/>
      <w:lvlJc w:val="left"/>
      <w:pPr>
        <w:ind w:left="360" w:hanging="360"/>
      </w:pPr>
      <w:rPr>
        <w:rFonts w:ascii="Arial" w:hAnsi="Arial" w:hint="default"/>
      </w:rPr>
    </w:lvl>
    <w:lvl w:ilvl="1">
      <w:start w:val="1"/>
      <w:numFmt w:val="decimal"/>
      <w:lvlText w:val="%1.%2."/>
      <w:lvlJc w:val="left"/>
      <w:pPr>
        <w:ind w:left="792" w:hanging="432"/>
      </w:pPr>
      <w:rPr>
        <w:rFonts w:hint="default"/>
      </w:rPr>
    </w:lvl>
    <w:lvl w:ilvl="2">
      <w:start w:val="1"/>
      <w:numFmt w:val="bullet"/>
      <w:lvlText w:val="&gt;"/>
      <w:lvlJc w:val="left"/>
      <w:pPr>
        <w:ind w:left="1224" w:hanging="504"/>
      </w:pPr>
      <w:rPr>
        <w:rFonts w:ascii="Arial" w:hAnsi="Aria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6CB0FAA"/>
    <w:multiLevelType w:val="hybridMultilevel"/>
    <w:tmpl w:val="2D047D84"/>
    <w:lvl w:ilvl="0" w:tplc="4356B364">
      <w:start w:val="1"/>
      <w:numFmt w:val="bullet"/>
      <w:lvlText w:val="&gt;"/>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E6E0A3E"/>
    <w:multiLevelType w:val="hybridMultilevel"/>
    <w:tmpl w:val="3E4AEE4E"/>
    <w:lvl w:ilvl="0" w:tplc="23CC8D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7192B18"/>
    <w:multiLevelType w:val="hybridMultilevel"/>
    <w:tmpl w:val="0B46F3DE"/>
    <w:lvl w:ilvl="0" w:tplc="C7686166">
      <w:start w:val="1"/>
      <w:numFmt w:val="bullet"/>
      <w:lvlText w:val="&gt;"/>
      <w:lvlJc w:val="left"/>
      <w:pPr>
        <w:ind w:left="643" w:hanging="360"/>
      </w:pPr>
      <w:rPr>
        <w:rFonts w:ascii="Calibri" w:hAnsi="Calibri" w:hint="default"/>
        <w:b w:val="0"/>
        <w:i w:val="0"/>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nsid w:val="2F5A5080"/>
    <w:multiLevelType w:val="hybridMultilevel"/>
    <w:tmpl w:val="24705096"/>
    <w:lvl w:ilvl="0" w:tplc="2668C79A">
      <w:start w:val="1"/>
      <w:numFmt w:val="bullet"/>
      <w:pStyle w:val="ACMABulletLevel1"/>
      <w:lvlText w:val="●"/>
      <w:lvlJc w:val="left"/>
      <w:pPr>
        <w:tabs>
          <w:tab w:val="num" w:pos="-31680"/>
        </w:tabs>
        <w:ind w:left="357" w:hanging="357"/>
      </w:pPr>
      <w:rPr>
        <w:rFonts w:ascii="Times New Roman" w:hAnsi="Times New Roman" w:cs="Times New Roman" w:hint="default"/>
      </w:rPr>
    </w:lvl>
    <w:lvl w:ilvl="1" w:tplc="04090003">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nsid w:val="343E5E95"/>
    <w:multiLevelType w:val="hybridMultilevel"/>
    <w:tmpl w:val="996C5748"/>
    <w:lvl w:ilvl="0" w:tplc="C7686166">
      <w:start w:val="1"/>
      <w:numFmt w:val="bullet"/>
      <w:lvlText w:val="&gt;"/>
      <w:lvlJc w:val="left"/>
      <w:pPr>
        <w:ind w:left="720" w:hanging="360"/>
      </w:pPr>
      <w:rPr>
        <w:rFonts w:ascii="Calibri" w:hAnsi="Calibri"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B172291"/>
    <w:multiLevelType w:val="hybridMultilevel"/>
    <w:tmpl w:val="A798112C"/>
    <w:lvl w:ilvl="0" w:tplc="A308EBC2">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B7E04CC"/>
    <w:multiLevelType w:val="multilevel"/>
    <w:tmpl w:val="7B42FC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3E1022A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02C2B01"/>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B845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305477F"/>
    <w:multiLevelType w:val="hybridMultilevel"/>
    <w:tmpl w:val="239EBB08"/>
    <w:lvl w:ilvl="0" w:tplc="A308EBC2">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4F11B1E"/>
    <w:multiLevelType w:val="hybridMultilevel"/>
    <w:tmpl w:val="299A7AD0"/>
    <w:lvl w:ilvl="0" w:tplc="4356B364">
      <w:start w:val="1"/>
      <w:numFmt w:val="bullet"/>
      <w:lvlText w:val="&gt;"/>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9993774"/>
    <w:multiLevelType w:val="hybridMultilevel"/>
    <w:tmpl w:val="31389930"/>
    <w:lvl w:ilvl="0" w:tplc="A308EBC2">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E0F6C03"/>
    <w:multiLevelType w:val="hybridMultilevel"/>
    <w:tmpl w:val="07C8E7DA"/>
    <w:lvl w:ilvl="0" w:tplc="A308EBC2">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30A7B72"/>
    <w:multiLevelType w:val="hybridMultilevel"/>
    <w:tmpl w:val="399EB04A"/>
    <w:lvl w:ilvl="0" w:tplc="A308EBC2">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54F87F88"/>
    <w:multiLevelType w:val="hybridMultilevel"/>
    <w:tmpl w:val="D0B2D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50F7855"/>
    <w:multiLevelType w:val="hybridMultilevel"/>
    <w:tmpl w:val="56C07978"/>
    <w:lvl w:ilvl="0" w:tplc="4356B364">
      <w:start w:val="1"/>
      <w:numFmt w:val="bullet"/>
      <w:lvlText w:val="&gt;"/>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5AA21F0"/>
    <w:multiLevelType w:val="hybridMultilevel"/>
    <w:tmpl w:val="1A021FE2"/>
    <w:lvl w:ilvl="0" w:tplc="3AFC284A">
      <w:start w:val="1"/>
      <w:numFmt w:val="decimal"/>
      <w:pStyle w:val="ACMATableHeader"/>
      <w:lvlText w:val="Table 1.%1"/>
      <w:lvlJc w:val="left"/>
      <w:pPr>
        <w:tabs>
          <w:tab w:val="num" w:pos="1532"/>
        </w:tabs>
        <w:ind w:left="1532"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26290E"/>
    <w:multiLevelType w:val="hybridMultilevel"/>
    <w:tmpl w:val="6C5EF296"/>
    <w:lvl w:ilvl="0" w:tplc="4356B364">
      <w:start w:val="1"/>
      <w:numFmt w:val="bullet"/>
      <w:lvlText w:val="&gt;"/>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BD426BD"/>
    <w:multiLevelType w:val="hybridMultilevel"/>
    <w:tmpl w:val="C672B630"/>
    <w:lvl w:ilvl="0" w:tplc="CFBCF618">
      <w:start w:val="1"/>
      <w:numFmt w:val="bullet"/>
      <w:pStyle w:val="Bulleted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nsid w:val="5EA40D5B"/>
    <w:multiLevelType w:val="hybridMultilevel"/>
    <w:tmpl w:val="0D8E4094"/>
    <w:lvl w:ilvl="0" w:tplc="A308EBC2">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139202E"/>
    <w:multiLevelType w:val="hybridMultilevel"/>
    <w:tmpl w:val="5CAA44AA"/>
    <w:lvl w:ilvl="0" w:tplc="4356B364">
      <w:start w:val="1"/>
      <w:numFmt w:val="bullet"/>
      <w:lvlText w:val="&gt;"/>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071478"/>
    <w:multiLevelType w:val="hybridMultilevel"/>
    <w:tmpl w:val="4560EABA"/>
    <w:lvl w:ilvl="0" w:tplc="01D2533A">
      <w:start w:val="1"/>
      <w:numFmt w:val="decimal"/>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6E4BEF"/>
    <w:multiLevelType w:val="hybridMultilevel"/>
    <w:tmpl w:val="C284E91C"/>
    <w:lvl w:ilvl="0" w:tplc="4356B364">
      <w:start w:val="1"/>
      <w:numFmt w:val="bullet"/>
      <w:lvlText w:val="&gt;"/>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86E06C7"/>
    <w:multiLevelType w:val="hybridMultilevel"/>
    <w:tmpl w:val="2F7608D8"/>
    <w:lvl w:ilvl="0" w:tplc="A8820AE4">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9AD6509"/>
    <w:multiLevelType w:val="hybridMultilevel"/>
    <w:tmpl w:val="A32EB8CA"/>
    <w:lvl w:ilvl="0" w:tplc="C7686166">
      <w:start w:val="1"/>
      <w:numFmt w:val="bullet"/>
      <w:lvlText w:val="&gt;"/>
      <w:lvlJc w:val="left"/>
      <w:pPr>
        <w:ind w:left="928" w:hanging="360"/>
      </w:pPr>
      <w:rPr>
        <w:rFonts w:ascii="Calibri" w:hAnsi="Calibri" w:hint="default"/>
        <w:b w:val="0"/>
        <w:i w:val="0"/>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46">
    <w:nsid w:val="6B9338FD"/>
    <w:multiLevelType w:val="hybridMultilevel"/>
    <w:tmpl w:val="266C4272"/>
    <w:lvl w:ilvl="0" w:tplc="A308EBC2">
      <w:start w:val="1"/>
      <w:numFmt w:val="bullet"/>
      <w:lvlText w:val="&gt;"/>
      <w:lvlJc w:val="left"/>
      <w:pPr>
        <w:ind w:left="1021" w:hanging="360"/>
      </w:pPr>
      <w:rPr>
        <w:rFonts w:ascii="Arial" w:hAnsi="Arial" w:hint="default"/>
      </w:rPr>
    </w:lvl>
    <w:lvl w:ilvl="1" w:tplc="0C090003" w:tentative="1">
      <w:start w:val="1"/>
      <w:numFmt w:val="bullet"/>
      <w:lvlText w:val="o"/>
      <w:lvlJc w:val="left"/>
      <w:pPr>
        <w:ind w:left="1741" w:hanging="360"/>
      </w:pPr>
      <w:rPr>
        <w:rFonts w:ascii="Courier New" w:hAnsi="Courier New" w:cs="Courier New" w:hint="default"/>
      </w:rPr>
    </w:lvl>
    <w:lvl w:ilvl="2" w:tplc="0C090005" w:tentative="1">
      <w:start w:val="1"/>
      <w:numFmt w:val="bullet"/>
      <w:lvlText w:val=""/>
      <w:lvlJc w:val="left"/>
      <w:pPr>
        <w:ind w:left="2461" w:hanging="360"/>
      </w:pPr>
      <w:rPr>
        <w:rFonts w:ascii="Wingdings" w:hAnsi="Wingdings" w:hint="default"/>
      </w:rPr>
    </w:lvl>
    <w:lvl w:ilvl="3" w:tplc="0C090001" w:tentative="1">
      <w:start w:val="1"/>
      <w:numFmt w:val="bullet"/>
      <w:lvlText w:val=""/>
      <w:lvlJc w:val="left"/>
      <w:pPr>
        <w:ind w:left="3181" w:hanging="360"/>
      </w:pPr>
      <w:rPr>
        <w:rFonts w:ascii="Symbol" w:hAnsi="Symbol" w:hint="default"/>
      </w:rPr>
    </w:lvl>
    <w:lvl w:ilvl="4" w:tplc="0C090003" w:tentative="1">
      <w:start w:val="1"/>
      <w:numFmt w:val="bullet"/>
      <w:lvlText w:val="o"/>
      <w:lvlJc w:val="left"/>
      <w:pPr>
        <w:ind w:left="3901" w:hanging="360"/>
      </w:pPr>
      <w:rPr>
        <w:rFonts w:ascii="Courier New" w:hAnsi="Courier New" w:cs="Courier New" w:hint="default"/>
      </w:rPr>
    </w:lvl>
    <w:lvl w:ilvl="5" w:tplc="0C090005" w:tentative="1">
      <w:start w:val="1"/>
      <w:numFmt w:val="bullet"/>
      <w:lvlText w:val=""/>
      <w:lvlJc w:val="left"/>
      <w:pPr>
        <w:ind w:left="4621" w:hanging="360"/>
      </w:pPr>
      <w:rPr>
        <w:rFonts w:ascii="Wingdings" w:hAnsi="Wingdings" w:hint="default"/>
      </w:rPr>
    </w:lvl>
    <w:lvl w:ilvl="6" w:tplc="0C090001" w:tentative="1">
      <w:start w:val="1"/>
      <w:numFmt w:val="bullet"/>
      <w:lvlText w:val=""/>
      <w:lvlJc w:val="left"/>
      <w:pPr>
        <w:ind w:left="5341" w:hanging="360"/>
      </w:pPr>
      <w:rPr>
        <w:rFonts w:ascii="Symbol" w:hAnsi="Symbol" w:hint="default"/>
      </w:rPr>
    </w:lvl>
    <w:lvl w:ilvl="7" w:tplc="0C090003" w:tentative="1">
      <w:start w:val="1"/>
      <w:numFmt w:val="bullet"/>
      <w:lvlText w:val="o"/>
      <w:lvlJc w:val="left"/>
      <w:pPr>
        <w:ind w:left="6061" w:hanging="360"/>
      </w:pPr>
      <w:rPr>
        <w:rFonts w:ascii="Courier New" w:hAnsi="Courier New" w:cs="Courier New" w:hint="default"/>
      </w:rPr>
    </w:lvl>
    <w:lvl w:ilvl="8" w:tplc="0C090005" w:tentative="1">
      <w:start w:val="1"/>
      <w:numFmt w:val="bullet"/>
      <w:lvlText w:val=""/>
      <w:lvlJc w:val="left"/>
      <w:pPr>
        <w:ind w:left="6781" w:hanging="360"/>
      </w:pPr>
      <w:rPr>
        <w:rFonts w:ascii="Wingdings" w:hAnsi="Wingdings" w:hint="default"/>
      </w:rPr>
    </w:lvl>
  </w:abstractNum>
  <w:abstractNum w:abstractNumId="47">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5B6932"/>
    <w:multiLevelType w:val="hybridMultilevel"/>
    <w:tmpl w:val="C4266694"/>
    <w:lvl w:ilvl="0" w:tplc="C7686166">
      <w:start w:val="1"/>
      <w:numFmt w:val="bullet"/>
      <w:lvlText w:val="&gt;"/>
      <w:lvlJc w:val="left"/>
      <w:pPr>
        <w:ind w:left="720" w:hanging="360"/>
      </w:pPr>
      <w:rPr>
        <w:rFonts w:ascii="Calibri" w:hAnsi="Calibri" w:hint="default"/>
        <w:b w:val="0"/>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EB4433E"/>
    <w:multiLevelType w:val="hybridMultilevel"/>
    <w:tmpl w:val="AC2A41DC"/>
    <w:lvl w:ilvl="0" w:tplc="C7686166">
      <w:start w:val="1"/>
      <w:numFmt w:val="bullet"/>
      <w:lvlText w:val="&gt;"/>
      <w:lvlJc w:val="left"/>
      <w:pPr>
        <w:ind w:left="720" w:hanging="360"/>
      </w:pPr>
      <w:rPr>
        <w:rFonts w:ascii="Calibri" w:hAnsi="Calibri" w:hint="default"/>
        <w:b w:val="0"/>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C436AE5"/>
    <w:multiLevelType w:val="multilevel"/>
    <w:tmpl w:val="3DF0AF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7"/>
  </w:num>
  <w:num w:numId="3">
    <w:abstractNumId w:val="8"/>
  </w:num>
  <w:num w:numId="4">
    <w:abstractNumId w:val="3"/>
  </w:num>
  <w:num w:numId="5">
    <w:abstractNumId w:val="21"/>
  </w:num>
  <w:num w:numId="6">
    <w:abstractNumId w:val="36"/>
  </w:num>
  <w:num w:numId="7">
    <w:abstractNumId w:val="41"/>
  </w:num>
  <w:num w:numId="8">
    <w:abstractNumId w:val="47"/>
  </w:num>
  <w:num w:numId="9">
    <w:abstractNumId w:val="22"/>
  </w:num>
  <w:num w:numId="10">
    <w:abstractNumId w:val="20"/>
  </w:num>
  <w:num w:numId="11">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44"/>
  </w:num>
  <w:num w:numId="14">
    <w:abstractNumId w:val="42"/>
  </w:num>
  <w:num w:numId="15">
    <w:abstractNumId w:val="50"/>
  </w:num>
  <w:num w:numId="16">
    <w:abstractNumId w:val="10"/>
  </w:num>
  <w:num w:numId="17">
    <w:abstractNumId w:val="23"/>
  </w:num>
  <w:num w:numId="18">
    <w:abstractNumId w:val="13"/>
  </w:num>
  <w:num w:numId="19">
    <w:abstractNumId w:val="48"/>
  </w:num>
  <w:num w:numId="20">
    <w:abstractNumId w:val="45"/>
  </w:num>
  <w:num w:numId="21">
    <w:abstractNumId w:val="14"/>
  </w:num>
  <w:num w:numId="22">
    <w:abstractNumId w:val="11"/>
  </w:num>
  <w:num w:numId="23">
    <w:abstractNumId w:val="19"/>
  </w:num>
  <w:num w:numId="24">
    <w:abstractNumId w:val="49"/>
  </w:num>
  <w:num w:numId="25">
    <w:abstractNumId w:val="6"/>
  </w:num>
  <w:num w:numId="26">
    <w:abstractNumId w:val="5"/>
  </w:num>
  <w:num w:numId="27">
    <w:abstractNumId w:val="4"/>
  </w:num>
  <w:num w:numId="28">
    <w:abstractNumId w:val="2"/>
  </w:num>
  <w:num w:numId="29">
    <w:abstractNumId w:val="1"/>
  </w:num>
  <w:num w:numId="30">
    <w:abstractNumId w:val="0"/>
  </w:num>
  <w:num w:numId="31">
    <w:abstractNumId w:val="27"/>
  </w:num>
  <w:num w:numId="32">
    <w:abstractNumId w:val="25"/>
  </w:num>
  <w:num w:numId="33">
    <w:abstractNumId w:val="16"/>
  </w:num>
  <w:num w:numId="34">
    <w:abstractNumId w:val="39"/>
  </w:num>
  <w:num w:numId="35">
    <w:abstractNumId w:val="33"/>
  </w:num>
  <w:num w:numId="36">
    <w:abstractNumId w:val="46"/>
  </w:num>
  <w:num w:numId="37">
    <w:abstractNumId w:val="31"/>
  </w:num>
  <w:num w:numId="38">
    <w:abstractNumId w:val="32"/>
  </w:num>
  <w:num w:numId="39">
    <w:abstractNumId w:val="24"/>
  </w:num>
  <w:num w:numId="40">
    <w:abstractNumId w:val="29"/>
  </w:num>
  <w:num w:numId="41">
    <w:abstractNumId w:val="35"/>
  </w:num>
  <w:num w:numId="42">
    <w:abstractNumId w:val="37"/>
  </w:num>
  <w:num w:numId="43">
    <w:abstractNumId w:val="17"/>
  </w:num>
  <w:num w:numId="44">
    <w:abstractNumId w:val="40"/>
  </w:num>
  <w:num w:numId="45">
    <w:abstractNumId w:val="43"/>
  </w:num>
  <w:num w:numId="46">
    <w:abstractNumId w:val="30"/>
  </w:num>
  <w:num w:numId="47">
    <w:abstractNumId w:val="12"/>
  </w:num>
  <w:num w:numId="48">
    <w:abstractNumId w:val="15"/>
  </w:num>
  <w:num w:numId="49">
    <w:abstractNumId w:val="34"/>
  </w:num>
  <w:num w:numId="50">
    <w:abstractNumId w:val="18"/>
  </w:num>
  <w:num w:numId="51">
    <w:abstractNumId w:val="9"/>
  </w:num>
  <w:num w:numId="52">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removePersonalInformation/>
  <w:removeDateAndTime/>
  <w:mirrorMargins/>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284"/>
  <w:defaultTableStyle w:val="Commsreport2014-15TABLE"/>
  <w:evenAndOddHeaders/>
  <w:drawingGridHorizontalSpacing w:val="100"/>
  <w:displayHorizontalDrawingGridEvery w:val="2"/>
  <w:characterSpacingControl w:val="doNotCompress"/>
  <w:hdrShapeDefaults>
    <o:shapedefaults v:ext="edit" spidmax="20481">
      <o:colormru v:ext="edit" colors="red,#4d4d4f"/>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9A5"/>
    <w:rsid w:val="0000021F"/>
    <w:rsid w:val="00000E9F"/>
    <w:rsid w:val="000019C7"/>
    <w:rsid w:val="0000253D"/>
    <w:rsid w:val="00002B99"/>
    <w:rsid w:val="00003199"/>
    <w:rsid w:val="00005A09"/>
    <w:rsid w:val="00005E72"/>
    <w:rsid w:val="00005EB8"/>
    <w:rsid w:val="00006977"/>
    <w:rsid w:val="00010667"/>
    <w:rsid w:val="0001102D"/>
    <w:rsid w:val="000122FD"/>
    <w:rsid w:val="000123DF"/>
    <w:rsid w:val="000128C7"/>
    <w:rsid w:val="000129D5"/>
    <w:rsid w:val="00012BBA"/>
    <w:rsid w:val="00012C17"/>
    <w:rsid w:val="00012E30"/>
    <w:rsid w:val="00012F52"/>
    <w:rsid w:val="00014B4D"/>
    <w:rsid w:val="00014E67"/>
    <w:rsid w:val="00015AE7"/>
    <w:rsid w:val="00015B71"/>
    <w:rsid w:val="00015F09"/>
    <w:rsid w:val="00016AC7"/>
    <w:rsid w:val="00016B6B"/>
    <w:rsid w:val="00016C1D"/>
    <w:rsid w:val="00016E21"/>
    <w:rsid w:val="0001719C"/>
    <w:rsid w:val="00020C15"/>
    <w:rsid w:val="000216D5"/>
    <w:rsid w:val="00022380"/>
    <w:rsid w:val="0002280E"/>
    <w:rsid w:val="00022ACD"/>
    <w:rsid w:val="0002386D"/>
    <w:rsid w:val="00024729"/>
    <w:rsid w:val="000247F5"/>
    <w:rsid w:val="00024AF1"/>
    <w:rsid w:val="00025090"/>
    <w:rsid w:val="00025557"/>
    <w:rsid w:val="00026166"/>
    <w:rsid w:val="00026641"/>
    <w:rsid w:val="000268B5"/>
    <w:rsid w:val="00026ABF"/>
    <w:rsid w:val="00026B0B"/>
    <w:rsid w:val="00026F91"/>
    <w:rsid w:val="000273F4"/>
    <w:rsid w:val="00027E3D"/>
    <w:rsid w:val="000300B9"/>
    <w:rsid w:val="000309CE"/>
    <w:rsid w:val="00030BA1"/>
    <w:rsid w:val="000311DA"/>
    <w:rsid w:val="000317E5"/>
    <w:rsid w:val="00031959"/>
    <w:rsid w:val="000319E1"/>
    <w:rsid w:val="00032760"/>
    <w:rsid w:val="00032935"/>
    <w:rsid w:val="00032B03"/>
    <w:rsid w:val="00033422"/>
    <w:rsid w:val="000342F2"/>
    <w:rsid w:val="0003491E"/>
    <w:rsid w:val="00034B6F"/>
    <w:rsid w:val="00035630"/>
    <w:rsid w:val="000358B1"/>
    <w:rsid w:val="00036342"/>
    <w:rsid w:val="00040280"/>
    <w:rsid w:val="00040FE7"/>
    <w:rsid w:val="0004185D"/>
    <w:rsid w:val="00041D18"/>
    <w:rsid w:val="00041D23"/>
    <w:rsid w:val="00042AAF"/>
    <w:rsid w:val="00042B53"/>
    <w:rsid w:val="00043077"/>
    <w:rsid w:val="00043AE1"/>
    <w:rsid w:val="00044B4B"/>
    <w:rsid w:val="000454AE"/>
    <w:rsid w:val="0004565F"/>
    <w:rsid w:val="00045BDA"/>
    <w:rsid w:val="00046044"/>
    <w:rsid w:val="00046C50"/>
    <w:rsid w:val="0005011A"/>
    <w:rsid w:val="000501A2"/>
    <w:rsid w:val="0005032B"/>
    <w:rsid w:val="000503E8"/>
    <w:rsid w:val="00050448"/>
    <w:rsid w:val="0005045A"/>
    <w:rsid w:val="000507EB"/>
    <w:rsid w:val="00051C1E"/>
    <w:rsid w:val="00051CBD"/>
    <w:rsid w:val="00051F70"/>
    <w:rsid w:val="00052298"/>
    <w:rsid w:val="00052A5F"/>
    <w:rsid w:val="00052E57"/>
    <w:rsid w:val="0005369C"/>
    <w:rsid w:val="000537B7"/>
    <w:rsid w:val="00053979"/>
    <w:rsid w:val="000539F9"/>
    <w:rsid w:val="000545C8"/>
    <w:rsid w:val="00054C27"/>
    <w:rsid w:val="00054D26"/>
    <w:rsid w:val="00054D61"/>
    <w:rsid w:val="000550FE"/>
    <w:rsid w:val="00055EC3"/>
    <w:rsid w:val="00055FD3"/>
    <w:rsid w:val="000563CE"/>
    <w:rsid w:val="00057944"/>
    <w:rsid w:val="00057E19"/>
    <w:rsid w:val="000609CE"/>
    <w:rsid w:val="00060DF3"/>
    <w:rsid w:val="00061238"/>
    <w:rsid w:val="0006141E"/>
    <w:rsid w:val="0006242D"/>
    <w:rsid w:val="00062A4C"/>
    <w:rsid w:val="00062DAF"/>
    <w:rsid w:val="00063470"/>
    <w:rsid w:val="00064F2F"/>
    <w:rsid w:val="000659B6"/>
    <w:rsid w:val="00065BD1"/>
    <w:rsid w:val="000662CC"/>
    <w:rsid w:val="000664F7"/>
    <w:rsid w:val="0006669E"/>
    <w:rsid w:val="00066D7F"/>
    <w:rsid w:val="00066E0D"/>
    <w:rsid w:val="0006722A"/>
    <w:rsid w:val="00070361"/>
    <w:rsid w:val="00070CC5"/>
    <w:rsid w:val="000713CF"/>
    <w:rsid w:val="00071C63"/>
    <w:rsid w:val="00071CE6"/>
    <w:rsid w:val="000732CF"/>
    <w:rsid w:val="0007352C"/>
    <w:rsid w:val="0007421E"/>
    <w:rsid w:val="00074558"/>
    <w:rsid w:val="00074DAF"/>
    <w:rsid w:val="00075B96"/>
    <w:rsid w:val="00076857"/>
    <w:rsid w:val="00076D36"/>
    <w:rsid w:val="0007750D"/>
    <w:rsid w:val="000812D2"/>
    <w:rsid w:val="00081625"/>
    <w:rsid w:val="0008196A"/>
    <w:rsid w:val="00081EDC"/>
    <w:rsid w:val="000824C1"/>
    <w:rsid w:val="000827E9"/>
    <w:rsid w:val="000859C0"/>
    <w:rsid w:val="00085A84"/>
    <w:rsid w:val="0008600E"/>
    <w:rsid w:val="0008669F"/>
    <w:rsid w:val="000870BC"/>
    <w:rsid w:val="00087B93"/>
    <w:rsid w:val="00087D06"/>
    <w:rsid w:val="00087D74"/>
    <w:rsid w:val="00090244"/>
    <w:rsid w:val="000908DB"/>
    <w:rsid w:val="000915ED"/>
    <w:rsid w:val="00091C7A"/>
    <w:rsid w:val="0009209D"/>
    <w:rsid w:val="00092336"/>
    <w:rsid w:val="0009247E"/>
    <w:rsid w:val="000926B9"/>
    <w:rsid w:val="00092CF5"/>
    <w:rsid w:val="000936AE"/>
    <w:rsid w:val="00093D83"/>
    <w:rsid w:val="00094829"/>
    <w:rsid w:val="000949D4"/>
    <w:rsid w:val="00094D8B"/>
    <w:rsid w:val="00096197"/>
    <w:rsid w:val="000969BD"/>
    <w:rsid w:val="000969BF"/>
    <w:rsid w:val="000969FC"/>
    <w:rsid w:val="00096AA1"/>
    <w:rsid w:val="00096AAD"/>
    <w:rsid w:val="000977BB"/>
    <w:rsid w:val="000A0348"/>
    <w:rsid w:val="000A0399"/>
    <w:rsid w:val="000A0C22"/>
    <w:rsid w:val="000A0F41"/>
    <w:rsid w:val="000A1611"/>
    <w:rsid w:val="000A1CD9"/>
    <w:rsid w:val="000A2898"/>
    <w:rsid w:val="000A2B25"/>
    <w:rsid w:val="000A2FE2"/>
    <w:rsid w:val="000A3298"/>
    <w:rsid w:val="000A3341"/>
    <w:rsid w:val="000A3993"/>
    <w:rsid w:val="000A3BB2"/>
    <w:rsid w:val="000A3C43"/>
    <w:rsid w:val="000A3FC5"/>
    <w:rsid w:val="000A4A51"/>
    <w:rsid w:val="000A5323"/>
    <w:rsid w:val="000A5D2B"/>
    <w:rsid w:val="000A7842"/>
    <w:rsid w:val="000A7930"/>
    <w:rsid w:val="000A7AE7"/>
    <w:rsid w:val="000A7CDF"/>
    <w:rsid w:val="000B0D2B"/>
    <w:rsid w:val="000B1962"/>
    <w:rsid w:val="000B1B06"/>
    <w:rsid w:val="000B2BBA"/>
    <w:rsid w:val="000B2DFF"/>
    <w:rsid w:val="000B343C"/>
    <w:rsid w:val="000B3AFF"/>
    <w:rsid w:val="000B4057"/>
    <w:rsid w:val="000B52D7"/>
    <w:rsid w:val="000B541C"/>
    <w:rsid w:val="000B57C9"/>
    <w:rsid w:val="000B5DE3"/>
    <w:rsid w:val="000B5FF4"/>
    <w:rsid w:val="000B6EB7"/>
    <w:rsid w:val="000B7653"/>
    <w:rsid w:val="000C0A57"/>
    <w:rsid w:val="000C230C"/>
    <w:rsid w:val="000C243C"/>
    <w:rsid w:val="000C2713"/>
    <w:rsid w:val="000C28E3"/>
    <w:rsid w:val="000C297D"/>
    <w:rsid w:val="000C3DBE"/>
    <w:rsid w:val="000C4870"/>
    <w:rsid w:val="000C4E97"/>
    <w:rsid w:val="000C55C8"/>
    <w:rsid w:val="000C6D4F"/>
    <w:rsid w:val="000D0BC6"/>
    <w:rsid w:val="000D1C6F"/>
    <w:rsid w:val="000D37AD"/>
    <w:rsid w:val="000D56B2"/>
    <w:rsid w:val="000D60E4"/>
    <w:rsid w:val="000D71D9"/>
    <w:rsid w:val="000D7361"/>
    <w:rsid w:val="000D76E0"/>
    <w:rsid w:val="000D7E8B"/>
    <w:rsid w:val="000E02E0"/>
    <w:rsid w:val="000E0B8D"/>
    <w:rsid w:val="000E120C"/>
    <w:rsid w:val="000E2462"/>
    <w:rsid w:val="000E2B0A"/>
    <w:rsid w:val="000E2EE8"/>
    <w:rsid w:val="000E37CF"/>
    <w:rsid w:val="000E39B8"/>
    <w:rsid w:val="000E3AEA"/>
    <w:rsid w:val="000E3AF0"/>
    <w:rsid w:val="000E424B"/>
    <w:rsid w:val="000E4449"/>
    <w:rsid w:val="000E46C9"/>
    <w:rsid w:val="000E4D8E"/>
    <w:rsid w:val="000E4F20"/>
    <w:rsid w:val="000E5162"/>
    <w:rsid w:val="000E6097"/>
    <w:rsid w:val="000E7BB2"/>
    <w:rsid w:val="000F0832"/>
    <w:rsid w:val="000F09AC"/>
    <w:rsid w:val="000F14AC"/>
    <w:rsid w:val="000F29DF"/>
    <w:rsid w:val="000F3C4E"/>
    <w:rsid w:val="000F529F"/>
    <w:rsid w:val="000F5736"/>
    <w:rsid w:val="000F5766"/>
    <w:rsid w:val="000F6127"/>
    <w:rsid w:val="000F677A"/>
    <w:rsid w:val="000F748F"/>
    <w:rsid w:val="000F787F"/>
    <w:rsid w:val="0010028A"/>
    <w:rsid w:val="00101FF5"/>
    <w:rsid w:val="0010217F"/>
    <w:rsid w:val="00103829"/>
    <w:rsid w:val="00104422"/>
    <w:rsid w:val="00104698"/>
    <w:rsid w:val="00104BC4"/>
    <w:rsid w:val="001066B6"/>
    <w:rsid w:val="00106E35"/>
    <w:rsid w:val="00107351"/>
    <w:rsid w:val="00110E17"/>
    <w:rsid w:val="0011151A"/>
    <w:rsid w:val="00111FCE"/>
    <w:rsid w:val="00112929"/>
    <w:rsid w:val="00113255"/>
    <w:rsid w:val="00113D21"/>
    <w:rsid w:val="0011426C"/>
    <w:rsid w:val="0011432E"/>
    <w:rsid w:val="001158DF"/>
    <w:rsid w:val="00115E24"/>
    <w:rsid w:val="0011612B"/>
    <w:rsid w:val="001175F6"/>
    <w:rsid w:val="00117A76"/>
    <w:rsid w:val="00120C79"/>
    <w:rsid w:val="00121D93"/>
    <w:rsid w:val="001229A5"/>
    <w:rsid w:val="00122AB4"/>
    <w:rsid w:val="001231AD"/>
    <w:rsid w:val="001231DC"/>
    <w:rsid w:val="0012350D"/>
    <w:rsid w:val="00123586"/>
    <w:rsid w:val="0012387E"/>
    <w:rsid w:val="00123B33"/>
    <w:rsid w:val="001243B9"/>
    <w:rsid w:val="0012489B"/>
    <w:rsid w:val="00126693"/>
    <w:rsid w:val="001276AF"/>
    <w:rsid w:val="00130017"/>
    <w:rsid w:val="00130497"/>
    <w:rsid w:val="0013079B"/>
    <w:rsid w:val="00130EE5"/>
    <w:rsid w:val="00130F91"/>
    <w:rsid w:val="001314BB"/>
    <w:rsid w:val="00131B6E"/>
    <w:rsid w:val="00131B91"/>
    <w:rsid w:val="00132332"/>
    <w:rsid w:val="0013238F"/>
    <w:rsid w:val="00132588"/>
    <w:rsid w:val="00133157"/>
    <w:rsid w:val="00133D82"/>
    <w:rsid w:val="00135E21"/>
    <w:rsid w:val="0013625C"/>
    <w:rsid w:val="001364CE"/>
    <w:rsid w:val="00137424"/>
    <w:rsid w:val="001374C9"/>
    <w:rsid w:val="00137F85"/>
    <w:rsid w:val="00140318"/>
    <w:rsid w:val="001415A8"/>
    <w:rsid w:val="00141AD9"/>
    <w:rsid w:val="00142F3C"/>
    <w:rsid w:val="00144D96"/>
    <w:rsid w:val="00145BA2"/>
    <w:rsid w:val="00146364"/>
    <w:rsid w:val="00146452"/>
    <w:rsid w:val="0014646F"/>
    <w:rsid w:val="00146CE6"/>
    <w:rsid w:val="001502EB"/>
    <w:rsid w:val="001511D5"/>
    <w:rsid w:val="001515F0"/>
    <w:rsid w:val="00151649"/>
    <w:rsid w:val="00152499"/>
    <w:rsid w:val="00152903"/>
    <w:rsid w:val="00152E98"/>
    <w:rsid w:val="00152EB4"/>
    <w:rsid w:val="0015347F"/>
    <w:rsid w:val="00153AE6"/>
    <w:rsid w:val="00154941"/>
    <w:rsid w:val="00154DCD"/>
    <w:rsid w:val="00154E97"/>
    <w:rsid w:val="00154F86"/>
    <w:rsid w:val="00155612"/>
    <w:rsid w:val="001556B6"/>
    <w:rsid w:val="00155BCF"/>
    <w:rsid w:val="00155BF5"/>
    <w:rsid w:val="0015614F"/>
    <w:rsid w:val="001567E2"/>
    <w:rsid w:val="001577C2"/>
    <w:rsid w:val="00157C97"/>
    <w:rsid w:val="00160EDE"/>
    <w:rsid w:val="001614D9"/>
    <w:rsid w:val="0016246B"/>
    <w:rsid w:val="001629D6"/>
    <w:rsid w:val="00162F31"/>
    <w:rsid w:val="00163039"/>
    <w:rsid w:val="001633C4"/>
    <w:rsid w:val="0016371D"/>
    <w:rsid w:val="00164127"/>
    <w:rsid w:val="001657EE"/>
    <w:rsid w:val="00165805"/>
    <w:rsid w:val="00166EB0"/>
    <w:rsid w:val="0016710A"/>
    <w:rsid w:val="0016785B"/>
    <w:rsid w:val="0016792F"/>
    <w:rsid w:val="00171591"/>
    <w:rsid w:val="001720E4"/>
    <w:rsid w:val="00172A9C"/>
    <w:rsid w:val="00173981"/>
    <w:rsid w:val="001739E5"/>
    <w:rsid w:val="0017542A"/>
    <w:rsid w:val="00175C11"/>
    <w:rsid w:val="00175F03"/>
    <w:rsid w:val="0017681E"/>
    <w:rsid w:val="0017692D"/>
    <w:rsid w:val="0017719D"/>
    <w:rsid w:val="00177A35"/>
    <w:rsid w:val="001821F9"/>
    <w:rsid w:val="00185CAB"/>
    <w:rsid w:val="00186C8C"/>
    <w:rsid w:val="00186F6B"/>
    <w:rsid w:val="001875B7"/>
    <w:rsid w:val="00187CB3"/>
    <w:rsid w:val="00187DB1"/>
    <w:rsid w:val="00190316"/>
    <w:rsid w:val="0019050A"/>
    <w:rsid w:val="00190AC5"/>
    <w:rsid w:val="00190B12"/>
    <w:rsid w:val="001910D4"/>
    <w:rsid w:val="00191561"/>
    <w:rsid w:val="001916BC"/>
    <w:rsid w:val="00192039"/>
    <w:rsid w:val="001921D1"/>
    <w:rsid w:val="00192CA2"/>
    <w:rsid w:val="001932B2"/>
    <w:rsid w:val="0019393B"/>
    <w:rsid w:val="001940B4"/>
    <w:rsid w:val="00194623"/>
    <w:rsid w:val="0019508A"/>
    <w:rsid w:val="001950FE"/>
    <w:rsid w:val="001952CF"/>
    <w:rsid w:val="00195313"/>
    <w:rsid w:val="001954EE"/>
    <w:rsid w:val="001957D7"/>
    <w:rsid w:val="0019621C"/>
    <w:rsid w:val="001969DC"/>
    <w:rsid w:val="001976E3"/>
    <w:rsid w:val="001A0A4A"/>
    <w:rsid w:val="001A0E9A"/>
    <w:rsid w:val="001A2A07"/>
    <w:rsid w:val="001A2B80"/>
    <w:rsid w:val="001A38CC"/>
    <w:rsid w:val="001A3E85"/>
    <w:rsid w:val="001A44EC"/>
    <w:rsid w:val="001A473F"/>
    <w:rsid w:val="001A4B23"/>
    <w:rsid w:val="001A4C98"/>
    <w:rsid w:val="001A5634"/>
    <w:rsid w:val="001A64D4"/>
    <w:rsid w:val="001A6834"/>
    <w:rsid w:val="001A721C"/>
    <w:rsid w:val="001A72FF"/>
    <w:rsid w:val="001A768B"/>
    <w:rsid w:val="001A7B94"/>
    <w:rsid w:val="001A7E20"/>
    <w:rsid w:val="001B0087"/>
    <w:rsid w:val="001B0637"/>
    <w:rsid w:val="001B0E99"/>
    <w:rsid w:val="001B105C"/>
    <w:rsid w:val="001B1108"/>
    <w:rsid w:val="001B3AFA"/>
    <w:rsid w:val="001B44B8"/>
    <w:rsid w:val="001B47F8"/>
    <w:rsid w:val="001B58AA"/>
    <w:rsid w:val="001B5F6F"/>
    <w:rsid w:val="001B7940"/>
    <w:rsid w:val="001B7E48"/>
    <w:rsid w:val="001C0F5C"/>
    <w:rsid w:val="001C17CE"/>
    <w:rsid w:val="001C1805"/>
    <w:rsid w:val="001C1D0F"/>
    <w:rsid w:val="001C24A4"/>
    <w:rsid w:val="001C2C99"/>
    <w:rsid w:val="001C2DB0"/>
    <w:rsid w:val="001C36CA"/>
    <w:rsid w:val="001C3E7C"/>
    <w:rsid w:val="001C4414"/>
    <w:rsid w:val="001C4427"/>
    <w:rsid w:val="001C44D1"/>
    <w:rsid w:val="001C4B1A"/>
    <w:rsid w:val="001C538B"/>
    <w:rsid w:val="001C61B9"/>
    <w:rsid w:val="001C66E8"/>
    <w:rsid w:val="001C6AEE"/>
    <w:rsid w:val="001C7176"/>
    <w:rsid w:val="001C7450"/>
    <w:rsid w:val="001C7630"/>
    <w:rsid w:val="001C7C3C"/>
    <w:rsid w:val="001C7D2A"/>
    <w:rsid w:val="001D17FF"/>
    <w:rsid w:val="001D1968"/>
    <w:rsid w:val="001D1EC3"/>
    <w:rsid w:val="001D2D55"/>
    <w:rsid w:val="001D2F67"/>
    <w:rsid w:val="001D3392"/>
    <w:rsid w:val="001D36C2"/>
    <w:rsid w:val="001D3E22"/>
    <w:rsid w:val="001D4229"/>
    <w:rsid w:val="001D4E81"/>
    <w:rsid w:val="001D4EAA"/>
    <w:rsid w:val="001D6351"/>
    <w:rsid w:val="001D656F"/>
    <w:rsid w:val="001D6633"/>
    <w:rsid w:val="001D6D15"/>
    <w:rsid w:val="001D6D2F"/>
    <w:rsid w:val="001D7822"/>
    <w:rsid w:val="001E01E9"/>
    <w:rsid w:val="001E05FB"/>
    <w:rsid w:val="001E37F8"/>
    <w:rsid w:val="001E3C44"/>
    <w:rsid w:val="001E3EC1"/>
    <w:rsid w:val="001E6A89"/>
    <w:rsid w:val="001E6FE0"/>
    <w:rsid w:val="001E7514"/>
    <w:rsid w:val="001F002D"/>
    <w:rsid w:val="001F0646"/>
    <w:rsid w:val="001F1860"/>
    <w:rsid w:val="001F2AC5"/>
    <w:rsid w:val="001F2DB5"/>
    <w:rsid w:val="001F380B"/>
    <w:rsid w:val="001F6210"/>
    <w:rsid w:val="001F6BFE"/>
    <w:rsid w:val="001F6C2C"/>
    <w:rsid w:val="001F72F5"/>
    <w:rsid w:val="001F7558"/>
    <w:rsid w:val="00200325"/>
    <w:rsid w:val="002005EC"/>
    <w:rsid w:val="002006FB"/>
    <w:rsid w:val="00200E77"/>
    <w:rsid w:val="00200FA6"/>
    <w:rsid w:val="002010C5"/>
    <w:rsid w:val="00201C83"/>
    <w:rsid w:val="00202A9D"/>
    <w:rsid w:val="00202E07"/>
    <w:rsid w:val="002034B4"/>
    <w:rsid w:val="0020356B"/>
    <w:rsid w:val="00204CE1"/>
    <w:rsid w:val="00205B57"/>
    <w:rsid w:val="002060CC"/>
    <w:rsid w:val="0020744B"/>
    <w:rsid w:val="002100BD"/>
    <w:rsid w:val="0021038D"/>
    <w:rsid w:val="002109E3"/>
    <w:rsid w:val="00210CC8"/>
    <w:rsid w:val="00210FFB"/>
    <w:rsid w:val="002117F3"/>
    <w:rsid w:val="00211DC5"/>
    <w:rsid w:val="00211F98"/>
    <w:rsid w:val="0021374C"/>
    <w:rsid w:val="00213BF6"/>
    <w:rsid w:val="00214703"/>
    <w:rsid w:val="0021573C"/>
    <w:rsid w:val="002157E0"/>
    <w:rsid w:val="00215C22"/>
    <w:rsid w:val="00215F07"/>
    <w:rsid w:val="00216070"/>
    <w:rsid w:val="002165FF"/>
    <w:rsid w:val="00216A57"/>
    <w:rsid w:val="00216D8C"/>
    <w:rsid w:val="00216F0E"/>
    <w:rsid w:val="00217CED"/>
    <w:rsid w:val="002205CF"/>
    <w:rsid w:val="00220CAA"/>
    <w:rsid w:val="002214B8"/>
    <w:rsid w:val="00221754"/>
    <w:rsid w:val="002219EC"/>
    <w:rsid w:val="0022210A"/>
    <w:rsid w:val="0022218E"/>
    <w:rsid w:val="002223E9"/>
    <w:rsid w:val="00222A4C"/>
    <w:rsid w:val="0022334F"/>
    <w:rsid w:val="0022352E"/>
    <w:rsid w:val="0022463D"/>
    <w:rsid w:val="002247F8"/>
    <w:rsid w:val="00225044"/>
    <w:rsid w:val="0022507F"/>
    <w:rsid w:val="00225BCD"/>
    <w:rsid w:val="00225CAD"/>
    <w:rsid w:val="00225DF4"/>
    <w:rsid w:val="0022630E"/>
    <w:rsid w:val="00226819"/>
    <w:rsid w:val="00226BCA"/>
    <w:rsid w:val="00231854"/>
    <w:rsid w:val="00231AFB"/>
    <w:rsid w:val="002325E2"/>
    <w:rsid w:val="00232A12"/>
    <w:rsid w:val="00232FC0"/>
    <w:rsid w:val="00233101"/>
    <w:rsid w:val="0023353A"/>
    <w:rsid w:val="00233817"/>
    <w:rsid w:val="0023389E"/>
    <w:rsid w:val="00233BF4"/>
    <w:rsid w:val="00235976"/>
    <w:rsid w:val="00236664"/>
    <w:rsid w:val="002367FF"/>
    <w:rsid w:val="00236D2A"/>
    <w:rsid w:val="00236F29"/>
    <w:rsid w:val="002370E6"/>
    <w:rsid w:val="002373E0"/>
    <w:rsid w:val="00240160"/>
    <w:rsid w:val="00240641"/>
    <w:rsid w:val="00240CE9"/>
    <w:rsid w:val="002410B4"/>
    <w:rsid w:val="00241618"/>
    <w:rsid w:val="00242A74"/>
    <w:rsid w:val="0024312A"/>
    <w:rsid w:val="002434BA"/>
    <w:rsid w:val="002443C4"/>
    <w:rsid w:val="00244C97"/>
    <w:rsid w:val="00246089"/>
    <w:rsid w:val="00246093"/>
    <w:rsid w:val="0024643D"/>
    <w:rsid w:val="00246702"/>
    <w:rsid w:val="00247337"/>
    <w:rsid w:val="00247678"/>
    <w:rsid w:val="00247C59"/>
    <w:rsid w:val="00247C5E"/>
    <w:rsid w:val="00247F2E"/>
    <w:rsid w:val="00250A6D"/>
    <w:rsid w:val="00250ADC"/>
    <w:rsid w:val="00250B07"/>
    <w:rsid w:val="00251271"/>
    <w:rsid w:val="00251A3E"/>
    <w:rsid w:val="00251DA6"/>
    <w:rsid w:val="00252751"/>
    <w:rsid w:val="002537A2"/>
    <w:rsid w:val="0025418B"/>
    <w:rsid w:val="002543F8"/>
    <w:rsid w:val="00254D23"/>
    <w:rsid w:val="00254DF1"/>
    <w:rsid w:val="00255BB2"/>
    <w:rsid w:val="00255EEB"/>
    <w:rsid w:val="002561AD"/>
    <w:rsid w:val="00256312"/>
    <w:rsid w:val="00256D66"/>
    <w:rsid w:val="00257241"/>
    <w:rsid w:val="00257317"/>
    <w:rsid w:val="00257553"/>
    <w:rsid w:val="00260A09"/>
    <w:rsid w:val="00260F00"/>
    <w:rsid w:val="00260FB2"/>
    <w:rsid w:val="002613ED"/>
    <w:rsid w:val="00262128"/>
    <w:rsid w:val="002621A4"/>
    <w:rsid w:val="00262448"/>
    <w:rsid w:val="0026295A"/>
    <w:rsid w:val="00262B3E"/>
    <w:rsid w:val="00262B5B"/>
    <w:rsid w:val="00263723"/>
    <w:rsid w:val="0026412F"/>
    <w:rsid w:val="00265967"/>
    <w:rsid w:val="0026787A"/>
    <w:rsid w:val="00267923"/>
    <w:rsid w:val="00267DBA"/>
    <w:rsid w:val="0027165D"/>
    <w:rsid w:val="00272779"/>
    <w:rsid w:val="00272987"/>
    <w:rsid w:val="002732D7"/>
    <w:rsid w:val="00273823"/>
    <w:rsid w:val="00273AB0"/>
    <w:rsid w:val="00273CEB"/>
    <w:rsid w:val="0027444A"/>
    <w:rsid w:val="00274A94"/>
    <w:rsid w:val="0027519A"/>
    <w:rsid w:val="0027596E"/>
    <w:rsid w:val="002762B2"/>
    <w:rsid w:val="002763AB"/>
    <w:rsid w:val="002765EE"/>
    <w:rsid w:val="00276BC7"/>
    <w:rsid w:val="002771F4"/>
    <w:rsid w:val="00277915"/>
    <w:rsid w:val="00277C4F"/>
    <w:rsid w:val="00277CBA"/>
    <w:rsid w:val="00277D56"/>
    <w:rsid w:val="002803C4"/>
    <w:rsid w:val="002807DC"/>
    <w:rsid w:val="00280866"/>
    <w:rsid w:val="00280909"/>
    <w:rsid w:val="00281C89"/>
    <w:rsid w:val="0028282F"/>
    <w:rsid w:val="00282C73"/>
    <w:rsid w:val="0028302C"/>
    <w:rsid w:val="00283494"/>
    <w:rsid w:val="00283DE8"/>
    <w:rsid w:val="00284BB6"/>
    <w:rsid w:val="00285292"/>
    <w:rsid w:val="00286FD2"/>
    <w:rsid w:val="00290911"/>
    <w:rsid w:val="002911D3"/>
    <w:rsid w:val="00291E7E"/>
    <w:rsid w:val="002924F4"/>
    <w:rsid w:val="002927BE"/>
    <w:rsid w:val="00293807"/>
    <w:rsid w:val="002945A2"/>
    <w:rsid w:val="00294709"/>
    <w:rsid w:val="0029593B"/>
    <w:rsid w:val="00295AD6"/>
    <w:rsid w:val="00295C88"/>
    <w:rsid w:val="00295D11"/>
    <w:rsid w:val="00297A0A"/>
    <w:rsid w:val="00297FC5"/>
    <w:rsid w:val="002A0417"/>
    <w:rsid w:val="002A16D8"/>
    <w:rsid w:val="002A1BC8"/>
    <w:rsid w:val="002A2406"/>
    <w:rsid w:val="002A2D47"/>
    <w:rsid w:val="002A2EA7"/>
    <w:rsid w:val="002A3E6C"/>
    <w:rsid w:val="002A3EF2"/>
    <w:rsid w:val="002A4874"/>
    <w:rsid w:val="002A5A65"/>
    <w:rsid w:val="002A6105"/>
    <w:rsid w:val="002A6E91"/>
    <w:rsid w:val="002B0CA7"/>
    <w:rsid w:val="002B0DED"/>
    <w:rsid w:val="002B19A2"/>
    <w:rsid w:val="002B1D5E"/>
    <w:rsid w:val="002B381A"/>
    <w:rsid w:val="002B4072"/>
    <w:rsid w:val="002B4947"/>
    <w:rsid w:val="002B4AC6"/>
    <w:rsid w:val="002B4DBD"/>
    <w:rsid w:val="002B4FCC"/>
    <w:rsid w:val="002B6620"/>
    <w:rsid w:val="002B6F51"/>
    <w:rsid w:val="002B6F85"/>
    <w:rsid w:val="002B7408"/>
    <w:rsid w:val="002B7CC3"/>
    <w:rsid w:val="002B7CFD"/>
    <w:rsid w:val="002B7D36"/>
    <w:rsid w:val="002C133D"/>
    <w:rsid w:val="002C1647"/>
    <w:rsid w:val="002C189B"/>
    <w:rsid w:val="002C210F"/>
    <w:rsid w:val="002C27C5"/>
    <w:rsid w:val="002C27D4"/>
    <w:rsid w:val="002C2A91"/>
    <w:rsid w:val="002C3191"/>
    <w:rsid w:val="002C4513"/>
    <w:rsid w:val="002C46E4"/>
    <w:rsid w:val="002C5170"/>
    <w:rsid w:val="002C592F"/>
    <w:rsid w:val="002C5A5E"/>
    <w:rsid w:val="002C79A5"/>
    <w:rsid w:val="002D0105"/>
    <w:rsid w:val="002D1107"/>
    <w:rsid w:val="002D1DD5"/>
    <w:rsid w:val="002D1E37"/>
    <w:rsid w:val="002D3600"/>
    <w:rsid w:val="002D3837"/>
    <w:rsid w:val="002D41DD"/>
    <w:rsid w:val="002D4846"/>
    <w:rsid w:val="002D5A69"/>
    <w:rsid w:val="002D5F5C"/>
    <w:rsid w:val="002D5FA9"/>
    <w:rsid w:val="002D6233"/>
    <w:rsid w:val="002D6486"/>
    <w:rsid w:val="002D7082"/>
    <w:rsid w:val="002E03CE"/>
    <w:rsid w:val="002E09C6"/>
    <w:rsid w:val="002E0E90"/>
    <w:rsid w:val="002E1CD5"/>
    <w:rsid w:val="002E2EC5"/>
    <w:rsid w:val="002E4239"/>
    <w:rsid w:val="002E44DE"/>
    <w:rsid w:val="002E4A82"/>
    <w:rsid w:val="002E4DDC"/>
    <w:rsid w:val="002E7A84"/>
    <w:rsid w:val="002E7CAF"/>
    <w:rsid w:val="002F0A09"/>
    <w:rsid w:val="002F2E60"/>
    <w:rsid w:val="002F4C67"/>
    <w:rsid w:val="002F4DB3"/>
    <w:rsid w:val="002F54A2"/>
    <w:rsid w:val="002F609C"/>
    <w:rsid w:val="002F65ED"/>
    <w:rsid w:val="002F7A0E"/>
    <w:rsid w:val="00300087"/>
    <w:rsid w:val="003005F0"/>
    <w:rsid w:val="00301B66"/>
    <w:rsid w:val="00302480"/>
    <w:rsid w:val="00303E44"/>
    <w:rsid w:val="0030495D"/>
    <w:rsid w:val="00304C1A"/>
    <w:rsid w:val="00304F12"/>
    <w:rsid w:val="00305650"/>
    <w:rsid w:val="00305C3D"/>
    <w:rsid w:val="00305E39"/>
    <w:rsid w:val="00306835"/>
    <w:rsid w:val="00306EC1"/>
    <w:rsid w:val="00306FE1"/>
    <w:rsid w:val="00307755"/>
    <w:rsid w:val="003079D2"/>
    <w:rsid w:val="00311186"/>
    <w:rsid w:val="00311544"/>
    <w:rsid w:val="00311858"/>
    <w:rsid w:val="00311862"/>
    <w:rsid w:val="0031402D"/>
    <w:rsid w:val="003149C9"/>
    <w:rsid w:val="00314EBE"/>
    <w:rsid w:val="00314FB5"/>
    <w:rsid w:val="00315208"/>
    <w:rsid w:val="00316323"/>
    <w:rsid w:val="003165E6"/>
    <w:rsid w:val="00320AA9"/>
    <w:rsid w:val="00320F35"/>
    <w:rsid w:val="003212C4"/>
    <w:rsid w:val="00321612"/>
    <w:rsid w:val="00321943"/>
    <w:rsid w:val="00321EE9"/>
    <w:rsid w:val="003221CF"/>
    <w:rsid w:val="00322567"/>
    <w:rsid w:val="0032299D"/>
    <w:rsid w:val="003233ED"/>
    <w:rsid w:val="00323D38"/>
    <w:rsid w:val="00324D9F"/>
    <w:rsid w:val="00325042"/>
    <w:rsid w:val="003252A9"/>
    <w:rsid w:val="0032594D"/>
    <w:rsid w:val="00327948"/>
    <w:rsid w:val="00327B66"/>
    <w:rsid w:val="00327C99"/>
    <w:rsid w:val="0033000F"/>
    <w:rsid w:val="003304F1"/>
    <w:rsid w:val="00330E4E"/>
    <w:rsid w:val="00332011"/>
    <w:rsid w:val="00332518"/>
    <w:rsid w:val="003328EE"/>
    <w:rsid w:val="00332925"/>
    <w:rsid w:val="003332ED"/>
    <w:rsid w:val="003333EA"/>
    <w:rsid w:val="00335BCB"/>
    <w:rsid w:val="003368DC"/>
    <w:rsid w:val="00337465"/>
    <w:rsid w:val="0033761E"/>
    <w:rsid w:val="00342C5E"/>
    <w:rsid w:val="003430C5"/>
    <w:rsid w:val="00343537"/>
    <w:rsid w:val="003436EC"/>
    <w:rsid w:val="00343D30"/>
    <w:rsid w:val="0034422B"/>
    <w:rsid w:val="003447AA"/>
    <w:rsid w:val="00345927"/>
    <w:rsid w:val="003459CB"/>
    <w:rsid w:val="003460F4"/>
    <w:rsid w:val="003465B7"/>
    <w:rsid w:val="00346D72"/>
    <w:rsid w:val="00346D82"/>
    <w:rsid w:val="0035043A"/>
    <w:rsid w:val="00350584"/>
    <w:rsid w:val="003507F4"/>
    <w:rsid w:val="00350D57"/>
    <w:rsid w:val="00350FE6"/>
    <w:rsid w:val="00351094"/>
    <w:rsid w:val="00351857"/>
    <w:rsid w:val="00351859"/>
    <w:rsid w:val="0035207F"/>
    <w:rsid w:val="003520FD"/>
    <w:rsid w:val="00352880"/>
    <w:rsid w:val="003532EE"/>
    <w:rsid w:val="003570BF"/>
    <w:rsid w:val="003577F8"/>
    <w:rsid w:val="00357D8F"/>
    <w:rsid w:val="00360212"/>
    <w:rsid w:val="003606B3"/>
    <w:rsid w:val="003610C8"/>
    <w:rsid w:val="003610E1"/>
    <w:rsid w:val="0036165D"/>
    <w:rsid w:val="003617D6"/>
    <w:rsid w:val="00361974"/>
    <w:rsid w:val="00362924"/>
    <w:rsid w:val="00363F41"/>
    <w:rsid w:val="003656C5"/>
    <w:rsid w:val="00365AE8"/>
    <w:rsid w:val="00365B81"/>
    <w:rsid w:val="0036604D"/>
    <w:rsid w:val="003667CB"/>
    <w:rsid w:val="003669B8"/>
    <w:rsid w:val="00366EBC"/>
    <w:rsid w:val="003671BE"/>
    <w:rsid w:val="00367292"/>
    <w:rsid w:val="00367B6C"/>
    <w:rsid w:val="00370699"/>
    <w:rsid w:val="003708BA"/>
    <w:rsid w:val="00370D5B"/>
    <w:rsid w:val="00370F4E"/>
    <w:rsid w:val="00371179"/>
    <w:rsid w:val="003718C8"/>
    <w:rsid w:val="00371E1E"/>
    <w:rsid w:val="00372485"/>
    <w:rsid w:val="00372D19"/>
    <w:rsid w:val="00373200"/>
    <w:rsid w:val="0037342E"/>
    <w:rsid w:val="003738C3"/>
    <w:rsid w:val="00375EF5"/>
    <w:rsid w:val="00375F28"/>
    <w:rsid w:val="003767A5"/>
    <w:rsid w:val="00376B6D"/>
    <w:rsid w:val="00380071"/>
    <w:rsid w:val="00380CCB"/>
    <w:rsid w:val="00381A01"/>
    <w:rsid w:val="00381C18"/>
    <w:rsid w:val="00381CB2"/>
    <w:rsid w:val="00381CC2"/>
    <w:rsid w:val="00383144"/>
    <w:rsid w:val="00383971"/>
    <w:rsid w:val="0038417A"/>
    <w:rsid w:val="00385254"/>
    <w:rsid w:val="00385DFE"/>
    <w:rsid w:val="00385E16"/>
    <w:rsid w:val="003864DA"/>
    <w:rsid w:val="003865E5"/>
    <w:rsid w:val="00386D39"/>
    <w:rsid w:val="00386D99"/>
    <w:rsid w:val="003875A6"/>
    <w:rsid w:val="00392300"/>
    <w:rsid w:val="003927ED"/>
    <w:rsid w:val="00392AA9"/>
    <w:rsid w:val="003934B4"/>
    <w:rsid w:val="003934E7"/>
    <w:rsid w:val="003938C8"/>
    <w:rsid w:val="00394A3B"/>
    <w:rsid w:val="00394C4A"/>
    <w:rsid w:val="0039675C"/>
    <w:rsid w:val="003A03C2"/>
    <w:rsid w:val="003A1729"/>
    <w:rsid w:val="003A1A99"/>
    <w:rsid w:val="003A2192"/>
    <w:rsid w:val="003A2BD4"/>
    <w:rsid w:val="003A2F3A"/>
    <w:rsid w:val="003A3347"/>
    <w:rsid w:val="003A395A"/>
    <w:rsid w:val="003A44E5"/>
    <w:rsid w:val="003A49FC"/>
    <w:rsid w:val="003A56B9"/>
    <w:rsid w:val="003A5F5B"/>
    <w:rsid w:val="003A5FD7"/>
    <w:rsid w:val="003A6717"/>
    <w:rsid w:val="003A681F"/>
    <w:rsid w:val="003A6DC4"/>
    <w:rsid w:val="003A7014"/>
    <w:rsid w:val="003A7338"/>
    <w:rsid w:val="003A789A"/>
    <w:rsid w:val="003A7C25"/>
    <w:rsid w:val="003B08AA"/>
    <w:rsid w:val="003B12EC"/>
    <w:rsid w:val="003B1E02"/>
    <w:rsid w:val="003B1E4E"/>
    <w:rsid w:val="003B2EE0"/>
    <w:rsid w:val="003B2EEE"/>
    <w:rsid w:val="003B3912"/>
    <w:rsid w:val="003B4455"/>
    <w:rsid w:val="003B4DDD"/>
    <w:rsid w:val="003B4E5E"/>
    <w:rsid w:val="003B50FC"/>
    <w:rsid w:val="003B55ED"/>
    <w:rsid w:val="003B610E"/>
    <w:rsid w:val="003B6746"/>
    <w:rsid w:val="003B6AD3"/>
    <w:rsid w:val="003B6D18"/>
    <w:rsid w:val="003B7A11"/>
    <w:rsid w:val="003B7CED"/>
    <w:rsid w:val="003B7F7B"/>
    <w:rsid w:val="003C19A2"/>
    <w:rsid w:val="003C31FE"/>
    <w:rsid w:val="003C33F9"/>
    <w:rsid w:val="003C3571"/>
    <w:rsid w:val="003C35D8"/>
    <w:rsid w:val="003C3AA1"/>
    <w:rsid w:val="003C3B37"/>
    <w:rsid w:val="003C4349"/>
    <w:rsid w:val="003C49C6"/>
    <w:rsid w:val="003C4AC3"/>
    <w:rsid w:val="003C55B0"/>
    <w:rsid w:val="003C590F"/>
    <w:rsid w:val="003C77E0"/>
    <w:rsid w:val="003C7C70"/>
    <w:rsid w:val="003C7F4F"/>
    <w:rsid w:val="003D011F"/>
    <w:rsid w:val="003D04B6"/>
    <w:rsid w:val="003D0687"/>
    <w:rsid w:val="003D17D7"/>
    <w:rsid w:val="003D2082"/>
    <w:rsid w:val="003D2197"/>
    <w:rsid w:val="003D21F4"/>
    <w:rsid w:val="003D2678"/>
    <w:rsid w:val="003D2759"/>
    <w:rsid w:val="003D2DC0"/>
    <w:rsid w:val="003D329B"/>
    <w:rsid w:val="003D358C"/>
    <w:rsid w:val="003D387B"/>
    <w:rsid w:val="003D4BA6"/>
    <w:rsid w:val="003D5984"/>
    <w:rsid w:val="003D5A93"/>
    <w:rsid w:val="003D6F22"/>
    <w:rsid w:val="003D70BB"/>
    <w:rsid w:val="003D7131"/>
    <w:rsid w:val="003D71A3"/>
    <w:rsid w:val="003D7358"/>
    <w:rsid w:val="003D7F8F"/>
    <w:rsid w:val="003E0856"/>
    <w:rsid w:val="003E12DA"/>
    <w:rsid w:val="003E16AD"/>
    <w:rsid w:val="003E1BA7"/>
    <w:rsid w:val="003E1E8C"/>
    <w:rsid w:val="003E2716"/>
    <w:rsid w:val="003E2B8A"/>
    <w:rsid w:val="003E2C43"/>
    <w:rsid w:val="003E6300"/>
    <w:rsid w:val="003E67C2"/>
    <w:rsid w:val="003F0613"/>
    <w:rsid w:val="003F0983"/>
    <w:rsid w:val="003F0F8E"/>
    <w:rsid w:val="003F10EE"/>
    <w:rsid w:val="003F13DB"/>
    <w:rsid w:val="003F16F6"/>
    <w:rsid w:val="003F2304"/>
    <w:rsid w:val="003F259B"/>
    <w:rsid w:val="003F277E"/>
    <w:rsid w:val="003F2BD3"/>
    <w:rsid w:val="003F41B4"/>
    <w:rsid w:val="003F4DC7"/>
    <w:rsid w:val="003F5235"/>
    <w:rsid w:val="003F6480"/>
    <w:rsid w:val="003F6993"/>
    <w:rsid w:val="003F72A4"/>
    <w:rsid w:val="003F7842"/>
    <w:rsid w:val="00400A00"/>
    <w:rsid w:val="00400CDC"/>
    <w:rsid w:val="00401BA0"/>
    <w:rsid w:val="004022A6"/>
    <w:rsid w:val="0040263C"/>
    <w:rsid w:val="004027E4"/>
    <w:rsid w:val="004036B2"/>
    <w:rsid w:val="004037C7"/>
    <w:rsid w:val="004045DC"/>
    <w:rsid w:val="00405471"/>
    <w:rsid w:val="004061F1"/>
    <w:rsid w:val="00406635"/>
    <w:rsid w:val="00406ABA"/>
    <w:rsid w:val="00406DCF"/>
    <w:rsid w:val="004105A9"/>
    <w:rsid w:val="0041071D"/>
    <w:rsid w:val="00410AD0"/>
    <w:rsid w:val="0041143B"/>
    <w:rsid w:val="004130D5"/>
    <w:rsid w:val="00413EC5"/>
    <w:rsid w:val="00414AFC"/>
    <w:rsid w:val="00415041"/>
    <w:rsid w:val="004150CB"/>
    <w:rsid w:val="004151A7"/>
    <w:rsid w:val="00415310"/>
    <w:rsid w:val="00416C0F"/>
    <w:rsid w:val="00417292"/>
    <w:rsid w:val="00417AC5"/>
    <w:rsid w:val="00417B1B"/>
    <w:rsid w:val="004200C4"/>
    <w:rsid w:val="00420C8E"/>
    <w:rsid w:val="00421709"/>
    <w:rsid w:val="004224A7"/>
    <w:rsid w:val="00422727"/>
    <w:rsid w:val="00423379"/>
    <w:rsid w:val="00423763"/>
    <w:rsid w:val="00423914"/>
    <w:rsid w:val="00423C63"/>
    <w:rsid w:val="00424BE1"/>
    <w:rsid w:val="004257D3"/>
    <w:rsid w:val="00425942"/>
    <w:rsid w:val="00425B7D"/>
    <w:rsid w:val="004272E1"/>
    <w:rsid w:val="0042762F"/>
    <w:rsid w:val="00427DC7"/>
    <w:rsid w:val="004302F1"/>
    <w:rsid w:val="00430B68"/>
    <w:rsid w:val="00431613"/>
    <w:rsid w:val="00431792"/>
    <w:rsid w:val="00431CF7"/>
    <w:rsid w:val="0043264B"/>
    <w:rsid w:val="00432657"/>
    <w:rsid w:val="004326FE"/>
    <w:rsid w:val="0043297A"/>
    <w:rsid w:val="00432A95"/>
    <w:rsid w:val="00432EB2"/>
    <w:rsid w:val="00432EBB"/>
    <w:rsid w:val="0043301B"/>
    <w:rsid w:val="00433DCD"/>
    <w:rsid w:val="004345FC"/>
    <w:rsid w:val="0043478D"/>
    <w:rsid w:val="00434A74"/>
    <w:rsid w:val="0043535E"/>
    <w:rsid w:val="00435B01"/>
    <w:rsid w:val="00435C43"/>
    <w:rsid w:val="00436673"/>
    <w:rsid w:val="00436754"/>
    <w:rsid w:val="004370F0"/>
    <w:rsid w:val="0043714F"/>
    <w:rsid w:val="00437296"/>
    <w:rsid w:val="00437878"/>
    <w:rsid w:val="0044056A"/>
    <w:rsid w:val="00442602"/>
    <w:rsid w:val="004438B5"/>
    <w:rsid w:val="0044404C"/>
    <w:rsid w:val="004441BF"/>
    <w:rsid w:val="004456E1"/>
    <w:rsid w:val="00446598"/>
    <w:rsid w:val="00447037"/>
    <w:rsid w:val="004507AB"/>
    <w:rsid w:val="0045124D"/>
    <w:rsid w:val="004517B9"/>
    <w:rsid w:val="00451947"/>
    <w:rsid w:val="00451C3B"/>
    <w:rsid w:val="00452672"/>
    <w:rsid w:val="00453247"/>
    <w:rsid w:val="00453A29"/>
    <w:rsid w:val="00453B40"/>
    <w:rsid w:val="00454596"/>
    <w:rsid w:val="0045492D"/>
    <w:rsid w:val="0045605D"/>
    <w:rsid w:val="00456357"/>
    <w:rsid w:val="00456622"/>
    <w:rsid w:val="0045769F"/>
    <w:rsid w:val="004611B3"/>
    <w:rsid w:val="004612C2"/>
    <w:rsid w:val="0046135B"/>
    <w:rsid w:val="00462BD1"/>
    <w:rsid w:val="004645C1"/>
    <w:rsid w:val="00464D59"/>
    <w:rsid w:val="00465337"/>
    <w:rsid w:val="00465A75"/>
    <w:rsid w:val="0046698B"/>
    <w:rsid w:val="00466ACC"/>
    <w:rsid w:val="00466B3B"/>
    <w:rsid w:val="004671DD"/>
    <w:rsid w:val="0047043D"/>
    <w:rsid w:val="00470A0D"/>
    <w:rsid w:val="00470B9D"/>
    <w:rsid w:val="00471218"/>
    <w:rsid w:val="00471811"/>
    <w:rsid w:val="004718CC"/>
    <w:rsid w:val="004723DE"/>
    <w:rsid w:val="00472E42"/>
    <w:rsid w:val="004737CA"/>
    <w:rsid w:val="00473AAF"/>
    <w:rsid w:val="0047447E"/>
    <w:rsid w:val="00474A6A"/>
    <w:rsid w:val="00474C20"/>
    <w:rsid w:val="00476707"/>
    <w:rsid w:val="004769F0"/>
    <w:rsid w:val="00476A6D"/>
    <w:rsid w:val="00476C2D"/>
    <w:rsid w:val="004777A0"/>
    <w:rsid w:val="0047799B"/>
    <w:rsid w:val="00480315"/>
    <w:rsid w:val="0048094D"/>
    <w:rsid w:val="0048104B"/>
    <w:rsid w:val="00481695"/>
    <w:rsid w:val="00482B4C"/>
    <w:rsid w:val="00484459"/>
    <w:rsid w:val="00484736"/>
    <w:rsid w:val="00484C11"/>
    <w:rsid w:val="00485280"/>
    <w:rsid w:val="004853CE"/>
    <w:rsid w:val="0048545D"/>
    <w:rsid w:val="00485701"/>
    <w:rsid w:val="004866B3"/>
    <w:rsid w:val="004867DB"/>
    <w:rsid w:val="00486DB0"/>
    <w:rsid w:val="00486DFB"/>
    <w:rsid w:val="00487A6A"/>
    <w:rsid w:val="004908F4"/>
    <w:rsid w:val="00491778"/>
    <w:rsid w:val="00491BBB"/>
    <w:rsid w:val="00492413"/>
    <w:rsid w:val="00492B93"/>
    <w:rsid w:val="00493F9F"/>
    <w:rsid w:val="00494179"/>
    <w:rsid w:val="00494421"/>
    <w:rsid w:val="0049468A"/>
    <w:rsid w:val="004946A6"/>
    <w:rsid w:val="00494947"/>
    <w:rsid w:val="00495A96"/>
    <w:rsid w:val="00495F32"/>
    <w:rsid w:val="00497C73"/>
    <w:rsid w:val="00497E07"/>
    <w:rsid w:val="004A0202"/>
    <w:rsid w:val="004A125A"/>
    <w:rsid w:val="004A1563"/>
    <w:rsid w:val="004A1A9F"/>
    <w:rsid w:val="004A1D90"/>
    <w:rsid w:val="004A3DB8"/>
    <w:rsid w:val="004A41BB"/>
    <w:rsid w:val="004A4318"/>
    <w:rsid w:val="004A4543"/>
    <w:rsid w:val="004A46A1"/>
    <w:rsid w:val="004A56BB"/>
    <w:rsid w:val="004A5D23"/>
    <w:rsid w:val="004A62C4"/>
    <w:rsid w:val="004A6310"/>
    <w:rsid w:val="004A68A8"/>
    <w:rsid w:val="004A695E"/>
    <w:rsid w:val="004B13BD"/>
    <w:rsid w:val="004B173D"/>
    <w:rsid w:val="004B1751"/>
    <w:rsid w:val="004B292E"/>
    <w:rsid w:val="004B3801"/>
    <w:rsid w:val="004B3A22"/>
    <w:rsid w:val="004B3C3E"/>
    <w:rsid w:val="004B4478"/>
    <w:rsid w:val="004B587E"/>
    <w:rsid w:val="004B5A2D"/>
    <w:rsid w:val="004B5EB6"/>
    <w:rsid w:val="004B6D41"/>
    <w:rsid w:val="004B75E7"/>
    <w:rsid w:val="004B79FB"/>
    <w:rsid w:val="004B7C6D"/>
    <w:rsid w:val="004C0051"/>
    <w:rsid w:val="004C0253"/>
    <w:rsid w:val="004C0500"/>
    <w:rsid w:val="004C0917"/>
    <w:rsid w:val="004C142A"/>
    <w:rsid w:val="004C1BC7"/>
    <w:rsid w:val="004C1C32"/>
    <w:rsid w:val="004C2FC7"/>
    <w:rsid w:val="004C30A8"/>
    <w:rsid w:val="004C4568"/>
    <w:rsid w:val="004C48A8"/>
    <w:rsid w:val="004C4C6A"/>
    <w:rsid w:val="004C5A6B"/>
    <w:rsid w:val="004C638B"/>
    <w:rsid w:val="004C6C58"/>
    <w:rsid w:val="004C6C7D"/>
    <w:rsid w:val="004C70A3"/>
    <w:rsid w:val="004C71DC"/>
    <w:rsid w:val="004C78CE"/>
    <w:rsid w:val="004D09B3"/>
    <w:rsid w:val="004D0F69"/>
    <w:rsid w:val="004D4140"/>
    <w:rsid w:val="004D4215"/>
    <w:rsid w:val="004D45E7"/>
    <w:rsid w:val="004D4DF8"/>
    <w:rsid w:val="004D552F"/>
    <w:rsid w:val="004D56FF"/>
    <w:rsid w:val="004D6C2A"/>
    <w:rsid w:val="004D6C2B"/>
    <w:rsid w:val="004D7904"/>
    <w:rsid w:val="004D7C11"/>
    <w:rsid w:val="004E07BC"/>
    <w:rsid w:val="004E0849"/>
    <w:rsid w:val="004E0897"/>
    <w:rsid w:val="004E0A42"/>
    <w:rsid w:val="004E0B3E"/>
    <w:rsid w:val="004E0F4E"/>
    <w:rsid w:val="004E1D78"/>
    <w:rsid w:val="004E1EEE"/>
    <w:rsid w:val="004E28D7"/>
    <w:rsid w:val="004E39D3"/>
    <w:rsid w:val="004E4402"/>
    <w:rsid w:val="004E4731"/>
    <w:rsid w:val="004E508A"/>
    <w:rsid w:val="004E5C22"/>
    <w:rsid w:val="004E616D"/>
    <w:rsid w:val="004E652A"/>
    <w:rsid w:val="004E67DE"/>
    <w:rsid w:val="004E6AB0"/>
    <w:rsid w:val="004E6CB6"/>
    <w:rsid w:val="004E71E2"/>
    <w:rsid w:val="004E72CB"/>
    <w:rsid w:val="004E7430"/>
    <w:rsid w:val="004E76FD"/>
    <w:rsid w:val="004E7751"/>
    <w:rsid w:val="004F035F"/>
    <w:rsid w:val="004F0FA5"/>
    <w:rsid w:val="004F1BDE"/>
    <w:rsid w:val="004F236A"/>
    <w:rsid w:val="004F2CEE"/>
    <w:rsid w:val="004F2D0A"/>
    <w:rsid w:val="004F30B8"/>
    <w:rsid w:val="004F4411"/>
    <w:rsid w:val="004F4B21"/>
    <w:rsid w:val="004F556E"/>
    <w:rsid w:val="004F59F4"/>
    <w:rsid w:val="004F5FD9"/>
    <w:rsid w:val="004F68FA"/>
    <w:rsid w:val="004F6BD1"/>
    <w:rsid w:val="004F6FB3"/>
    <w:rsid w:val="004F7F44"/>
    <w:rsid w:val="005001B8"/>
    <w:rsid w:val="00500383"/>
    <w:rsid w:val="005006A1"/>
    <w:rsid w:val="005011B5"/>
    <w:rsid w:val="005029D2"/>
    <w:rsid w:val="00502CE5"/>
    <w:rsid w:val="005036F8"/>
    <w:rsid w:val="005037B4"/>
    <w:rsid w:val="00503B66"/>
    <w:rsid w:val="00504330"/>
    <w:rsid w:val="00504CF7"/>
    <w:rsid w:val="00506371"/>
    <w:rsid w:val="00506608"/>
    <w:rsid w:val="005079BF"/>
    <w:rsid w:val="005105CD"/>
    <w:rsid w:val="005107CA"/>
    <w:rsid w:val="00510934"/>
    <w:rsid w:val="005109AC"/>
    <w:rsid w:val="005118DD"/>
    <w:rsid w:val="00512C35"/>
    <w:rsid w:val="00512F9E"/>
    <w:rsid w:val="0051319B"/>
    <w:rsid w:val="005148D6"/>
    <w:rsid w:val="00514CEB"/>
    <w:rsid w:val="0051534C"/>
    <w:rsid w:val="005153D3"/>
    <w:rsid w:val="00515D61"/>
    <w:rsid w:val="005166A1"/>
    <w:rsid w:val="00516773"/>
    <w:rsid w:val="00516962"/>
    <w:rsid w:val="0051794C"/>
    <w:rsid w:val="00517B88"/>
    <w:rsid w:val="005208B5"/>
    <w:rsid w:val="00520C7B"/>
    <w:rsid w:val="00521718"/>
    <w:rsid w:val="005219E7"/>
    <w:rsid w:val="00521CE0"/>
    <w:rsid w:val="005227C6"/>
    <w:rsid w:val="00523F38"/>
    <w:rsid w:val="00524085"/>
    <w:rsid w:val="005245A9"/>
    <w:rsid w:val="0052547F"/>
    <w:rsid w:val="00525C30"/>
    <w:rsid w:val="00525F8C"/>
    <w:rsid w:val="00526464"/>
    <w:rsid w:val="00526CBC"/>
    <w:rsid w:val="005300E0"/>
    <w:rsid w:val="0053086F"/>
    <w:rsid w:val="00531B9A"/>
    <w:rsid w:val="00531CD0"/>
    <w:rsid w:val="00531D12"/>
    <w:rsid w:val="00531D15"/>
    <w:rsid w:val="00531D8B"/>
    <w:rsid w:val="00532165"/>
    <w:rsid w:val="005322E9"/>
    <w:rsid w:val="00532F81"/>
    <w:rsid w:val="005334A8"/>
    <w:rsid w:val="00533A79"/>
    <w:rsid w:val="00533BE4"/>
    <w:rsid w:val="00533C79"/>
    <w:rsid w:val="00533FB7"/>
    <w:rsid w:val="00534461"/>
    <w:rsid w:val="00535561"/>
    <w:rsid w:val="005362E6"/>
    <w:rsid w:val="005369A7"/>
    <w:rsid w:val="00537604"/>
    <w:rsid w:val="00540864"/>
    <w:rsid w:val="005409DB"/>
    <w:rsid w:val="00542000"/>
    <w:rsid w:val="0054217A"/>
    <w:rsid w:val="00542377"/>
    <w:rsid w:val="00543360"/>
    <w:rsid w:val="00544C99"/>
    <w:rsid w:val="00544CDE"/>
    <w:rsid w:val="005455DE"/>
    <w:rsid w:val="00545681"/>
    <w:rsid w:val="005459B7"/>
    <w:rsid w:val="00545C09"/>
    <w:rsid w:val="005463B7"/>
    <w:rsid w:val="005468A0"/>
    <w:rsid w:val="00547474"/>
    <w:rsid w:val="00547BE7"/>
    <w:rsid w:val="00547FE2"/>
    <w:rsid w:val="00551782"/>
    <w:rsid w:val="005525EC"/>
    <w:rsid w:val="00553336"/>
    <w:rsid w:val="00553882"/>
    <w:rsid w:val="00553AFF"/>
    <w:rsid w:val="005543F4"/>
    <w:rsid w:val="00554404"/>
    <w:rsid w:val="0055467E"/>
    <w:rsid w:val="00554C67"/>
    <w:rsid w:val="00555643"/>
    <w:rsid w:val="00555B03"/>
    <w:rsid w:val="00556413"/>
    <w:rsid w:val="00556424"/>
    <w:rsid w:val="0055647D"/>
    <w:rsid w:val="005569F5"/>
    <w:rsid w:val="00556F0A"/>
    <w:rsid w:val="00557380"/>
    <w:rsid w:val="005577CC"/>
    <w:rsid w:val="005610A6"/>
    <w:rsid w:val="00561A80"/>
    <w:rsid w:val="00561CB9"/>
    <w:rsid w:val="00562B2C"/>
    <w:rsid w:val="00563205"/>
    <w:rsid w:val="00563AA1"/>
    <w:rsid w:val="00563AAB"/>
    <w:rsid w:val="00563E5F"/>
    <w:rsid w:val="00563EF1"/>
    <w:rsid w:val="00564E0D"/>
    <w:rsid w:val="005651AF"/>
    <w:rsid w:val="00565EF5"/>
    <w:rsid w:val="00566126"/>
    <w:rsid w:val="00566AB4"/>
    <w:rsid w:val="005678D1"/>
    <w:rsid w:val="005701F9"/>
    <w:rsid w:val="00573B26"/>
    <w:rsid w:val="00574707"/>
    <w:rsid w:val="00575394"/>
    <w:rsid w:val="00575AC5"/>
    <w:rsid w:val="0057605D"/>
    <w:rsid w:val="00577909"/>
    <w:rsid w:val="00577B99"/>
    <w:rsid w:val="00580A5F"/>
    <w:rsid w:val="00580F16"/>
    <w:rsid w:val="00581347"/>
    <w:rsid w:val="00581774"/>
    <w:rsid w:val="00581AC9"/>
    <w:rsid w:val="00581B6F"/>
    <w:rsid w:val="00581C27"/>
    <w:rsid w:val="0058288D"/>
    <w:rsid w:val="00582E43"/>
    <w:rsid w:val="005834FC"/>
    <w:rsid w:val="00583CD2"/>
    <w:rsid w:val="005849F8"/>
    <w:rsid w:val="00585AA6"/>
    <w:rsid w:val="00585C18"/>
    <w:rsid w:val="00585F9C"/>
    <w:rsid w:val="0058690F"/>
    <w:rsid w:val="00586954"/>
    <w:rsid w:val="00586A57"/>
    <w:rsid w:val="005875E5"/>
    <w:rsid w:val="005878D6"/>
    <w:rsid w:val="00590274"/>
    <w:rsid w:val="00590497"/>
    <w:rsid w:val="00590C8D"/>
    <w:rsid w:val="005938DF"/>
    <w:rsid w:val="00593C7A"/>
    <w:rsid w:val="00594E9C"/>
    <w:rsid w:val="0059533E"/>
    <w:rsid w:val="00596153"/>
    <w:rsid w:val="0059644B"/>
    <w:rsid w:val="005970B1"/>
    <w:rsid w:val="00597729"/>
    <w:rsid w:val="005A099B"/>
    <w:rsid w:val="005A110E"/>
    <w:rsid w:val="005A26F7"/>
    <w:rsid w:val="005A2784"/>
    <w:rsid w:val="005A2D9C"/>
    <w:rsid w:val="005A4609"/>
    <w:rsid w:val="005A46F2"/>
    <w:rsid w:val="005A55FE"/>
    <w:rsid w:val="005A644B"/>
    <w:rsid w:val="005A6A11"/>
    <w:rsid w:val="005A7BAA"/>
    <w:rsid w:val="005B0341"/>
    <w:rsid w:val="005B248F"/>
    <w:rsid w:val="005B2A38"/>
    <w:rsid w:val="005B333B"/>
    <w:rsid w:val="005B3464"/>
    <w:rsid w:val="005B34E5"/>
    <w:rsid w:val="005B52C0"/>
    <w:rsid w:val="005B599E"/>
    <w:rsid w:val="005B6166"/>
    <w:rsid w:val="005B62F9"/>
    <w:rsid w:val="005B6CEC"/>
    <w:rsid w:val="005B7BCB"/>
    <w:rsid w:val="005C15AB"/>
    <w:rsid w:val="005C1CE9"/>
    <w:rsid w:val="005C233E"/>
    <w:rsid w:val="005C24FC"/>
    <w:rsid w:val="005C2532"/>
    <w:rsid w:val="005C34F0"/>
    <w:rsid w:val="005C38AE"/>
    <w:rsid w:val="005C3C3D"/>
    <w:rsid w:val="005C411A"/>
    <w:rsid w:val="005C4F0D"/>
    <w:rsid w:val="005C5169"/>
    <w:rsid w:val="005C58E5"/>
    <w:rsid w:val="005C5E03"/>
    <w:rsid w:val="005C632C"/>
    <w:rsid w:val="005C74F2"/>
    <w:rsid w:val="005C79ED"/>
    <w:rsid w:val="005D0ECF"/>
    <w:rsid w:val="005D110C"/>
    <w:rsid w:val="005D15F2"/>
    <w:rsid w:val="005D1E0D"/>
    <w:rsid w:val="005D2502"/>
    <w:rsid w:val="005D257F"/>
    <w:rsid w:val="005D29B0"/>
    <w:rsid w:val="005D2BD1"/>
    <w:rsid w:val="005D2C1A"/>
    <w:rsid w:val="005D3070"/>
    <w:rsid w:val="005D30CF"/>
    <w:rsid w:val="005D320F"/>
    <w:rsid w:val="005D3D2B"/>
    <w:rsid w:val="005D41DF"/>
    <w:rsid w:val="005D47F3"/>
    <w:rsid w:val="005D492D"/>
    <w:rsid w:val="005D49BF"/>
    <w:rsid w:val="005D4B2E"/>
    <w:rsid w:val="005D6742"/>
    <w:rsid w:val="005D6F3C"/>
    <w:rsid w:val="005D6F4E"/>
    <w:rsid w:val="005D77EC"/>
    <w:rsid w:val="005D79A9"/>
    <w:rsid w:val="005E0567"/>
    <w:rsid w:val="005E26ED"/>
    <w:rsid w:val="005E2B18"/>
    <w:rsid w:val="005E2D5C"/>
    <w:rsid w:val="005E32D9"/>
    <w:rsid w:val="005E33EB"/>
    <w:rsid w:val="005E37ED"/>
    <w:rsid w:val="005E3ACD"/>
    <w:rsid w:val="005E3B43"/>
    <w:rsid w:val="005E3C09"/>
    <w:rsid w:val="005E4B68"/>
    <w:rsid w:val="005E4C43"/>
    <w:rsid w:val="005E4FBC"/>
    <w:rsid w:val="005E7226"/>
    <w:rsid w:val="005E7A57"/>
    <w:rsid w:val="005F0216"/>
    <w:rsid w:val="005F0A9D"/>
    <w:rsid w:val="005F0E9B"/>
    <w:rsid w:val="005F1077"/>
    <w:rsid w:val="005F24B0"/>
    <w:rsid w:val="005F3383"/>
    <w:rsid w:val="005F407F"/>
    <w:rsid w:val="005F4AB7"/>
    <w:rsid w:val="005F58C9"/>
    <w:rsid w:val="005F5C62"/>
    <w:rsid w:val="005F703F"/>
    <w:rsid w:val="005F7560"/>
    <w:rsid w:val="005F7DC5"/>
    <w:rsid w:val="005F7F64"/>
    <w:rsid w:val="00600BD0"/>
    <w:rsid w:val="006011FC"/>
    <w:rsid w:val="00601664"/>
    <w:rsid w:val="00601D37"/>
    <w:rsid w:val="00604073"/>
    <w:rsid w:val="00604315"/>
    <w:rsid w:val="00604E26"/>
    <w:rsid w:val="00605153"/>
    <w:rsid w:val="006052CF"/>
    <w:rsid w:val="006057AE"/>
    <w:rsid w:val="00605BA8"/>
    <w:rsid w:val="00605CBF"/>
    <w:rsid w:val="006062EE"/>
    <w:rsid w:val="00607620"/>
    <w:rsid w:val="00607B8D"/>
    <w:rsid w:val="00610209"/>
    <w:rsid w:val="00610A15"/>
    <w:rsid w:val="00610CDB"/>
    <w:rsid w:val="00610F8C"/>
    <w:rsid w:val="00611F5C"/>
    <w:rsid w:val="006126BE"/>
    <w:rsid w:val="006128B3"/>
    <w:rsid w:val="0061331D"/>
    <w:rsid w:val="006134FA"/>
    <w:rsid w:val="006135AC"/>
    <w:rsid w:val="0061404E"/>
    <w:rsid w:val="006156BC"/>
    <w:rsid w:val="00616E09"/>
    <w:rsid w:val="00616F99"/>
    <w:rsid w:val="00617158"/>
    <w:rsid w:val="00617962"/>
    <w:rsid w:val="00621668"/>
    <w:rsid w:val="00621775"/>
    <w:rsid w:val="0062183E"/>
    <w:rsid w:val="00621F45"/>
    <w:rsid w:val="00622A3B"/>
    <w:rsid w:val="00622A45"/>
    <w:rsid w:val="00622C1B"/>
    <w:rsid w:val="0062394A"/>
    <w:rsid w:val="0062394E"/>
    <w:rsid w:val="0062396C"/>
    <w:rsid w:val="00623FF9"/>
    <w:rsid w:val="006254C3"/>
    <w:rsid w:val="00625A58"/>
    <w:rsid w:val="00625DDF"/>
    <w:rsid w:val="00626035"/>
    <w:rsid w:val="00626554"/>
    <w:rsid w:val="00626F03"/>
    <w:rsid w:val="00627D4E"/>
    <w:rsid w:val="00630839"/>
    <w:rsid w:val="006308C9"/>
    <w:rsid w:val="00631097"/>
    <w:rsid w:val="0063198E"/>
    <w:rsid w:val="006323A0"/>
    <w:rsid w:val="0063301E"/>
    <w:rsid w:val="0063304D"/>
    <w:rsid w:val="0063394C"/>
    <w:rsid w:val="00633A7B"/>
    <w:rsid w:val="00633C46"/>
    <w:rsid w:val="00634203"/>
    <w:rsid w:val="0063435C"/>
    <w:rsid w:val="0063439E"/>
    <w:rsid w:val="00634478"/>
    <w:rsid w:val="00634E9C"/>
    <w:rsid w:val="006360E6"/>
    <w:rsid w:val="00636A1C"/>
    <w:rsid w:val="00637CD4"/>
    <w:rsid w:val="006402F2"/>
    <w:rsid w:val="00640433"/>
    <w:rsid w:val="006410E4"/>
    <w:rsid w:val="006411F3"/>
    <w:rsid w:val="00641679"/>
    <w:rsid w:val="006420CA"/>
    <w:rsid w:val="00644373"/>
    <w:rsid w:val="00644688"/>
    <w:rsid w:val="00644BD2"/>
    <w:rsid w:val="00644D91"/>
    <w:rsid w:val="006451F5"/>
    <w:rsid w:val="006457FE"/>
    <w:rsid w:val="00645915"/>
    <w:rsid w:val="00645B4A"/>
    <w:rsid w:val="00645D38"/>
    <w:rsid w:val="00645E73"/>
    <w:rsid w:val="00646C3C"/>
    <w:rsid w:val="00651076"/>
    <w:rsid w:val="006519C3"/>
    <w:rsid w:val="00651ADB"/>
    <w:rsid w:val="0065260A"/>
    <w:rsid w:val="00652B30"/>
    <w:rsid w:val="006537F9"/>
    <w:rsid w:val="006557C6"/>
    <w:rsid w:val="00655DF4"/>
    <w:rsid w:val="00656305"/>
    <w:rsid w:val="00656345"/>
    <w:rsid w:val="00656DC6"/>
    <w:rsid w:val="0065797C"/>
    <w:rsid w:val="00657EF3"/>
    <w:rsid w:val="006609F5"/>
    <w:rsid w:val="006613E9"/>
    <w:rsid w:val="00661EAC"/>
    <w:rsid w:val="00661FF8"/>
    <w:rsid w:val="00662733"/>
    <w:rsid w:val="0066380D"/>
    <w:rsid w:val="006638B1"/>
    <w:rsid w:val="00664110"/>
    <w:rsid w:val="00664449"/>
    <w:rsid w:val="00664977"/>
    <w:rsid w:val="00664C1C"/>
    <w:rsid w:val="00664D17"/>
    <w:rsid w:val="00664FE8"/>
    <w:rsid w:val="00666520"/>
    <w:rsid w:val="00667BCF"/>
    <w:rsid w:val="00667C5B"/>
    <w:rsid w:val="00667CDD"/>
    <w:rsid w:val="00667D4B"/>
    <w:rsid w:val="006701FD"/>
    <w:rsid w:val="00670895"/>
    <w:rsid w:val="00670C94"/>
    <w:rsid w:val="006710CC"/>
    <w:rsid w:val="00671CDB"/>
    <w:rsid w:val="00672F70"/>
    <w:rsid w:val="00673013"/>
    <w:rsid w:val="00674692"/>
    <w:rsid w:val="006765A4"/>
    <w:rsid w:val="006805F4"/>
    <w:rsid w:val="00681B51"/>
    <w:rsid w:val="006823B7"/>
    <w:rsid w:val="00682400"/>
    <w:rsid w:val="0068344C"/>
    <w:rsid w:val="00683643"/>
    <w:rsid w:val="0068366A"/>
    <w:rsid w:val="0068388E"/>
    <w:rsid w:val="00683A26"/>
    <w:rsid w:val="006842FC"/>
    <w:rsid w:val="00684634"/>
    <w:rsid w:val="00685365"/>
    <w:rsid w:val="006853B9"/>
    <w:rsid w:val="00685B88"/>
    <w:rsid w:val="00685BA6"/>
    <w:rsid w:val="00685C07"/>
    <w:rsid w:val="00686C24"/>
    <w:rsid w:val="00687074"/>
    <w:rsid w:val="006875A3"/>
    <w:rsid w:val="006901F2"/>
    <w:rsid w:val="00690CE6"/>
    <w:rsid w:val="00690D0A"/>
    <w:rsid w:val="00691027"/>
    <w:rsid w:val="0069283A"/>
    <w:rsid w:val="00692CDE"/>
    <w:rsid w:val="00693073"/>
    <w:rsid w:val="00693B7C"/>
    <w:rsid w:val="006940D3"/>
    <w:rsid w:val="0069489F"/>
    <w:rsid w:val="0069577D"/>
    <w:rsid w:val="00695858"/>
    <w:rsid w:val="00695FCA"/>
    <w:rsid w:val="006971D1"/>
    <w:rsid w:val="006977FF"/>
    <w:rsid w:val="00697B7B"/>
    <w:rsid w:val="006A00D6"/>
    <w:rsid w:val="006A01FA"/>
    <w:rsid w:val="006A0C58"/>
    <w:rsid w:val="006A0D9C"/>
    <w:rsid w:val="006A0E9E"/>
    <w:rsid w:val="006A0F81"/>
    <w:rsid w:val="006A1545"/>
    <w:rsid w:val="006A19D3"/>
    <w:rsid w:val="006A25C7"/>
    <w:rsid w:val="006A2952"/>
    <w:rsid w:val="006A2AD5"/>
    <w:rsid w:val="006A2DAD"/>
    <w:rsid w:val="006A2FDE"/>
    <w:rsid w:val="006A496D"/>
    <w:rsid w:val="006A4AAD"/>
    <w:rsid w:val="006A5428"/>
    <w:rsid w:val="006A5DD4"/>
    <w:rsid w:val="006A6038"/>
    <w:rsid w:val="006A67C2"/>
    <w:rsid w:val="006A6BD0"/>
    <w:rsid w:val="006A6DA2"/>
    <w:rsid w:val="006A77BE"/>
    <w:rsid w:val="006A7AB2"/>
    <w:rsid w:val="006A7E5E"/>
    <w:rsid w:val="006B0ED1"/>
    <w:rsid w:val="006B1C87"/>
    <w:rsid w:val="006B490C"/>
    <w:rsid w:val="006B52C0"/>
    <w:rsid w:val="006B5327"/>
    <w:rsid w:val="006B533D"/>
    <w:rsid w:val="006B5717"/>
    <w:rsid w:val="006B582F"/>
    <w:rsid w:val="006B5922"/>
    <w:rsid w:val="006B67C3"/>
    <w:rsid w:val="006B6804"/>
    <w:rsid w:val="006B79C7"/>
    <w:rsid w:val="006B7FE5"/>
    <w:rsid w:val="006C0668"/>
    <w:rsid w:val="006C0CEB"/>
    <w:rsid w:val="006C1460"/>
    <w:rsid w:val="006C19DC"/>
    <w:rsid w:val="006C1A4E"/>
    <w:rsid w:val="006C30F1"/>
    <w:rsid w:val="006C3130"/>
    <w:rsid w:val="006C3B1E"/>
    <w:rsid w:val="006C4189"/>
    <w:rsid w:val="006C469C"/>
    <w:rsid w:val="006C47FD"/>
    <w:rsid w:val="006C5AA6"/>
    <w:rsid w:val="006C5C3B"/>
    <w:rsid w:val="006C6C32"/>
    <w:rsid w:val="006C70A0"/>
    <w:rsid w:val="006C7ADD"/>
    <w:rsid w:val="006D0323"/>
    <w:rsid w:val="006D05D1"/>
    <w:rsid w:val="006D27CB"/>
    <w:rsid w:val="006D2E6F"/>
    <w:rsid w:val="006D2F08"/>
    <w:rsid w:val="006D3747"/>
    <w:rsid w:val="006D3C0E"/>
    <w:rsid w:val="006D4A64"/>
    <w:rsid w:val="006D56A2"/>
    <w:rsid w:val="006D576C"/>
    <w:rsid w:val="006D5865"/>
    <w:rsid w:val="006D6445"/>
    <w:rsid w:val="006D6B66"/>
    <w:rsid w:val="006D783F"/>
    <w:rsid w:val="006D78E6"/>
    <w:rsid w:val="006E0730"/>
    <w:rsid w:val="006E12F2"/>
    <w:rsid w:val="006E42B5"/>
    <w:rsid w:val="006E4B1B"/>
    <w:rsid w:val="006E5395"/>
    <w:rsid w:val="006E5445"/>
    <w:rsid w:val="006E5A21"/>
    <w:rsid w:val="006E632B"/>
    <w:rsid w:val="006E668E"/>
    <w:rsid w:val="006E7298"/>
    <w:rsid w:val="006E72AA"/>
    <w:rsid w:val="006E7D93"/>
    <w:rsid w:val="006F07F5"/>
    <w:rsid w:val="006F1276"/>
    <w:rsid w:val="006F15A3"/>
    <w:rsid w:val="006F1604"/>
    <w:rsid w:val="006F248F"/>
    <w:rsid w:val="006F3FA4"/>
    <w:rsid w:val="006F4738"/>
    <w:rsid w:val="006F4BA1"/>
    <w:rsid w:val="006F7407"/>
    <w:rsid w:val="00700A0E"/>
    <w:rsid w:val="007010A8"/>
    <w:rsid w:val="007012F5"/>
    <w:rsid w:val="00702106"/>
    <w:rsid w:val="007025B4"/>
    <w:rsid w:val="007027EA"/>
    <w:rsid w:val="007029A3"/>
    <w:rsid w:val="00702F63"/>
    <w:rsid w:val="0070336B"/>
    <w:rsid w:val="00703994"/>
    <w:rsid w:val="00703BB6"/>
    <w:rsid w:val="00704223"/>
    <w:rsid w:val="007045A9"/>
    <w:rsid w:val="007049E1"/>
    <w:rsid w:val="0070563F"/>
    <w:rsid w:val="00705926"/>
    <w:rsid w:val="007063EC"/>
    <w:rsid w:val="00706E4E"/>
    <w:rsid w:val="0070791C"/>
    <w:rsid w:val="00711147"/>
    <w:rsid w:val="0071149F"/>
    <w:rsid w:val="00711B82"/>
    <w:rsid w:val="00712B87"/>
    <w:rsid w:val="0071336A"/>
    <w:rsid w:val="0071383C"/>
    <w:rsid w:val="007141A7"/>
    <w:rsid w:val="0071498B"/>
    <w:rsid w:val="00715603"/>
    <w:rsid w:val="00715E96"/>
    <w:rsid w:val="007169EC"/>
    <w:rsid w:val="00717EDF"/>
    <w:rsid w:val="00717EF6"/>
    <w:rsid w:val="007213D0"/>
    <w:rsid w:val="00721B55"/>
    <w:rsid w:val="00722C0B"/>
    <w:rsid w:val="00722CF6"/>
    <w:rsid w:val="00723A9A"/>
    <w:rsid w:val="00724D1C"/>
    <w:rsid w:val="0072530C"/>
    <w:rsid w:val="0072537B"/>
    <w:rsid w:val="00725664"/>
    <w:rsid w:val="007258C3"/>
    <w:rsid w:val="007259A9"/>
    <w:rsid w:val="007259D5"/>
    <w:rsid w:val="00725D06"/>
    <w:rsid w:val="00725E70"/>
    <w:rsid w:val="007264AD"/>
    <w:rsid w:val="00726738"/>
    <w:rsid w:val="00726CE4"/>
    <w:rsid w:val="00726D0A"/>
    <w:rsid w:val="007274F3"/>
    <w:rsid w:val="00727890"/>
    <w:rsid w:val="00727899"/>
    <w:rsid w:val="007324AD"/>
    <w:rsid w:val="00733826"/>
    <w:rsid w:val="00733CE8"/>
    <w:rsid w:val="00734143"/>
    <w:rsid w:val="0073456E"/>
    <w:rsid w:val="00735C70"/>
    <w:rsid w:val="00735CA4"/>
    <w:rsid w:val="007364F2"/>
    <w:rsid w:val="007365E4"/>
    <w:rsid w:val="00736F17"/>
    <w:rsid w:val="0073788D"/>
    <w:rsid w:val="00737E47"/>
    <w:rsid w:val="00740BF4"/>
    <w:rsid w:val="00740EAC"/>
    <w:rsid w:val="007416B9"/>
    <w:rsid w:val="00741C6F"/>
    <w:rsid w:val="0074395D"/>
    <w:rsid w:val="00744956"/>
    <w:rsid w:val="00744D31"/>
    <w:rsid w:val="00744D44"/>
    <w:rsid w:val="00745A5C"/>
    <w:rsid w:val="00745C11"/>
    <w:rsid w:val="0074605F"/>
    <w:rsid w:val="007468F6"/>
    <w:rsid w:val="00747E94"/>
    <w:rsid w:val="0075137F"/>
    <w:rsid w:val="00751DC0"/>
    <w:rsid w:val="00752310"/>
    <w:rsid w:val="0075236A"/>
    <w:rsid w:val="0075268F"/>
    <w:rsid w:val="00754B7E"/>
    <w:rsid w:val="00754C6A"/>
    <w:rsid w:val="0075504F"/>
    <w:rsid w:val="00756E40"/>
    <w:rsid w:val="0075707D"/>
    <w:rsid w:val="00757155"/>
    <w:rsid w:val="007602A9"/>
    <w:rsid w:val="007608A9"/>
    <w:rsid w:val="00762988"/>
    <w:rsid w:val="007629BE"/>
    <w:rsid w:val="00763375"/>
    <w:rsid w:val="00764876"/>
    <w:rsid w:val="007649AA"/>
    <w:rsid w:val="00764EBD"/>
    <w:rsid w:val="0076632E"/>
    <w:rsid w:val="00766749"/>
    <w:rsid w:val="00767C1B"/>
    <w:rsid w:val="00770537"/>
    <w:rsid w:val="007709F5"/>
    <w:rsid w:val="00770F70"/>
    <w:rsid w:val="00770FF0"/>
    <w:rsid w:val="00771242"/>
    <w:rsid w:val="007714A9"/>
    <w:rsid w:val="00771B0E"/>
    <w:rsid w:val="00773B78"/>
    <w:rsid w:val="00774175"/>
    <w:rsid w:val="00774793"/>
    <w:rsid w:val="00774F88"/>
    <w:rsid w:val="00774FDB"/>
    <w:rsid w:val="007753A2"/>
    <w:rsid w:val="00775575"/>
    <w:rsid w:val="00776807"/>
    <w:rsid w:val="00776995"/>
    <w:rsid w:val="00777BA2"/>
    <w:rsid w:val="00777CA7"/>
    <w:rsid w:val="00777DED"/>
    <w:rsid w:val="007806EF"/>
    <w:rsid w:val="00780776"/>
    <w:rsid w:val="00780BD1"/>
    <w:rsid w:val="00781408"/>
    <w:rsid w:val="0078151D"/>
    <w:rsid w:val="00781B8F"/>
    <w:rsid w:val="00781D74"/>
    <w:rsid w:val="0078252F"/>
    <w:rsid w:val="007827FF"/>
    <w:rsid w:val="007847C9"/>
    <w:rsid w:val="00784F7F"/>
    <w:rsid w:val="00786C1F"/>
    <w:rsid w:val="00787FE1"/>
    <w:rsid w:val="0079020A"/>
    <w:rsid w:val="00790A62"/>
    <w:rsid w:val="00792840"/>
    <w:rsid w:val="007932FF"/>
    <w:rsid w:val="00793345"/>
    <w:rsid w:val="00794DD1"/>
    <w:rsid w:val="00795834"/>
    <w:rsid w:val="00795C26"/>
    <w:rsid w:val="00795F33"/>
    <w:rsid w:val="00796A46"/>
    <w:rsid w:val="00796F25"/>
    <w:rsid w:val="0079709D"/>
    <w:rsid w:val="0079733E"/>
    <w:rsid w:val="007975DC"/>
    <w:rsid w:val="007978CD"/>
    <w:rsid w:val="00797956"/>
    <w:rsid w:val="007A079A"/>
    <w:rsid w:val="007A1897"/>
    <w:rsid w:val="007A1AF1"/>
    <w:rsid w:val="007A290F"/>
    <w:rsid w:val="007A2BDB"/>
    <w:rsid w:val="007A2E98"/>
    <w:rsid w:val="007A3BA3"/>
    <w:rsid w:val="007A3C67"/>
    <w:rsid w:val="007A4093"/>
    <w:rsid w:val="007A4882"/>
    <w:rsid w:val="007A6CC0"/>
    <w:rsid w:val="007A7049"/>
    <w:rsid w:val="007A7220"/>
    <w:rsid w:val="007B008C"/>
    <w:rsid w:val="007B1499"/>
    <w:rsid w:val="007B1648"/>
    <w:rsid w:val="007B196E"/>
    <w:rsid w:val="007B1BBF"/>
    <w:rsid w:val="007B1D94"/>
    <w:rsid w:val="007B22E0"/>
    <w:rsid w:val="007B2960"/>
    <w:rsid w:val="007B355D"/>
    <w:rsid w:val="007B416F"/>
    <w:rsid w:val="007B417C"/>
    <w:rsid w:val="007B4AB3"/>
    <w:rsid w:val="007B551E"/>
    <w:rsid w:val="007B5C1C"/>
    <w:rsid w:val="007B5E50"/>
    <w:rsid w:val="007B65ED"/>
    <w:rsid w:val="007B7086"/>
    <w:rsid w:val="007B7980"/>
    <w:rsid w:val="007C006B"/>
    <w:rsid w:val="007C1211"/>
    <w:rsid w:val="007C1301"/>
    <w:rsid w:val="007C1430"/>
    <w:rsid w:val="007C5D5A"/>
    <w:rsid w:val="007C607F"/>
    <w:rsid w:val="007C60E0"/>
    <w:rsid w:val="007C6338"/>
    <w:rsid w:val="007C6B64"/>
    <w:rsid w:val="007C73B2"/>
    <w:rsid w:val="007C76E7"/>
    <w:rsid w:val="007C791F"/>
    <w:rsid w:val="007C79DD"/>
    <w:rsid w:val="007C7F6A"/>
    <w:rsid w:val="007D00A0"/>
    <w:rsid w:val="007D05BA"/>
    <w:rsid w:val="007D0CC3"/>
    <w:rsid w:val="007D1A97"/>
    <w:rsid w:val="007D2B2F"/>
    <w:rsid w:val="007D2CD6"/>
    <w:rsid w:val="007D2EED"/>
    <w:rsid w:val="007D3063"/>
    <w:rsid w:val="007D39B4"/>
    <w:rsid w:val="007D3CEB"/>
    <w:rsid w:val="007D581C"/>
    <w:rsid w:val="007D6680"/>
    <w:rsid w:val="007D67D0"/>
    <w:rsid w:val="007D6F52"/>
    <w:rsid w:val="007D77AF"/>
    <w:rsid w:val="007D7FAD"/>
    <w:rsid w:val="007E082F"/>
    <w:rsid w:val="007E0A93"/>
    <w:rsid w:val="007E0D25"/>
    <w:rsid w:val="007E1C1E"/>
    <w:rsid w:val="007E1E98"/>
    <w:rsid w:val="007E2A36"/>
    <w:rsid w:val="007E2BC9"/>
    <w:rsid w:val="007E2D29"/>
    <w:rsid w:val="007E5190"/>
    <w:rsid w:val="007E674E"/>
    <w:rsid w:val="007E694F"/>
    <w:rsid w:val="007E738F"/>
    <w:rsid w:val="007E7683"/>
    <w:rsid w:val="007E79F1"/>
    <w:rsid w:val="007E7E1D"/>
    <w:rsid w:val="007E7E9C"/>
    <w:rsid w:val="007F055E"/>
    <w:rsid w:val="007F0D56"/>
    <w:rsid w:val="007F10D3"/>
    <w:rsid w:val="007F1FEB"/>
    <w:rsid w:val="007F228E"/>
    <w:rsid w:val="007F2555"/>
    <w:rsid w:val="007F2D83"/>
    <w:rsid w:val="007F370A"/>
    <w:rsid w:val="007F3B41"/>
    <w:rsid w:val="007F3EFF"/>
    <w:rsid w:val="007F45CC"/>
    <w:rsid w:val="007F49FA"/>
    <w:rsid w:val="007F4B3E"/>
    <w:rsid w:val="007F54C4"/>
    <w:rsid w:val="007F5C55"/>
    <w:rsid w:val="007F6E9A"/>
    <w:rsid w:val="007F7239"/>
    <w:rsid w:val="00801593"/>
    <w:rsid w:val="00802E8D"/>
    <w:rsid w:val="008035DA"/>
    <w:rsid w:val="00803AD6"/>
    <w:rsid w:val="00803F1A"/>
    <w:rsid w:val="00804487"/>
    <w:rsid w:val="008044D4"/>
    <w:rsid w:val="00804E96"/>
    <w:rsid w:val="00804F29"/>
    <w:rsid w:val="008057F0"/>
    <w:rsid w:val="0080651B"/>
    <w:rsid w:val="00806861"/>
    <w:rsid w:val="008071AD"/>
    <w:rsid w:val="00810AB4"/>
    <w:rsid w:val="00810AD9"/>
    <w:rsid w:val="00810DF2"/>
    <w:rsid w:val="00811178"/>
    <w:rsid w:val="008112C1"/>
    <w:rsid w:val="00811402"/>
    <w:rsid w:val="00812BA8"/>
    <w:rsid w:val="00812FFA"/>
    <w:rsid w:val="00815758"/>
    <w:rsid w:val="00815A84"/>
    <w:rsid w:val="00815DB8"/>
    <w:rsid w:val="00815F51"/>
    <w:rsid w:val="0081612B"/>
    <w:rsid w:val="00816AB6"/>
    <w:rsid w:val="00816F81"/>
    <w:rsid w:val="00817707"/>
    <w:rsid w:val="0081793E"/>
    <w:rsid w:val="00817B56"/>
    <w:rsid w:val="0082073C"/>
    <w:rsid w:val="00820E31"/>
    <w:rsid w:val="008214C1"/>
    <w:rsid w:val="0082161C"/>
    <w:rsid w:val="00821847"/>
    <w:rsid w:val="00821A88"/>
    <w:rsid w:val="00822044"/>
    <w:rsid w:val="008223FF"/>
    <w:rsid w:val="008241ED"/>
    <w:rsid w:val="0082495D"/>
    <w:rsid w:val="0082501B"/>
    <w:rsid w:val="0082549C"/>
    <w:rsid w:val="00825EF8"/>
    <w:rsid w:val="0082603D"/>
    <w:rsid w:val="00826C7B"/>
    <w:rsid w:val="00826F08"/>
    <w:rsid w:val="00827075"/>
    <w:rsid w:val="00831AC3"/>
    <w:rsid w:val="00831EA3"/>
    <w:rsid w:val="008325B8"/>
    <w:rsid w:val="0083278B"/>
    <w:rsid w:val="008328D7"/>
    <w:rsid w:val="00833ADB"/>
    <w:rsid w:val="00834004"/>
    <w:rsid w:val="008342C5"/>
    <w:rsid w:val="008346B9"/>
    <w:rsid w:val="00835798"/>
    <w:rsid w:val="00835870"/>
    <w:rsid w:val="00835ABC"/>
    <w:rsid w:val="0083732F"/>
    <w:rsid w:val="00840035"/>
    <w:rsid w:val="00840D15"/>
    <w:rsid w:val="00841849"/>
    <w:rsid w:val="00841CB6"/>
    <w:rsid w:val="0084230F"/>
    <w:rsid w:val="00842E76"/>
    <w:rsid w:val="00844399"/>
    <w:rsid w:val="00844772"/>
    <w:rsid w:val="0084526E"/>
    <w:rsid w:val="00845D49"/>
    <w:rsid w:val="00847584"/>
    <w:rsid w:val="00850ED9"/>
    <w:rsid w:val="0085136D"/>
    <w:rsid w:val="0085188D"/>
    <w:rsid w:val="00851B24"/>
    <w:rsid w:val="00851F3F"/>
    <w:rsid w:val="00852D15"/>
    <w:rsid w:val="00853B5E"/>
    <w:rsid w:val="00853E9B"/>
    <w:rsid w:val="0085516D"/>
    <w:rsid w:val="008555D2"/>
    <w:rsid w:val="008555EE"/>
    <w:rsid w:val="00856267"/>
    <w:rsid w:val="00856EDC"/>
    <w:rsid w:val="00856F3E"/>
    <w:rsid w:val="00857792"/>
    <w:rsid w:val="008600EB"/>
    <w:rsid w:val="00860A88"/>
    <w:rsid w:val="00861159"/>
    <w:rsid w:val="00861FB0"/>
    <w:rsid w:val="008623B5"/>
    <w:rsid w:val="0086376D"/>
    <w:rsid w:val="008637B7"/>
    <w:rsid w:val="00864DBE"/>
    <w:rsid w:val="008657DE"/>
    <w:rsid w:val="00865A33"/>
    <w:rsid w:val="00867045"/>
    <w:rsid w:val="0086728D"/>
    <w:rsid w:val="00867BB0"/>
    <w:rsid w:val="00870087"/>
    <w:rsid w:val="008705A7"/>
    <w:rsid w:val="00870871"/>
    <w:rsid w:val="00870ABA"/>
    <w:rsid w:val="008710E1"/>
    <w:rsid w:val="008714E6"/>
    <w:rsid w:val="008716E5"/>
    <w:rsid w:val="00871E6E"/>
    <w:rsid w:val="00871ECF"/>
    <w:rsid w:val="0087222B"/>
    <w:rsid w:val="008724ED"/>
    <w:rsid w:val="00872E9B"/>
    <w:rsid w:val="0087334C"/>
    <w:rsid w:val="00874365"/>
    <w:rsid w:val="0087438D"/>
    <w:rsid w:val="00874BA6"/>
    <w:rsid w:val="00874DDE"/>
    <w:rsid w:val="00875504"/>
    <w:rsid w:val="00875595"/>
    <w:rsid w:val="0087591C"/>
    <w:rsid w:val="00875FBC"/>
    <w:rsid w:val="0087605B"/>
    <w:rsid w:val="0087611C"/>
    <w:rsid w:val="0087671B"/>
    <w:rsid w:val="00876781"/>
    <w:rsid w:val="00876888"/>
    <w:rsid w:val="00877549"/>
    <w:rsid w:val="00877767"/>
    <w:rsid w:val="008803A5"/>
    <w:rsid w:val="008804A6"/>
    <w:rsid w:val="008813F8"/>
    <w:rsid w:val="00881531"/>
    <w:rsid w:val="00881CA9"/>
    <w:rsid w:val="00882A13"/>
    <w:rsid w:val="00882E8D"/>
    <w:rsid w:val="00883081"/>
    <w:rsid w:val="0088308F"/>
    <w:rsid w:val="008830A0"/>
    <w:rsid w:val="0088356A"/>
    <w:rsid w:val="00883628"/>
    <w:rsid w:val="008836B1"/>
    <w:rsid w:val="008850E0"/>
    <w:rsid w:val="008852D4"/>
    <w:rsid w:val="00885544"/>
    <w:rsid w:val="00885D8A"/>
    <w:rsid w:val="00886181"/>
    <w:rsid w:val="0088634E"/>
    <w:rsid w:val="0088659D"/>
    <w:rsid w:val="008866BC"/>
    <w:rsid w:val="008867E0"/>
    <w:rsid w:val="0088777A"/>
    <w:rsid w:val="008879E3"/>
    <w:rsid w:val="008911A7"/>
    <w:rsid w:val="008914F1"/>
    <w:rsid w:val="00891977"/>
    <w:rsid w:val="00892F9D"/>
    <w:rsid w:val="00893438"/>
    <w:rsid w:val="00893AAD"/>
    <w:rsid w:val="00893AB8"/>
    <w:rsid w:val="00894DF8"/>
    <w:rsid w:val="008957A7"/>
    <w:rsid w:val="008961D9"/>
    <w:rsid w:val="0089682C"/>
    <w:rsid w:val="00897BDE"/>
    <w:rsid w:val="008A04C8"/>
    <w:rsid w:val="008A04CF"/>
    <w:rsid w:val="008A077A"/>
    <w:rsid w:val="008A0D8B"/>
    <w:rsid w:val="008A16D5"/>
    <w:rsid w:val="008A372B"/>
    <w:rsid w:val="008A41AE"/>
    <w:rsid w:val="008A4DEE"/>
    <w:rsid w:val="008A4F71"/>
    <w:rsid w:val="008A68FD"/>
    <w:rsid w:val="008A6913"/>
    <w:rsid w:val="008A73CB"/>
    <w:rsid w:val="008A73D3"/>
    <w:rsid w:val="008A7B76"/>
    <w:rsid w:val="008B0114"/>
    <w:rsid w:val="008B07F2"/>
    <w:rsid w:val="008B0A8E"/>
    <w:rsid w:val="008B0F3F"/>
    <w:rsid w:val="008B2948"/>
    <w:rsid w:val="008B382A"/>
    <w:rsid w:val="008B3B3F"/>
    <w:rsid w:val="008B3E7C"/>
    <w:rsid w:val="008B48B6"/>
    <w:rsid w:val="008B4C9B"/>
    <w:rsid w:val="008B55A6"/>
    <w:rsid w:val="008B6382"/>
    <w:rsid w:val="008B63C4"/>
    <w:rsid w:val="008B70F3"/>
    <w:rsid w:val="008B7194"/>
    <w:rsid w:val="008B7198"/>
    <w:rsid w:val="008B76DF"/>
    <w:rsid w:val="008B7E8F"/>
    <w:rsid w:val="008C0AE0"/>
    <w:rsid w:val="008C0BF7"/>
    <w:rsid w:val="008C10F4"/>
    <w:rsid w:val="008C1101"/>
    <w:rsid w:val="008C1297"/>
    <w:rsid w:val="008C15F6"/>
    <w:rsid w:val="008C228A"/>
    <w:rsid w:val="008C32F2"/>
    <w:rsid w:val="008C3624"/>
    <w:rsid w:val="008C3A05"/>
    <w:rsid w:val="008C4D29"/>
    <w:rsid w:val="008C5428"/>
    <w:rsid w:val="008C5490"/>
    <w:rsid w:val="008C5963"/>
    <w:rsid w:val="008C5A96"/>
    <w:rsid w:val="008C5D48"/>
    <w:rsid w:val="008C5D8F"/>
    <w:rsid w:val="008C6414"/>
    <w:rsid w:val="008C70C3"/>
    <w:rsid w:val="008C7F98"/>
    <w:rsid w:val="008D084A"/>
    <w:rsid w:val="008D1924"/>
    <w:rsid w:val="008D21FC"/>
    <w:rsid w:val="008D2A20"/>
    <w:rsid w:val="008D3805"/>
    <w:rsid w:val="008D38B7"/>
    <w:rsid w:val="008D393A"/>
    <w:rsid w:val="008D3E4F"/>
    <w:rsid w:val="008D4A8E"/>
    <w:rsid w:val="008D4CFF"/>
    <w:rsid w:val="008D567E"/>
    <w:rsid w:val="008D65AA"/>
    <w:rsid w:val="008D6D7F"/>
    <w:rsid w:val="008D6EC9"/>
    <w:rsid w:val="008D7FB5"/>
    <w:rsid w:val="008E0CCC"/>
    <w:rsid w:val="008E1462"/>
    <w:rsid w:val="008E1675"/>
    <w:rsid w:val="008E1D75"/>
    <w:rsid w:val="008E2875"/>
    <w:rsid w:val="008E2922"/>
    <w:rsid w:val="008E2C1D"/>
    <w:rsid w:val="008E3A9A"/>
    <w:rsid w:val="008E419C"/>
    <w:rsid w:val="008E4767"/>
    <w:rsid w:val="008E4CB3"/>
    <w:rsid w:val="008E50E0"/>
    <w:rsid w:val="008E5367"/>
    <w:rsid w:val="008E5DEA"/>
    <w:rsid w:val="008E5E68"/>
    <w:rsid w:val="008E6618"/>
    <w:rsid w:val="008E7986"/>
    <w:rsid w:val="008E7A8C"/>
    <w:rsid w:val="008E7C9D"/>
    <w:rsid w:val="008F02D3"/>
    <w:rsid w:val="008F0620"/>
    <w:rsid w:val="008F1C30"/>
    <w:rsid w:val="008F24DB"/>
    <w:rsid w:val="008F28D5"/>
    <w:rsid w:val="008F2A51"/>
    <w:rsid w:val="008F2F5D"/>
    <w:rsid w:val="008F3049"/>
    <w:rsid w:val="008F3458"/>
    <w:rsid w:val="008F3589"/>
    <w:rsid w:val="008F39A1"/>
    <w:rsid w:val="008F3F55"/>
    <w:rsid w:val="008F5269"/>
    <w:rsid w:val="008F52E8"/>
    <w:rsid w:val="008F595B"/>
    <w:rsid w:val="008F5B03"/>
    <w:rsid w:val="008F64D7"/>
    <w:rsid w:val="008F68BF"/>
    <w:rsid w:val="008F70D9"/>
    <w:rsid w:val="008F731B"/>
    <w:rsid w:val="0090051F"/>
    <w:rsid w:val="009007BB"/>
    <w:rsid w:val="00900A5E"/>
    <w:rsid w:val="00901518"/>
    <w:rsid w:val="00901A0D"/>
    <w:rsid w:val="00902314"/>
    <w:rsid w:val="00902EFB"/>
    <w:rsid w:val="00903285"/>
    <w:rsid w:val="00903549"/>
    <w:rsid w:val="00903BCE"/>
    <w:rsid w:val="00904764"/>
    <w:rsid w:val="00905884"/>
    <w:rsid w:val="00905D6F"/>
    <w:rsid w:val="00906ED5"/>
    <w:rsid w:val="00906F40"/>
    <w:rsid w:val="00906F71"/>
    <w:rsid w:val="0090731E"/>
    <w:rsid w:val="0091115B"/>
    <w:rsid w:val="00912013"/>
    <w:rsid w:val="00912373"/>
    <w:rsid w:val="0091301D"/>
    <w:rsid w:val="00913204"/>
    <w:rsid w:val="00913602"/>
    <w:rsid w:val="0091434E"/>
    <w:rsid w:val="00914F81"/>
    <w:rsid w:val="00915017"/>
    <w:rsid w:val="0091594B"/>
    <w:rsid w:val="00915B1C"/>
    <w:rsid w:val="00916427"/>
    <w:rsid w:val="00916FCE"/>
    <w:rsid w:val="009174F3"/>
    <w:rsid w:val="0091797D"/>
    <w:rsid w:val="00917C71"/>
    <w:rsid w:val="00920361"/>
    <w:rsid w:val="0092037F"/>
    <w:rsid w:val="00920779"/>
    <w:rsid w:val="00920A1E"/>
    <w:rsid w:val="00920A3F"/>
    <w:rsid w:val="0092134C"/>
    <w:rsid w:val="00921D6A"/>
    <w:rsid w:val="00921FD6"/>
    <w:rsid w:val="0092268C"/>
    <w:rsid w:val="009234D0"/>
    <w:rsid w:val="00923B14"/>
    <w:rsid w:val="00923CBA"/>
    <w:rsid w:val="00924AB6"/>
    <w:rsid w:val="0092576F"/>
    <w:rsid w:val="0092581E"/>
    <w:rsid w:val="00925E1F"/>
    <w:rsid w:val="00926703"/>
    <w:rsid w:val="009272FE"/>
    <w:rsid w:val="00927325"/>
    <w:rsid w:val="00927691"/>
    <w:rsid w:val="00927993"/>
    <w:rsid w:val="00927A5F"/>
    <w:rsid w:val="00927DC3"/>
    <w:rsid w:val="0093085F"/>
    <w:rsid w:val="0093200E"/>
    <w:rsid w:val="009329F7"/>
    <w:rsid w:val="00933078"/>
    <w:rsid w:val="00933972"/>
    <w:rsid w:val="00935B63"/>
    <w:rsid w:val="009364DE"/>
    <w:rsid w:val="00936761"/>
    <w:rsid w:val="00937B6A"/>
    <w:rsid w:val="00937F44"/>
    <w:rsid w:val="0094078F"/>
    <w:rsid w:val="00940A4A"/>
    <w:rsid w:val="00940AB7"/>
    <w:rsid w:val="00940FA3"/>
    <w:rsid w:val="00941F21"/>
    <w:rsid w:val="00941FB0"/>
    <w:rsid w:val="0094242E"/>
    <w:rsid w:val="009426D4"/>
    <w:rsid w:val="00942963"/>
    <w:rsid w:val="00943072"/>
    <w:rsid w:val="009443A6"/>
    <w:rsid w:val="0094475A"/>
    <w:rsid w:val="00944B1B"/>
    <w:rsid w:val="00944D4C"/>
    <w:rsid w:val="0094562C"/>
    <w:rsid w:val="00945EFD"/>
    <w:rsid w:val="00945F8D"/>
    <w:rsid w:val="00946E0A"/>
    <w:rsid w:val="00947C2D"/>
    <w:rsid w:val="00947D02"/>
    <w:rsid w:val="00947E7A"/>
    <w:rsid w:val="00947F25"/>
    <w:rsid w:val="0095010F"/>
    <w:rsid w:val="00950159"/>
    <w:rsid w:val="00950228"/>
    <w:rsid w:val="0095138C"/>
    <w:rsid w:val="00951CCA"/>
    <w:rsid w:val="00952C4F"/>
    <w:rsid w:val="00952FCA"/>
    <w:rsid w:val="00953605"/>
    <w:rsid w:val="0095418C"/>
    <w:rsid w:val="0095490B"/>
    <w:rsid w:val="0095504F"/>
    <w:rsid w:val="009551D9"/>
    <w:rsid w:val="009554A0"/>
    <w:rsid w:val="009557CA"/>
    <w:rsid w:val="00955836"/>
    <w:rsid w:val="00956040"/>
    <w:rsid w:val="00956199"/>
    <w:rsid w:val="009573A6"/>
    <w:rsid w:val="009579F0"/>
    <w:rsid w:val="00960976"/>
    <w:rsid w:val="00961B3B"/>
    <w:rsid w:val="009627C2"/>
    <w:rsid w:val="00962CC8"/>
    <w:rsid w:val="00963106"/>
    <w:rsid w:val="00964A5E"/>
    <w:rsid w:val="00964D7D"/>
    <w:rsid w:val="009651B2"/>
    <w:rsid w:val="00965665"/>
    <w:rsid w:val="00965BFA"/>
    <w:rsid w:val="00967A49"/>
    <w:rsid w:val="00970C00"/>
    <w:rsid w:val="00970E64"/>
    <w:rsid w:val="0097125E"/>
    <w:rsid w:val="00972FCF"/>
    <w:rsid w:val="009742C8"/>
    <w:rsid w:val="00974363"/>
    <w:rsid w:val="00974E7D"/>
    <w:rsid w:val="009753F6"/>
    <w:rsid w:val="009762C4"/>
    <w:rsid w:val="009769BE"/>
    <w:rsid w:val="00976BA1"/>
    <w:rsid w:val="00976C83"/>
    <w:rsid w:val="00977346"/>
    <w:rsid w:val="00980627"/>
    <w:rsid w:val="00980F0B"/>
    <w:rsid w:val="00981898"/>
    <w:rsid w:val="009823E1"/>
    <w:rsid w:val="009825CA"/>
    <w:rsid w:val="00982798"/>
    <w:rsid w:val="009830CA"/>
    <w:rsid w:val="00983CF0"/>
    <w:rsid w:val="00984456"/>
    <w:rsid w:val="009844C3"/>
    <w:rsid w:val="0098552B"/>
    <w:rsid w:val="00985976"/>
    <w:rsid w:val="00985EC2"/>
    <w:rsid w:val="00987251"/>
    <w:rsid w:val="00990622"/>
    <w:rsid w:val="009911A6"/>
    <w:rsid w:val="009917F2"/>
    <w:rsid w:val="009935F4"/>
    <w:rsid w:val="00993EB8"/>
    <w:rsid w:val="009950E8"/>
    <w:rsid w:val="00995600"/>
    <w:rsid w:val="0099577C"/>
    <w:rsid w:val="00995CCF"/>
    <w:rsid w:val="009962B9"/>
    <w:rsid w:val="00996C5E"/>
    <w:rsid w:val="00997964"/>
    <w:rsid w:val="00997990"/>
    <w:rsid w:val="00997A94"/>
    <w:rsid w:val="009A1655"/>
    <w:rsid w:val="009A1898"/>
    <w:rsid w:val="009A1984"/>
    <w:rsid w:val="009A1EE1"/>
    <w:rsid w:val="009A1FF9"/>
    <w:rsid w:val="009A2264"/>
    <w:rsid w:val="009A2DA4"/>
    <w:rsid w:val="009A3530"/>
    <w:rsid w:val="009A3B4C"/>
    <w:rsid w:val="009A3B5E"/>
    <w:rsid w:val="009A3C24"/>
    <w:rsid w:val="009A5160"/>
    <w:rsid w:val="009A54D8"/>
    <w:rsid w:val="009A76D1"/>
    <w:rsid w:val="009A7871"/>
    <w:rsid w:val="009A7FAF"/>
    <w:rsid w:val="009B0452"/>
    <w:rsid w:val="009B0A67"/>
    <w:rsid w:val="009B0D33"/>
    <w:rsid w:val="009B1EEB"/>
    <w:rsid w:val="009B246E"/>
    <w:rsid w:val="009B34DD"/>
    <w:rsid w:val="009B3BC4"/>
    <w:rsid w:val="009B4E9E"/>
    <w:rsid w:val="009B4F7C"/>
    <w:rsid w:val="009B54F3"/>
    <w:rsid w:val="009B5743"/>
    <w:rsid w:val="009B5812"/>
    <w:rsid w:val="009C1690"/>
    <w:rsid w:val="009C17AF"/>
    <w:rsid w:val="009C1A93"/>
    <w:rsid w:val="009C1BE9"/>
    <w:rsid w:val="009C29D8"/>
    <w:rsid w:val="009C2F16"/>
    <w:rsid w:val="009C39C9"/>
    <w:rsid w:val="009C3A57"/>
    <w:rsid w:val="009C43D3"/>
    <w:rsid w:val="009C4C7D"/>
    <w:rsid w:val="009C583C"/>
    <w:rsid w:val="009C5C09"/>
    <w:rsid w:val="009C633A"/>
    <w:rsid w:val="009C67F4"/>
    <w:rsid w:val="009C6881"/>
    <w:rsid w:val="009C6E8B"/>
    <w:rsid w:val="009C7759"/>
    <w:rsid w:val="009D043D"/>
    <w:rsid w:val="009D1235"/>
    <w:rsid w:val="009D1861"/>
    <w:rsid w:val="009D1925"/>
    <w:rsid w:val="009D21E4"/>
    <w:rsid w:val="009D26DA"/>
    <w:rsid w:val="009D3AF0"/>
    <w:rsid w:val="009D40E3"/>
    <w:rsid w:val="009D41CB"/>
    <w:rsid w:val="009D445F"/>
    <w:rsid w:val="009D4B8C"/>
    <w:rsid w:val="009D54DB"/>
    <w:rsid w:val="009D5752"/>
    <w:rsid w:val="009D5892"/>
    <w:rsid w:val="009D5A61"/>
    <w:rsid w:val="009D6C71"/>
    <w:rsid w:val="009D7639"/>
    <w:rsid w:val="009D7FF2"/>
    <w:rsid w:val="009E0631"/>
    <w:rsid w:val="009E0F6B"/>
    <w:rsid w:val="009E1512"/>
    <w:rsid w:val="009E16D0"/>
    <w:rsid w:val="009E17F0"/>
    <w:rsid w:val="009E1CAA"/>
    <w:rsid w:val="009E1F52"/>
    <w:rsid w:val="009E206B"/>
    <w:rsid w:val="009E26DA"/>
    <w:rsid w:val="009E27E3"/>
    <w:rsid w:val="009E3642"/>
    <w:rsid w:val="009E38FD"/>
    <w:rsid w:val="009E4FB1"/>
    <w:rsid w:val="009E6A2F"/>
    <w:rsid w:val="009E6D3B"/>
    <w:rsid w:val="009E728E"/>
    <w:rsid w:val="009E73EA"/>
    <w:rsid w:val="009E7C5D"/>
    <w:rsid w:val="009F010F"/>
    <w:rsid w:val="009F0863"/>
    <w:rsid w:val="009F0D36"/>
    <w:rsid w:val="009F0E6A"/>
    <w:rsid w:val="009F1157"/>
    <w:rsid w:val="009F13D6"/>
    <w:rsid w:val="009F2046"/>
    <w:rsid w:val="009F2782"/>
    <w:rsid w:val="009F2B33"/>
    <w:rsid w:val="009F33CB"/>
    <w:rsid w:val="009F4C6B"/>
    <w:rsid w:val="009F4EC3"/>
    <w:rsid w:val="009F54B3"/>
    <w:rsid w:val="009F5EB5"/>
    <w:rsid w:val="009F6252"/>
    <w:rsid w:val="009F63F7"/>
    <w:rsid w:val="009F78A8"/>
    <w:rsid w:val="009F7AC9"/>
    <w:rsid w:val="009F7CBD"/>
    <w:rsid w:val="00A0045A"/>
    <w:rsid w:val="00A02AD6"/>
    <w:rsid w:val="00A02BDE"/>
    <w:rsid w:val="00A0368A"/>
    <w:rsid w:val="00A03F34"/>
    <w:rsid w:val="00A04558"/>
    <w:rsid w:val="00A04EBA"/>
    <w:rsid w:val="00A05C7E"/>
    <w:rsid w:val="00A07096"/>
    <w:rsid w:val="00A0730A"/>
    <w:rsid w:val="00A07318"/>
    <w:rsid w:val="00A10050"/>
    <w:rsid w:val="00A11370"/>
    <w:rsid w:val="00A1191C"/>
    <w:rsid w:val="00A119A3"/>
    <w:rsid w:val="00A119F4"/>
    <w:rsid w:val="00A12454"/>
    <w:rsid w:val="00A126A6"/>
    <w:rsid w:val="00A12C39"/>
    <w:rsid w:val="00A14E54"/>
    <w:rsid w:val="00A152F8"/>
    <w:rsid w:val="00A15355"/>
    <w:rsid w:val="00A15AEB"/>
    <w:rsid w:val="00A16894"/>
    <w:rsid w:val="00A16EEF"/>
    <w:rsid w:val="00A16F6B"/>
    <w:rsid w:val="00A1796A"/>
    <w:rsid w:val="00A17C5C"/>
    <w:rsid w:val="00A216D8"/>
    <w:rsid w:val="00A21D64"/>
    <w:rsid w:val="00A224CE"/>
    <w:rsid w:val="00A22522"/>
    <w:rsid w:val="00A2269C"/>
    <w:rsid w:val="00A22742"/>
    <w:rsid w:val="00A2339C"/>
    <w:rsid w:val="00A2346C"/>
    <w:rsid w:val="00A24533"/>
    <w:rsid w:val="00A24A80"/>
    <w:rsid w:val="00A24AFD"/>
    <w:rsid w:val="00A24F5C"/>
    <w:rsid w:val="00A251B2"/>
    <w:rsid w:val="00A26924"/>
    <w:rsid w:val="00A27961"/>
    <w:rsid w:val="00A27CEF"/>
    <w:rsid w:val="00A27D33"/>
    <w:rsid w:val="00A319B2"/>
    <w:rsid w:val="00A31D71"/>
    <w:rsid w:val="00A3222B"/>
    <w:rsid w:val="00A32564"/>
    <w:rsid w:val="00A32F96"/>
    <w:rsid w:val="00A3415E"/>
    <w:rsid w:val="00A34B9D"/>
    <w:rsid w:val="00A358D5"/>
    <w:rsid w:val="00A35ABA"/>
    <w:rsid w:val="00A35ACF"/>
    <w:rsid w:val="00A362D8"/>
    <w:rsid w:val="00A365AC"/>
    <w:rsid w:val="00A36FC4"/>
    <w:rsid w:val="00A40132"/>
    <w:rsid w:val="00A40828"/>
    <w:rsid w:val="00A40871"/>
    <w:rsid w:val="00A40CD8"/>
    <w:rsid w:val="00A412AB"/>
    <w:rsid w:val="00A413BF"/>
    <w:rsid w:val="00A41630"/>
    <w:rsid w:val="00A4193E"/>
    <w:rsid w:val="00A423B3"/>
    <w:rsid w:val="00A428A9"/>
    <w:rsid w:val="00A42E26"/>
    <w:rsid w:val="00A43E44"/>
    <w:rsid w:val="00A440E0"/>
    <w:rsid w:val="00A45BD7"/>
    <w:rsid w:val="00A461F3"/>
    <w:rsid w:val="00A476E2"/>
    <w:rsid w:val="00A47AF5"/>
    <w:rsid w:val="00A47D8B"/>
    <w:rsid w:val="00A47F5C"/>
    <w:rsid w:val="00A5063E"/>
    <w:rsid w:val="00A50C4C"/>
    <w:rsid w:val="00A5111C"/>
    <w:rsid w:val="00A512ED"/>
    <w:rsid w:val="00A51513"/>
    <w:rsid w:val="00A51960"/>
    <w:rsid w:val="00A51D82"/>
    <w:rsid w:val="00A528EA"/>
    <w:rsid w:val="00A529CC"/>
    <w:rsid w:val="00A529E6"/>
    <w:rsid w:val="00A531AF"/>
    <w:rsid w:val="00A5352C"/>
    <w:rsid w:val="00A536BA"/>
    <w:rsid w:val="00A53722"/>
    <w:rsid w:val="00A53E17"/>
    <w:rsid w:val="00A5418D"/>
    <w:rsid w:val="00A5474E"/>
    <w:rsid w:val="00A54918"/>
    <w:rsid w:val="00A556F4"/>
    <w:rsid w:val="00A561A8"/>
    <w:rsid w:val="00A565E7"/>
    <w:rsid w:val="00A5720D"/>
    <w:rsid w:val="00A5746F"/>
    <w:rsid w:val="00A57785"/>
    <w:rsid w:val="00A57819"/>
    <w:rsid w:val="00A607C3"/>
    <w:rsid w:val="00A629C4"/>
    <w:rsid w:val="00A634FE"/>
    <w:rsid w:val="00A6457A"/>
    <w:rsid w:val="00A6461F"/>
    <w:rsid w:val="00A65F93"/>
    <w:rsid w:val="00A6782F"/>
    <w:rsid w:val="00A679DF"/>
    <w:rsid w:val="00A67C49"/>
    <w:rsid w:val="00A70721"/>
    <w:rsid w:val="00A7091E"/>
    <w:rsid w:val="00A70ADF"/>
    <w:rsid w:val="00A71466"/>
    <w:rsid w:val="00A73000"/>
    <w:rsid w:val="00A73013"/>
    <w:rsid w:val="00A737ED"/>
    <w:rsid w:val="00A73937"/>
    <w:rsid w:val="00A73F6A"/>
    <w:rsid w:val="00A74738"/>
    <w:rsid w:val="00A74B5E"/>
    <w:rsid w:val="00A75972"/>
    <w:rsid w:val="00A77BDC"/>
    <w:rsid w:val="00A77EE0"/>
    <w:rsid w:val="00A803E5"/>
    <w:rsid w:val="00A80D4F"/>
    <w:rsid w:val="00A8182F"/>
    <w:rsid w:val="00A81AB7"/>
    <w:rsid w:val="00A81BED"/>
    <w:rsid w:val="00A81D6F"/>
    <w:rsid w:val="00A81EC4"/>
    <w:rsid w:val="00A823C9"/>
    <w:rsid w:val="00A825C7"/>
    <w:rsid w:val="00A8300F"/>
    <w:rsid w:val="00A8335A"/>
    <w:rsid w:val="00A8370D"/>
    <w:rsid w:val="00A83E41"/>
    <w:rsid w:val="00A85FC1"/>
    <w:rsid w:val="00A865C5"/>
    <w:rsid w:val="00A869AE"/>
    <w:rsid w:val="00A86AF1"/>
    <w:rsid w:val="00A87D87"/>
    <w:rsid w:val="00A90E63"/>
    <w:rsid w:val="00A91779"/>
    <w:rsid w:val="00A925C9"/>
    <w:rsid w:val="00A92F8C"/>
    <w:rsid w:val="00A93770"/>
    <w:rsid w:val="00A94679"/>
    <w:rsid w:val="00A9478C"/>
    <w:rsid w:val="00A95B3A"/>
    <w:rsid w:val="00A95B92"/>
    <w:rsid w:val="00A95F32"/>
    <w:rsid w:val="00A967FD"/>
    <w:rsid w:val="00A96E35"/>
    <w:rsid w:val="00AA1370"/>
    <w:rsid w:val="00AA158A"/>
    <w:rsid w:val="00AA164C"/>
    <w:rsid w:val="00AA1747"/>
    <w:rsid w:val="00AA3411"/>
    <w:rsid w:val="00AA360E"/>
    <w:rsid w:val="00AA3857"/>
    <w:rsid w:val="00AA461B"/>
    <w:rsid w:val="00AA4FF2"/>
    <w:rsid w:val="00AA5221"/>
    <w:rsid w:val="00AA54D1"/>
    <w:rsid w:val="00AA5634"/>
    <w:rsid w:val="00AA67AA"/>
    <w:rsid w:val="00AA6D27"/>
    <w:rsid w:val="00AB004A"/>
    <w:rsid w:val="00AB0224"/>
    <w:rsid w:val="00AB0E83"/>
    <w:rsid w:val="00AB0FEA"/>
    <w:rsid w:val="00AB156C"/>
    <w:rsid w:val="00AB359F"/>
    <w:rsid w:val="00AB3F62"/>
    <w:rsid w:val="00AB4287"/>
    <w:rsid w:val="00AB42A6"/>
    <w:rsid w:val="00AB442B"/>
    <w:rsid w:val="00AB4C33"/>
    <w:rsid w:val="00AB56E4"/>
    <w:rsid w:val="00AB5E13"/>
    <w:rsid w:val="00AB6814"/>
    <w:rsid w:val="00AB6E16"/>
    <w:rsid w:val="00AB73EA"/>
    <w:rsid w:val="00AB7A58"/>
    <w:rsid w:val="00AB7ABC"/>
    <w:rsid w:val="00AB7F6E"/>
    <w:rsid w:val="00AC0341"/>
    <w:rsid w:val="00AC04BA"/>
    <w:rsid w:val="00AC0B0B"/>
    <w:rsid w:val="00AC0E39"/>
    <w:rsid w:val="00AC0F0E"/>
    <w:rsid w:val="00AC1FDC"/>
    <w:rsid w:val="00AC28AC"/>
    <w:rsid w:val="00AC3129"/>
    <w:rsid w:val="00AC3E68"/>
    <w:rsid w:val="00AC3E82"/>
    <w:rsid w:val="00AC4CE4"/>
    <w:rsid w:val="00AC59D6"/>
    <w:rsid w:val="00AC68C4"/>
    <w:rsid w:val="00AC701F"/>
    <w:rsid w:val="00AD16EE"/>
    <w:rsid w:val="00AD2375"/>
    <w:rsid w:val="00AD2A1E"/>
    <w:rsid w:val="00AD2EC5"/>
    <w:rsid w:val="00AD3082"/>
    <w:rsid w:val="00AD37AD"/>
    <w:rsid w:val="00AD4081"/>
    <w:rsid w:val="00AD4AD0"/>
    <w:rsid w:val="00AD4AE6"/>
    <w:rsid w:val="00AD4DC6"/>
    <w:rsid w:val="00AD4F4D"/>
    <w:rsid w:val="00AD5436"/>
    <w:rsid w:val="00AD60CD"/>
    <w:rsid w:val="00AD6BE1"/>
    <w:rsid w:val="00AD6C8C"/>
    <w:rsid w:val="00AD7832"/>
    <w:rsid w:val="00AD7967"/>
    <w:rsid w:val="00AD7BF3"/>
    <w:rsid w:val="00AE091D"/>
    <w:rsid w:val="00AE0B3C"/>
    <w:rsid w:val="00AE0BA6"/>
    <w:rsid w:val="00AE1497"/>
    <w:rsid w:val="00AE2375"/>
    <w:rsid w:val="00AE28EE"/>
    <w:rsid w:val="00AE30B6"/>
    <w:rsid w:val="00AE36AE"/>
    <w:rsid w:val="00AE3B60"/>
    <w:rsid w:val="00AE3DC4"/>
    <w:rsid w:val="00AE415E"/>
    <w:rsid w:val="00AE45CA"/>
    <w:rsid w:val="00AE45EB"/>
    <w:rsid w:val="00AE5128"/>
    <w:rsid w:val="00AE53A1"/>
    <w:rsid w:val="00AE5F2C"/>
    <w:rsid w:val="00AE6B73"/>
    <w:rsid w:val="00AE7D93"/>
    <w:rsid w:val="00AF1039"/>
    <w:rsid w:val="00AF1CEB"/>
    <w:rsid w:val="00AF2484"/>
    <w:rsid w:val="00AF3221"/>
    <w:rsid w:val="00AF355F"/>
    <w:rsid w:val="00AF4A1F"/>
    <w:rsid w:val="00AF4EC1"/>
    <w:rsid w:val="00AF5379"/>
    <w:rsid w:val="00AF5730"/>
    <w:rsid w:val="00AF6261"/>
    <w:rsid w:val="00AF63E7"/>
    <w:rsid w:val="00AF669F"/>
    <w:rsid w:val="00AF702A"/>
    <w:rsid w:val="00AF70D1"/>
    <w:rsid w:val="00AF7597"/>
    <w:rsid w:val="00AF7990"/>
    <w:rsid w:val="00AF7999"/>
    <w:rsid w:val="00B00365"/>
    <w:rsid w:val="00B00550"/>
    <w:rsid w:val="00B00E1D"/>
    <w:rsid w:val="00B0165D"/>
    <w:rsid w:val="00B030AE"/>
    <w:rsid w:val="00B031F3"/>
    <w:rsid w:val="00B0330E"/>
    <w:rsid w:val="00B03E32"/>
    <w:rsid w:val="00B04009"/>
    <w:rsid w:val="00B04487"/>
    <w:rsid w:val="00B04548"/>
    <w:rsid w:val="00B046C2"/>
    <w:rsid w:val="00B04DC0"/>
    <w:rsid w:val="00B052A4"/>
    <w:rsid w:val="00B05BEC"/>
    <w:rsid w:val="00B05FE1"/>
    <w:rsid w:val="00B06462"/>
    <w:rsid w:val="00B065BE"/>
    <w:rsid w:val="00B0669F"/>
    <w:rsid w:val="00B06746"/>
    <w:rsid w:val="00B071CE"/>
    <w:rsid w:val="00B0785F"/>
    <w:rsid w:val="00B1084F"/>
    <w:rsid w:val="00B10EAD"/>
    <w:rsid w:val="00B123CA"/>
    <w:rsid w:val="00B125DE"/>
    <w:rsid w:val="00B12CE6"/>
    <w:rsid w:val="00B13392"/>
    <w:rsid w:val="00B13FDD"/>
    <w:rsid w:val="00B13FEA"/>
    <w:rsid w:val="00B14C1E"/>
    <w:rsid w:val="00B16831"/>
    <w:rsid w:val="00B16C40"/>
    <w:rsid w:val="00B177CF"/>
    <w:rsid w:val="00B2129B"/>
    <w:rsid w:val="00B217DF"/>
    <w:rsid w:val="00B22236"/>
    <w:rsid w:val="00B22C0F"/>
    <w:rsid w:val="00B22EB2"/>
    <w:rsid w:val="00B23097"/>
    <w:rsid w:val="00B23682"/>
    <w:rsid w:val="00B245EA"/>
    <w:rsid w:val="00B248A1"/>
    <w:rsid w:val="00B24E9D"/>
    <w:rsid w:val="00B25349"/>
    <w:rsid w:val="00B25CA5"/>
    <w:rsid w:val="00B25CE9"/>
    <w:rsid w:val="00B26028"/>
    <w:rsid w:val="00B26330"/>
    <w:rsid w:val="00B263E2"/>
    <w:rsid w:val="00B26E14"/>
    <w:rsid w:val="00B26EAE"/>
    <w:rsid w:val="00B27358"/>
    <w:rsid w:val="00B27442"/>
    <w:rsid w:val="00B27969"/>
    <w:rsid w:val="00B27A1D"/>
    <w:rsid w:val="00B27EA5"/>
    <w:rsid w:val="00B3083C"/>
    <w:rsid w:val="00B308D8"/>
    <w:rsid w:val="00B308E5"/>
    <w:rsid w:val="00B30AD1"/>
    <w:rsid w:val="00B31150"/>
    <w:rsid w:val="00B31167"/>
    <w:rsid w:val="00B329D8"/>
    <w:rsid w:val="00B32BB9"/>
    <w:rsid w:val="00B33031"/>
    <w:rsid w:val="00B33601"/>
    <w:rsid w:val="00B33AE1"/>
    <w:rsid w:val="00B33B9E"/>
    <w:rsid w:val="00B34ACC"/>
    <w:rsid w:val="00B351F8"/>
    <w:rsid w:val="00B353BC"/>
    <w:rsid w:val="00B36194"/>
    <w:rsid w:val="00B363E1"/>
    <w:rsid w:val="00B3761E"/>
    <w:rsid w:val="00B37C38"/>
    <w:rsid w:val="00B40D50"/>
    <w:rsid w:val="00B42283"/>
    <w:rsid w:val="00B4277C"/>
    <w:rsid w:val="00B4288C"/>
    <w:rsid w:val="00B43262"/>
    <w:rsid w:val="00B43744"/>
    <w:rsid w:val="00B43B28"/>
    <w:rsid w:val="00B44100"/>
    <w:rsid w:val="00B445C5"/>
    <w:rsid w:val="00B447BE"/>
    <w:rsid w:val="00B452F4"/>
    <w:rsid w:val="00B45807"/>
    <w:rsid w:val="00B463C4"/>
    <w:rsid w:val="00B46CBA"/>
    <w:rsid w:val="00B46F94"/>
    <w:rsid w:val="00B5110F"/>
    <w:rsid w:val="00B51128"/>
    <w:rsid w:val="00B51AAF"/>
    <w:rsid w:val="00B51EB0"/>
    <w:rsid w:val="00B5226F"/>
    <w:rsid w:val="00B530C2"/>
    <w:rsid w:val="00B54278"/>
    <w:rsid w:val="00B55CB0"/>
    <w:rsid w:val="00B57A66"/>
    <w:rsid w:val="00B57EBF"/>
    <w:rsid w:val="00B60066"/>
    <w:rsid w:val="00B60442"/>
    <w:rsid w:val="00B60816"/>
    <w:rsid w:val="00B60B42"/>
    <w:rsid w:val="00B614CC"/>
    <w:rsid w:val="00B614CD"/>
    <w:rsid w:val="00B61796"/>
    <w:rsid w:val="00B61F03"/>
    <w:rsid w:val="00B626E4"/>
    <w:rsid w:val="00B62D8C"/>
    <w:rsid w:val="00B63728"/>
    <w:rsid w:val="00B64222"/>
    <w:rsid w:val="00B644C5"/>
    <w:rsid w:val="00B646BC"/>
    <w:rsid w:val="00B64CE3"/>
    <w:rsid w:val="00B64D13"/>
    <w:rsid w:val="00B6588F"/>
    <w:rsid w:val="00B672CC"/>
    <w:rsid w:val="00B70D49"/>
    <w:rsid w:val="00B7250A"/>
    <w:rsid w:val="00B72747"/>
    <w:rsid w:val="00B72F4A"/>
    <w:rsid w:val="00B73730"/>
    <w:rsid w:val="00B73D65"/>
    <w:rsid w:val="00B744B2"/>
    <w:rsid w:val="00B74A86"/>
    <w:rsid w:val="00B75829"/>
    <w:rsid w:val="00B75F2B"/>
    <w:rsid w:val="00B77D7A"/>
    <w:rsid w:val="00B80C84"/>
    <w:rsid w:val="00B81EEB"/>
    <w:rsid w:val="00B82065"/>
    <w:rsid w:val="00B8253E"/>
    <w:rsid w:val="00B831DF"/>
    <w:rsid w:val="00B8328D"/>
    <w:rsid w:val="00B83483"/>
    <w:rsid w:val="00B83C27"/>
    <w:rsid w:val="00B84BC3"/>
    <w:rsid w:val="00B84BDD"/>
    <w:rsid w:val="00B85B31"/>
    <w:rsid w:val="00B86E5F"/>
    <w:rsid w:val="00B87D10"/>
    <w:rsid w:val="00B9021A"/>
    <w:rsid w:val="00B90458"/>
    <w:rsid w:val="00B92812"/>
    <w:rsid w:val="00B9288A"/>
    <w:rsid w:val="00B92A21"/>
    <w:rsid w:val="00B96020"/>
    <w:rsid w:val="00B96C52"/>
    <w:rsid w:val="00BA052B"/>
    <w:rsid w:val="00BA1323"/>
    <w:rsid w:val="00BA14D6"/>
    <w:rsid w:val="00BA3BA3"/>
    <w:rsid w:val="00BA45A3"/>
    <w:rsid w:val="00BA46F4"/>
    <w:rsid w:val="00BA4AB8"/>
    <w:rsid w:val="00BA4EFD"/>
    <w:rsid w:val="00BA56C8"/>
    <w:rsid w:val="00BA6B8B"/>
    <w:rsid w:val="00BA700B"/>
    <w:rsid w:val="00BB0118"/>
    <w:rsid w:val="00BB0326"/>
    <w:rsid w:val="00BB0C08"/>
    <w:rsid w:val="00BB0E4E"/>
    <w:rsid w:val="00BB1335"/>
    <w:rsid w:val="00BB30CF"/>
    <w:rsid w:val="00BB3B70"/>
    <w:rsid w:val="00BB4147"/>
    <w:rsid w:val="00BB4286"/>
    <w:rsid w:val="00BB45A1"/>
    <w:rsid w:val="00BB4B80"/>
    <w:rsid w:val="00BB5645"/>
    <w:rsid w:val="00BB73DD"/>
    <w:rsid w:val="00BB74C4"/>
    <w:rsid w:val="00BB7686"/>
    <w:rsid w:val="00BB7B4D"/>
    <w:rsid w:val="00BB7D10"/>
    <w:rsid w:val="00BC1226"/>
    <w:rsid w:val="00BC12AE"/>
    <w:rsid w:val="00BC16E6"/>
    <w:rsid w:val="00BC1D02"/>
    <w:rsid w:val="00BC23F9"/>
    <w:rsid w:val="00BC246E"/>
    <w:rsid w:val="00BC31DC"/>
    <w:rsid w:val="00BC3421"/>
    <w:rsid w:val="00BC3B3D"/>
    <w:rsid w:val="00BC4E15"/>
    <w:rsid w:val="00BC5283"/>
    <w:rsid w:val="00BC6EB0"/>
    <w:rsid w:val="00BC726F"/>
    <w:rsid w:val="00BC732C"/>
    <w:rsid w:val="00BC7718"/>
    <w:rsid w:val="00BC794B"/>
    <w:rsid w:val="00BD09FE"/>
    <w:rsid w:val="00BD1C74"/>
    <w:rsid w:val="00BD2AE8"/>
    <w:rsid w:val="00BD2D21"/>
    <w:rsid w:val="00BD3A82"/>
    <w:rsid w:val="00BD3BF8"/>
    <w:rsid w:val="00BD4516"/>
    <w:rsid w:val="00BD5304"/>
    <w:rsid w:val="00BD6496"/>
    <w:rsid w:val="00BD7CDB"/>
    <w:rsid w:val="00BE0173"/>
    <w:rsid w:val="00BE030B"/>
    <w:rsid w:val="00BE10F7"/>
    <w:rsid w:val="00BE1278"/>
    <w:rsid w:val="00BE2580"/>
    <w:rsid w:val="00BE25B3"/>
    <w:rsid w:val="00BE266D"/>
    <w:rsid w:val="00BE2DBF"/>
    <w:rsid w:val="00BE3460"/>
    <w:rsid w:val="00BE3910"/>
    <w:rsid w:val="00BE3938"/>
    <w:rsid w:val="00BE39E8"/>
    <w:rsid w:val="00BE4669"/>
    <w:rsid w:val="00BE4C11"/>
    <w:rsid w:val="00BE5048"/>
    <w:rsid w:val="00BE6BBB"/>
    <w:rsid w:val="00BE6E79"/>
    <w:rsid w:val="00BE71C0"/>
    <w:rsid w:val="00BE7817"/>
    <w:rsid w:val="00BF0970"/>
    <w:rsid w:val="00BF0AA3"/>
    <w:rsid w:val="00BF0D9A"/>
    <w:rsid w:val="00BF0E4A"/>
    <w:rsid w:val="00BF0E7A"/>
    <w:rsid w:val="00BF1566"/>
    <w:rsid w:val="00BF1BBE"/>
    <w:rsid w:val="00BF1F40"/>
    <w:rsid w:val="00BF3910"/>
    <w:rsid w:val="00BF3E62"/>
    <w:rsid w:val="00BF3FAE"/>
    <w:rsid w:val="00BF46DE"/>
    <w:rsid w:val="00BF4AF3"/>
    <w:rsid w:val="00BF610C"/>
    <w:rsid w:val="00BF77FF"/>
    <w:rsid w:val="00BF7B05"/>
    <w:rsid w:val="00BF7B13"/>
    <w:rsid w:val="00BF7B34"/>
    <w:rsid w:val="00C0060B"/>
    <w:rsid w:val="00C00B71"/>
    <w:rsid w:val="00C011BD"/>
    <w:rsid w:val="00C0277D"/>
    <w:rsid w:val="00C029A7"/>
    <w:rsid w:val="00C04332"/>
    <w:rsid w:val="00C047A7"/>
    <w:rsid w:val="00C0486A"/>
    <w:rsid w:val="00C048FB"/>
    <w:rsid w:val="00C04B4C"/>
    <w:rsid w:val="00C053A1"/>
    <w:rsid w:val="00C05793"/>
    <w:rsid w:val="00C05F1A"/>
    <w:rsid w:val="00C05F4C"/>
    <w:rsid w:val="00C07248"/>
    <w:rsid w:val="00C07B5D"/>
    <w:rsid w:val="00C100BD"/>
    <w:rsid w:val="00C101FC"/>
    <w:rsid w:val="00C10523"/>
    <w:rsid w:val="00C107F3"/>
    <w:rsid w:val="00C10BD5"/>
    <w:rsid w:val="00C10E21"/>
    <w:rsid w:val="00C116A3"/>
    <w:rsid w:val="00C116EE"/>
    <w:rsid w:val="00C117C7"/>
    <w:rsid w:val="00C119DC"/>
    <w:rsid w:val="00C11EC6"/>
    <w:rsid w:val="00C12181"/>
    <w:rsid w:val="00C125DC"/>
    <w:rsid w:val="00C1291E"/>
    <w:rsid w:val="00C13D54"/>
    <w:rsid w:val="00C13EBC"/>
    <w:rsid w:val="00C143EB"/>
    <w:rsid w:val="00C16198"/>
    <w:rsid w:val="00C16FE1"/>
    <w:rsid w:val="00C1709F"/>
    <w:rsid w:val="00C17768"/>
    <w:rsid w:val="00C2083D"/>
    <w:rsid w:val="00C20980"/>
    <w:rsid w:val="00C210AB"/>
    <w:rsid w:val="00C21A2D"/>
    <w:rsid w:val="00C22142"/>
    <w:rsid w:val="00C2242A"/>
    <w:rsid w:val="00C22FB4"/>
    <w:rsid w:val="00C23979"/>
    <w:rsid w:val="00C24A53"/>
    <w:rsid w:val="00C25413"/>
    <w:rsid w:val="00C256DF"/>
    <w:rsid w:val="00C2584F"/>
    <w:rsid w:val="00C26059"/>
    <w:rsid w:val="00C26570"/>
    <w:rsid w:val="00C26C6B"/>
    <w:rsid w:val="00C27499"/>
    <w:rsid w:val="00C2756E"/>
    <w:rsid w:val="00C2764F"/>
    <w:rsid w:val="00C27B9A"/>
    <w:rsid w:val="00C27BF9"/>
    <w:rsid w:val="00C30DCC"/>
    <w:rsid w:val="00C3147C"/>
    <w:rsid w:val="00C31900"/>
    <w:rsid w:val="00C31A6F"/>
    <w:rsid w:val="00C31BAB"/>
    <w:rsid w:val="00C31BAD"/>
    <w:rsid w:val="00C324E3"/>
    <w:rsid w:val="00C32D0A"/>
    <w:rsid w:val="00C32EDA"/>
    <w:rsid w:val="00C331B1"/>
    <w:rsid w:val="00C33792"/>
    <w:rsid w:val="00C33C97"/>
    <w:rsid w:val="00C3438E"/>
    <w:rsid w:val="00C34B7C"/>
    <w:rsid w:val="00C3518F"/>
    <w:rsid w:val="00C3550A"/>
    <w:rsid w:val="00C37244"/>
    <w:rsid w:val="00C37292"/>
    <w:rsid w:val="00C4032F"/>
    <w:rsid w:val="00C42018"/>
    <w:rsid w:val="00C4216A"/>
    <w:rsid w:val="00C4387F"/>
    <w:rsid w:val="00C44047"/>
    <w:rsid w:val="00C44686"/>
    <w:rsid w:val="00C45155"/>
    <w:rsid w:val="00C45321"/>
    <w:rsid w:val="00C458B5"/>
    <w:rsid w:val="00C46538"/>
    <w:rsid w:val="00C46F98"/>
    <w:rsid w:val="00C47185"/>
    <w:rsid w:val="00C476A5"/>
    <w:rsid w:val="00C47E5D"/>
    <w:rsid w:val="00C501CB"/>
    <w:rsid w:val="00C50519"/>
    <w:rsid w:val="00C51AB7"/>
    <w:rsid w:val="00C5201C"/>
    <w:rsid w:val="00C52355"/>
    <w:rsid w:val="00C5257A"/>
    <w:rsid w:val="00C52811"/>
    <w:rsid w:val="00C52923"/>
    <w:rsid w:val="00C531C3"/>
    <w:rsid w:val="00C535A7"/>
    <w:rsid w:val="00C536DA"/>
    <w:rsid w:val="00C537AB"/>
    <w:rsid w:val="00C53AB2"/>
    <w:rsid w:val="00C5422C"/>
    <w:rsid w:val="00C54504"/>
    <w:rsid w:val="00C54921"/>
    <w:rsid w:val="00C5498F"/>
    <w:rsid w:val="00C55235"/>
    <w:rsid w:val="00C55446"/>
    <w:rsid w:val="00C5555A"/>
    <w:rsid w:val="00C55BFD"/>
    <w:rsid w:val="00C56841"/>
    <w:rsid w:val="00C56A1D"/>
    <w:rsid w:val="00C57144"/>
    <w:rsid w:val="00C57C28"/>
    <w:rsid w:val="00C6018F"/>
    <w:rsid w:val="00C6099F"/>
    <w:rsid w:val="00C60C58"/>
    <w:rsid w:val="00C617E7"/>
    <w:rsid w:val="00C61C03"/>
    <w:rsid w:val="00C62224"/>
    <w:rsid w:val="00C629F9"/>
    <w:rsid w:val="00C62FDE"/>
    <w:rsid w:val="00C632FC"/>
    <w:rsid w:val="00C63368"/>
    <w:rsid w:val="00C63FA2"/>
    <w:rsid w:val="00C64303"/>
    <w:rsid w:val="00C64CD0"/>
    <w:rsid w:val="00C64CE3"/>
    <w:rsid w:val="00C6684F"/>
    <w:rsid w:val="00C6703F"/>
    <w:rsid w:val="00C678B6"/>
    <w:rsid w:val="00C6790A"/>
    <w:rsid w:val="00C70E70"/>
    <w:rsid w:val="00C7166D"/>
    <w:rsid w:val="00C71D06"/>
    <w:rsid w:val="00C72226"/>
    <w:rsid w:val="00C72A0C"/>
    <w:rsid w:val="00C72C22"/>
    <w:rsid w:val="00C72C40"/>
    <w:rsid w:val="00C733E3"/>
    <w:rsid w:val="00C73437"/>
    <w:rsid w:val="00C74194"/>
    <w:rsid w:val="00C75F8D"/>
    <w:rsid w:val="00C77380"/>
    <w:rsid w:val="00C774A1"/>
    <w:rsid w:val="00C77AB5"/>
    <w:rsid w:val="00C80B78"/>
    <w:rsid w:val="00C81352"/>
    <w:rsid w:val="00C81BE0"/>
    <w:rsid w:val="00C836CF"/>
    <w:rsid w:val="00C8385E"/>
    <w:rsid w:val="00C84772"/>
    <w:rsid w:val="00C84865"/>
    <w:rsid w:val="00C84C1E"/>
    <w:rsid w:val="00C85EC5"/>
    <w:rsid w:val="00C86395"/>
    <w:rsid w:val="00C868B4"/>
    <w:rsid w:val="00C86EF5"/>
    <w:rsid w:val="00C86FFD"/>
    <w:rsid w:val="00C87D40"/>
    <w:rsid w:val="00C903C0"/>
    <w:rsid w:val="00C905A9"/>
    <w:rsid w:val="00C90E26"/>
    <w:rsid w:val="00C9393A"/>
    <w:rsid w:val="00C9433B"/>
    <w:rsid w:val="00C943CB"/>
    <w:rsid w:val="00C94403"/>
    <w:rsid w:val="00C94CA2"/>
    <w:rsid w:val="00C954CC"/>
    <w:rsid w:val="00C959E5"/>
    <w:rsid w:val="00C967A2"/>
    <w:rsid w:val="00C969FD"/>
    <w:rsid w:val="00C96DBB"/>
    <w:rsid w:val="00C97392"/>
    <w:rsid w:val="00C975A4"/>
    <w:rsid w:val="00C97736"/>
    <w:rsid w:val="00C97BC0"/>
    <w:rsid w:val="00CA1165"/>
    <w:rsid w:val="00CA1F1A"/>
    <w:rsid w:val="00CA2969"/>
    <w:rsid w:val="00CA2C59"/>
    <w:rsid w:val="00CA3283"/>
    <w:rsid w:val="00CA345A"/>
    <w:rsid w:val="00CA3F8C"/>
    <w:rsid w:val="00CA43AB"/>
    <w:rsid w:val="00CA5385"/>
    <w:rsid w:val="00CA5896"/>
    <w:rsid w:val="00CA62A6"/>
    <w:rsid w:val="00CA65C3"/>
    <w:rsid w:val="00CA72B8"/>
    <w:rsid w:val="00CA7B84"/>
    <w:rsid w:val="00CB0AE2"/>
    <w:rsid w:val="00CB0D4A"/>
    <w:rsid w:val="00CB0F4A"/>
    <w:rsid w:val="00CB1957"/>
    <w:rsid w:val="00CB1E82"/>
    <w:rsid w:val="00CB2A47"/>
    <w:rsid w:val="00CB3041"/>
    <w:rsid w:val="00CB3665"/>
    <w:rsid w:val="00CB3AB2"/>
    <w:rsid w:val="00CB4A2D"/>
    <w:rsid w:val="00CB4BA8"/>
    <w:rsid w:val="00CB4ED2"/>
    <w:rsid w:val="00CB52D7"/>
    <w:rsid w:val="00CB6920"/>
    <w:rsid w:val="00CB7A91"/>
    <w:rsid w:val="00CC141A"/>
    <w:rsid w:val="00CC163F"/>
    <w:rsid w:val="00CC2ACB"/>
    <w:rsid w:val="00CC45EB"/>
    <w:rsid w:val="00CC51DA"/>
    <w:rsid w:val="00CC655E"/>
    <w:rsid w:val="00CC6732"/>
    <w:rsid w:val="00CC6C66"/>
    <w:rsid w:val="00CC6FE0"/>
    <w:rsid w:val="00CC71BF"/>
    <w:rsid w:val="00CC7457"/>
    <w:rsid w:val="00CC75F2"/>
    <w:rsid w:val="00CC7926"/>
    <w:rsid w:val="00CC7A92"/>
    <w:rsid w:val="00CD0BA7"/>
    <w:rsid w:val="00CD0CFD"/>
    <w:rsid w:val="00CD1125"/>
    <w:rsid w:val="00CD17E6"/>
    <w:rsid w:val="00CD2020"/>
    <w:rsid w:val="00CD2641"/>
    <w:rsid w:val="00CD2730"/>
    <w:rsid w:val="00CD279E"/>
    <w:rsid w:val="00CD2DB9"/>
    <w:rsid w:val="00CD2DE1"/>
    <w:rsid w:val="00CD2FA4"/>
    <w:rsid w:val="00CD3347"/>
    <w:rsid w:val="00CD38CB"/>
    <w:rsid w:val="00CD3F63"/>
    <w:rsid w:val="00CD4141"/>
    <w:rsid w:val="00CD4287"/>
    <w:rsid w:val="00CD44C5"/>
    <w:rsid w:val="00CD48D7"/>
    <w:rsid w:val="00CD57CE"/>
    <w:rsid w:val="00CD5EE7"/>
    <w:rsid w:val="00CD61F1"/>
    <w:rsid w:val="00CD63E1"/>
    <w:rsid w:val="00CD6DFE"/>
    <w:rsid w:val="00CD7337"/>
    <w:rsid w:val="00CD741B"/>
    <w:rsid w:val="00CD7DA2"/>
    <w:rsid w:val="00CE08E9"/>
    <w:rsid w:val="00CE19B2"/>
    <w:rsid w:val="00CE1B93"/>
    <w:rsid w:val="00CE1BE3"/>
    <w:rsid w:val="00CE23BB"/>
    <w:rsid w:val="00CE2A23"/>
    <w:rsid w:val="00CE2CE7"/>
    <w:rsid w:val="00CE3B0C"/>
    <w:rsid w:val="00CE3C96"/>
    <w:rsid w:val="00CE5050"/>
    <w:rsid w:val="00CE51A8"/>
    <w:rsid w:val="00CE55ED"/>
    <w:rsid w:val="00CE5E74"/>
    <w:rsid w:val="00CE6803"/>
    <w:rsid w:val="00CE70DA"/>
    <w:rsid w:val="00CE73BB"/>
    <w:rsid w:val="00CE7DB9"/>
    <w:rsid w:val="00CE7FC2"/>
    <w:rsid w:val="00CF02AF"/>
    <w:rsid w:val="00CF2517"/>
    <w:rsid w:val="00CF3555"/>
    <w:rsid w:val="00CF369B"/>
    <w:rsid w:val="00CF4407"/>
    <w:rsid w:val="00CF50DE"/>
    <w:rsid w:val="00CF617E"/>
    <w:rsid w:val="00CF7469"/>
    <w:rsid w:val="00D00B0A"/>
    <w:rsid w:val="00D00E28"/>
    <w:rsid w:val="00D02106"/>
    <w:rsid w:val="00D0269E"/>
    <w:rsid w:val="00D0279E"/>
    <w:rsid w:val="00D04451"/>
    <w:rsid w:val="00D04689"/>
    <w:rsid w:val="00D04697"/>
    <w:rsid w:val="00D1031A"/>
    <w:rsid w:val="00D10350"/>
    <w:rsid w:val="00D120D5"/>
    <w:rsid w:val="00D12E93"/>
    <w:rsid w:val="00D132CD"/>
    <w:rsid w:val="00D136D6"/>
    <w:rsid w:val="00D137AF"/>
    <w:rsid w:val="00D1384B"/>
    <w:rsid w:val="00D13F4D"/>
    <w:rsid w:val="00D13FF2"/>
    <w:rsid w:val="00D14385"/>
    <w:rsid w:val="00D1483F"/>
    <w:rsid w:val="00D14C0D"/>
    <w:rsid w:val="00D1516C"/>
    <w:rsid w:val="00D1576C"/>
    <w:rsid w:val="00D15810"/>
    <w:rsid w:val="00D1656A"/>
    <w:rsid w:val="00D1695A"/>
    <w:rsid w:val="00D16B8E"/>
    <w:rsid w:val="00D16D4E"/>
    <w:rsid w:val="00D16FE3"/>
    <w:rsid w:val="00D1767F"/>
    <w:rsid w:val="00D204C5"/>
    <w:rsid w:val="00D2051F"/>
    <w:rsid w:val="00D20B75"/>
    <w:rsid w:val="00D210BB"/>
    <w:rsid w:val="00D2181A"/>
    <w:rsid w:val="00D22250"/>
    <w:rsid w:val="00D2357B"/>
    <w:rsid w:val="00D24E0D"/>
    <w:rsid w:val="00D256A1"/>
    <w:rsid w:val="00D26090"/>
    <w:rsid w:val="00D266E3"/>
    <w:rsid w:val="00D2710C"/>
    <w:rsid w:val="00D27D25"/>
    <w:rsid w:val="00D27EEC"/>
    <w:rsid w:val="00D27F41"/>
    <w:rsid w:val="00D319A5"/>
    <w:rsid w:val="00D32B58"/>
    <w:rsid w:val="00D32FDB"/>
    <w:rsid w:val="00D338D6"/>
    <w:rsid w:val="00D33C58"/>
    <w:rsid w:val="00D34203"/>
    <w:rsid w:val="00D34D82"/>
    <w:rsid w:val="00D35B71"/>
    <w:rsid w:val="00D35EE1"/>
    <w:rsid w:val="00D36441"/>
    <w:rsid w:val="00D3649F"/>
    <w:rsid w:val="00D36C7D"/>
    <w:rsid w:val="00D37843"/>
    <w:rsid w:val="00D4064E"/>
    <w:rsid w:val="00D40C73"/>
    <w:rsid w:val="00D40D6B"/>
    <w:rsid w:val="00D41FB2"/>
    <w:rsid w:val="00D427E1"/>
    <w:rsid w:val="00D428C0"/>
    <w:rsid w:val="00D43172"/>
    <w:rsid w:val="00D433EE"/>
    <w:rsid w:val="00D43856"/>
    <w:rsid w:val="00D43FE7"/>
    <w:rsid w:val="00D4403D"/>
    <w:rsid w:val="00D44B86"/>
    <w:rsid w:val="00D44E9B"/>
    <w:rsid w:val="00D45E5B"/>
    <w:rsid w:val="00D460B4"/>
    <w:rsid w:val="00D4615C"/>
    <w:rsid w:val="00D462E0"/>
    <w:rsid w:val="00D46DE2"/>
    <w:rsid w:val="00D4754C"/>
    <w:rsid w:val="00D501F1"/>
    <w:rsid w:val="00D5040E"/>
    <w:rsid w:val="00D50DB9"/>
    <w:rsid w:val="00D51DC9"/>
    <w:rsid w:val="00D51FD5"/>
    <w:rsid w:val="00D523FD"/>
    <w:rsid w:val="00D52527"/>
    <w:rsid w:val="00D52C43"/>
    <w:rsid w:val="00D52E40"/>
    <w:rsid w:val="00D5375D"/>
    <w:rsid w:val="00D54077"/>
    <w:rsid w:val="00D55327"/>
    <w:rsid w:val="00D57B68"/>
    <w:rsid w:val="00D60853"/>
    <w:rsid w:val="00D62D01"/>
    <w:rsid w:val="00D630CD"/>
    <w:rsid w:val="00D63367"/>
    <w:rsid w:val="00D64F99"/>
    <w:rsid w:val="00D6507F"/>
    <w:rsid w:val="00D6667D"/>
    <w:rsid w:val="00D67672"/>
    <w:rsid w:val="00D677CE"/>
    <w:rsid w:val="00D67F96"/>
    <w:rsid w:val="00D70BED"/>
    <w:rsid w:val="00D71E35"/>
    <w:rsid w:val="00D71EDB"/>
    <w:rsid w:val="00D7257A"/>
    <w:rsid w:val="00D730BC"/>
    <w:rsid w:val="00D73912"/>
    <w:rsid w:val="00D73AF8"/>
    <w:rsid w:val="00D761B8"/>
    <w:rsid w:val="00D768BE"/>
    <w:rsid w:val="00D770DE"/>
    <w:rsid w:val="00D777B6"/>
    <w:rsid w:val="00D80D7E"/>
    <w:rsid w:val="00D82CF3"/>
    <w:rsid w:val="00D83BFA"/>
    <w:rsid w:val="00D85226"/>
    <w:rsid w:val="00D852DB"/>
    <w:rsid w:val="00D85D08"/>
    <w:rsid w:val="00D86662"/>
    <w:rsid w:val="00D87548"/>
    <w:rsid w:val="00D8768E"/>
    <w:rsid w:val="00D87B4A"/>
    <w:rsid w:val="00D87B94"/>
    <w:rsid w:val="00D87EEA"/>
    <w:rsid w:val="00D914DF"/>
    <w:rsid w:val="00D91876"/>
    <w:rsid w:val="00D923BD"/>
    <w:rsid w:val="00D929BC"/>
    <w:rsid w:val="00D92C44"/>
    <w:rsid w:val="00D92D49"/>
    <w:rsid w:val="00D92EC1"/>
    <w:rsid w:val="00D9338A"/>
    <w:rsid w:val="00D93C8A"/>
    <w:rsid w:val="00D93E3C"/>
    <w:rsid w:val="00D947B0"/>
    <w:rsid w:val="00D94ABB"/>
    <w:rsid w:val="00D95E3F"/>
    <w:rsid w:val="00D96DEA"/>
    <w:rsid w:val="00D96FA8"/>
    <w:rsid w:val="00D97ADF"/>
    <w:rsid w:val="00DA0F37"/>
    <w:rsid w:val="00DA115A"/>
    <w:rsid w:val="00DA199E"/>
    <w:rsid w:val="00DA26C0"/>
    <w:rsid w:val="00DA3C14"/>
    <w:rsid w:val="00DA3FD4"/>
    <w:rsid w:val="00DA466A"/>
    <w:rsid w:val="00DA497A"/>
    <w:rsid w:val="00DA4E41"/>
    <w:rsid w:val="00DA51DD"/>
    <w:rsid w:val="00DA51FD"/>
    <w:rsid w:val="00DA595D"/>
    <w:rsid w:val="00DA5CD2"/>
    <w:rsid w:val="00DA5F2B"/>
    <w:rsid w:val="00DA5F73"/>
    <w:rsid w:val="00DA6F81"/>
    <w:rsid w:val="00DA71B1"/>
    <w:rsid w:val="00DB0DC8"/>
    <w:rsid w:val="00DB117A"/>
    <w:rsid w:val="00DB1DC0"/>
    <w:rsid w:val="00DB22AD"/>
    <w:rsid w:val="00DB346E"/>
    <w:rsid w:val="00DB39A5"/>
    <w:rsid w:val="00DB47D3"/>
    <w:rsid w:val="00DB50D6"/>
    <w:rsid w:val="00DB5173"/>
    <w:rsid w:val="00DB59A1"/>
    <w:rsid w:val="00DB5EF2"/>
    <w:rsid w:val="00DB676E"/>
    <w:rsid w:val="00DB6DDF"/>
    <w:rsid w:val="00DB6E50"/>
    <w:rsid w:val="00DB7873"/>
    <w:rsid w:val="00DC035D"/>
    <w:rsid w:val="00DC187B"/>
    <w:rsid w:val="00DC18F9"/>
    <w:rsid w:val="00DC26B1"/>
    <w:rsid w:val="00DC3331"/>
    <w:rsid w:val="00DC3A7E"/>
    <w:rsid w:val="00DC4DFD"/>
    <w:rsid w:val="00DC50F9"/>
    <w:rsid w:val="00DC53B7"/>
    <w:rsid w:val="00DC72C6"/>
    <w:rsid w:val="00DC7606"/>
    <w:rsid w:val="00DC7BFB"/>
    <w:rsid w:val="00DD0279"/>
    <w:rsid w:val="00DD0A0C"/>
    <w:rsid w:val="00DD16AD"/>
    <w:rsid w:val="00DD1C9A"/>
    <w:rsid w:val="00DD2C07"/>
    <w:rsid w:val="00DD2CE6"/>
    <w:rsid w:val="00DD32C6"/>
    <w:rsid w:val="00DD3CE9"/>
    <w:rsid w:val="00DD404D"/>
    <w:rsid w:val="00DD4672"/>
    <w:rsid w:val="00DD49A9"/>
    <w:rsid w:val="00DD560F"/>
    <w:rsid w:val="00DD5CF3"/>
    <w:rsid w:val="00DD6238"/>
    <w:rsid w:val="00DD65DC"/>
    <w:rsid w:val="00DD71D8"/>
    <w:rsid w:val="00DD73C2"/>
    <w:rsid w:val="00DD750B"/>
    <w:rsid w:val="00DD76B5"/>
    <w:rsid w:val="00DD7B90"/>
    <w:rsid w:val="00DE19ED"/>
    <w:rsid w:val="00DE1E1B"/>
    <w:rsid w:val="00DE2A9B"/>
    <w:rsid w:val="00DE319B"/>
    <w:rsid w:val="00DE3FE2"/>
    <w:rsid w:val="00DE4771"/>
    <w:rsid w:val="00DE4A96"/>
    <w:rsid w:val="00DE4C83"/>
    <w:rsid w:val="00DE7100"/>
    <w:rsid w:val="00DE713A"/>
    <w:rsid w:val="00DE7179"/>
    <w:rsid w:val="00DE74C6"/>
    <w:rsid w:val="00DF08C9"/>
    <w:rsid w:val="00DF0CD7"/>
    <w:rsid w:val="00DF13EC"/>
    <w:rsid w:val="00DF1882"/>
    <w:rsid w:val="00DF1B95"/>
    <w:rsid w:val="00DF1C3C"/>
    <w:rsid w:val="00DF2B2D"/>
    <w:rsid w:val="00DF34FE"/>
    <w:rsid w:val="00DF3DD6"/>
    <w:rsid w:val="00DF4434"/>
    <w:rsid w:val="00DF463A"/>
    <w:rsid w:val="00DF4C20"/>
    <w:rsid w:val="00DF56AA"/>
    <w:rsid w:val="00DF60F1"/>
    <w:rsid w:val="00DF6146"/>
    <w:rsid w:val="00DF63F0"/>
    <w:rsid w:val="00DF6ED0"/>
    <w:rsid w:val="00DF6F6D"/>
    <w:rsid w:val="00DF73B4"/>
    <w:rsid w:val="00DF7473"/>
    <w:rsid w:val="00DF78E7"/>
    <w:rsid w:val="00E000B6"/>
    <w:rsid w:val="00E007B7"/>
    <w:rsid w:val="00E00B75"/>
    <w:rsid w:val="00E0152F"/>
    <w:rsid w:val="00E01DC5"/>
    <w:rsid w:val="00E021E0"/>
    <w:rsid w:val="00E022ED"/>
    <w:rsid w:val="00E02DD8"/>
    <w:rsid w:val="00E034E4"/>
    <w:rsid w:val="00E047C3"/>
    <w:rsid w:val="00E04A41"/>
    <w:rsid w:val="00E04D74"/>
    <w:rsid w:val="00E05276"/>
    <w:rsid w:val="00E0549E"/>
    <w:rsid w:val="00E05C92"/>
    <w:rsid w:val="00E06209"/>
    <w:rsid w:val="00E06F0F"/>
    <w:rsid w:val="00E0713D"/>
    <w:rsid w:val="00E10229"/>
    <w:rsid w:val="00E1087D"/>
    <w:rsid w:val="00E110E0"/>
    <w:rsid w:val="00E1177E"/>
    <w:rsid w:val="00E12761"/>
    <w:rsid w:val="00E12F10"/>
    <w:rsid w:val="00E13323"/>
    <w:rsid w:val="00E14034"/>
    <w:rsid w:val="00E1500F"/>
    <w:rsid w:val="00E15371"/>
    <w:rsid w:val="00E15B7D"/>
    <w:rsid w:val="00E16D24"/>
    <w:rsid w:val="00E212CC"/>
    <w:rsid w:val="00E21CF0"/>
    <w:rsid w:val="00E22109"/>
    <w:rsid w:val="00E23585"/>
    <w:rsid w:val="00E236E9"/>
    <w:rsid w:val="00E23B8F"/>
    <w:rsid w:val="00E23BA0"/>
    <w:rsid w:val="00E24104"/>
    <w:rsid w:val="00E24308"/>
    <w:rsid w:val="00E249E6"/>
    <w:rsid w:val="00E2511D"/>
    <w:rsid w:val="00E25748"/>
    <w:rsid w:val="00E26287"/>
    <w:rsid w:val="00E26355"/>
    <w:rsid w:val="00E267E9"/>
    <w:rsid w:val="00E26EBE"/>
    <w:rsid w:val="00E26FCE"/>
    <w:rsid w:val="00E27B23"/>
    <w:rsid w:val="00E3204D"/>
    <w:rsid w:val="00E32263"/>
    <w:rsid w:val="00E32BB7"/>
    <w:rsid w:val="00E32C00"/>
    <w:rsid w:val="00E32E84"/>
    <w:rsid w:val="00E3336C"/>
    <w:rsid w:val="00E34D60"/>
    <w:rsid w:val="00E35385"/>
    <w:rsid w:val="00E353DA"/>
    <w:rsid w:val="00E35602"/>
    <w:rsid w:val="00E35707"/>
    <w:rsid w:val="00E35773"/>
    <w:rsid w:val="00E35866"/>
    <w:rsid w:val="00E35AAF"/>
    <w:rsid w:val="00E35DCB"/>
    <w:rsid w:val="00E36205"/>
    <w:rsid w:val="00E36AA1"/>
    <w:rsid w:val="00E36CDA"/>
    <w:rsid w:val="00E41B62"/>
    <w:rsid w:val="00E41ECB"/>
    <w:rsid w:val="00E423EA"/>
    <w:rsid w:val="00E42F82"/>
    <w:rsid w:val="00E438F6"/>
    <w:rsid w:val="00E4398C"/>
    <w:rsid w:val="00E43B42"/>
    <w:rsid w:val="00E4415C"/>
    <w:rsid w:val="00E44551"/>
    <w:rsid w:val="00E446AE"/>
    <w:rsid w:val="00E450B7"/>
    <w:rsid w:val="00E45152"/>
    <w:rsid w:val="00E454BF"/>
    <w:rsid w:val="00E45AEC"/>
    <w:rsid w:val="00E4688E"/>
    <w:rsid w:val="00E50D1C"/>
    <w:rsid w:val="00E51C3A"/>
    <w:rsid w:val="00E52255"/>
    <w:rsid w:val="00E52907"/>
    <w:rsid w:val="00E52F7D"/>
    <w:rsid w:val="00E53001"/>
    <w:rsid w:val="00E54137"/>
    <w:rsid w:val="00E5413D"/>
    <w:rsid w:val="00E5442E"/>
    <w:rsid w:val="00E54489"/>
    <w:rsid w:val="00E54799"/>
    <w:rsid w:val="00E54FDB"/>
    <w:rsid w:val="00E55732"/>
    <w:rsid w:val="00E55CBA"/>
    <w:rsid w:val="00E55E36"/>
    <w:rsid w:val="00E55ED2"/>
    <w:rsid w:val="00E5617D"/>
    <w:rsid w:val="00E563D7"/>
    <w:rsid w:val="00E5695D"/>
    <w:rsid w:val="00E56C6A"/>
    <w:rsid w:val="00E57194"/>
    <w:rsid w:val="00E57888"/>
    <w:rsid w:val="00E57B56"/>
    <w:rsid w:val="00E57DB6"/>
    <w:rsid w:val="00E600B7"/>
    <w:rsid w:val="00E60641"/>
    <w:rsid w:val="00E60C02"/>
    <w:rsid w:val="00E61A4D"/>
    <w:rsid w:val="00E61AB5"/>
    <w:rsid w:val="00E62882"/>
    <w:rsid w:val="00E62F1C"/>
    <w:rsid w:val="00E63317"/>
    <w:rsid w:val="00E63E6B"/>
    <w:rsid w:val="00E63F87"/>
    <w:rsid w:val="00E645A9"/>
    <w:rsid w:val="00E654A7"/>
    <w:rsid w:val="00E66364"/>
    <w:rsid w:val="00E663F4"/>
    <w:rsid w:val="00E66475"/>
    <w:rsid w:val="00E6651C"/>
    <w:rsid w:val="00E6664B"/>
    <w:rsid w:val="00E666F2"/>
    <w:rsid w:val="00E66B50"/>
    <w:rsid w:val="00E66DD4"/>
    <w:rsid w:val="00E67C67"/>
    <w:rsid w:val="00E70D1D"/>
    <w:rsid w:val="00E70FA0"/>
    <w:rsid w:val="00E73CA0"/>
    <w:rsid w:val="00E748CC"/>
    <w:rsid w:val="00E750DA"/>
    <w:rsid w:val="00E751D2"/>
    <w:rsid w:val="00E753B1"/>
    <w:rsid w:val="00E75415"/>
    <w:rsid w:val="00E7565A"/>
    <w:rsid w:val="00E75BB5"/>
    <w:rsid w:val="00E75D7D"/>
    <w:rsid w:val="00E75E38"/>
    <w:rsid w:val="00E75FF2"/>
    <w:rsid w:val="00E76549"/>
    <w:rsid w:val="00E76BDB"/>
    <w:rsid w:val="00E77222"/>
    <w:rsid w:val="00E775B1"/>
    <w:rsid w:val="00E77624"/>
    <w:rsid w:val="00E77A12"/>
    <w:rsid w:val="00E77C60"/>
    <w:rsid w:val="00E80D2E"/>
    <w:rsid w:val="00E8152A"/>
    <w:rsid w:val="00E816D1"/>
    <w:rsid w:val="00E82480"/>
    <w:rsid w:val="00E85A0A"/>
    <w:rsid w:val="00E85F9A"/>
    <w:rsid w:val="00E86490"/>
    <w:rsid w:val="00E867D7"/>
    <w:rsid w:val="00E868BB"/>
    <w:rsid w:val="00E86CA6"/>
    <w:rsid w:val="00E872EF"/>
    <w:rsid w:val="00E90755"/>
    <w:rsid w:val="00E90F93"/>
    <w:rsid w:val="00E9110F"/>
    <w:rsid w:val="00E91CEB"/>
    <w:rsid w:val="00E92958"/>
    <w:rsid w:val="00E931F4"/>
    <w:rsid w:val="00E9348A"/>
    <w:rsid w:val="00E93629"/>
    <w:rsid w:val="00E93B5C"/>
    <w:rsid w:val="00E94CEC"/>
    <w:rsid w:val="00E9642F"/>
    <w:rsid w:val="00E96AF6"/>
    <w:rsid w:val="00E97A45"/>
    <w:rsid w:val="00E97BCF"/>
    <w:rsid w:val="00E97D47"/>
    <w:rsid w:val="00EA04EF"/>
    <w:rsid w:val="00EA0BFB"/>
    <w:rsid w:val="00EA1022"/>
    <w:rsid w:val="00EA1350"/>
    <w:rsid w:val="00EA1458"/>
    <w:rsid w:val="00EA149D"/>
    <w:rsid w:val="00EA1C2A"/>
    <w:rsid w:val="00EA3CAE"/>
    <w:rsid w:val="00EA5074"/>
    <w:rsid w:val="00EA51D3"/>
    <w:rsid w:val="00EA64E7"/>
    <w:rsid w:val="00EA67ED"/>
    <w:rsid w:val="00EA6B7D"/>
    <w:rsid w:val="00EA6F19"/>
    <w:rsid w:val="00EA7089"/>
    <w:rsid w:val="00EA74FE"/>
    <w:rsid w:val="00EA7E69"/>
    <w:rsid w:val="00EB02EF"/>
    <w:rsid w:val="00EB0634"/>
    <w:rsid w:val="00EB1046"/>
    <w:rsid w:val="00EB1405"/>
    <w:rsid w:val="00EB1B7C"/>
    <w:rsid w:val="00EB221C"/>
    <w:rsid w:val="00EB308E"/>
    <w:rsid w:val="00EB36D1"/>
    <w:rsid w:val="00EB3EE9"/>
    <w:rsid w:val="00EB41A7"/>
    <w:rsid w:val="00EB43FA"/>
    <w:rsid w:val="00EB450E"/>
    <w:rsid w:val="00EB4B9A"/>
    <w:rsid w:val="00EB4E43"/>
    <w:rsid w:val="00EB6413"/>
    <w:rsid w:val="00EB6B0D"/>
    <w:rsid w:val="00EB7090"/>
    <w:rsid w:val="00EC121D"/>
    <w:rsid w:val="00EC1BBE"/>
    <w:rsid w:val="00EC35C9"/>
    <w:rsid w:val="00EC3B43"/>
    <w:rsid w:val="00EC5236"/>
    <w:rsid w:val="00EC5C18"/>
    <w:rsid w:val="00EC5CD7"/>
    <w:rsid w:val="00EC649D"/>
    <w:rsid w:val="00EC64AD"/>
    <w:rsid w:val="00EC674C"/>
    <w:rsid w:val="00EC70F1"/>
    <w:rsid w:val="00EC7141"/>
    <w:rsid w:val="00ED03D2"/>
    <w:rsid w:val="00ED13C2"/>
    <w:rsid w:val="00ED13C9"/>
    <w:rsid w:val="00ED15AE"/>
    <w:rsid w:val="00ED1A8C"/>
    <w:rsid w:val="00ED2504"/>
    <w:rsid w:val="00ED291F"/>
    <w:rsid w:val="00ED2E02"/>
    <w:rsid w:val="00ED31EE"/>
    <w:rsid w:val="00ED3C15"/>
    <w:rsid w:val="00ED3E3F"/>
    <w:rsid w:val="00ED45DF"/>
    <w:rsid w:val="00ED6390"/>
    <w:rsid w:val="00ED7287"/>
    <w:rsid w:val="00ED78CB"/>
    <w:rsid w:val="00EE00D1"/>
    <w:rsid w:val="00EE0D57"/>
    <w:rsid w:val="00EE0E5F"/>
    <w:rsid w:val="00EE0F63"/>
    <w:rsid w:val="00EE22A8"/>
    <w:rsid w:val="00EE30ED"/>
    <w:rsid w:val="00EE42D4"/>
    <w:rsid w:val="00EE52DB"/>
    <w:rsid w:val="00EE5E44"/>
    <w:rsid w:val="00EE5FB3"/>
    <w:rsid w:val="00EE6B61"/>
    <w:rsid w:val="00EE6E0D"/>
    <w:rsid w:val="00EE70F8"/>
    <w:rsid w:val="00EE7ABB"/>
    <w:rsid w:val="00EE7F79"/>
    <w:rsid w:val="00EF0147"/>
    <w:rsid w:val="00EF0244"/>
    <w:rsid w:val="00EF06C2"/>
    <w:rsid w:val="00EF06D8"/>
    <w:rsid w:val="00EF1149"/>
    <w:rsid w:val="00EF1AC4"/>
    <w:rsid w:val="00EF2519"/>
    <w:rsid w:val="00EF2B0C"/>
    <w:rsid w:val="00EF2B64"/>
    <w:rsid w:val="00EF637F"/>
    <w:rsid w:val="00EF6888"/>
    <w:rsid w:val="00EF715A"/>
    <w:rsid w:val="00EF7DBC"/>
    <w:rsid w:val="00EF7F2D"/>
    <w:rsid w:val="00F001CA"/>
    <w:rsid w:val="00F00641"/>
    <w:rsid w:val="00F00958"/>
    <w:rsid w:val="00F00A1B"/>
    <w:rsid w:val="00F01974"/>
    <w:rsid w:val="00F01C80"/>
    <w:rsid w:val="00F01CFD"/>
    <w:rsid w:val="00F03B23"/>
    <w:rsid w:val="00F04122"/>
    <w:rsid w:val="00F04E38"/>
    <w:rsid w:val="00F0607B"/>
    <w:rsid w:val="00F06CE1"/>
    <w:rsid w:val="00F06E14"/>
    <w:rsid w:val="00F073D9"/>
    <w:rsid w:val="00F0762C"/>
    <w:rsid w:val="00F0788D"/>
    <w:rsid w:val="00F07E4A"/>
    <w:rsid w:val="00F1049B"/>
    <w:rsid w:val="00F10D1D"/>
    <w:rsid w:val="00F11BE2"/>
    <w:rsid w:val="00F1266E"/>
    <w:rsid w:val="00F12AB9"/>
    <w:rsid w:val="00F135C2"/>
    <w:rsid w:val="00F13B5A"/>
    <w:rsid w:val="00F14508"/>
    <w:rsid w:val="00F14965"/>
    <w:rsid w:val="00F16CAE"/>
    <w:rsid w:val="00F16FCB"/>
    <w:rsid w:val="00F179D4"/>
    <w:rsid w:val="00F17AD6"/>
    <w:rsid w:val="00F20577"/>
    <w:rsid w:val="00F210E2"/>
    <w:rsid w:val="00F22B03"/>
    <w:rsid w:val="00F22B0B"/>
    <w:rsid w:val="00F23271"/>
    <w:rsid w:val="00F2464C"/>
    <w:rsid w:val="00F24B76"/>
    <w:rsid w:val="00F276BF"/>
    <w:rsid w:val="00F27715"/>
    <w:rsid w:val="00F27833"/>
    <w:rsid w:val="00F27947"/>
    <w:rsid w:val="00F27DBA"/>
    <w:rsid w:val="00F30ACE"/>
    <w:rsid w:val="00F30AE3"/>
    <w:rsid w:val="00F31635"/>
    <w:rsid w:val="00F31A0F"/>
    <w:rsid w:val="00F32812"/>
    <w:rsid w:val="00F33C56"/>
    <w:rsid w:val="00F347C7"/>
    <w:rsid w:val="00F34848"/>
    <w:rsid w:val="00F3651C"/>
    <w:rsid w:val="00F41AEB"/>
    <w:rsid w:val="00F420B9"/>
    <w:rsid w:val="00F424A0"/>
    <w:rsid w:val="00F4261E"/>
    <w:rsid w:val="00F42D46"/>
    <w:rsid w:val="00F4308C"/>
    <w:rsid w:val="00F4496C"/>
    <w:rsid w:val="00F44971"/>
    <w:rsid w:val="00F44E2E"/>
    <w:rsid w:val="00F44F3A"/>
    <w:rsid w:val="00F4502B"/>
    <w:rsid w:val="00F458E2"/>
    <w:rsid w:val="00F4607D"/>
    <w:rsid w:val="00F461A0"/>
    <w:rsid w:val="00F47AB4"/>
    <w:rsid w:val="00F47D7C"/>
    <w:rsid w:val="00F504DA"/>
    <w:rsid w:val="00F5069D"/>
    <w:rsid w:val="00F507FE"/>
    <w:rsid w:val="00F50F15"/>
    <w:rsid w:val="00F51CBE"/>
    <w:rsid w:val="00F51F10"/>
    <w:rsid w:val="00F529A5"/>
    <w:rsid w:val="00F538E4"/>
    <w:rsid w:val="00F54173"/>
    <w:rsid w:val="00F54A29"/>
    <w:rsid w:val="00F54FFF"/>
    <w:rsid w:val="00F55716"/>
    <w:rsid w:val="00F56036"/>
    <w:rsid w:val="00F568D3"/>
    <w:rsid w:val="00F569CE"/>
    <w:rsid w:val="00F57D39"/>
    <w:rsid w:val="00F60F00"/>
    <w:rsid w:val="00F614C0"/>
    <w:rsid w:val="00F624AD"/>
    <w:rsid w:val="00F62BA3"/>
    <w:rsid w:val="00F62D9D"/>
    <w:rsid w:val="00F6345C"/>
    <w:rsid w:val="00F634D9"/>
    <w:rsid w:val="00F63F0A"/>
    <w:rsid w:val="00F65838"/>
    <w:rsid w:val="00F65C97"/>
    <w:rsid w:val="00F664AB"/>
    <w:rsid w:val="00F708C9"/>
    <w:rsid w:val="00F70C61"/>
    <w:rsid w:val="00F72390"/>
    <w:rsid w:val="00F73413"/>
    <w:rsid w:val="00F752AE"/>
    <w:rsid w:val="00F7555C"/>
    <w:rsid w:val="00F76544"/>
    <w:rsid w:val="00F77192"/>
    <w:rsid w:val="00F772A4"/>
    <w:rsid w:val="00F773DD"/>
    <w:rsid w:val="00F778AB"/>
    <w:rsid w:val="00F80652"/>
    <w:rsid w:val="00F813A1"/>
    <w:rsid w:val="00F8148C"/>
    <w:rsid w:val="00F81639"/>
    <w:rsid w:val="00F81911"/>
    <w:rsid w:val="00F81DF8"/>
    <w:rsid w:val="00F83073"/>
    <w:rsid w:val="00F831EC"/>
    <w:rsid w:val="00F83848"/>
    <w:rsid w:val="00F84D39"/>
    <w:rsid w:val="00F84D7C"/>
    <w:rsid w:val="00F851EB"/>
    <w:rsid w:val="00F8538A"/>
    <w:rsid w:val="00F8551A"/>
    <w:rsid w:val="00F8558B"/>
    <w:rsid w:val="00F856E2"/>
    <w:rsid w:val="00F85D9C"/>
    <w:rsid w:val="00F863B0"/>
    <w:rsid w:val="00F87755"/>
    <w:rsid w:val="00F87FE5"/>
    <w:rsid w:val="00F90659"/>
    <w:rsid w:val="00F90F68"/>
    <w:rsid w:val="00F94B31"/>
    <w:rsid w:val="00F95555"/>
    <w:rsid w:val="00F95C7C"/>
    <w:rsid w:val="00F9676E"/>
    <w:rsid w:val="00F97350"/>
    <w:rsid w:val="00F975E9"/>
    <w:rsid w:val="00F97E08"/>
    <w:rsid w:val="00FA0174"/>
    <w:rsid w:val="00FA0DFB"/>
    <w:rsid w:val="00FA0E20"/>
    <w:rsid w:val="00FA1827"/>
    <w:rsid w:val="00FA1B7D"/>
    <w:rsid w:val="00FA20F7"/>
    <w:rsid w:val="00FA21D3"/>
    <w:rsid w:val="00FA2BA1"/>
    <w:rsid w:val="00FA2FD0"/>
    <w:rsid w:val="00FA2FEE"/>
    <w:rsid w:val="00FA401E"/>
    <w:rsid w:val="00FA534C"/>
    <w:rsid w:val="00FA56A5"/>
    <w:rsid w:val="00FA679E"/>
    <w:rsid w:val="00FA68B0"/>
    <w:rsid w:val="00FA6B21"/>
    <w:rsid w:val="00FA73B9"/>
    <w:rsid w:val="00FA77C5"/>
    <w:rsid w:val="00FA7D24"/>
    <w:rsid w:val="00FB05D2"/>
    <w:rsid w:val="00FB089C"/>
    <w:rsid w:val="00FB0CD0"/>
    <w:rsid w:val="00FB30C5"/>
    <w:rsid w:val="00FB348F"/>
    <w:rsid w:val="00FB3ABA"/>
    <w:rsid w:val="00FB3FB2"/>
    <w:rsid w:val="00FB565A"/>
    <w:rsid w:val="00FB5E5E"/>
    <w:rsid w:val="00FB6ADE"/>
    <w:rsid w:val="00FB6FBD"/>
    <w:rsid w:val="00FB7548"/>
    <w:rsid w:val="00FB7711"/>
    <w:rsid w:val="00FC07B9"/>
    <w:rsid w:val="00FC1884"/>
    <w:rsid w:val="00FC205E"/>
    <w:rsid w:val="00FC3363"/>
    <w:rsid w:val="00FC417E"/>
    <w:rsid w:val="00FC4E21"/>
    <w:rsid w:val="00FC4F68"/>
    <w:rsid w:val="00FC5334"/>
    <w:rsid w:val="00FC5416"/>
    <w:rsid w:val="00FC5AFE"/>
    <w:rsid w:val="00FC5D7A"/>
    <w:rsid w:val="00FC5F6D"/>
    <w:rsid w:val="00FC618C"/>
    <w:rsid w:val="00FC662C"/>
    <w:rsid w:val="00FC7810"/>
    <w:rsid w:val="00FC7E5C"/>
    <w:rsid w:val="00FD004A"/>
    <w:rsid w:val="00FD0AF2"/>
    <w:rsid w:val="00FD113A"/>
    <w:rsid w:val="00FD1455"/>
    <w:rsid w:val="00FD1864"/>
    <w:rsid w:val="00FD19E0"/>
    <w:rsid w:val="00FD26C6"/>
    <w:rsid w:val="00FD2C2F"/>
    <w:rsid w:val="00FD2CBA"/>
    <w:rsid w:val="00FD33DF"/>
    <w:rsid w:val="00FD39F8"/>
    <w:rsid w:val="00FD3B31"/>
    <w:rsid w:val="00FD3F96"/>
    <w:rsid w:val="00FD4185"/>
    <w:rsid w:val="00FD41CD"/>
    <w:rsid w:val="00FD571E"/>
    <w:rsid w:val="00FD577F"/>
    <w:rsid w:val="00FD58D0"/>
    <w:rsid w:val="00FD5E3C"/>
    <w:rsid w:val="00FD7065"/>
    <w:rsid w:val="00FD74A6"/>
    <w:rsid w:val="00FD75BC"/>
    <w:rsid w:val="00FD7B97"/>
    <w:rsid w:val="00FD7C82"/>
    <w:rsid w:val="00FD7D72"/>
    <w:rsid w:val="00FD7E86"/>
    <w:rsid w:val="00FE01F7"/>
    <w:rsid w:val="00FE15F5"/>
    <w:rsid w:val="00FE1823"/>
    <w:rsid w:val="00FE1A0B"/>
    <w:rsid w:val="00FE1B8E"/>
    <w:rsid w:val="00FE223C"/>
    <w:rsid w:val="00FE2EF4"/>
    <w:rsid w:val="00FE308A"/>
    <w:rsid w:val="00FE3BD7"/>
    <w:rsid w:val="00FE3CF5"/>
    <w:rsid w:val="00FE40A5"/>
    <w:rsid w:val="00FE487A"/>
    <w:rsid w:val="00FE4C6D"/>
    <w:rsid w:val="00FE4D5C"/>
    <w:rsid w:val="00FE4DA5"/>
    <w:rsid w:val="00FE5A8B"/>
    <w:rsid w:val="00FE6794"/>
    <w:rsid w:val="00FE6AD4"/>
    <w:rsid w:val="00FF0569"/>
    <w:rsid w:val="00FF0645"/>
    <w:rsid w:val="00FF0F43"/>
    <w:rsid w:val="00FF1120"/>
    <w:rsid w:val="00FF16A9"/>
    <w:rsid w:val="00FF1EBC"/>
    <w:rsid w:val="00FF206E"/>
    <w:rsid w:val="00FF2CEF"/>
    <w:rsid w:val="00FF2F87"/>
    <w:rsid w:val="00FF3155"/>
    <w:rsid w:val="00FF377F"/>
    <w:rsid w:val="00FF3C69"/>
    <w:rsid w:val="00FF3E95"/>
    <w:rsid w:val="00FF4CBA"/>
    <w:rsid w:val="00FF5DC9"/>
    <w:rsid w:val="00FF60C4"/>
    <w:rsid w:val="00FF6184"/>
    <w:rsid w:val="00FF6E0A"/>
    <w:rsid w:val="00FF724B"/>
    <w:rsid w:val="00FF7259"/>
    <w:rsid w:val="00FF764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colormru v:ext="edit" colors="red,#4d4d4f"/>
    </o:shapedefaults>
    <o:shapelayout v:ext="edit">
      <o:idmap v:ext="edit" data="1"/>
    </o:shapelayout>
  </w:shapeDefaults>
  <w:decimalSymbol w:val="."/>
  <w:listSeparator w:val=","/>
  <w14:docId w14:val="25E1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860"/>
    <w:pPr>
      <w:spacing w:after="240"/>
    </w:pPr>
    <w:rPr>
      <w:szCs w:val="24"/>
    </w:rPr>
  </w:style>
  <w:style w:type="paragraph" w:styleId="Heading1">
    <w:name w:val="heading 1"/>
    <w:basedOn w:val="Normal"/>
    <w:next w:val="Normal"/>
    <w:link w:val="Heading1Char"/>
    <w:qFormat/>
    <w:rsid w:val="00F772A4"/>
    <w:pPr>
      <w:keepNext/>
      <w:pageBreakBefore/>
      <w:widowControl w:val="0"/>
      <w:spacing w:after="360" w:line="550" w:lineRule="exact"/>
      <w:outlineLvl w:val="0"/>
    </w:pPr>
    <w:rPr>
      <w:rFonts w:cs="Arial"/>
      <w:bCs/>
      <w:color w:val="007298"/>
      <w:kern w:val="32"/>
      <w:sz w:val="53"/>
      <w:szCs w:val="32"/>
    </w:rPr>
  </w:style>
  <w:style w:type="paragraph" w:styleId="Heading2">
    <w:name w:val="heading 2"/>
    <w:basedOn w:val="Normal"/>
    <w:next w:val="Normal"/>
    <w:link w:val="Heading2Char"/>
    <w:qFormat/>
    <w:rsid w:val="003F2304"/>
    <w:pPr>
      <w:keepNext/>
      <w:spacing w:before="320" w:after="60"/>
      <w:outlineLvl w:val="1"/>
    </w:pPr>
    <w:rPr>
      <w:rFonts w:cs="Arial"/>
      <w:b/>
      <w:bCs/>
      <w:iCs/>
      <w:sz w:val="28"/>
      <w:szCs w:val="28"/>
    </w:rPr>
  </w:style>
  <w:style w:type="paragraph" w:styleId="Heading3">
    <w:name w:val="heading 3"/>
    <w:basedOn w:val="Normal"/>
    <w:next w:val="Normal"/>
    <w:link w:val="Heading3Char"/>
    <w:qFormat/>
    <w:rsid w:val="00D770DE"/>
    <w:pPr>
      <w:keepNext/>
      <w:spacing w:before="60" w:after="60"/>
      <w:outlineLvl w:val="2"/>
    </w:pPr>
    <w:rPr>
      <w:rFonts w:cs="Arial"/>
      <w:b/>
      <w:bCs/>
      <w:szCs w:val="26"/>
    </w:rPr>
  </w:style>
  <w:style w:type="paragraph" w:styleId="Heading4">
    <w:name w:val="heading 4"/>
    <w:basedOn w:val="Normal"/>
    <w:next w:val="Normal"/>
    <w:link w:val="Heading4Char"/>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AD5436"/>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uiPriority w:val="99"/>
    <w:rsid w:val="0094078F"/>
    <w:rPr>
      <w:rFonts w:ascii="Arial" w:hAnsi="Arial"/>
      <w:color w:val="323232"/>
      <w:sz w:val="16"/>
    </w:rPr>
  </w:style>
  <w:style w:type="paragraph" w:customStyle="1" w:styleId="ACMAReportTitle">
    <w:name w:val="ACMA_ReportTitle"/>
    <w:basedOn w:val="Normal"/>
    <w:qFormat/>
    <w:rsid w:val="00246093"/>
    <w:pPr>
      <w:spacing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C54921"/>
    <w:pPr>
      <w:spacing w:before="40" w:after="0"/>
    </w:pPr>
    <w:rPr>
      <w:b/>
      <w:color w:val="FFFFFF" w:themeColor="background1"/>
      <w:sz w:val="18"/>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8"/>
      </w:numPr>
    </w:pPr>
    <w:rPr>
      <w:b/>
      <w:bCs/>
      <w:color w:val="323232"/>
    </w:rPr>
  </w:style>
  <w:style w:type="paragraph" w:customStyle="1" w:styleId="BodySubHeader">
    <w:name w:val="BodySubHeader"/>
    <w:basedOn w:val="Normal"/>
    <w:next w:val="Normal"/>
    <w:qFormat/>
    <w:rsid w:val="005B7BCB"/>
    <w:pPr>
      <w:keepNext/>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3F2304"/>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rsid w:val="00542377"/>
  </w:style>
  <w:style w:type="paragraph" w:styleId="BalloonText">
    <w:name w:val="Balloon Text"/>
    <w:basedOn w:val="Normal"/>
    <w:link w:val="BalloonTextChar"/>
    <w:semiHidden/>
    <w:rsid w:val="003F2304"/>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2A2D47"/>
    <w:pPr>
      <w:tabs>
        <w:tab w:val="right" w:pos="7660"/>
      </w:tabs>
      <w:spacing w:before="280" w:after="80" w:line="320" w:lineRule="exact"/>
      <w:ind w:right="851"/>
    </w:pPr>
    <w:rPr>
      <w:b/>
      <w:noProof/>
      <w:spacing w:val="-6"/>
      <w:sz w:val="28"/>
    </w:rPr>
  </w:style>
  <w:style w:type="paragraph" w:styleId="TOC2">
    <w:name w:val="toc 2"/>
    <w:basedOn w:val="Normal"/>
    <w:next w:val="Normal"/>
    <w:uiPriority w:val="39"/>
    <w:qFormat/>
    <w:rsid w:val="002A2D47"/>
    <w:pPr>
      <w:tabs>
        <w:tab w:val="right" w:pos="7660"/>
      </w:tabs>
      <w:spacing w:after="80" w:line="300" w:lineRule="exact"/>
      <w:ind w:left="885" w:hanging="885"/>
    </w:pPr>
    <w:rPr>
      <w:noProof/>
      <w:spacing w:val="-6"/>
      <w:sz w:val="26"/>
      <w:szCs w:val="26"/>
    </w:rPr>
  </w:style>
  <w:style w:type="paragraph" w:styleId="TableofFigures">
    <w:name w:val="table of figures"/>
    <w:basedOn w:val="Normal"/>
    <w:next w:val="Normal"/>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F2304"/>
    <w:rPr>
      <w:color w:val="0000FF"/>
      <w:u w:val="single"/>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rsid w:val="003F2304"/>
    <w:rPr>
      <w:rFonts w:ascii="Arial" w:hAnsi="Arial"/>
      <w:vertAlign w:val="superscript"/>
    </w:rPr>
  </w:style>
  <w:style w:type="paragraph" w:styleId="FootnoteText">
    <w:name w:val="footnote text"/>
    <w:aliases w:val="ACMA Footnote Text,ALTS FOOTNOTE,(NECG) Footnote Text,Footnote text,AR Footnote Text,AR Footnote Text Char Char Char Char Char,Footnote Text Char2,Footnote Text Char1 Char Char,Footnote Text Char Char Char Char,Footnote Text Char1 Char,f"/>
    <w:basedOn w:val="Normal"/>
    <w:link w:val="FootnoteTextChar"/>
    <w:rsid w:val="003F2304"/>
    <w:rPr>
      <w:sz w:val="16"/>
      <w:szCs w:val="16"/>
    </w:rPr>
  </w:style>
  <w:style w:type="paragraph" w:customStyle="1" w:styleId="TableBody">
    <w:name w:val="Table Body"/>
    <w:basedOn w:val="Normal"/>
    <w:qFormat/>
    <w:rsid w:val="003A1729"/>
    <w:pPr>
      <w:spacing w:after="0" w:line="240" w:lineRule="auto"/>
    </w:pPr>
  </w:style>
  <w:style w:type="character" w:styleId="CommentReference">
    <w:name w:val="annotation reference"/>
    <w:basedOn w:val="DefaultParagraphFont"/>
    <w:semiHidden/>
    <w:rsid w:val="003F2304"/>
    <w:rPr>
      <w:sz w:val="16"/>
      <w:szCs w:val="16"/>
    </w:rPr>
  </w:style>
  <w:style w:type="paragraph" w:styleId="CommentText">
    <w:name w:val="annotation text"/>
    <w:basedOn w:val="Normal"/>
    <w:link w:val="CommentTextChar"/>
    <w:rsid w:val="003F2304"/>
    <w:pPr>
      <w:spacing w:line="240" w:lineRule="auto"/>
    </w:pPr>
  </w:style>
  <w:style w:type="character" w:customStyle="1" w:styleId="CommentTextChar">
    <w:name w:val="Comment Text Char"/>
    <w:basedOn w:val="DefaultParagraphFont"/>
    <w:link w:val="CommentText"/>
    <w:rsid w:val="00EE7F79"/>
    <w:rPr>
      <w:szCs w:val="24"/>
    </w:rPr>
  </w:style>
  <w:style w:type="paragraph" w:styleId="CommentSubject">
    <w:name w:val="annotation subject"/>
    <w:basedOn w:val="CommentText"/>
    <w:next w:val="CommentText"/>
    <w:link w:val="CommentSubjectChar"/>
    <w:rsid w:val="003F2304"/>
    <w:rPr>
      <w:b/>
      <w:bCs/>
    </w:rPr>
  </w:style>
  <w:style w:type="character" w:customStyle="1" w:styleId="CommentSubjectChar">
    <w:name w:val="Comment Subject Char"/>
    <w:basedOn w:val="CommentTextChar"/>
    <w:link w:val="CommentSubject"/>
    <w:rsid w:val="00EE7F79"/>
    <w:rPr>
      <w:b/>
      <w:bCs/>
      <w:szCs w:val="24"/>
    </w:rPr>
  </w:style>
  <w:style w:type="character" w:styleId="FollowedHyperlink">
    <w:name w:val="FollowedHyperlink"/>
    <w:basedOn w:val="DefaultParagraphFont"/>
    <w:semiHidden/>
    <w:rsid w:val="003F2304"/>
    <w:rPr>
      <w:color w:val="954F72"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qFormat/>
    <w:rsid w:val="0005011A"/>
    <w:rPr>
      <w:b/>
      <w:bCs/>
    </w:rPr>
  </w:style>
  <w:style w:type="paragraph" w:customStyle="1" w:styleId="ACMACorporateAddressHeader">
    <w:name w:val="ACMA_CorporateAddressHeader"/>
    <w:basedOn w:val="Normal"/>
    <w:next w:val="ACMACorporateAddresses"/>
    <w:qFormat/>
    <w:rsid w:val="003A172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3A172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3F2304"/>
    <w:pPr>
      <w:spacing w:before="160" w:after="120"/>
    </w:pPr>
    <w:rPr>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2304"/>
    <w:pPr>
      <w:numPr>
        <w:numId w:val="6"/>
      </w:numPr>
      <w:spacing w:after="160"/>
    </w:pPr>
    <w:rPr>
      <w:b/>
      <w:bCs/>
      <w:color w:val="323232"/>
    </w:rPr>
  </w:style>
  <w:style w:type="paragraph" w:customStyle="1" w:styleId="ACMANotes">
    <w:name w:val="ACMA_Notes"/>
    <w:qFormat/>
    <w:rsid w:val="003F2304"/>
    <w:pPr>
      <w:spacing w:before="80" w:line="240" w:lineRule="auto"/>
    </w:pPr>
    <w:rPr>
      <w:rFonts w:cs="Arial"/>
      <w:i/>
      <w:sz w:val="16"/>
      <w:szCs w:val="24"/>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uiPriority w:val="20"/>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2304"/>
    <w:pPr>
      <w:spacing w:after="160"/>
    </w:pPr>
    <w:rPr>
      <w:b/>
      <w:bCs/>
      <w:color w:val="323232"/>
    </w:rPr>
  </w:style>
  <w:style w:type="paragraph" w:customStyle="1" w:styleId="Captionfigure">
    <w:name w:val="Caption figure"/>
    <w:basedOn w:val="Caption"/>
    <w:qFormat/>
    <w:rsid w:val="00E8152A"/>
    <w:pPr>
      <w:keepNext/>
      <w:numPr>
        <w:numId w:val="7"/>
      </w:numPr>
    </w:pPr>
    <w:rPr>
      <w:rFonts w:cs="Arial"/>
    </w:rPr>
  </w:style>
  <w:style w:type="paragraph" w:customStyle="1" w:styleId="ACMALinecover">
    <w:name w:val="ACMA_Line cover"/>
    <w:basedOn w:val="Normal"/>
    <w:qFormat/>
    <w:rsid w:val="00E034E4"/>
    <w:pPr>
      <w:pBdr>
        <w:bottom w:val="single" w:sz="4" w:space="1" w:color="auto"/>
      </w:pBdr>
      <w:spacing w:after="600"/>
    </w:pPr>
    <w:rPr>
      <w:rFonts w:cs="Arial"/>
    </w:rPr>
  </w:style>
  <w:style w:type="paragraph" w:customStyle="1" w:styleId="Researchquote">
    <w:name w:val="Research quote"/>
    <w:basedOn w:val="Normal"/>
    <w:qFormat/>
    <w:rsid w:val="00E034E4"/>
    <w:pPr>
      <w:spacing w:before="120" w:after="120"/>
      <w:ind w:left="680" w:right="567"/>
    </w:pPr>
    <w:rPr>
      <w:rFonts w:cs="Arial"/>
      <w:sz w:val="18"/>
      <w:szCs w:val="18"/>
    </w:rPr>
  </w:style>
  <w:style w:type="paragraph" w:styleId="Quote">
    <w:name w:val="Quote"/>
    <w:basedOn w:val="Normal"/>
    <w:next w:val="Normal"/>
    <w:link w:val="QuoteChar"/>
    <w:rsid w:val="00E034E4"/>
    <w:rPr>
      <w:i/>
      <w:iCs/>
      <w:color w:val="000000" w:themeColor="text1"/>
    </w:rPr>
  </w:style>
  <w:style w:type="character" w:customStyle="1" w:styleId="QuoteChar">
    <w:name w:val="Quote Char"/>
    <w:basedOn w:val="DefaultParagraphFont"/>
    <w:link w:val="Quote"/>
    <w:rsid w:val="00E034E4"/>
    <w:rPr>
      <w:rFonts w:ascii="Arial" w:hAnsi="Arial"/>
      <w:i/>
      <w:iCs/>
      <w:color w:val="000000" w:themeColor="text1"/>
      <w:sz w:val="20"/>
    </w:rPr>
  </w:style>
  <w:style w:type="character" w:styleId="BookTitle">
    <w:name w:val="Book Title"/>
    <w:basedOn w:val="DefaultParagraphFont"/>
    <w:rsid w:val="00F06CE1"/>
    <w:rPr>
      <w:b/>
      <w:bCs/>
      <w:i/>
      <w:iCs/>
      <w:spacing w:val="5"/>
    </w:rPr>
  </w:style>
  <w:style w:type="paragraph" w:customStyle="1" w:styleId="GridTable31">
    <w:name w:val="Grid Table 31"/>
    <w:basedOn w:val="Normal"/>
    <w:qFormat/>
    <w:rsid w:val="0078252F"/>
    <w:pPr>
      <w:spacing w:after="0" w:line="240" w:lineRule="auto"/>
    </w:pPr>
    <w:rPr>
      <w:b/>
      <w:color w:val="4D4D4F"/>
      <w:spacing w:val="-28"/>
      <w:sz w:val="53"/>
    </w:rPr>
  </w:style>
  <w:style w:type="character" w:customStyle="1" w:styleId="HeaderChar">
    <w:name w:val="Header Char"/>
    <w:link w:val="Header"/>
    <w:uiPriority w:val="99"/>
    <w:rsid w:val="0078252F"/>
    <w:rPr>
      <w:sz w:val="16"/>
      <w:szCs w:val="24"/>
    </w:rPr>
  </w:style>
  <w:style w:type="numbering" w:customStyle="1" w:styleId="NoList1">
    <w:name w:val="No List1"/>
    <w:next w:val="NoList"/>
    <w:uiPriority w:val="99"/>
    <w:semiHidden/>
    <w:unhideWhenUsed/>
    <w:rsid w:val="00244C97"/>
  </w:style>
  <w:style w:type="character" w:customStyle="1" w:styleId="Heading1Char">
    <w:name w:val="Heading 1 Char"/>
    <w:basedOn w:val="DefaultParagraphFont"/>
    <w:link w:val="Heading1"/>
    <w:rsid w:val="00F772A4"/>
    <w:rPr>
      <w:rFonts w:cs="Arial"/>
      <w:bCs/>
      <w:color w:val="007298"/>
      <w:kern w:val="32"/>
      <w:sz w:val="53"/>
      <w:szCs w:val="32"/>
    </w:rPr>
  </w:style>
  <w:style w:type="character" w:customStyle="1" w:styleId="Heading2Char">
    <w:name w:val="Heading 2 Char"/>
    <w:basedOn w:val="DefaultParagraphFont"/>
    <w:link w:val="Heading2"/>
    <w:rsid w:val="00244C97"/>
    <w:rPr>
      <w:rFonts w:cs="Arial"/>
      <w:b/>
      <w:bCs/>
      <w:iCs/>
      <w:sz w:val="28"/>
      <w:szCs w:val="28"/>
    </w:rPr>
  </w:style>
  <w:style w:type="character" w:customStyle="1" w:styleId="Heading3Char">
    <w:name w:val="Heading 3 Char"/>
    <w:basedOn w:val="DefaultParagraphFont"/>
    <w:link w:val="Heading3"/>
    <w:rsid w:val="00D770DE"/>
    <w:rPr>
      <w:rFonts w:cs="Arial"/>
      <w:b/>
      <w:bCs/>
      <w:szCs w:val="26"/>
    </w:rPr>
  </w:style>
  <w:style w:type="character" w:customStyle="1" w:styleId="Heading4Char">
    <w:name w:val="Heading 4 Char"/>
    <w:basedOn w:val="DefaultParagraphFont"/>
    <w:link w:val="Heading4"/>
    <w:rsid w:val="00244C97"/>
    <w:rPr>
      <w:rFonts w:ascii="Times New Roman" w:hAnsi="Times New Roman"/>
      <w:b/>
      <w:bCs/>
      <w:sz w:val="28"/>
      <w:szCs w:val="28"/>
    </w:rPr>
  </w:style>
  <w:style w:type="character" w:customStyle="1" w:styleId="Heading5Char">
    <w:name w:val="Heading 5 Char"/>
    <w:basedOn w:val="DefaultParagraphFont"/>
    <w:link w:val="Heading5"/>
    <w:rsid w:val="00244C97"/>
    <w:rPr>
      <w:b/>
      <w:bCs/>
      <w:i/>
      <w:iCs/>
      <w:sz w:val="26"/>
      <w:szCs w:val="26"/>
    </w:rPr>
  </w:style>
  <w:style w:type="character" w:customStyle="1" w:styleId="Heading6Char">
    <w:name w:val="Heading 6 Char"/>
    <w:basedOn w:val="DefaultParagraphFont"/>
    <w:link w:val="Heading6"/>
    <w:rsid w:val="00244C97"/>
    <w:rPr>
      <w:rFonts w:ascii="Times New Roman" w:hAnsi="Times New Roman"/>
      <w:b/>
      <w:bCs/>
      <w:sz w:val="22"/>
      <w:szCs w:val="22"/>
    </w:rPr>
  </w:style>
  <w:style w:type="character" w:customStyle="1" w:styleId="Heading7Char">
    <w:name w:val="Heading 7 Char"/>
    <w:basedOn w:val="DefaultParagraphFont"/>
    <w:link w:val="Heading7"/>
    <w:rsid w:val="00244C97"/>
    <w:rPr>
      <w:rFonts w:ascii="Times New Roman" w:hAnsi="Times New Roman"/>
      <w:sz w:val="24"/>
      <w:szCs w:val="24"/>
    </w:rPr>
  </w:style>
  <w:style w:type="character" w:customStyle="1" w:styleId="Heading8Char">
    <w:name w:val="Heading 8 Char"/>
    <w:basedOn w:val="DefaultParagraphFont"/>
    <w:link w:val="Heading8"/>
    <w:rsid w:val="00244C97"/>
    <w:rPr>
      <w:rFonts w:ascii="Times New Roman" w:hAnsi="Times New Roman"/>
      <w:i/>
      <w:iCs/>
      <w:sz w:val="24"/>
      <w:szCs w:val="24"/>
    </w:rPr>
  </w:style>
  <w:style w:type="character" w:customStyle="1" w:styleId="Heading9Char">
    <w:name w:val="Heading 9 Char"/>
    <w:basedOn w:val="DefaultParagraphFont"/>
    <w:link w:val="Heading9"/>
    <w:rsid w:val="00244C97"/>
    <w:rPr>
      <w:rFonts w:cs="Arial"/>
      <w:sz w:val="22"/>
      <w:szCs w:val="22"/>
    </w:rPr>
  </w:style>
  <w:style w:type="table" w:customStyle="1" w:styleId="TableGrid1">
    <w:name w:val="Table Grid1"/>
    <w:basedOn w:val="TableNormal"/>
    <w:next w:val="TableGrid"/>
    <w:uiPriority w:val="39"/>
    <w:rsid w:val="00244C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ACMA Footnote Text Char,ALTS FOOTNOTE Char,(NECG) Footnote Text Char,Footnote text Char,AR Footnote Text Char,AR Footnote Text Char Char Char Char Char Char,Footnote Text Char2 Char,Footnote Text Char1 Char Char Char,f Char"/>
    <w:basedOn w:val="DefaultParagraphFont"/>
    <w:link w:val="FootnoteText"/>
    <w:rsid w:val="00244C97"/>
    <w:rPr>
      <w:sz w:val="16"/>
      <w:szCs w:val="16"/>
    </w:rPr>
  </w:style>
  <w:style w:type="paragraph" w:customStyle="1" w:styleId="ACMABodyText">
    <w:name w:val="ACMA Body Text"/>
    <w:link w:val="ACMABodyTextChar"/>
    <w:rsid w:val="003F2304"/>
    <w:pPr>
      <w:suppressAutoHyphens/>
      <w:spacing w:before="80" w:after="120" w:line="280" w:lineRule="atLeast"/>
    </w:pPr>
    <w:rPr>
      <w:rFonts w:ascii="Times New Roman" w:hAnsi="Times New Roman"/>
      <w:snapToGrid w:val="0"/>
      <w:sz w:val="24"/>
      <w:lang w:eastAsia="en-US"/>
    </w:rPr>
  </w:style>
  <w:style w:type="character" w:customStyle="1" w:styleId="ACMABodyTextChar">
    <w:name w:val="ACMA Body Text Char"/>
    <w:link w:val="ACMABodyText"/>
    <w:locked/>
    <w:rsid w:val="00244C97"/>
    <w:rPr>
      <w:rFonts w:ascii="Times New Roman" w:hAnsi="Times New Roman"/>
      <w:snapToGrid w:val="0"/>
      <w:sz w:val="24"/>
      <w:lang w:eastAsia="en-US"/>
    </w:rPr>
  </w:style>
  <w:style w:type="paragraph" w:customStyle="1" w:styleId="Bodysubheader0">
    <w:name w:val="Body sub header"/>
    <w:basedOn w:val="Normal"/>
    <w:next w:val="Normal"/>
    <w:rsid w:val="00244C97"/>
    <w:pPr>
      <w:spacing w:after="0"/>
    </w:pPr>
    <w:rPr>
      <w:b/>
      <w:i/>
    </w:rPr>
  </w:style>
  <w:style w:type="paragraph" w:styleId="Index5">
    <w:name w:val="index 5"/>
    <w:basedOn w:val="Normal"/>
    <w:next w:val="Normal"/>
    <w:autoRedefine/>
    <w:rsid w:val="00244C97"/>
    <w:pPr>
      <w:spacing w:after="0" w:line="240" w:lineRule="auto"/>
      <w:ind w:left="1000" w:hanging="200"/>
    </w:pPr>
  </w:style>
  <w:style w:type="paragraph" w:customStyle="1" w:styleId="ReportTitle">
    <w:name w:val="Report Title"/>
    <w:basedOn w:val="Normal"/>
    <w:rsid w:val="00244C97"/>
    <w:pPr>
      <w:spacing w:after="0" w:line="560" w:lineRule="exact"/>
    </w:pPr>
    <w:rPr>
      <w:b/>
      <w:color w:val="4D4D4F"/>
      <w:spacing w:val="-28"/>
      <w:sz w:val="53"/>
    </w:rPr>
  </w:style>
  <w:style w:type="paragraph" w:customStyle="1" w:styleId="ReportSubtitle">
    <w:name w:val="Report Sub title"/>
    <w:basedOn w:val="Normal"/>
    <w:rsid w:val="00244C97"/>
    <w:pPr>
      <w:spacing w:after="0" w:line="560" w:lineRule="exact"/>
    </w:pPr>
    <w:rPr>
      <w:color w:val="808285"/>
      <w:spacing w:val="-28"/>
      <w:sz w:val="53"/>
    </w:rPr>
  </w:style>
  <w:style w:type="paragraph" w:customStyle="1" w:styleId="ReportDate">
    <w:name w:val="Report Date"/>
    <w:basedOn w:val="ReportSubtitle"/>
    <w:rsid w:val="00244C97"/>
    <w:pPr>
      <w:spacing w:line="240" w:lineRule="auto"/>
    </w:pPr>
    <w:rPr>
      <w:caps/>
      <w:spacing w:val="-10"/>
      <w:sz w:val="20"/>
    </w:rPr>
  </w:style>
  <w:style w:type="paragraph" w:customStyle="1" w:styleId="ExecSummaryHeading">
    <w:name w:val="Exec Summary Heading"/>
    <w:basedOn w:val="Normal"/>
    <w:rsid w:val="00244C97"/>
    <w:pPr>
      <w:spacing w:after="1440" w:line="550" w:lineRule="exact"/>
    </w:pPr>
    <w:rPr>
      <w:b/>
      <w:color w:val="4D4D4F"/>
      <w:spacing w:val="-18"/>
      <w:sz w:val="53"/>
    </w:rPr>
  </w:style>
  <w:style w:type="paragraph" w:styleId="TOC9">
    <w:name w:val="toc 9"/>
    <w:aliases w:val="TOC ExecSumm"/>
    <w:basedOn w:val="Normal"/>
    <w:next w:val="Normal"/>
    <w:uiPriority w:val="39"/>
    <w:rsid w:val="00244C97"/>
    <w:pPr>
      <w:tabs>
        <w:tab w:val="right" w:pos="7660"/>
      </w:tabs>
      <w:spacing w:before="280" w:after="0" w:line="320" w:lineRule="exact"/>
    </w:pPr>
    <w:rPr>
      <w:b/>
      <w:noProof/>
      <w:color w:val="808285"/>
      <w:sz w:val="28"/>
      <w:szCs w:val="28"/>
    </w:rPr>
  </w:style>
  <w:style w:type="paragraph" w:customStyle="1" w:styleId="ChapterHeading">
    <w:name w:val="Chapter Heading"/>
    <w:basedOn w:val="Normal"/>
    <w:rsid w:val="00244C97"/>
    <w:pPr>
      <w:spacing w:after="0" w:line="560" w:lineRule="exact"/>
    </w:pPr>
    <w:rPr>
      <w:color w:val="808285"/>
      <w:spacing w:val="-28"/>
      <w:sz w:val="53"/>
    </w:rPr>
  </w:style>
  <w:style w:type="character" w:customStyle="1" w:styleId="apple-style-span">
    <w:name w:val="apple-style-span"/>
    <w:basedOn w:val="DefaultParagraphFont"/>
    <w:rsid w:val="00244C97"/>
  </w:style>
  <w:style w:type="paragraph" w:customStyle="1" w:styleId="Default">
    <w:name w:val="Default"/>
    <w:rsid w:val="003F2304"/>
    <w:pPr>
      <w:autoSpaceDE w:val="0"/>
      <w:autoSpaceDN w:val="0"/>
      <w:adjustRightInd w:val="0"/>
      <w:spacing w:line="240" w:lineRule="auto"/>
    </w:pPr>
    <w:rPr>
      <w:rFonts w:eastAsia="Calibri" w:cs="Arial"/>
      <w:color w:val="000000"/>
      <w:sz w:val="24"/>
      <w:szCs w:val="24"/>
      <w:lang w:eastAsia="en-US"/>
    </w:rPr>
  </w:style>
  <w:style w:type="paragraph" w:styleId="EndnoteText">
    <w:name w:val="endnote text"/>
    <w:basedOn w:val="Normal"/>
    <w:link w:val="EndnoteTextChar"/>
    <w:uiPriority w:val="99"/>
    <w:unhideWhenUsed/>
    <w:qFormat/>
    <w:rsid w:val="002C3191"/>
    <w:pPr>
      <w:spacing w:after="0" w:line="240" w:lineRule="auto"/>
    </w:pPr>
    <w:rPr>
      <w:sz w:val="16"/>
      <w:szCs w:val="20"/>
    </w:rPr>
  </w:style>
  <w:style w:type="character" w:customStyle="1" w:styleId="EndnoteTextChar">
    <w:name w:val="Endnote Text Char"/>
    <w:basedOn w:val="DefaultParagraphFont"/>
    <w:link w:val="EndnoteText"/>
    <w:uiPriority w:val="99"/>
    <w:rsid w:val="002C3191"/>
    <w:rPr>
      <w:sz w:val="16"/>
    </w:rPr>
  </w:style>
  <w:style w:type="character" w:styleId="EndnoteReference">
    <w:name w:val="endnote reference"/>
    <w:basedOn w:val="DefaultParagraphFont"/>
    <w:uiPriority w:val="99"/>
    <w:unhideWhenUsed/>
    <w:rsid w:val="002219EC"/>
    <w:rPr>
      <w:rFonts w:ascii="Arial" w:hAnsi="Arial"/>
      <w:sz w:val="20"/>
      <w:vertAlign w:val="superscript"/>
    </w:rPr>
  </w:style>
  <w:style w:type="paragraph" w:customStyle="1" w:styleId="ACMATableText">
    <w:name w:val="ACMA Table Text"/>
    <w:rsid w:val="003F2304"/>
    <w:pPr>
      <w:spacing w:before="40" w:after="40" w:line="240" w:lineRule="auto"/>
    </w:pPr>
    <w:rPr>
      <w:lang w:eastAsia="en-US"/>
    </w:rPr>
  </w:style>
  <w:style w:type="paragraph" w:customStyle="1" w:styleId="PlainText1">
    <w:name w:val="Plain Text1"/>
    <w:basedOn w:val="Normal"/>
    <w:next w:val="PlainText"/>
    <w:link w:val="PlainTextChar"/>
    <w:uiPriority w:val="99"/>
    <w:unhideWhenUsed/>
    <w:rsid w:val="00244C97"/>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1"/>
    <w:uiPriority w:val="99"/>
    <w:rsid w:val="00244C97"/>
    <w:rPr>
      <w:rFonts w:ascii="Consolas" w:eastAsia="Calibri" w:hAnsi="Consolas" w:cs="Consolas"/>
      <w:sz w:val="21"/>
      <w:szCs w:val="21"/>
    </w:rPr>
  </w:style>
  <w:style w:type="paragraph" w:styleId="ListParagraph">
    <w:name w:val="List Paragraph"/>
    <w:basedOn w:val="Normal"/>
    <w:uiPriority w:val="34"/>
    <w:qFormat/>
    <w:rsid w:val="003F2304"/>
    <w:pPr>
      <w:spacing w:after="0"/>
      <w:ind w:left="720"/>
      <w:contextualSpacing/>
    </w:pPr>
    <w:rPr>
      <w:rFonts w:ascii="HelveticaNeueLT Std Lt" w:hAnsi="HelveticaNeueLT Std Lt"/>
    </w:rPr>
  </w:style>
  <w:style w:type="paragraph" w:customStyle="1" w:styleId="ACMAHeading1">
    <w:name w:val="ACMA Heading 1"/>
    <w:next w:val="ACMABodyText"/>
    <w:rsid w:val="003F2304"/>
    <w:pPr>
      <w:keepNext/>
      <w:suppressAutoHyphens/>
      <w:spacing w:before="320" w:after="60" w:line="240" w:lineRule="auto"/>
      <w:outlineLvl w:val="1"/>
    </w:pPr>
    <w:rPr>
      <w:b/>
      <w:sz w:val="32"/>
      <w:szCs w:val="32"/>
      <w:lang w:val="en-US" w:eastAsia="en-US"/>
    </w:rPr>
  </w:style>
  <w:style w:type="paragraph" w:customStyle="1" w:styleId="ACMAHeading2">
    <w:name w:val="ACMA Heading 2"/>
    <w:next w:val="ACMABodyText"/>
    <w:rsid w:val="003F2304"/>
    <w:pPr>
      <w:keepNext/>
      <w:suppressAutoHyphens/>
      <w:spacing w:before="240" w:after="60"/>
      <w:outlineLvl w:val="2"/>
    </w:pPr>
    <w:rPr>
      <w:b/>
      <w:sz w:val="26"/>
      <w:szCs w:val="26"/>
      <w:lang w:val="en-US" w:eastAsia="en-US"/>
    </w:rPr>
  </w:style>
  <w:style w:type="paragraph" w:customStyle="1" w:styleId="ACMAHeading3">
    <w:name w:val="ACMA Heading 3"/>
    <w:next w:val="ACMABodyText"/>
    <w:rsid w:val="003F2304"/>
    <w:pPr>
      <w:keepNext/>
      <w:suppressAutoHyphens/>
      <w:spacing w:before="240" w:line="240" w:lineRule="auto"/>
      <w:outlineLvl w:val="3"/>
    </w:pPr>
    <w:rPr>
      <w:b/>
      <w:sz w:val="24"/>
      <w:lang w:val="en-US" w:eastAsia="en-US"/>
    </w:rPr>
  </w:style>
  <w:style w:type="paragraph" w:customStyle="1" w:styleId="ACMABulletLevel1">
    <w:name w:val="ACMA Bullet Level 1"/>
    <w:rsid w:val="003F2304"/>
    <w:pPr>
      <w:numPr>
        <w:numId w:val="9"/>
      </w:numPr>
      <w:tabs>
        <w:tab w:val="clear" w:pos="-31680"/>
        <w:tab w:val="num" w:pos="1008"/>
      </w:tabs>
      <w:spacing w:after="120" w:line="240" w:lineRule="auto"/>
      <w:ind w:left="1008" w:hanging="360"/>
    </w:pPr>
    <w:rPr>
      <w:rFonts w:ascii="Times New Roman" w:hAnsi="Times New Roman"/>
      <w:sz w:val="24"/>
      <w:lang w:eastAsia="en-US"/>
    </w:rPr>
  </w:style>
  <w:style w:type="paragraph" w:customStyle="1" w:styleId="ACMAHeading4">
    <w:name w:val="ACMA Heading 4"/>
    <w:next w:val="ACMABodyText"/>
    <w:rsid w:val="003F2304"/>
    <w:pPr>
      <w:keepNext/>
      <w:suppressAutoHyphens/>
      <w:spacing w:before="80" w:line="240" w:lineRule="auto"/>
      <w:outlineLvl w:val="4"/>
    </w:pPr>
    <w:rPr>
      <w:b/>
      <w:i/>
      <w:lang w:eastAsia="en-US"/>
    </w:rPr>
  </w:style>
  <w:style w:type="character" w:customStyle="1" w:styleId="DocumentMapChar">
    <w:name w:val="Document Map Char"/>
    <w:basedOn w:val="DefaultParagraphFont"/>
    <w:link w:val="DocumentMap"/>
    <w:uiPriority w:val="99"/>
    <w:semiHidden/>
    <w:rsid w:val="00244C97"/>
    <w:rPr>
      <w:rFonts w:ascii="Tahoma" w:hAnsi="Tahoma" w:cs="Tahoma"/>
      <w:sz w:val="16"/>
      <w:szCs w:val="16"/>
    </w:rPr>
  </w:style>
  <w:style w:type="paragraph" w:styleId="DocumentMap">
    <w:name w:val="Document Map"/>
    <w:basedOn w:val="Normal"/>
    <w:link w:val="DocumentMapChar"/>
    <w:uiPriority w:val="99"/>
    <w:semiHidden/>
    <w:rsid w:val="00244C97"/>
    <w:pPr>
      <w:spacing w:after="0" w:line="240" w:lineRule="auto"/>
    </w:pPr>
    <w:rPr>
      <w:rFonts w:ascii="Tahoma" w:hAnsi="Tahoma" w:cs="Tahoma"/>
      <w:sz w:val="16"/>
      <w:szCs w:val="16"/>
    </w:rPr>
  </w:style>
  <w:style w:type="character" w:customStyle="1" w:styleId="DocumentMapChar1">
    <w:name w:val="Document Map Char1"/>
    <w:basedOn w:val="DefaultParagraphFont"/>
    <w:semiHidden/>
    <w:rsid w:val="00244C97"/>
    <w:rPr>
      <w:rFonts w:ascii="Segoe UI" w:hAnsi="Segoe UI" w:cs="Segoe UI"/>
      <w:sz w:val="16"/>
      <w:szCs w:val="16"/>
    </w:rPr>
  </w:style>
  <w:style w:type="paragraph" w:customStyle="1" w:styleId="TOC41">
    <w:name w:val="TOC 41"/>
    <w:basedOn w:val="Normal"/>
    <w:next w:val="Normal"/>
    <w:autoRedefine/>
    <w:uiPriority w:val="39"/>
    <w:unhideWhenUsed/>
    <w:rsid w:val="00244C97"/>
    <w:pPr>
      <w:spacing w:after="100" w:line="276" w:lineRule="auto"/>
      <w:ind w:left="660"/>
    </w:pPr>
    <w:rPr>
      <w:rFonts w:ascii="Calibri" w:eastAsia="MS Mincho" w:hAnsi="Calibri"/>
      <w:sz w:val="22"/>
      <w:szCs w:val="22"/>
    </w:rPr>
  </w:style>
  <w:style w:type="paragraph" w:customStyle="1" w:styleId="TOC51">
    <w:name w:val="TOC 51"/>
    <w:basedOn w:val="Normal"/>
    <w:next w:val="Normal"/>
    <w:autoRedefine/>
    <w:uiPriority w:val="39"/>
    <w:unhideWhenUsed/>
    <w:rsid w:val="00244C97"/>
    <w:pPr>
      <w:spacing w:after="100" w:line="276" w:lineRule="auto"/>
      <w:ind w:left="880"/>
    </w:pPr>
    <w:rPr>
      <w:rFonts w:ascii="Calibri" w:eastAsia="MS Mincho" w:hAnsi="Calibri"/>
      <w:sz w:val="22"/>
      <w:szCs w:val="22"/>
    </w:rPr>
  </w:style>
  <w:style w:type="paragraph" w:customStyle="1" w:styleId="TOC61">
    <w:name w:val="TOC 61"/>
    <w:basedOn w:val="Normal"/>
    <w:next w:val="Normal"/>
    <w:autoRedefine/>
    <w:uiPriority w:val="39"/>
    <w:unhideWhenUsed/>
    <w:rsid w:val="00244C97"/>
    <w:pPr>
      <w:spacing w:after="100" w:line="276" w:lineRule="auto"/>
      <w:ind w:left="1100"/>
    </w:pPr>
    <w:rPr>
      <w:rFonts w:ascii="Calibri" w:eastAsia="MS Mincho" w:hAnsi="Calibri"/>
      <w:sz w:val="22"/>
      <w:szCs w:val="22"/>
    </w:rPr>
  </w:style>
  <w:style w:type="paragraph" w:customStyle="1" w:styleId="TOC71">
    <w:name w:val="TOC 71"/>
    <w:basedOn w:val="Normal"/>
    <w:next w:val="Normal"/>
    <w:autoRedefine/>
    <w:uiPriority w:val="39"/>
    <w:unhideWhenUsed/>
    <w:rsid w:val="00244C97"/>
    <w:pPr>
      <w:spacing w:after="100" w:line="276" w:lineRule="auto"/>
      <w:ind w:left="1320"/>
    </w:pPr>
    <w:rPr>
      <w:rFonts w:ascii="Calibri" w:eastAsia="MS Mincho" w:hAnsi="Calibri"/>
      <w:sz w:val="22"/>
      <w:szCs w:val="22"/>
    </w:rPr>
  </w:style>
  <w:style w:type="paragraph" w:customStyle="1" w:styleId="TOC81">
    <w:name w:val="TOC 81"/>
    <w:basedOn w:val="Normal"/>
    <w:next w:val="Normal"/>
    <w:autoRedefine/>
    <w:uiPriority w:val="39"/>
    <w:unhideWhenUsed/>
    <w:rsid w:val="00244C97"/>
    <w:pPr>
      <w:spacing w:after="100" w:line="276" w:lineRule="auto"/>
      <w:ind w:left="1540"/>
    </w:pPr>
    <w:rPr>
      <w:rFonts w:ascii="Calibri" w:eastAsia="MS Mincho" w:hAnsi="Calibri"/>
      <w:sz w:val="22"/>
      <w:szCs w:val="22"/>
    </w:rPr>
  </w:style>
  <w:style w:type="paragraph" w:styleId="NormalWeb">
    <w:name w:val="Normal (Web)"/>
    <w:basedOn w:val="Normal"/>
    <w:uiPriority w:val="99"/>
    <w:unhideWhenUsed/>
    <w:rsid w:val="00244C97"/>
    <w:pPr>
      <w:spacing w:before="100" w:beforeAutospacing="1" w:after="100" w:afterAutospacing="1" w:line="240" w:lineRule="auto"/>
    </w:pPr>
    <w:rPr>
      <w:rFonts w:ascii="Times New Roman" w:hAnsi="Times New Roman"/>
      <w:sz w:val="24"/>
    </w:rPr>
  </w:style>
  <w:style w:type="paragraph" w:customStyle="1" w:styleId="NoSpacing1">
    <w:name w:val="No Spacing1"/>
    <w:next w:val="NoSpacing"/>
    <w:uiPriority w:val="1"/>
    <w:qFormat/>
    <w:rsid w:val="003F2304"/>
    <w:pPr>
      <w:spacing w:line="240" w:lineRule="auto"/>
    </w:pPr>
    <w:rPr>
      <w:rFonts w:ascii="Calibri" w:eastAsia="Calibri" w:hAnsi="Calibri"/>
      <w:sz w:val="22"/>
      <w:szCs w:val="22"/>
      <w:lang w:eastAsia="en-US"/>
    </w:rPr>
  </w:style>
  <w:style w:type="paragraph" w:customStyle="1" w:styleId="ACMANumberedList">
    <w:name w:val="ACMA Numbered List"/>
    <w:rsid w:val="003F2304"/>
    <w:pPr>
      <w:numPr>
        <w:numId w:val="10"/>
      </w:numPr>
      <w:spacing w:before="20" w:after="20" w:line="240" w:lineRule="auto"/>
    </w:pPr>
    <w:rPr>
      <w:rFonts w:ascii="Times New Roman" w:hAnsi="Times New Roman"/>
      <w:sz w:val="24"/>
      <w:lang w:eastAsia="en-US"/>
    </w:rPr>
  </w:style>
  <w:style w:type="paragraph" w:customStyle="1" w:styleId="acmabodytext0">
    <w:name w:val="acmabodytext"/>
    <w:basedOn w:val="Normal"/>
    <w:rsid w:val="00244C97"/>
    <w:pPr>
      <w:snapToGrid w:val="0"/>
      <w:spacing w:before="80" w:after="120" w:line="280" w:lineRule="atLeast"/>
    </w:pPr>
    <w:rPr>
      <w:rFonts w:ascii="Times New Roman" w:hAnsi="Times New Roman"/>
      <w:sz w:val="24"/>
    </w:rPr>
  </w:style>
  <w:style w:type="paragraph" w:customStyle="1" w:styleId="Title1">
    <w:name w:val="Title1"/>
    <w:basedOn w:val="Normal"/>
    <w:next w:val="Normal"/>
    <w:uiPriority w:val="10"/>
    <w:qFormat/>
    <w:rsid w:val="00244C97"/>
    <w:pPr>
      <w:pBdr>
        <w:bottom w:val="single" w:sz="8" w:space="4" w:color="00ADBB"/>
      </w:pBdr>
      <w:spacing w:after="300" w:line="240" w:lineRule="auto"/>
      <w:contextualSpacing/>
    </w:pPr>
    <w:rPr>
      <w:rFonts w:ascii="Calibri Light" w:eastAsia="MS Gothic" w:hAnsi="Calibri Light"/>
      <w:color w:val="323E4F"/>
      <w:spacing w:val="5"/>
      <w:kern w:val="28"/>
      <w:sz w:val="52"/>
      <w:szCs w:val="52"/>
      <w:lang w:eastAsia="en-US"/>
    </w:rPr>
  </w:style>
  <w:style w:type="character" w:customStyle="1" w:styleId="TitleChar">
    <w:name w:val="Title Char"/>
    <w:basedOn w:val="DefaultParagraphFont"/>
    <w:link w:val="Title"/>
    <w:uiPriority w:val="10"/>
    <w:rsid w:val="00244C97"/>
    <w:rPr>
      <w:rFonts w:ascii="Calibri Light" w:eastAsia="MS Gothic" w:hAnsi="Calibri Light" w:cs="Times New Roman"/>
      <w:color w:val="323E4F"/>
      <w:spacing w:val="5"/>
      <w:kern w:val="28"/>
      <w:sz w:val="52"/>
      <w:szCs w:val="52"/>
      <w:lang w:eastAsia="en-US"/>
    </w:rPr>
  </w:style>
  <w:style w:type="paragraph" w:customStyle="1" w:styleId="ACMATableFootnote">
    <w:name w:val="ACMA_TableFootnote"/>
    <w:basedOn w:val="Normal"/>
    <w:uiPriority w:val="99"/>
    <w:rsid w:val="00244C97"/>
    <w:pPr>
      <w:tabs>
        <w:tab w:val="left" w:pos="142"/>
        <w:tab w:val="left" w:pos="283"/>
        <w:tab w:val="left" w:pos="567"/>
        <w:tab w:val="left" w:pos="850"/>
        <w:tab w:val="left" w:pos="1701"/>
        <w:tab w:val="left" w:pos="1956"/>
      </w:tabs>
      <w:suppressAutoHyphens/>
      <w:autoSpaceDE w:val="0"/>
      <w:autoSpaceDN w:val="0"/>
      <w:adjustRightInd w:val="0"/>
      <w:spacing w:after="0" w:line="288" w:lineRule="auto"/>
      <w:textAlignment w:val="center"/>
    </w:pPr>
    <w:rPr>
      <w:rFonts w:ascii="HelveticaNeueLT Std Lt" w:hAnsi="HelveticaNeueLT Std Lt" w:cs="HelveticaNeueLT Std Lt"/>
      <w:i/>
      <w:iCs/>
      <w:color w:val="808284"/>
      <w:sz w:val="14"/>
      <w:szCs w:val="14"/>
      <w:lang w:val="en-GB"/>
    </w:rPr>
  </w:style>
  <w:style w:type="paragraph" w:customStyle="1" w:styleId="BasicParagraph">
    <w:name w:val="[Basic Paragraph]"/>
    <w:basedOn w:val="Normal"/>
    <w:uiPriority w:val="99"/>
    <w:rsid w:val="00244C97"/>
    <w:pPr>
      <w:autoSpaceDE w:val="0"/>
      <w:autoSpaceDN w:val="0"/>
      <w:adjustRightInd w:val="0"/>
      <w:spacing w:after="0" w:line="288" w:lineRule="auto"/>
      <w:textAlignment w:val="center"/>
    </w:pPr>
    <w:rPr>
      <w:rFonts w:ascii="Times Regular" w:hAnsi="Times Regular" w:cs="Times Regular"/>
      <w:color w:val="000000"/>
      <w:sz w:val="24"/>
      <w:lang w:val="en-US"/>
    </w:rPr>
  </w:style>
  <w:style w:type="character" w:customStyle="1" w:styleId="BulletedlistChar">
    <w:name w:val="Bulleted list Char"/>
    <w:basedOn w:val="DefaultParagraphFont"/>
    <w:link w:val="Bulletedlist"/>
    <w:locked/>
    <w:rsid w:val="00244C97"/>
    <w:rPr>
      <w:rFonts w:ascii="HelveticaNeueLT Std Lt" w:hAnsi="HelveticaNeueLT Std Lt"/>
      <w:szCs w:val="24"/>
    </w:rPr>
  </w:style>
  <w:style w:type="paragraph" w:customStyle="1" w:styleId="Bulletedlist">
    <w:name w:val="Bulleted list"/>
    <w:basedOn w:val="ListParagraph"/>
    <w:link w:val="BulletedlistChar"/>
    <w:qFormat/>
    <w:rsid w:val="003F2304"/>
    <w:pPr>
      <w:numPr>
        <w:numId w:val="11"/>
      </w:numPr>
      <w:spacing w:before="120" w:after="120"/>
      <w:contextualSpacing w:val="0"/>
    </w:pPr>
  </w:style>
  <w:style w:type="character" w:customStyle="1" w:styleId="search-highlight1">
    <w:name w:val="search-highlight1"/>
    <w:basedOn w:val="DefaultParagraphFont"/>
    <w:rsid w:val="00244C97"/>
    <w:rPr>
      <w:shd w:val="clear" w:color="auto" w:fill="A0FFFF"/>
    </w:rPr>
  </w:style>
  <w:style w:type="paragraph" w:customStyle="1" w:styleId="IndexNote">
    <w:name w:val="IndexNote"/>
    <w:rsid w:val="003F2304"/>
    <w:pPr>
      <w:widowControl w:val="0"/>
      <w:autoSpaceDE w:val="0"/>
      <w:autoSpaceDN w:val="0"/>
      <w:adjustRightInd w:val="0"/>
      <w:spacing w:line="240" w:lineRule="auto"/>
    </w:pPr>
    <w:rPr>
      <w:rFonts w:ascii="Times New Roman" w:eastAsia="MS Mincho" w:hAnsi="Times New Roman"/>
      <w:sz w:val="22"/>
      <w:szCs w:val="22"/>
    </w:rPr>
  </w:style>
  <w:style w:type="paragraph" w:customStyle="1" w:styleId="Main">
    <w:name w:val="Main"/>
    <w:uiPriority w:val="99"/>
    <w:rsid w:val="003F2304"/>
    <w:pPr>
      <w:widowControl w:val="0"/>
      <w:autoSpaceDE w:val="0"/>
      <w:autoSpaceDN w:val="0"/>
      <w:adjustRightInd w:val="0"/>
      <w:spacing w:line="240" w:lineRule="auto"/>
      <w:ind w:left="115" w:hanging="116"/>
    </w:pPr>
    <w:rPr>
      <w:rFonts w:ascii="Times New Roman" w:eastAsia="MS Mincho" w:hAnsi="Times New Roman"/>
      <w:sz w:val="22"/>
      <w:szCs w:val="22"/>
    </w:rPr>
  </w:style>
  <w:style w:type="paragraph" w:customStyle="1" w:styleId="Sub1">
    <w:name w:val="Sub1"/>
    <w:uiPriority w:val="99"/>
    <w:rsid w:val="003F2304"/>
    <w:pPr>
      <w:widowControl w:val="0"/>
      <w:autoSpaceDE w:val="0"/>
      <w:autoSpaceDN w:val="0"/>
      <w:adjustRightInd w:val="0"/>
      <w:spacing w:line="240" w:lineRule="auto"/>
      <w:ind w:left="345" w:hanging="116"/>
    </w:pPr>
    <w:rPr>
      <w:rFonts w:ascii="Times New Roman" w:eastAsia="MS Mincho" w:hAnsi="Times New Roman"/>
      <w:sz w:val="22"/>
      <w:szCs w:val="22"/>
    </w:rPr>
  </w:style>
  <w:style w:type="paragraph" w:customStyle="1" w:styleId="PreHeading1">
    <w:name w:val="Pre Heading 1"/>
    <w:basedOn w:val="Heading1"/>
    <w:qFormat/>
    <w:rsid w:val="00244C97"/>
    <w:rPr>
      <w:color w:val="00ADBB"/>
    </w:rPr>
  </w:style>
  <w:style w:type="paragraph" w:customStyle="1" w:styleId="PreHeading2">
    <w:name w:val="Pre Heading 2"/>
    <w:basedOn w:val="Heading2"/>
    <w:qFormat/>
    <w:rsid w:val="003F2304"/>
    <w:pPr>
      <w:spacing w:before="60"/>
    </w:pPr>
  </w:style>
  <w:style w:type="paragraph" w:customStyle="1" w:styleId="Heading1a">
    <w:name w:val="Heading 1a"/>
    <w:basedOn w:val="Heading1"/>
    <w:qFormat/>
    <w:rsid w:val="00244C97"/>
    <w:rPr>
      <w:i/>
      <w:color w:val="4D4D4F"/>
      <w:sz w:val="32"/>
    </w:rPr>
  </w:style>
  <w:style w:type="character" w:customStyle="1" w:styleId="ecxmsoendnotereference">
    <w:name w:val="ecxmsoendnotereference"/>
    <w:basedOn w:val="DefaultParagraphFont"/>
    <w:rsid w:val="00244C97"/>
  </w:style>
  <w:style w:type="table" w:customStyle="1" w:styleId="PlainTable11">
    <w:name w:val="Plain Table 11"/>
    <w:basedOn w:val="TableNormal"/>
    <w:next w:val="PlainTable1"/>
    <w:rsid w:val="00244C97"/>
    <w:pPr>
      <w:spacing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1">
    <w:name w:val="List Table 31"/>
    <w:basedOn w:val="TableNormal"/>
    <w:next w:val="ListTable3"/>
    <w:uiPriority w:val="48"/>
    <w:rsid w:val="00244C97"/>
    <w:pPr>
      <w:spacing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Commsreport2014-15TABLE">
    <w:name w:val="Comms report 2014-15 TABLE"/>
    <w:basedOn w:val="TableNormal"/>
    <w:uiPriority w:val="99"/>
    <w:rsid w:val="00244C97"/>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E9FBFB"/>
      <w:vAlign w:val="center"/>
    </w:tcPr>
    <w:tblStylePr w:type="firstRow">
      <w:rPr>
        <w:rFonts w:ascii="Arial" w:hAnsi="Arial"/>
        <w:b/>
        <w:color w:val="FFFFFF"/>
        <w:sz w:val="18"/>
      </w:rPr>
      <w:tblPr/>
      <w:tcPr>
        <w:shd w:val="clear" w:color="auto" w:fill="00ADBB"/>
      </w:tcPr>
    </w:tblStylePr>
    <w:tblStylePr w:type="firstCol">
      <w:pPr>
        <w:jc w:val="left"/>
      </w:pPr>
      <w:rPr>
        <w:rFonts w:ascii="Arial" w:hAnsi="Arial"/>
        <w:color w:val="FFFFFF"/>
        <w:sz w:val="18"/>
      </w:rPr>
      <w:tblPr/>
      <w:tcPr>
        <w:shd w:val="clear" w:color="auto" w:fill="65CDD5"/>
      </w:tcPr>
    </w:tblStylePr>
  </w:style>
  <w:style w:type="paragraph" w:styleId="PlainText">
    <w:name w:val="Plain Text"/>
    <w:basedOn w:val="Normal"/>
    <w:link w:val="PlainTextChar1"/>
    <w:uiPriority w:val="99"/>
    <w:unhideWhenUsed/>
    <w:rsid w:val="00244C97"/>
    <w:pPr>
      <w:spacing w:after="0" w:line="240" w:lineRule="auto"/>
    </w:pPr>
    <w:rPr>
      <w:rFonts w:ascii="Consolas" w:hAnsi="Consolas" w:cs="Consolas"/>
      <w:sz w:val="21"/>
      <w:szCs w:val="21"/>
    </w:rPr>
  </w:style>
  <w:style w:type="character" w:customStyle="1" w:styleId="PlainTextChar1">
    <w:name w:val="Plain Text Char1"/>
    <w:basedOn w:val="DefaultParagraphFont"/>
    <w:link w:val="PlainText"/>
    <w:uiPriority w:val="99"/>
    <w:rsid w:val="00244C97"/>
    <w:rPr>
      <w:rFonts w:ascii="Consolas" w:hAnsi="Consolas" w:cs="Consolas"/>
      <w:sz w:val="21"/>
      <w:szCs w:val="21"/>
    </w:rPr>
  </w:style>
  <w:style w:type="paragraph" w:styleId="NoSpacing">
    <w:name w:val="No Spacing"/>
    <w:uiPriority w:val="1"/>
    <w:qFormat/>
    <w:rsid w:val="003F2304"/>
    <w:pPr>
      <w:spacing w:line="240" w:lineRule="auto"/>
    </w:pPr>
    <w:rPr>
      <w:szCs w:val="24"/>
    </w:rPr>
  </w:style>
  <w:style w:type="paragraph" w:styleId="Title">
    <w:name w:val="Title"/>
    <w:basedOn w:val="Normal"/>
    <w:next w:val="Normal"/>
    <w:link w:val="TitleChar"/>
    <w:uiPriority w:val="10"/>
    <w:qFormat/>
    <w:rsid w:val="00244C97"/>
    <w:pPr>
      <w:spacing w:after="0" w:line="240" w:lineRule="auto"/>
      <w:contextualSpacing/>
    </w:pPr>
    <w:rPr>
      <w:rFonts w:ascii="Calibri Light" w:eastAsia="MS Gothic" w:hAnsi="Calibri Light"/>
      <w:color w:val="323E4F"/>
      <w:spacing w:val="5"/>
      <w:kern w:val="28"/>
      <w:sz w:val="52"/>
      <w:szCs w:val="52"/>
      <w:lang w:eastAsia="en-US"/>
    </w:rPr>
  </w:style>
  <w:style w:type="character" w:customStyle="1" w:styleId="TitleChar1">
    <w:name w:val="Title Char1"/>
    <w:basedOn w:val="DefaultParagraphFont"/>
    <w:rsid w:val="00244C97"/>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244C97"/>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
    <w:name w:val="List Table 3"/>
    <w:basedOn w:val="TableNormal"/>
    <w:uiPriority w:val="48"/>
    <w:rsid w:val="00244C97"/>
    <w:pPr>
      <w:spacing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NoList2">
    <w:name w:val="No List2"/>
    <w:next w:val="NoList"/>
    <w:uiPriority w:val="99"/>
    <w:semiHidden/>
    <w:unhideWhenUsed/>
    <w:rsid w:val="00A42E26"/>
  </w:style>
  <w:style w:type="table" w:customStyle="1" w:styleId="TableGrid2">
    <w:name w:val="Table Grid2"/>
    <w:basedOn w:val="TableNormal"/>
    <w:next w:val="TableGrid"/>
    <w:uiPriority w:val="59"/>
    <w:rsid w:val="00A42E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42">
    <w:name w:val="TOC 42"/>
    <w:basedOn w:val="Normal"/>
    <w:next w:val="Normal"/>
    <w:autoRedefine/>
    <w:uiPriority w:val="39"/>
    <w:unhideWhenUsed/>
    <w:rsid w:val="00A42E26"/>
    <w:pPr>
      <w:spacing w:after="100" w:line="276" w:lineRule="auto"/>
      <w:ind w:left="660"/>
    </w:pPr>
    <w:rPr>
      <w:rFonts w:ascii="Calibri" w:eastAsia="MS Mincho" w:hAnsi="Calibri"/>
      <w:sz w:val="22"/>
      <w:szCs w:val="22"/>
    </w:rPr>
  </w:style>
  <w:style w:type="paragraph" w:customStyle="1" w:styleId="TOC52">
    <w:name w:val="TOC 52"/>
    <w:basedOn w:val="Normal"/>
    <w:next w:val="Normal"/>
    <w:autoRedefine/>
    <w:uiPriority w:val="39"/>
    <w:unhideWhenUsed/>
    <w:rsid w:val="00A42E26"/>
    <w:pPr>
      <w:spacing w:after="100" w:line="276" w:lineRule="auto"/>
      <w:ind w:left="880"/>
    </w:pPr>
    <w:rPr>
      <w:rFonts w:ascii="Calibri" w:eastAsia="MS Mincho" w:hAnsi="Calibri"/>
      <w:sz w:val="22"/>
      <w:szCs w:val="22"/>
    </w:rPr>
  </w:style>
  <w:style w:type="paragraph" w:customStyle="1" w:styleId="TOC62">
    <w:name w:val="TOC 62"/>
    <w:basedOn w:val="Normal"/>
    <w:next w:val="Normal"/>
    <w:autoRedefine/>
    <w:uiPriority w:val="39"/>
    <w:unhideWhenUsed/>
    <w:rsid w:val="00A42E26"/>
    <w:pPr>
      <w:spacing w:after="100" w:line="276" w:lineRule="auto"/>
      <w:ind w:left="1100"/>
    </w:pPr>
    <w:rPr>
      <w:rFonts w:ascii="Calibri" w:eastAsia="MS Mincho" w:hAnsi="Calibri"/>
      <w:sz w:val="22"/>
      <w:szCs w:val="22"/>
    </w:rPr>
  </w:style>
  <w:style w:type="paragraph" w:customStyle="1" w:styleId="TOC72">
    <w:name w:val="TOC 72"/>
    <w:basedOn w:val="Normal"/>
    <w:next w:val="Normal"/>
    <w:autoRedefine/>
    <w:uiPriority w:val="39"/>
    <w:unhideWhenUsed/>
    <w:rsid w:val="00A42E26"/>
    <w:pPr>
      <w:spacing w:after="100" w:line="276" w:lineRule="auto"/>
      <w:ind w:left="1320"/>
    </w:pPr>
    <w:rPr>
      <w:rFonts w:ascii="Calibri" w:eastAsia="MS Mincho" w:hAnsi="Calibri"/>
      <w:sz w:val="22"/>
      <w:szCs w:val="22"/>
    </w:rPr>
  </w:style>
  <w:style w:type="paragraph" w:customStyle="1" w:styleId="TOC82">
    <w:name w:val="TOC 82"/>
    <w:basedOn w:val="Normal"/>
    <w:next w:val="Normal"/>
    <w:autoRedefine/>
    <w:uiPriority w:val="39"/>
    <w:unhideWhenUsed/>
    <w:rsid w:val="00A42E26"/>
    <w:pPr>
      <w:spacing w:after="100" w:line="276" w:lineRule="auto"/>
      <w:ind w:left="1540"/>
    </w:pPr>
    <w:rPr>
      <w:rFonts w:ascii="Calibri" w:eastAsia="MS Mincho" w:hAnsi="Calibri"/>
      <w:sz w:val="22"/>
      <w:szCs w:val="22"/>
    </w:rPr>
  </w:style>
  <w:style w:type="table" w:customStyle="1" w:styleId="Commsreport2014-15TABLE1">
    <w:name w:val="Comms report 2014-15 TABLE1"/>
    <w:basedOn w:val="TableNormal"/>
    <w:uiPriority w:val="99"/>
    <w:rsid w:val="00A42E26"/>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E9FBFB"/>
      <w:vAlign w:val="center"/>
    </w:tcPr>
    <w:tblStylePr w:type="firstRow">
      <w:rPr>
        <w:rFonts w:ascii="Arial" w:hAnsi="Arial"/>
        <w:b/>
        <w:color w:val="FFFFFF"/>
        <w:sz w:val="18"/>
      </w:rPr>
      <w:tblPr/>
      <w:tcPr>
        <w:shd w:val="clear" w:color="auto" w:fill="00ADBB"/>
      </w:tcPr>
    </w:tblStylePr>
    <w:tblStylePr w:type="firstCol">
      <w:pPr>
        <w:jc w:val="left"/>
      </w:pPr>
      <w:rPr>
        <w:rFonts w:ascii="Arial" w:hAnsi="Arial"/>
        <w:color w:val="FFFFFF"/>
        <w:sz w:val="18"/>
      </w:rPr>
      <w:tblPr/>
      <w:tcPr>
        <w:shd w:val="clear" w:color="auto" w:fill="65CDD5"/>
      </w:tcPr>
    </w:tblStylePr>
  </w:style>
  <w:style w:type="paragraph" w:styleId="Revision">
    <w:name w:val="Revision"/>
    <w:hidden/>
    <w:semiHidden/>
    <w:rsid w:val="003F2304"/>
    <w:pPr>
      <w:spacing w:line="240" w:lineRule="auto"/>
    </w:pPr>
    <w:rPr>
      <w:szCs w:val="24"/>
    </w:rPr>
  </w:style>
  <w:style w:type="paragraph" w:styleId="TOC4">
    <w:name w:val="toc 4"/>
    <w:basedOn w:val="Normal"/>
    <w:next w:val="Normal"/>
    <w:autoRedefine/>
    <w:uiPriority w:val="39"/>
    <w:unhideWhenUsed/>
    <w:rsid w:val="003F230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F230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F230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F230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F2304"/>
    <w:pPr>
      <w:spacing w:after="100" w:line="259" w:lineRule="auto"/>
      <w:ind w:left="1540"/>
    </w:pPr>
    <w:rPr>
      <w:rFonts w:asciiTheme="minorHAnsi" w:eastAsiaTheme="minorEastAsia" w:hAnsiTheme="minorHAnsi" w:cstheme="minorBidi"/>
      <w:sz w:val="22"/>
      <w:szCs w:val="22"/>
    </w:rPr>
  </w:style>
  <w:style w:type="paragraph" w:customStyle="1" w:styleId="MMS">
    <w:name w:val="MMS"/>
    <w:basedOn w:val="Normal"/>
    <w:qFormat/>
    <w:rsid w:val="0021374C"/>
  </w:style>
  <w:style w:type="character" w:customStyle="1" w:styleId="tgc">
    <w:name w:val="_tgc"/>
    <w:basedOn w:val="DefaultParagraphFont"/>
    <w:rsid w:val="0021374C"/>
  </w:style>
  <w:style w:type="table" w:customStyle="1" w:styleId="Commsreport2014-15TABLE4">
    <w:name w:val="Comms report 2014-15 TABLE4"/>
    <w:basedOn w:val="TableNormal"/>
    <w:uiPriority w:val="99"/>
    <w:rsid w:val="00555643"/>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D2E1E9"/>
      <w:vAlign w:val="center"/>
    </w:tcPr>
    <w:tblStylePr w:type="firstRow">
      <w:rPr>
        <w:rFonts w:ascii="Arial" w:hAnsi="Arial"/>
        <w:b/>
        <w:color w:val="FFFFFF"/>
        <w:sz w:val="18"/>
      </w:rPr>
      <w:tblPr/>
      <w:tcPr>
        <w:shd w:val="clear" w:color="auto" w:fill="007298"/>
      </w:tcPr>
    </w:tblStylePr>
    <w:tblStylePr w:type="firstCol">
      <w:pPr>
        <w:jc w:val="left"/>
      </w:pPr>
      <w:rPr>
        <w:rFonts w:ascii="Arial" w:hAnsi="Arial"/>
        <w:color w:val="FFFFFF"/>
        <w:sz w:val="18"/>
      </w:rPr>
      <w:tblPr/>
      <w:tcPr>
        <w:shd w:val="clear" w:color="auto" w:fill="7FB8CB"/>
      </w:tcPr>
    </w:tblStylePr>
  </w:style>
  <w:style w:type="table" w:customStyle="1" w:styleId="Commsreport2014-15TABLE11">
    <w:name w:val="Comms report 2014-15 TABLE11"/>
    <w:basedOn w:val="TableNormal"/>
    <w:uiPriority w:val="99"/>
    <w:rsid w:val="00172A9C"/>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E9FBFB"/>
      <w:vAlign w:val="center"/>
    </w:tcPr>
    <w:tblStylePr w:type="firstRow">
      <w:rPr>
        <w:rFonts w:ascii="Arial" w:hAnsi="Arial"/>
        <w:b/>
        <w:color w:val="FFFFFF"/>
        <w:sz w:val="18"/>
      </w:rPr>
      <w:tblPr/>
      <w:tcPr>
        <w:shd w:val="clear" w:color="auto" w:fill="00ADBB"/>
      </w:tcPr>
    </w:tblStylePr>
    <w:tblStylePr w:type="firstCol">
      <w:pPr>
        <w:jc w:val="left"/>
      </w:pPr>
      <w:rPr>
        <w:rFonts w:ascii="Arial" w:hAnsi="Arial"/>
        <w:color w:val="FFFFFF"/>
        <w:sz w:val="18"/>
      </w:rPr>
      <w:tblPr/>
      <w:tcPr>
        <w:shd w:val="clear" w:color="auto" w:fill="65CDD5"/>
      </w:tcPr>
    </w:tblStylePr>
  </w:style>
  <w:style w:type="table" w:customStyle="1" w:styleId="Commsreport2014-15TABLE2">
    <w:name w:val="Comms report 2014-15 TABLE2"/>
    <w:basedOn w:val="TableNormal"/>
    <w:uiPriority w:val="99"/>
    <w:rsid w:val="00172A9C"/>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E9FBFB"/>
      <w:vAlign w:val="center"/>
    </w:tcPr>
    <w:tblStylePr w:type="firstRow">
      <w:rPr>
        <w:rFonts w:ascii="Arial" w:hAnsi="Arial"/>
        <w:b/>
        <w:color w:val="FFFFFF"/>
        <w:sz w:val="18"/>
      </w:rPr>
      <w:tblPr/>
      <w:tcPr>
        <w:shd w:val="clear" w:color="auto" w:fill="00ADBB"/>
      </w:tcPr>
    </w:tblStylePr>
    <w:tblStylePr w:type="firstCol">
      <w:pPr>
        <w:jc w:val="left"/>
      </w:pPr>
      <w:rPr>
        <w:rFonts w:ascii="Arial" w:hAnsi="Arial"/>
        <w:color w:val="FFFFFF"/>
        <w:sz w:val="18"/>
      </w:rPr>
      <w:tblPr/>
      <w:tcPr>
        <w:shd w:val="clear" w:color="auto" w:fill="65CDD5"/>
      </w:tcPr>
    </w:tblStylePr>
  </w:style>
  <w:style w:type="character" w:customStyle="1" w:styleId="A0">
    <w:name w:val="A0"/>
    <w:uiPriority w:val="99"/>
    <w:rsid w:val="00172A9C"/>
    <w:rPr>
      <w:rFonts w:cs="Source Sans Pro Light"/>
      <w:color w:val="000000"/>
      <w:sz w:val="13"/>
      <w:szCs w:val="13"/>
    </w:rPr>
  </w:style>
  <w:style w:type="character" w:customStyle="1" w:styleId="nobr">
    <w:name w:val="nobr"/>
    <w:basedOn w:val="DefaultParagraphFont"/>
    <w:rsid w:val="00172A9C"/>
  </w:style>
  <w:style w:type="table" w:customStyle="1" w:styleId="TableGrid3">
    <w:name w:val="Table Grid3"/>
    <w:basedOn w:val="TableNormal"/>
    <w:next w:val="TableGrid"/>
    <w:uiPriority w:val="39"/>
    <w:rsid w:val="00172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72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72A9C"/>
  </w:style>
  <w:style w:type="table" w:customStyle="1" w:styleId="TableGrid11">
    <w:name w:val="Table Grid11"/>
    <w:basedOn w:val="TableNormal"/>
    <w:next w:val="TableGrid"/>
    <w:uiPriority w:val="59"/>
    <w:rsid w:val="00172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mmsreport2015-16TABLE">
    <w:name w:val="Comms report 2015-16 TABLE"/>
    <w:basedOn w:val="TableNormal"/>
    <w:uiPriority w:val="99"/>
    <w:rsid w:val="00172A9C"/>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D2E1E9"/>
      <w:vAlign w:val="center"/>
    </w:tcPr>
    <w:tblStylePr w:type="firstRow">
      <w:rPr>
        <w:rFonts w:ascii="Arial" w:hAnsi="Arial"/>
        <w:b/>
        <w:color w:val="FFFFFF"/>
        <w:sz w:val="18"/>
      </w:rPr>
      <w:tblPr/>
      <w:tcPr>
        <w:shd w:val="clear" w:color="auto" w:fill="007298"/>
      </w:tcPr>
    </w:tblStylePr>
    <w:tblStylePr w:type="firstCol">
      <w:pPr>
        <w:jc w:val="left"/>
      </w:pPr>
      <w:rPr>
        <w:rFonts w:ascii="Arial" w:hAnsi="Arial"/>
        <w:color w:val="000000"/>
        <w:sz w:val="18"/>
      </w:rPr>
      <w:tblPr/>
      <w:tcPr>
        <w:shd w:val="clear" w:color="auto" w:fill="72A8C0"/>
      </w:tcPr>
    </w:tblStylePr>
  </w:style>
  <w:style w:type="table" w:customStyle="1" w:styleId="PlainTable12">
    <w:name w:val="Plain Table 12"/>
    <w:basedOn w:val="TableNormal"/>
    <w:next w:val="PlainTable1"/>
    <w:rsid w:val="00172A9C"/>
    <w:pPr>
      <w:spacing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2">
    <w:name w:val="List Table 32"/>
    <w:basedOn w:val="TableNormal"/>
    <w:next w:val="ListTable3"/>
    <w:uiPriority w:val="48"/>
    <w:rsid w:val="00172A9C"/>
    <w:pPr>
      <w:spacing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numbering" w:customStyle="1" w:styleId="NoList21">
    <w:name w:val="No List21"/>
    <w:next w:val="NoList"/>
    <w:uiPriority w:val="99"/>
    <w:semiHidden/>
    <w:unhideWhenUsed/>
    <w:rsid w:val="00172A9C"/>
  </w:style>
  <w:style w:type="table" w:customStyle="1" w:styleId="TableGrid21">
    <w:name w:val="Table Grid21"/>
    <w:basedOn w:val="TableNormal"/>
    <w:next w:val="TableGrid"/>
    <w:uiPriority w:val="59"/>
    <w:rsid w:val="00172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mmsreport2014-15TABLE12">
    <w:name w:val="Comms report 2014-15 TABLE12"/>
    <w:basedOn w:val="TableNormal"/>
    <w:uiPriority w:val="99"/>
    <w:rsid w:val="00172A9C"/>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E9FBFB"/>
      <w:vAlign w:val="center"/>
    </w:tcPr>
    <w:tblStylePr w:type="firstRow">
      <w:rPr>
        <w:rFonts w:ascii="Arial" w:hAnsi="Arial"/>
        <w:b/>
        <w:color w:val="FFFFFF"/>
        <w:sz w:val="18"/>
      </w:rPr>
      <w:tblPr/>
      <w:tcPr>
        <w:shd w:val="clear" w:color="auto" w:fill="00ADBB"/>
      </w:tcPr>
    </w:tblStylePr>
    <w:tblStylePr w:type="firstCol">
      <w:pPr>
        <w:jc w:val="left"/>
      </w:pPr>
      <w:rPr>
        <w:rFonts w:ascii="Arial" w:hAnsi="Arial"/>
        <w:color w:val="FFFFFF"/>
        <w:sz w:val="18"/>
      </w:rPr>
      <w:tblPr/>
      <w:tcPr>
        <w:shd w:val="clear" w:color="auto" w:fill="65CDD5"/>
      </w:tcPr>
    </w:tblStylePr>
  </w:style>
  <w:style w:type="paragraph" w:customStyle="1" w:styleId="TOC43">
    <w:name w:val="TOC 43"/>
    <w:basedOn w:val="Normal"/>
    <w:next w:val="Normal"/>
    <w:autoRedefine/>
    <w:uiPriority w:val="39"/>
    <w:unhideWhenUsed/>
    <w:rsid w:val="003F2304"/>
    <w:pPr>
      <w:spacing w:after="100" w:line="259" w:lineRule="auto"/>
      <w:ind w:left="660"/>
    </w:pPr>
    <w:rPr>
      <w:rFonts w:ascii="Calibri" w:eastAsia="MS Mincho" w:hAnsi="Calibri"/>
      <w:sz w:val="22"/>
      <w:szCs w:val="22"/>
    </w:rPr>
  </w:style>
  <w:style w:type="paragraph" w:customStyle="1" w:styleId="TOC53">
    <w:name w:val="TOC 53"/>
    <w:basedOn w:val="Normal"/>
    <w:next w:val="Normal"/>
    <w:autoRedefine/>
    <w:uiPriority w:val="39"/>
    <w:unhideWhenUsed/>
    <w:rsid w:val="003F2304"/>
    <w:pPr>
      <w:spacing w:after="100" w:line="259" w:lineRule="auto"/>
      <w:ind w:left="880"/>
    </w:pPr>
    <w:rPr>
      <w:rFonts w:ascii="Calibri" w:eastAsia="MS Mincho" w:hAnsi="Calibri"/>
      <w:sz w:val="22"/>
      <w:szCs w:val="22"/>
    </w:rPr>
  </w:style>
  <w:style w:type="paragraph" w:customStyle="1" w:styleId="TOC63">
    <w:name w:val="TOC 63"/>
    <w:basedOn w:val="Normal"/>
    <w:next w:val="Normal"/>
    <w:autoRedefine/>
    <w:uiPriority w:val="39"/>
    <w:unhideWhenUsed/>
    <w:rsid w:val="003F2304"/>
    <w:pPr>
      <w:spacing w:after="100" w:line="259" w:lineRule="auto"/>
      <w:ind w:left="1100"/>
    </w:pPr>
    <w:rPr>
      <w:rFonts w:ascii="Calibri" w:eastAsia="MS Mincho" w:hAnsi="Calibri"/>
      <w:sz w:val="22"/>
      <w:szCs w:val="22"/>
    </w:rPr>
  </w:style>
  <w:style w:type="paragraph" w:customStyle="1" w:styleId="TOC73">
    <w:name w:val="TOC 73"/>
    <w:basedOn w:val="Normal"/>
    <w:next w:val="Normal"/>
    <w:autoRedefine/>
    <w:uiPriority w:val="39"/>
    <w:unhideWhenUsed/>
    <w:rsid w:val="003F2304"/>
    <w:pPr>
      <w:spacing w:after="100" w:line="259" w:lineRule="auto"/>
      <w:ind w:left="1320"/>
    </w:pPr>
    <w:rPr>
      <w:rFonts w:ascii="Calibri" w:eastAsia="MS Mincho" w:hAnsi="Calibri"/>
      <w:sz w:val="22"/>
      <w:szCs w:val="22"/>
    </w:rPr>
  </w:style>
  <w:style w:type="paragraph" w:customStyle="1" w:styleId="TOC83">
    <w:name w:val="TOC 83"/>
    <w:basedOn w:val="Normal"/>
    <w:next w:val="Normal"/>
    <w:autoRedefine/>
    <w:uiPriority w:val="39"/>
    <w:unhideWhenUsed/>
    <w:rsid w:val="003F2304"/>
    <w:pPr>
      <w:spacing w:after="100" w:line="259" w:lineRule="auto"/>
      <w:ind w:left="1540"/>
    </w:pPr>
    <w:rPr>
      <w:rFonts w:ascii="Calibri" w:eastAsia="MS Mincho" w:hAnsi="Calibri"/>
      <w:sz w:val="22"/>
      <w:szCs w:val="22"/>
    </w:rPr>
  </w:style>
  <w:style w:type="table" w:customStyle="1" w:styleId="Commsreport2014-15TABLE3">
    <w:name w:val="Comms report 2014-15 TABLE3"/>
    <w:basedOn w:val="TableNormal"/>
    <w:uiPriority w:val="99"/>
    <w:rsid w:val="00172A9C"/>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E9FBFB"/>
      <w:vAlign w:val="center"/>
    </w:tcPr>
    <w:tblStylePr w:type="firstRow">
      <w:rPr>
        <w:rFonts w:ascii="Arial" w:hAnsi="Arial"/>
        <w:b/>
        <w:color w:val="FFFFFF"/>
        <w:sz w:val="18"/>
      </w:rPr>
      <w:tblPr/>
      <w:tcPr>
        <w:shd w:val="clear" w:color="auto" w:fill="00ADBB"/>
      </w:tcPr>
    </w:tblStylePr>
    <w:tblStylePr w:type="firstCol">
      <w:pPr>
        <w:jc w:val="left"/>
      </w:pPr>
      <w:rPr>
        <w:rFonts w:ascii="Arial" w:hAnsi="Arial"/>
        <w:color w:val="FFFFFF"/>
        <w:sz w:val="18"/>
      </w:rPr>
      <w:tblPr/>
      <w:tcPr>
        <w:shd w:val="clear" w:color="auto" w:fill="65CDD5"/>
      </w:tcPr>
    </w:tblStylePr>
  </w:style>
  <w:style w:type="table" w:customStyle="1" w:styleId="Commsreport2014-15TABLE41">
    <w:name w:val="Comms report 2014-15 TABLE41"/>
    <w:basedOn w:val="TableNormal"/>
    <w:uiPriority w:val="99"/>
    <w:rsid w:val="00D210BB"/>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D2E1E9"/>
      <w:vAlign w:val="center"/>
    </w:tcPr>
    <w:tblStylePr w:type="firstRow">
      <w:rPr>
        <w:rFonts w:ascii="Arial" w:hAnsi="Arial"/>
        <w:b/>
        <w:color w:val="FFFFFF"/>
        <w:sz w:val="18"/>
      </w:rPr>
      <w:tblPr/>
      <w:tcPr>
        <w:shd w:val="clear" w:color="auto" w:fill="007298"/>
      </w:tcPr>
    </w:tblStylePr>
    <w:tblStylePr w:type="firstCol">
      <w:pPr>
        <w:jc w:val="left"/>
      </w:pPr>
      <w:rPr>
        <w:rFonts w:ascii="Arial" w:hAnsi="Arial"/>
        <w:color w:val="FFFFFF"/>
        <w:sz w:val="18"/>
      </w:rPr>
      <w:tblPr/>
      <w:tcPr>
        <w:shd w:val="clear" w:color="auto" w:fill="7FB8CB"/>
      </w:tcPr>
    </w:tblStylePr>
  </w:style>
  <w:style w:type="character" w:customStyle="1" w:styleId="st1">
    <w:name w:val="st1"/>
    <w:basedOn w:val="DefaultParagraphFont"/>
    <w:rsid w:val="00AD37AD"/>
  </w:style>
  <w:style w:type="paragraph" w:customStyle="1" w:styleId="Pa10">
    <w:name w:val="Pa10"/>
    <w:basedOn w:val="Default"/>
    <w:next w:val="Default"/>
    <w:uiPriority w:val="99"/>
    <w:rsid w:val="00263723"/>
    <w:pPr>
      <w:spacing w:line="171" w:lineRule="atLeast"/>
    </w:pPr>
    <w:rPr>
      <w:rFonts w:ascii="Helvetica 45 Light" w:eastAsia="Times New Roman" w:hAnsi="Helvetica 45 Light" w:cs="Times New Roman"/>
      <w:color w:val="auto"/>
      <w:lang w:eastAsia="en-AU"/>
    </w:rPr>
  </w:style>
  <w:style w:type="character" w:customStyle="1" w:styleId="A15">
    <w:name w:val="A15"/>
    <w:uiPriority w:val="99"/>
    <w:rsid w:val="00263723"/>
    <w:rPr>
      <w:rFonts w:cs="Helvetica 45 Light"/>
      <w:color w:val="000000"/>
      <w:sz w:val="14"/>
      <w:szCs w:val="14"/>
    </w:rPr>
  </w:style>
  <w:style w:type="paragraph" w:customStyle="1" w:styleId="Pa20">
    <w:name w:val="Pa20"/>
    <w:basedOn w:val="Default"/>
    <w:next w:val="Default"/>
    <w:uiPriority w:val="99"/>
    <w:rsid w:val="00263723"/>
    <w:pPr>
      <w:spacing w:line="171" w:lineRule="atLeast"/>
    </w:pPr>
    <w:rPr>
      <w:rFonts w:ascii="Helvetica 45 Light" w:eastAsia="Times New Roman" w:hAnsi="Helvetica 45 Light"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20590">
      <w:bodyDiv w:val="1"/>
      <w:marLeft w:val="0"/>
      <w:marRight w:val="0"/>
      <w:marTop w:val="0"/>
      <w:marBottom w:val="0"/>
      <w:divBdr>
        <w:top w:val="none" w:sz="0" w:space="0" w:color="auto"/>
        <w:left w:val="none" w:sz="0" w:space="0" w:color="auto"/>
        <w:bottom w:val="none" w:sz="0" w:space="0" w:color="auto"/>
        <w:right w:val="none" w:sz="0" w:space="0" w:color="auto"/>
      </w:divBdr>
      <w:divsChild>
        <w:div w:id="612324862">
          <w:marLeft w:val="547"/>
          <w:marRight w:val="0"/>
          <w:marTop w:val="62"/>
          <w:marBottom w:val="0"/>
          <w:divBdr>
            <w:top w:val="none" w:sz="0" w:space="0" w:color="auto"/>
            <w:left w:val="none" w:sz="0" w:space="0" w:color="auto"/>
            <w:bottom w:val="none" w:sz="0" w:space="0" w:color="auto"/>
            <w:right w:val="none" w:sz="0" w:space="0" w:color="auto"/>
          </w:divBdr>
        </w:div>
      </w:divsChild>
    </w:div>
    <w:div w:id="1092049769">
      <w:bodyDiv w:val="1"/>
      <w:marLeft w:val="0"/>
      <w:marRight w:val="0"/>
      <w:marTop w:val="0"/>
      <w:marBottom w:val="0"/>
      <w:divBdr>
        <w:top w:val="none" w:sz="0" w:space="0" w:color="auto"/>
        <w:left w:val="none" w:sz="0" w:space="0" w:color="auto"/>
        <w:bottom w:val="none" w:sz="0" w:space="0" w:color="auto"/>
        <w:right w:val="none" w:sz="0" w:space="0" w:color="auto"/>
      </w:divBdr>
    </w:div>
    <w:div w:id="1209882310">
      <w:bodyDiv w:val="1"/>
      <w:marLeft w:val="0"/>
      <w:marRight w:val="0"/>
      <w:marTop w:val="0"/>
      <w:marBottom w:val="0"/>
      <w:divBdr>
        <w:top w:val="none" w:sz="0" w:space="0" w:color="auto"/>
        <w:left w:val="none" w:sz="0" w:space="0" w:color="auto"/>
        <w:bottom w:val="none" w:sz="0" w:space="0" w:color="auto"/>
        <w:right w:val="none" w:sz="0" w:space="0" w:color="auto"/>
      </w:divBdr>
    </w:div>
    <w:div w:id="1805811014">
      <w:bodyDiv w:val="1"/>
      <w:marLeft w:val="0"/>
      <w:marRight w:val="0"/>
      <w:marTop w:val="0"/>
      <w:marBottom w:val="0"/>
      <w:divBdr>
        <w:top w:val="none" w:sz="0" w:space="0" w:color="auto"/>
        <w:left w:val="none" w:sz="0" w:space="0" w:color="auto"/>
        <w:bottom w:val="none" w:sz="0" w:space="0" w:color="auto"/>
        <w:right w:val="none" w:sz="0" w:space="0" w:color="auto"/>
      </w:divBdr>
    </w:div>
    <w:div w:id="1843624263">
      <w:bodyDiv w:val="1"/>
      <w:marLeft w:val="0"/>
      <w:marRight w:val="0"/>
      <w:marTop w:val="0"/>
      <w:marBottom w:val="0"/>
      <w:divBdr>
        <w:top w:val="none" w:sz="0" w:space="0" w:color="auto"/>
        <w:left w:val="none" w:sz="0" w:space="0" w:color="auto"/>
        <w:bottom w:val="none" w:sz="0" w:space="0" w:color="auto"/>
        <w:right w:val="none" w:sz="0" w:space="0" w:color="auto"/>
      </w:divBdr>
      <w:divsChild>
        <w:div w:id="1362709258">
          <w:marLeft w:val="547"/>
          <w:marRight w:val="0"/>
          <w:marTop w:val="62"/>
          <w:marBottom w:val="0"/>
          <w:divBdr>
            <w:top w:val="none" w:sz="0" w:space="0" w:color="auto"/>
            <w:left w:val="none" w:sz="0" w:space="0" w:color="auto"/>
            <w:bottom w:val="none" w:sz="0" w:space="0" w:color="auto"/>
            <w:right w:val="none" w:sz="0" w:space="0" w:color="auto"/>
          </w:divBdr>
        </w:div>
      </w:divsChild>
    </w:div>
    <w:div w:id="1879778273">
      <w:bodyDiv w:val="1"/>
      <w:marLeft w:val="0"/>
      <w:marRight w:val="0"/>
      <w:marTop w:val="0"/>
      <w:marBottom w:val="0"/>
      <w:divBdr>
        <w:top w:val="none" w:sz="0" w:space="0" w:color="auto"/>
        <w:left w:val="none" w:sz="0" w:space="0" w:color="auto"/>
        <w:bottom w:val="none" w:sz="0" w:space="0" w:color="auto"/>
        <w:right w:val="none" w:sz="0" w:space="0" w:color="auto"/>
      </w:divBdr>
    </w:div>
    <w:div w:id="204277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75.png"/><Relationship Id="rId21" Type="http://schemas.openxmlformats.org/officeDocument/2006/relationships/image" Target="media/image2.jpg"/><Relationship Id="rId42" Type="http://schemas.openxmlformats.org/officeDocument/2006/relationships/image" Target="media/image13.png"/><Relationship Id="rId47" Type="http://schemas.openxmlformats.org/officeDocument/2006/relationships/hyperlink" Target="http://www.abs.gov.au/ausstats/abs@.nsf/mf/8153.0/"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70.png"/><Relationship Id="rId133" Type="http://schemas.openxmlformats.org/officeDocument/2006/relationships/image" Target="media/image87.png"/><Relationship Id="rId138" Type="http://schemas.openxmlformats.org/officeDocument/2006/relationships/footer" Target="footer12.xml"/><Relationship Id="rId16" Type="http://schemas.openxmlformats.org/officeDocument/2006/relationships/footer" Target="footer3.xml"/><Relationship Id="rId107" Type="http://schemas.openxmlformats.org/officeDocument/2006/relationships/image" Target="media/image65.png"/><Relationship Id="rId11" Type="http://schemas.openxmlformats.org/officeDocument/2006/relationships/header" Target="header1.xml"/><Relationship Id="rId32" Type="http://schemas.openxmlformats.org/officeDocument/2006/relationships/image" Target="media/image4.jpg"/><Relationship Id="rId37" Type="http://schemas.openxmlformats.org/officeDocument/2006/relationships/image" Target="media/image9.png"/><Relationship Id="rId53" Type="http://schemas.openxmlformats.org/officeDocument/2006/relationships/image" Target="media/image18.png"/><Relationship Id="rId58" Type="http://schemas.openxmlformats.org/officeDocument/2006/relationships/image" Target="media/image21.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header" Target="header12.xml"/><Relationship Id="rId128" Type="http://schemas.openxmlformats.org/officeDocument/2006/relationships/image" Target="media/image82.png"/><Relationship Id="rId5" Type="http://schemas.openxmlformats.org/officeDocument/2006/relationships/numbering" Target="numbering.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header" Target="header4.xml"/><Relationship Id="rId27" Type="http://schemas.openxmlformats.org/officeDocument/2006/relationships/header" Target="header7.xml"/><Relationship Id="rId43" Type="http://schemas.openxmlformats.org/officeDocument/2006/relationships/image" Target="media/image14.png"/><Relationship Id="rId48" Type="http://schemas.openxmlformats.org/officeDocument/2006/relationships/hyperlink" Target="file:///C:\Users\ktrengove\AppData\Local\Microsoft\Windows\Temporary%20Internet%20Files\Content.Outlook\C1DGIDQN\nbn" TargetMode="External"/><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image" Target="media/image71.png"/><Relationship Id="rId118" Type="http://schemas.openxmlformats.org/officeDocument/2006/relationships/image" Target="media/image76.png"/><Relationship Id="rId134" Type="http://schemas.openxmlformats.org/officeDocument/2006/relationships/hyperlink" Target="http://www.acma.gov.au/WEB/HOMEPAGE/PC=HOME" TargetMode="External"/><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research.analysis@acma.gov.au" TargetMode="Externa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header" Target="header8.xml"/><Relationship Id="rId67" Type="http://schemas.openxmlformats.org/officeDocument/2006/relationships/image" Target="media/image26.png"/><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image" Target="media/image74.png"/><Relationship Id="rId124" Type="http://schemas.openxmlformats.org/officeDocument/2006/relationships/header" Target="header13.xml"/><Relationship Id="rId129" Type="http://schemas.openxmlformats.org/officeDocument/2006/relationships/image" Target="media/image83.png"/><Relationship Id="rId137" Type="http://schemas.openxmlformats.org/officeDocument/2006/relationships/footer" Target="footer11.xml"/><Relationship Id="rId20" Type="http://schemas.openxmlformats.org/officeDocument/2006/relationships/image" Target="media/image1.png"/><Relationship Id="rId41" Type="http://schemas.openxmlformats.org/officeDocument/2006/relationships/image" Target="media/image12.png"/><Relationship Id="rId54" Type="http://schemas.openxmlformats.org/officeDocument/2006/relationships/hyperlink" Target="http://www.acma.gov.au/sitecore/content/Home/theACMA/broadcasting-registers-media-ownership-control-acma" TargetMode="External"/><Relationship Id="rId62" Type="http://schemas.openxmlformats.org/officeDocument/2006/relationships/footer" Target="footer10.xml"/><Relationship Id="rId70" Type="http://schemas.openxmlformats.org/officeDocument/2006/relationships/image" Target="media/image29.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image" Target="media/image69.png"/><Relationship Id="rId132" Type="http://schemas.openxmlformats.org/officeDocument/2006/relationships/image" Target="media/image86.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8.png"/><Relationship Id="rId49" Type="http://schemas.openxmlformats.org/officeDocument/2006/relationships/hyperlink" Target="http://www.nbnco.com.au/corporate-information/about-nbn-co/corporate-plan/weekly-progress-report.html" TargetMode="External"/><Relationship Id="rId57" Type="http://schemas.openxmlformats.org/officeDocument/2006/relationships/image" Target="media/image20.png"/><Relationship Id="rId106" Type="http://schemas.openxmlformats.org/officeDocument/2006/relationships/image" Target="media/image64.png"/><Relationship Id="rId114" Type="http://schemas.openxmlformats.org/officeDocument/2006/relationships/image" Target="media/image72.png"/><Relationship Id="rId119" Type="http://schemas.openxmlformats.org/officeDocument/2006/relationships/header" Target="header10.xml"/><Relationship Id="rId127" Type="http://schemas.openxmlformats.org/officeDocument/2006/relationships/image" Target="media/image81.png"/><Relationship Id="rId10" Type="http://schemas.openxmlformats.org/officeDocument/2006/relationships/endnotes" Target="endnotes.xml"/><Relationship Id="rId31" Type="http://schemas.openxmlformats.org/officeDocument/2006/relationships/image" Target="media/image3.jpg"/><Relationship Id="rId44" Type="http://schemas.openxmlformats.org/officeDocument/2006/relationships/hyperlink" Target="http://www.acma.gov.au/theACMA/Library/researchacma/Occasional-papers/internet-of-things-and-the-acmas-areas-of-focus-occasional-paper" TargetMode="External"/><Relationship Id="rId52" Type="http://schemas.openxmlformats.org/officeDocument/2006/relationships/image" Target="media/image17.png"/><Relationship Id="rId60" Type="http://schemas.openxmlformats.org/officeDocument/2006/relationships/header" Target="header9.xml"/><Relationship Id="rId65" Type="http://schemas.openxmlformats.org/officeDocument/2006/relationships/image" Target="media/image24.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8.png"/><Relationship Id="rId130" Type="http://schemas.openxmlformats.org/officeDocument/2006/relationships/image" Target="media/image84.png"/><Relationship Id="rId135"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cma.gov.au/commsreport" TargetMode="External"/><Relationship Id="rId39" Type="http://schemas.openxmlformats.org/officeDocument/2006/relationships/image" Target="media/image11.png"/><Relationship Id="rId109" Type="http://schemas.openxmlformats.org/officeDocument/2006/relationships/image" Target="media/image67.png"/><Relationship Id="rId34" Type="http://schemas.openxmlformats.org/officeDocument/2006/relationships/image" Target="media/image6.png"/><Relationship Id="rId50" Type="http://schemas.openxmlformats.org/officeDocument/2006/relationships/hyperlink" Target="https://www.telstrawholesale.com.au/nbn/overview/nbn-rollout-schedule.html" TargetMode="External"/><Relationship Id="rId55" Type="http://schemas.openxmlformats.org/officeDocument/2006/relationships/hyperlink" Target="http://www.acma.gov.au/sitecore/content/Home/theACMA/broadcasting-registers-media-ownership-control-acma" TargetMode="External"/><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header" Target="header11.xml"/><Relationship Id="rId125"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hyperlink" Target="http://www.abs.gov.au/ausstats/abs@.nsf/mf/8153.0/" TargetMode="External"/><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hyperlink" Target="http://www.rfnsa.com.au" TargetMode="External"/><Relationship Id="rId45" Type="http://schemas.openxmlformats.org/officeDocument/2006/relationships/hyperlink" Target="http://www.abs.gov.au/ausstats/abs@.nsf/mf/8153.0/" TargetMode="External"/><Relationship Id="rId66" Type="http://schemas.openxmlformats.org/officeDocument/2006/relationships/image" Target="media/image25.png"/><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5.png"/><Relationship Id="rId136" Type="http://schemas.openxmlformats.org/officeDocument/2006/relationships/header" Target="header15.xml"/><Relationship Id="rId61" Type="http://schemas.openxmlformats.org/officeDocument/2006/relationships/footer" Target="footer9.xml"/><Relationship Id="rId82" Type="http://schemas.openxmlformats.org/officeDocument/2006/relationships/image" Target="media/image40.png"/><Relationship Id="rId19" Type="http://schemas.openxmlformats.org/officeDocument/2006/relationships/hyperlink" Target="http://i.creativecommons.org/l/by/3.0/88x31.png" TargetMode="Externa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image" Target="media/image7.png"/><Relationship Id="rId56" Type="http://schemas.openxmlformats.org/officeDocument/2006/relationships/image" Target="media/image19.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80.png"/></Relationships>
</file>

<file path=word/_rels/endnotes.xml.rels><?xml version="1.0" encoding="UTF-8" standalone="yes"?>
<Relationships xmlns="http://schemas.openxmlformats.org/package/2006/relationships"><Relationship Id="rId26" Type="http://schemas.openxmlformats.org/officeDocument/2006/relationships/hyperlink" Target="http://www.oecd.org/science/oecd-digital-economy-outlook-2015-9789264232440-en.htm," TargetMode="External"/><Relationship Id="rId117" Type="http://schemas.openxmlformats.org/officeDocument/2006/relationships/hyperlink" Target="http://www.oztam.com.au/documents/Other/OzTAM_Nielsen_contract_extension_20July2016.pdf" TargetMode="External"/><Relationship Id="rId21" Type="http://schemas.openxmlformats.org/officeDocument/2006/relationships/hyperlink" Target="http://www.arnnet.com.au/article/605349/telstra-activates-another-mobile-base-station/" TargetMode="External"/><Relationship Id="rId42" Type="http://schemas.openxmlformats.org/officeDocument/2006/relationships/hyperlink" Target="https://media.optus.com.au/media-releases/2016/optus-and-huawei-trial-4-5g-technology/" TargetMode="External"/><Relationship Id="rId47" Type="http://schemas.openxmlformats.org/officeDocument/2006/relationships/hyperlink" Target="http://www.auda.org.au/industry-information/registry/ausregistry-reports/" TargetMode="External"/><Relationship Id="rId63" Type="http://schemas.openxmlformats.org/officeDocument/2006/relationships/hyperlink" Target="http://www.nbnco.com.au/learn-about-the-nbn/rollout-map.html" TargetMode="External"/><Relationship Id="rId68" Type="http://schemas.openxmlformats.org/officeDocument/2006/relationships/hyperlink" Target="http://www.couriermail.com.au/questnews/council-to-spend-1-million-to-expand-its-wifi-network-with-eight-new-suburban-hubs/news-story/324262e285a0c9c22f2506c511f75382" TargetMode="External"/><Relationship Id="rId84" Type="http://schemas.openxmlformats.org/officeDocument/2006/relationships/hyperlink" Target="http://www.abs.gov.au/ausstats/abs@.nsf/mf/8166.0" TargetMode="External"/><Relationship Id="rId89" Type="http://schemas.openxmlformats.org/officeDocument/2006/relationships/hyperlink" Target="http://www.pewglobal.org/2016/02/22/smartphone-ownership-and-internet-usage-continues-to-climb-in-emerging-economies/" TargetMode="External"/><Relationship Id="rId112" Type="http://schemas.openxmlformats.org/officeDocument/2006/relationships/hyperlink" Target="https://www.mediaweek.com.au/presto-arrives-on-fetch-tv/" TargetMode="External"/><Relationship Id="rId133" Type="http://schemas.openxmlformats.org/officeDocument/2006/relationships/hyperlink" Target="http://www.digitalnewsreport.org/" TargetMode="External"/><Relationship Id="rId16" Type="http://schemas.openxmlformats.org/officeDocument/2006/relationships/hyperlink" Target="http://www.koganmobile.com/4g-is-live" TargetMode="External"/><Relationship Id="rId107" Type="http://schemas.openxmlformats.org/officeDocument/2006/relationships/hyperlink" Target="https://theconversation.com/regional-television-set-for-a-shake-up-as-nine-partners-southern-cross-austereo-58653" TargetMode="External"/><Relationship Id="rId11" Type="http://schemas.openxmlformats.org/officeDocument/2006/relationships/hyperlink" Target="http://www.vodafone.com.au/media/vodafone-tpg-announce-deals/" TargetMode="External"/><Relationship Id="rId32" Type="http://schemas.openxmlformats.org/officeDocument/2006/relationships/hyperlink" Target="http://newsroom.uts.edu.au/news/2016/07/internet-things-network-benefit-research-students-and-startups" TargetMode="External"/><Relationship Id="rId37" Type="http://schemas.openxmlformats.org/officeDocument/2006/relationships/hyperlink" Target="https://media.optus.com.au/media-releases/2016/optus-launches-volte-to-major-australian-cities/" TargetMode="External"/><Relationship Id="rId53" Type="http://schemas.openxmlformats.org/officeDocument/2006/relationships/hyperlink" Target="http://telsoc.org/newsletter/commswire/2016-04-26" TargetMode="External"/><Relationship Id="rId58" Type="http://schemas.openxmlformats.org/officeDocument/2006/relationships/hyperlink" Target="http://www.sbs.com.au/news/article/2016/04/10/new-technology-10-times-faster-existing-technology-says-nbn-co" TargetMode="External"/><Relationship Id="rId74" Type="http://schemas.openxmlformats.org/officeDocument/2006/relationships/hyperlink" Target="http://www.arnnet.com.au/article/605017/public-cloud-services-spend-hit-195b-by-2020/" TargetMode="External"/><Relationship Id="rId79" Type="http://schemas.openxmlformats.org/officeDocument/2006/relationships/hyperlink" Target="https://www.telstra.com.au/content/dam/tcom/about-us/investors/pdf-e/FY16-Annual-Report.pdf" TargetMode="External"/><Relationship Id="rId102" Type="http://schemas.openxmlformats.org/officeDocument/2006/relationships/hyperlink" Target="https://mumbrella.com.au/seven-launches-live-streaming-nearly-a-week-ahead-of-schedule-327730" TargetMode="External"/><Relationship Id="rId123" Type="http://schemas.openxmlformats.org/officeDocument/2006/relationships/hyperlink" Target="http://www.oztam.com.au/documents/Other/OzTAM_Nielsen_contract_extension_20July2016.pdf" TargetMode="External"/><Relationship Id="rId128" Type="http://schemas.openxmlformats.org/officeDocument/2006/relationships/hyperlink" Target="https://www.telstra.com.au/aboutus/investors/latest-results" TargetMode="External"/><Relationship Id="rId5" Type="http://schemas.openxmlformats.org/officeDocument/2006/relationships/hyperlink" Target="http://www.gizmodo.com.au/2016/08/tesltra-is-giving-away-free-netflix-stan-and-presto-on-some-mobile-plans/" TargetMode="External"/><Relationship Id="rId90" Type="http://schemas.openxmlformats.org/officeDocument/2006/relationships/hyperlink" Target="http://stakeholders.ofcom.org.uk/market-data-research/other/research-publications/adults/media-lit-10years/" TargetMode="External"/><Relationship Id="rId95" Type="http://schemas.openxmlformats.org/officeDocument/2006/relationships/hyperlink" Target="http://www.businessnewsaus.com.au/articles/guvera-switches-off-in-australia.html" TargetMode="External"/><Relationship Id="rId14" Type="http://schemas.openxmlformats.org/officeDocument/2006/relationships/hyperlink" Target="https://www.telstra.com.au/content/dam/tcom/about-us/investors/pdf-e/FY16-CEO-CFO-Presentation-Speaker-Notes.pdf" TargetMode="External"/><Relationship Id="rId22" Type="http://schemas.openxmlformats.org/officeDocument/2006/relationships/hyperlink" Target="http://www.telstra.com/blackspots" TargetMode="External"/><Relationship Id="rId27" Type="http://schemas.openxmlformats.org/officeDocument/2006/relationships/hyperlink" Target="http://www.acma.gov.au/theACMA/Library/researchacma/Occasional-papers/internet-of-things-and-the-acmas-areas-of-focus-occasional-paper" TargetMode="External"/><Relationship Id="rId30" Type="http://schemas.openxmlformats.org/officeDocument/2006/relationships/hyperlink" Target="https://www.telstra.com.au/content/dam/tcom/about-us/investors/pdf-e/FY16-CEO-CFO-Presentation-Speaker-Notes.pdf" TargetMode="External"/><Relationship Id="rId35" Type="http://schemas.openxmlformats.org/officeDocument/2006/relationships/hyperlink" Target="https://exchange.telstra.com.au/2015/09/16/next-generation-voice-calling-starts-today-telstra-volte/" TargetMode="External"/><Relationship Id="rId43" Type="http://schemas.openxmlformats.org/officeDocument/2006/relationships/hyperlink" Target="http://www.businessinsider.com.au/vodafone-ceo-says-australia-will-have-5g-by-2020-2016-1" TargetMode="External"/><Relationship Id="rId48" Type="http://schemas.openxmlformats.org/officeDocument/2006/relationships/hyperlink" Target="http://www.abs.gov.au/ausstats/abs@.nsf/mf/8153.0/" TargetMode="External"/><Relationship Id="rId56" Type="http://schemas.openxmlformats.org/officeDocument/2006/relationships/hyperlink" Target="http://www.nbnco.com.au/blog/the-nbn-project/nbn-sky-muster-satellite-service-second-rocket-launch.html" TargetMode="External"/><Relationship Id="rId64" Type="http://schemas.openxmlformats.org/officeDocument/2006/relationships/hyperlink" Target="http://www.news.com.au/technology/telstra-opens-up-telstra-air-wifi-network-to-millions-of-australians-for-summer-of-free-data/news-story/a68e378c2df44478dc1cdabc825822a3" TargetMode="External"/><Relationship Id="rId69" Type="http://schemas.openxmlformats.org/officeDocument/2006/relationships/hyperlink" Target="http://www.itwire.com/it-industry-news/telecoms-and-nbn/71592-qantas-finally-brining-fast-free-inflight-wi-fi-to-aussie-skies-from-2017.html" TargetMode="External"/><Relationship Id="rId77" Type="http://schemas.openxmlformats.org/officeDocument/2006/relationships/hyperlink" Target="http://www.afr.com/business/telecommunications/vocus-finally-gets-its-man-with-807-million-nextgen-acquisition-20160629-gpuh62" TargetMode="External"/><Relationship Id="rId100" Type="http://schemas.openxmlformats.org/officeDocument/2006/relationships/hyperlink" Target="http://www.commercialradio.com.au/content/mediareleases/2016/2016-01-28-regional-radio-in-the-spotlight-in-2016" TargetMode="External"/><Relationship Id="rId105" Type="http://schemas.openxmlformats.org/officeDocument/2006/relationships/hyperlink" Target="http://www.smh.com.au/technology/gadgets-on-the-go/sevens-fragmented-hd-revival-divides-a-nation-of-viewers-20160511-gosapp.html" TargetMode="External"/><Relationship Id="rId113" Type="http://schemas.openxmlformats.org/officeDocument/2006/relationships/hyperlink" Target="http://www.theaustralian.com.au/business/technology/optus-to-offer-10-channels-of-soccer-on-epl-app/news-story/f1ec8c0ef1239ec49ab84f5d39964624" TargetMode="External"/><Relationship Id="rId118" Type="http://schemas.openxmlformats.org/officeDocument/2006/relationships/hyperlink" Target="http://www.oztam.com.au/documents/Other/OzTAM_Nielsen_contract_extension_20July2016.pdf" TargetMode="External"/><Relationship Id="rId126" Type="http://schemas.openxmlformats.org/officeDocument/2006/relationships/hyperlink" Target="http://www.telsyte.com.au/announcements/2016/6/27/strong-svod-growth-create-opportunities-for-content-providers-and-resellers-in-australia" TargetMode="External"/><Relationship Id="rId134" Type="http://schemas.openxmlformats.org/officeDocument/2006/relationships/hyperlink" Target="http://www.nielsen.com/au/en/press-room/2016/social-media-brands-grow-and-shifts-in-news-rankings.html" TargetMode="External"/><Relationship Id="rId8" Type="http://schemas.openxmlformats.org/officeDocument/2006/relationships/hyperlink" Target="file:///C:\Users\dmartin\AppData\Roaming\Microsoft\Word\Australian%20smartphone%20market%20holds%20its%20breath%20in%20anticipation%20of%20multiple%20vendor%20releases" TargetMode="External"/><Relationship Id="rId51" Type="http://schemas.openxmlformats.org/officeDocument/2006/relationships/hyperlink" Target="http://www.zdnet.com/article/nbn-switches-on-fttn-network/" TargetMode="External"/><Relationship Id="rId72" Type="http://schemas.openxmlformats.org/officeDocument/2006/relationships/hyperlink" Target="http://www.arnnet.com.au/article/600755/optus-wholesale-delivers-white-label-cloud-sdn/" TargetMode="External"/><Relationship Id="rId80" Type="http://schemas.openxmlformats.org/officeDocument/2006/relationships/hyperlink" Target="http://www.businessinsider.com.au/accc-gives-the-nod-to-200-million-macquarie-fairfax-radio-merger-2015-2" TargetMode="External"/><Relationship Id="rId85" Type="http://schemas.openxmlformats.org/officeDocument/2006/relationships/hyperlink" Target="http://www.pewinternet.org/files/2015/12/Broadband-adoption-full.pdf" TargetMode="External"/><Relationship Id="rId93" Type="http://schemas.openxmlformats.org/officeDocument/2006/relationships/hyperlink" Target="http://www.businessinsider.com.au/australian-music-sales-are-growing-for-the-first-time-in-years-thanks-to-streaming-2016-4" TargetMode="External"/><Relationship Id="rId98" Type="http://schemas.openxmlformats.org/officeDocument/2006/relationships/hyperlink" Target="http://www.cnet.com/au/news/telstra-offers-unmetered-apple-music-and-free-netflix-presto-stan-subscriptions/" TargetMode="External"/><Relationship Id="rId121" Type="http://schemas.openxmlformats.org/officeDocument/2006/relationships/hyperlink" Target="http://www.abs.gov.au/ausstats/abs@.nsf/Latestproducts/8153.0Main%20Features3June%202016?opendocument&amp;tabname=Summary&amp;prodno=8153.0&amp;issue=June%202016&amp;num=&amp;view=" TargetMode="External"/><Relationship Id="rId3" Type="http://schemas.openxmlformats.org/officeDocument/2006/relationships/hyperlink" Target="http://www.abs.gov.au/ausstats/abs@.nsf/mf/8153.0/" TargetMode="External"/><Relationship Id="rId12" Type="http://schemas.openxmlformats.org/officeDocument/2006/relationships/hyperlink" Target="http://www.tpg.com.au/mobile_migration_support" TargetMode="External"/><Relationship Id="rId17" Type="http://schemas.openxmlformats.org/officeDocument/2006/relationships/hyperlink" Target="http://www.acma.gov.au/Industry/Spectrum/Spectrum-projects/1800-MHz-band/1800-mhz-band-auction-strong-result-reveals-high-demand-for-regional-spectrum" TargetMode="External"/><Relationship Id="rId25" Type="http://schemas.openxmlformats.org/officeDocument/2006/relationships/hyperlink" Target="http://www.malcolmturnbull.com.au/media/turnbull-government-commits-60-million-to-mobile-black-spot-programme" TargetMode="External"/><Relationship Id="rId33" Type="http://schemas.openxmlformats.org/officeDocument/2006/relationships/hyperlink" Target="https://www.iotaustralia.org.au/2016/01/07/iotnewanz/comms-alliance-iot-think-tank-morphing-into-stand-alone-iot-alliance/" TargetMode="External"/><Relationship Id="rId38" Type="http://schemas.openxmlformats.org/officeDocument/2006/relationships/hyperlink" Target="https://media.optus.com.au/media-releases/2015/optus-launches-wifi-calling-app-2/" TargetMode="External"/><Relationship Id="rId46" Type="http://schemas.openxmlformats.org/officeDocument/2006/relationships/hyperlink" Target="http://www.itnews.com.au/news/telstra-to-kill-off-dial-up-405496http:/www.itnews.com.au/news/telstra-to-kill-off-dial-up-405496" TargetMode="External"/><Relationship Id="rId59" Type="http://schemas.openxmlformats.org/officeDocument/2006/relationships/hyperlink" Target="http://www.itnews.com.au/news/nbn-co-leaves-door-open-for-fttdp-in-sau-420272" TargetMode="External"/><Relationship Id="rId67" Type="http://schemas.openxmlformats.org/officeDocument/2006/relationships/hyperlink" Target="http://www.itwire.com/your-it-news/wi-fi/71826-optus-wi-fi-up-and-running-at-mirvac-shopping-centres.html" TargetMode="External"/><Relationship Id="rId103" Type="http://schemas.openxmlformats.org/officeDocument/2006/relationships/hyperlink" Target="https://mumbrella.com.au/nine-begins-the-roll-out-catch-up-and-live-streaming-service-9now-and-registration-system-my9-342485" TargetMode="External"/><Relationship Id="rId108" Type="http://schemas.openxmlformats.org/officeDocument/2006/relationships/hyperlink" Target="https://mumbrella.com.au/nbc-universal-foxtel-hayu-free-to-subscribers-372129" TargetMode="External"/><Relationship Id="rId116" Type="http://schemas.openxmlformats.org/officeDocument/2006/relationships/hyperlink" Target="http://www.oztam.com.au/documents/Other/OzTAM_Nielsen_contract_extension_20July2016.pdf" TargetMode="External"/><Relationship Id="rId124" Type="http://schemas.openxmlformats.org/officeDocument/2006/relationships/hyperlink" Target="http://www.roymorgan.com/findings/6633-netflix-growth-slows-by-end-of-year-december-2015-201601182300" TargetMode="External"/><Relationship Id="rId129" Type="http://schemas.openxmlformats.org/officeDocument/2006/relationships/hyperlink" Target="http://www.roymorgan.com/findings/6646-decline-and-change-commercial-television-viewing-audiences-december-2015-201601290251" TargetMode="External"/><Relationship Id="rId20" Type="http://schemas.openxmlformats.org/officeDocument/2006/relationships/hyperlink" Target="http://www.vodafone.com.au/media/black-spot-rollout-schedule/" TargetMode="External"/><Relationship Id="rId41" Type="http://schemas.openxmlformats.org/officeDocument/2006/relationships/hyperlink" Target="https://exchange.telstra.com.au/2016/02/22/five-world-class-mobile-technologies-coming-your-way/" TargetMode="External"/><Relationship Id="rId54" Type="http://schemas.openxmlformats.org/officeDocument/2006/relationships/hyperlink" Target="https://delimiter.com.au/2016/06/03/nbn-launches-first-fttn-connections-victoria/" TargetMode="External"/><Relationship Id="rId62" Type="http://schemas.openxmlformats.org/officeDocument/2006/relationships/hyperlink" Target="http://www.itwire.com/it-industry-news/telecoms-and-nbn/73161-trident-partners-with-matrix-on-perth,-jakarta,-singapore-subsea-cable-link.html" TargetMode="External"/><Relationship Id="rId70" Type="http://schemas.openxmlformats.org/officeDocument/2006/relationships/hyperlink" Target="http://www.itwire.com/wi-fi/73959-in-flight-wi-fi-promised-for-australian-skies,-again,-for-2017.html" TargetMode="External"/><Relationship Id="rId75" Type="http://schemas.openxmlformats.org/officeDocument/2006/relationships/hyperlink" Target="https://itbrief.com.au/story/australian-enterprise-cloud-spend-hit-775-million-2019/" TargetMode="External"/><Relationship Id="rId83" Type="http://schemas.openxmlformats.org/officeDocument/2006/relationships/hyperlink" Target="https://www.auda.org.au/industry-information/registry/ausregistry-reports/" TargetMode="External"/><Relationship Id="rId88" Type="http://schemas.openxmlformats.org/officeDocument/2006/relationships/hyperlink" Target="http://stakeholders.ofcom.org.uk/binaries/research/cmr/cmr16/uk/CMR_UK_2016.pdf" TargetMode="External"/><Relationship Id="rId91" Type="http://schemas.openxmlformats.org/officeDocument/2006/relationships/hyperlink" Target="http://stakeholders.ofcom.org.uk/binaries/research/cmr/cmr16/uk/CMR_UK_2016.pdf" TargetMode="External"/><Relationship Id="rId96" Type="http://schemas.openxmlformats.org/officeDocument/2006/relationships/hyperlink" Target="https://www.engadget.com/2016/02/16/nokia-line-mixradio-closing/" TargetMode="External"/><Relationship Id="rId111" Type="http://schemas.openxmlformats.org/officeDocument/2006/relationships/hyperlink" Target="http://www.smh.com.au/technology/gadgets-on-the-go/hands-on-review-fetch-tv-mini-and-mighty-20160710-gq2ryi.html" TargetMode="External"/><Relationship Id="rId132" Type="http://schemas.openxmlformats.org/officeDocument/2006/relationships/hyperlink" Target="http://www2.deloitte.com/au/en/pages/technology-media-and-telecommunications/articles/media-consumer-survey-2016.html" TargetMode="External"/><Relationship Id="rId1" Type="http://schemas.openxmlformats.org/officeDocument/2006/relationships/hyperlink" Target="https://www.telstra.com.au/content/dam/tcom/about-us/investors/pdf-e/FY16-Annual-Report.pdf" TargetMode="External"/><Relationship Id="rId6" Type="http://schemas.openxmlformats.org/officeDocument/2006/relationships/hyperlink" Target="http://www.theaustralian.com.au/business/technology/optus-to-offer-10-channels-of-soccer-on-epl-app/news-story/f1ec8c0ef1239ec49ab84f5d39964624." TargetMode="External"/><Relationship Id="rId15" Type="http://schemas.openxmlformats.org/officeDocument/2006/relationships/hyperlink" Target="http://telstrawholesaleblog.com.au/telstra-wholesale4g/" TargetMode="External"/><Relationship Id="rId23" Type="http://schemas.openxmlformats.org/officeDocument/2006/relationships/hyperlink" Target="http://www.vodafone.com.au/red-wire/vodafone-mobile-black-spot-investment" TargetMode="External"/><Relationship Id="rId28" Type="http://schemas.openxmlformats.org/officeDocument/2006/relationships/hyperlink" Target="https://www.ericsson.com/mobility-report" TargetMode="External"/><Relationship Id="rId36" Type="http://schemas.openxmlformats.org/officeDocument/2006/relationships/hyperlink" Target="http://www.vodafone.com.au/media/voice-over-lte-before-christmas/" TargetMode="External"/><Relationship Id="rId49" Type="http://schemas.openxmlformats.org/officeDocument/2006/relationships/hyperlink" Target="http://www.smh.com.au/business/how-tpgs-david-teoh-snared-his-prey-iinet-20150904-gjf51p.html" TargetMode="External"/><Relationship Id="rId57" Type="http://schemas.openxmlformats.org/officeDocument/2006/relationships/hyperlink" Target="http://www.nbnco.com.au/blog/the-nbn-project/nbn-sky-muster-ii-successful-launch.html" TargetMode="External"/><Relationship Id="rId106" Type="http://schemas.openxmlformats.org/officeDocument/2006/relationships/hyperlink" Target="http://www.lifehacker.com.au/2016/08/how-to-watch-the-2016-rio-olympics-in-australia-online-and-for-free/" TargetMode="External"/><Relationship Id="rId114" Type="http://schemas.openxmlformats.org/officeDocument/2006/relationships/hyperlink" Target="http://variety.com/author/janko-roettgers/" TargetMode="External"/><Relationship Id="rId119" Type="http://schemas.openxmlformats.org/officeDocument/2006/relationships/hyperlink" Target="http://www.nielsen.com/au/en/insights/news/2016/video-on-demand-to-reach-two-thirds-of-online-population-in-2016.html" TargetMode="External"/><Relationship Id="rId127" Type="http://schemas.openxmlformats.org/officeDocument/2006/relationships/hyperlink" Target="http://www.businessinsider.com.au/stan-and-presto-are-growing-faster-than-netflix-2016-6" TargetMode="External"/><Relationship Id="rId10" Type="http://schemas.openxmlformats.org/officeDocument/2006/relationships/hyperlink" Target="https://www.telstra.com.au/content/dam/tcom/about-us/investors/pdf-e/FY16-CEO-CFO-Presentation-Speaker-Notes.pdf" TargetMode="External"/><Relationship Id="rId31" Type="http://schemas.openxmlformats.org/officeDocument/2006/relationships/hyperlink" Target="http://exchange.telstra.com.au/2016/02/19/our-network-ready-to-support-the-internet-of-things/" TargetMode="External"/><Relationship Id="rId44" Type="http://schemas.openxmlformats.org/officeDocument/2006/relationships/hyperlink" Target="http://www.vodafone.com.au/media/gears-up-internet-of-things/" TargetMode="External"/><Relationship Id="rId52" Type="http://schemas.openxmlformats.org/officeDocument/2006/relationships/hyperlink" Target="http://www.nbnco.com.au/corporate-information/media-centre/media-releases/nbn-launches-fibre-to-the-node-technology.html" TargetMode="External"/><Relationship Id="rId60" Type="http://schemas.openxmlformats.org/officeDocument/2006/relationships/hyperlink" Target="http://www.nbnco.com.au/content/dam/nbnco2/documents/nbn-financial-results-FY2016.pdf" TargetMode="External"/><Relationship Id="rId65" Type="http://schemas.openxmlformats.org/officeDocument/2006/relationships/hyperlink" Target="https://www.telstra.com.au/latest-offers/telstra-air-free-wifi-offer?ti=TR:TR:Dec15:freewifi:vanity" TargetMode="External"/><Relationship Id="rId73" Type="http://schemas.openxmlformats.org/officeDocument/2006/relationships/hyperlink" Target="https://itbrief.co.nz/story/two-big-government-contract-wins-vodafone/" TargetMode="External"/><Relationship Id="rId78" Type="http://schemas.openxmlformats.org/officeDocument/2006/relationships/hyperlink" Target="http://www.asx.com.au/asxpdf/20160401/pdf/4366pckcfb2shf.pdf" TargetMode="External"/><Relationship Id="rId81" Type="http://schemas.openxmlformats.org/officeDocument/2006/relationships/hyperlink" Target="http://collaboration/organisation/cscd/RFB/CAS/CommsReport1516/RAS%20drafting/Communications%20report%202015-16%20-%20COMPLETE%20REPORT/Government%20regulator%20to%20force%20sale%20of%20radio%20station%202CH" TargetMode="External"/><Relationship Id="rId86" Type="http://schemas.openxmlformats.org/officeDocument/2006/relationships/hyperlink" Target="http://media.ofcom.org.uk/facts/" TargetMode="External"/><Relationship Id="rId94" Type="http://schemas.openxmlformats.org/officeDocument/2006/relationships/hyperlink" Target="http://www.afr.com/brand/chanticleer/guvera-shareholders-learn-the-hard-way-about-asx-powers-20160620-gpn3vj" TargetMode="External"/><Relationship Id="rId99" Type="http://schemas.openxmlformats.org/officeDocument/2006/relationships/hyperlink" Target="http://www.digitalradioplus.com.au/latest-news/2016/dab-digital-radio-reaches-3-5m-listeners" TargetMode="External"/><Relationship Id="rId101" Type="http://schemas.openxmlformats.org/officeDocument/2006/relationships/hyperlink" Target="http://www.nielsen.com/au/en/insights/news/2016/video-on-demand-to-reach-two-thirds-of-online-population-in-2016.html" TargetMode="External"/><Relationship Id="rId122" Type="http://schemas.openxmlformats.org/officeDocument/2006/relationships/hyperlink" Target="http://www.cisco.com/c/dam/en/us/solutions/collateral/service-provider/visual-networking-index-vni/complete-white-paper-c11-481360.pdf" TargetMode="External"/><Relationship Id="rId130" Type="http://schemas.openxmlformats.org/officeDocument/2006/relationships/hyperlink" Target="http://www2.deloitte.com/content/dam/Deloitte/au/Documents/technology-media-telecommunications/deloitte-au-tmt-media-consumer-survey-2015-100815.pdf" TargetMode="External"/><Relationship Id="rId135" Type="http://schemas.openxmlformats.org/officeDocument/2006/relationships/hyperlink" Target="https://www.communications.gov.au/publications/digital-radio-report" TargetMode="External"/><Relationship Id="rId4" Type="http://schemas.openxmlformats.org/officeDocument/2006/relationships/hyperlink" Target="https://www.whistleout.com.au/MobilePhones/Guides/which-aussie-telco-has-cheapest-unlimited-phone-plan-now" TargetMode="External"/><Relationship Id="rId9" Type="http://schemas.openxmlformats.org/officeDocument/2006/relationships/hyperlink" Target="https://www.idc.com/getdoc.jsp?containerId=prUS41632416" TargetMode="External"/><Relationship Id="rId13" Type="http://schemas.openxmlformats.org/officeDocument/2006/relationships/hyperlink" Target="https://media.optus.com.au/wp-content/uploads/2016/08/Q1-FY16-17-Optus-Media-Release.pdf" TargetMode="External"/><Relationship Id="rId18" Type="http://schemas.openxmlformats.org/officeDocument/2006/relationships/hyperlink" Target="https://www.communications.gov.au/departmental-news/mobile-black-spot-101" TargetMode="External"/><Relationship Id="rId39" Type="http://schemas.openxmlformats.org/officeDocument/2006/relationships/hyperlink" Target="https://exchange.telstra.com.au/2016/04/26/3-reasons-telstra-signature-premium-next-smartphone/" TargetMode="External"/><Relationship Id="rId109" Type="http://schemas.openxmlformats.org/officeDocument/2006/relationships/hyperlink" Target="http://www.businessinsider.com.au/local-netflix-competitor-stan-is-heading-to-profit-2016-5" TargetMode="External"/><Relationship Id="rId34" Type="http://schemas.openxmlformats.org/officeDocument/2006/relationships/hyperlink" Target="http://www.computerworld.com.au/article/603674/industry-group-aims-help-australia-realise-iot-benefits/" TargetMode="External"/><Relationship Id="rId50" Type="http://schemas.openxmlformats.org/officeDocument/2006/relationships/hyperlink" Target="https://www.vocus.com.au/news/bringing-m2-and-vocus-together" TargetMode="External"/><Relationship Id="rId55" Type="http://schemas.openxmlformats.org/officeDocument/2006/relationships/hyperlink" Target="http://www.nbnco.com.au/corporate-information/media-centre/media-releases/Redcliffe-HFC-Launch.html" TargetMode="External"/><Relationship Id="rId76" Type="http://schemas.openxmlformats.org/officeDocument/2006/relationships/hyperlink" Target="http://www.accc.gov.au/media-release/accc-will-not-oppose-vocus-communications&#8217;-move-on-nextgen" TargetMode="External"/><Relationship Id="rId97" Type="http://schemas.openxmlformats.org/officeDocument/2006/relationships/hyperlink" Target="https://mumbrella.com.au/telstra-starts-apple-music-push-after-quietly-ditching-its-music-streaming-service-mog-318361" TargetMode="External"/><Relationship Id="rId104" Type="http://schemas.openxmlformats.org/officeDocument/2006/relationships/hyperlink" Target="https://mumbrella.com.au/7flix-channel-76-seven-new-channel-344755" TargetMode="External"/><Relationship Id="rId120" Type="http://schemas.openxmlformats.org/officeDocument/2006/relationships/hyperlink" Target="http://www.smh.com.au/technology/gadgets-on-the-go/tablets-killing-bedroom-televisions-australian-multiscreen-report-20160608-gpe5k0.html" TargetMode="External"/><Relationship Id="rId125" Type="http://schemas.openxmlformats.org/officeDocument/2006/relationships/hyperlink" Target="http://www.roymorgan.com/findings/6839-netflix-stan-presto-subscription-video-on-demand-may-2016-201606141025" TargetMode="External"/><Relationship Id="rId7" Type="http://schemas.openxmlformats.org/officeDocument/2006/relationships/hyperlink" Target="https://www.telstra.com.au/content/dam/tcom/about-us/investors/pdf-e/FY16-CEO-CFO-Presentation-Speaker-Notes.pdf" TargetMode="External"/><Relationship Id="rId71" Type="http://schemas.openxmlformats.org/officeDocument/2006/relationships/hyperlink" Target="https://www.telstra.com.au/content/dam/tcom/about-us/investors/pdf-e/FY16-Annual-Report.pdf" TargetMode="External"/><Relationship Id="rId92" Type="http://schemas.openxmlformats.org/officeDocument/2006/relationships/hyperlink" Target="http://stakeholders.ofcom.org.uk/binaries/research/media-literacy/adults-literacy-2016/2016-Adults-media-use-and-attitudes.pdf" TargetMode="External"/><Relationship Id="rId2" Type="http://schemas.openxmlformats.org/officeDocument/2006/relationships/hyperlink" Target="http://www.google.com.au/url?sa=t&amp;rct=j&amp;q=&amp;esrc=s&amp;source=web&amp;cd=1&amp;ved=0ahUKEwiJ_qKrponPAhUBcD4KHRKUDCIQFggdMAA&amp;url=http%3A%2F%2Fwww.acma.gov.au%2FtheACMA%2Fengage-blogs%2Fengage-blogs%2Fresearchacma%2FAustralians-are-going-OTT-for-video-and-communications&amp;usg=AFQjCNEim67QTh5j1IQbHMbajuTCkyUQ8A&amp;sig2=Z5F_qEMOLP4RcpqP-2h_XQ" TargetMode="External"/><Relationship Id="rId29" Type="http://schemas.openxmlformats.org/officeDocument/2006/relationships/hyperlink" Target="http://www.itproportal.com/2015/12/31/m2m-and-iot-2016-predictions-from-vodafone/" TargetMode="External"/><Relationship Id="rId24" Type="http://schemas.openxmlformats.org/officeDocument/2006/relationships/hyperlink" Target="https://www.communications.gov.au/departmental-news/mobile-black-spot-101" TargetMode="External"/><Relationship Id="rId40" Type="http://schemas.openxmlformats.org/officeDocument/2006/relationships/hyperlink" Target="http://www.computerworld.com.au/article/597329/vodafone-launch-voice-over-wifi-shortly-ceo-says/" TargetMode="External"/><Relationship Id="rId45" Type="http://schemas.openxmlformats.org/officeDocument/2006/relationships/hyperlink" Target="http://collaboration/organisation/CSCD/RFB/CAS/CASEL/External%20reports%20and%20research/Research%20and%20Reports/Deloitte/deloitte-au-economics-mobile-nation-2016-150316.pdf" TargetMode="External"/><Relationship Id="rId66" Type="http://schemas.openxmlformats.org/officeDocument/2006/relationships/hyperlink" Target="http://www.itwire.com/it-industry-news/telecoms-and-nbn/73361-telstra-celebrates-inaugural-world-wi-fi-day-free-wi-fi-from-17-to-20-june.html" TargetMode="External"/><Relationship Id="rId87" Type="http://schemas.openxmlformats.org/officeDocument/2006/relationships/hyperlink" Target="http://www.eena.org/download.asp?item_id=177" TargetMode="External"/><Relationship Id="rId110" Type="http://schemas.openxmlformats.org/officeDocument/2006/relationships/hyperlink" Target="http://www.afr.com/business/media-and-marketing/tv/foxtel-to-slash-ip-prices-shut-down-presto-20161004-gru9zc" TargetMode="External"/><Relationship Id="rId115" Type="http://schemas.openxmlformats.org/officeDocument/2006/relationships/hyperlink" Target="http://variety.com/2016/digital/news/lgs-webos-internet-tv-channels-1201675137/" TargetMode="External"/><Relationship Id="rId131" Type="http://schemas.openxmlformats.org/officeDocument/2006/relationships/hyperlink" Target="http://www.smh.com.au/business/media-and-marketing/greg-hywood-flags-weekendonly-print-editions-as-fairfax-embraces-247-digital-20160505-gonp18.html" TargetMode="External"/><Relationship Id="rId136" Type="http://schemas.openxmlformats.org/officeDocument/2006/relationships/hyperlink" Target="https://www.esafety.gov.au/about-the-office/role-of-the-office" TargetMode="External"/><Relationship Id="rId61" Type="http://schemas.openxmlformats.org/officeDocument/2006/relationships/hyperlink" Target="https://www.vocus.com.au/news/vocus-and-nextgen-partner-invest-subsea-cable" TargetMode="External"/><Relationship Id="rId82" Type="http://schemas.openxmlformats.org/officeDocument/2006/relationships/hyperlink" Target="http://www.abs.gov.au/ausstats/abs@.nsf/mf/8166.0" TargetMode="External"/><Relationship Id="rId19" Type="http://schemas.openxmlformats.org/officeDocument/2006/relationships/hyperlink" Target="http://www.telstra.com.au/aboutus/media/media-releases/telstra-progressing-rollout-of-mobile-blackspot-programme.xml" TargetMode="External"/></Relationships>
</file>

<file path=word/theme/theme1.xml><?xml version="1.0" encoding="utf-8"?>
<a:theme xmlns:a="http://schemas.openxmlformats.org/drawingml/2006/main" name="Theme1_CR">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025EA-CD2A-4515-9299-C18D3912097E}">
  <ds:schemaRefs>
    <ds:schemaRef ds:uri="http://schemas.openxmlformats.org/officeDocument/2006/bibliography"/>
  </ds:schemaRefs>
</ds:datastoreItem>
</file>

<file path=customXml/itemProps2.xml><?xml version="1.0" encoding="utf-8"?>
<ds:datastoreItem xmlns:ds="http://schemas.openxmlformats.org/officeDocument/2006/customXml" ds:itemID="{565AE29B-A9FD-486E-9AAA-B7ACF071BE1E}">
  <ds:schemaRefs>
    <ds:schemaRef ds:uri="http://schemas.openxmlformats.org/officeDocument/2006/bibliography"/>
  </ds:schemaRefs>
</ds:datastoreItem>
</file>

<file path=customXml/itemProps3.xml><?xml version="1.0" encoding="utf-8"?>
<ds:datastoreItem xmlns:ds="http://schemas.openxmlformats.org/officeDocument/2006/customXml" ds:itemID="{FB98D7C3-FF70-4727-8370-3BA2F59D0EF4}">
  <ds:schemaRefs>
    <ds:schemaRef ds:uri="http://schemas.openxmlformats.org/officeDocument/2006/bibliography"/>
  </ds:schemaRefs>
</ds:datastoreItem>
</file>

<file path=customXml/itemProps4.xml><?xml version="1.0" encoding="utf-8"?>
<ds:datastoreItem xmlns:ds="http://schemas.openxmlformats.org/officeDocument/2006/customXml" ds:itemID="{E758CA8E-FE71-4730-A356-57CBC050F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50959</Words>
  <Characters>290472</Characters>
  <Application>Microsoft Office Word</Application>
  <DocSecurity>0</DocSecurity>
  <Lines>2420</Lines>
  <Paragraphs>681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340750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2016-11-29T03:31:00Z</dcterms:created>
  <dcterms:modified xsi:type="dcterms:W3CDTF">2016-11-29T03:32:00Z</dcterms:modified>
  <cp:category/>
</cp:coreProperties>
</file>