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A58EFA" w14:textId="77777777" w:rsidR="00E034E4" w:rsidRPr="00FD7E86" w:rsidRDefault="00E034E4" w:rsidP="00E034E4">
      <w:pPr>
        <w:pStyle w:val="ACMALinecover"/>
      </w:pPr>
      <w:bookmarkStart w:id="0" w:name="_GoBack"/>
      <w:bookmarkEnd w:id="0"/>
      <w:r w:rsidRPr="00FD7E86">
        <w:rPr>
          <w:noProof/>
        </w:rPr>
        <w:drawing>
          <wp:inline distT="0" distB="0" distL="0" distR="0" wp14:anchorId="30189BF4" wp14:editId="3B23B31D">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xmlns:arto="http://schemas.microsoft.com/office/word/2006/arto">
                          <a:solidFill>
                            <a:srgbClr val="FFFFFF"/>
                          </a:solidFill>
                        </a14:hiddenFill>
                      </a:ext>
                    </a:extLst>
                  </pic:spPr>
                </pic:pic>
              </a:graphicData>
            </a:graphic>
          </wp:inline>
        </w:drawing>
      </w:r>
    </w:p>
    <w:p w14:paraId="506ADA72" w14:textId="77777777" w:rsidR="00A2339C" w:rsidRPr="00FD7E86" w:rsidRDefault="00F5069D" w:rsidP="00EF06D8">
      <w:pPr>
        <w:pStyle w:val="ACMAReportTitle"/>
        <w:spacing w:after="0"/>
      </w:pPr>
      <w:r w:rsidRPr="00FD7E86">
        <w:t xml:space="preserve">Communications report </w:t>
      </w:r>
    </w:p>
    <w:p w14:paraId="2E4B2826" w14:textId="77777777" w:rsidR="00F06E14" w:rsidRPr="00FD7E86" w:rsidRDefault="00F5069D" w:rsidP="00A2339C">
      <w:pPr>
        <w:pStyle w:val="ACMAReportSubTitle"/>
      </w:pPr>
      <w:r w:rsidRPr="00FD7E86">
        <w:t>2014</w:t>
      </w:r>
      <w:r w:rsidR="00087D74" w:rsidRPr="00FD7E86">
        <w:t>–</w:t>
      </w:r>
      <w:r w:rsidRPr="00FD7E86">
        <w:t>15</w:t>
      </w:r>
    </w:p>
    <w:p w14:paraId="14500064" w14:textId="77777777" w:rsidR="00C97736" w:rsidRDefault="00C97736" w:rsidP="0041071D">
      <w:pPr>
        <w:rPr>
          <w:rFonts w:cs="Arial"/>
        </w:rPr>
      </w:pPr>
    </w:p>
    <w:p w14:paraId="5C2BB3D9" w14:textId="77777777" w:rsidR="00ED45DF" w:rsidRPr="00FD7E86" w:rsidRDefault="00ED45DF" w:rsidP="0041071D">
      <w:pPr>
        <w:rPr>
          <w:rFonts w:cs="Arial"/>
        </w:rPr>
        <w:sectPr w:rsidR="00ED45DF" w:rsidRPr="00FD7E86" w:rsidSect="004F556E">
          <w:headerReference w:type="even" r:id="rId9"/>
          <w:headerReference w:type="default" r:id="rId10"/>
          <w:footerReference w:type="even" r:id="rId11"/>
          <w:footerReference w:type="default" r:id="rId12"/>
          <w:headerReference w:type="first" r:id="rId13"/>
          <w:footerReference w:type="first" r:id="rId14"/>
          <w:endnotePr>
            <w:numFmt w:val="decimal"/>
          </w:endnotePr>
          <w:pgSz w:w="11906" w:h="16838" w:code="9"/>
          <w:pgMar w:top="3924" w:right="1797" w:bottom="1440" w:left="1134" w:header="709" w:footer="454" w:gutter="0"/>
          <w:cols w:space="708"/>
          <w:docGrid w:linePitch="360"/>
        </w:sectPr>
      </w:pPr>
    </w:p>
    <w:p w14:paraId="139F7C87" w14:textId="77777777" w:rsidR="00D6667D" w:rsidRPr="00FD7E86" w:rsidRDefault="00D6667D" w:rsidP="00D6667D">
      <w:pPr>
        <w:rPr>
          <w:rFonts w:cs="Arial"/>
        </w:rPr>
      </w:pPr>
      <w:r w:rsidRPr="00FD7E86">
        <w:rPr>
          <w:rFonts w:cs="Arial"/>
        </w:rPr>
        <w:lastRenderedPageBreak/>
        <w:t xml:space="preserve">The ACMA </w:t>
      </w:r>
      <w:r w:rsidR="003708BA" w:rsidRPr="00FD7E86">
        <w:rPr>
          <w:rFonts w:cs="Arial"/>
          <w:i/>
        </w:rPr>
        <w:t>Communications report 2014–15</w:t>
      </w:r>
      <w:r w:rsidRPr="00FD7E86">
        <w:rPr>
          <w:rFonts w:cs="Arial"/>
          <w:i/>
        </w:rPr>
        <w:t xml:space="preserve"> </w:t>
      </w:r>
      <w:r w:rsidR="00394C4A" w:rsidRPr="00FD7E86">
        <w:rPr>
          <w:rFonts w:cs="Arial"/>
        </w:rPr>
        <w:t xml:space="preserve">(the </w:t>
      </w:r>
      <w:r w:rsidR="00110E17">
        <w:rPr>
          <w:rFonts w:cs="Arial"/>
        </w:rPr>
        <w:t>C</w:t>
      </w:r>
      <w:r w:rsidR="00394C4A" w:rsidRPr="00FD7E86">
        <w:rPr>
          <w:rFonts w:cs="Arial"/>
        </w:rPr>
        <w:t xml:space="preserve">ommunications report) </w:t>
      </w:r>
      <w:r w:rsidRPr="00FD7E86">
        <w:rPr>
          <w:rFonts w:cs="Arial"/>
        </w:rPr>
        <w:t>draws on data from a range of sources including the ACMA’s own databases, information reported by industry, the ACMA’s research using third-party public sources, and commissioned surveys and analysis.</w:t>
      </w:r>
    </w:p>
    <w:p w14:paraId="687901B6" w14:textId="77777777" w:rsidR="00D6667D" w:rsidRPr="00FD7E86" w:rsidRDefault="00D6667D" w:rsidP="00D6667D">
      <w:pPr>
        <w:rPr>
          <w:rFonts w:cs="Arial"/>
        </w:rPr>
      </w:pPr>
      <w:r w:rsidRPr="00FD7E86">
        <w:rPr>
          <w:rFonts w:cs="Arial"/>
        </w:rPr>
        <w:t xml:space="preserve">The ACMA has a statutory reporting obligation </w:t>
      </w:r>
      <w:r w:rsidR="00394C4A" w:rsidRPr="00FD7E86">
        <w:rPr>
          <w:rFonts w:cs="Arial"/>
        </w:rPr>
        <w:t xml:space="preserve">under section 105 of the </w:t>
      </w:r>
      <w:r w:rsidR="00394C4A" w:rsidRPr="00FD7E86">
        <w:rPr>
          <w:rFonts w:cs="Arial"/>
          <w:i/>
        </w:rPr>
        <w:t>Telecommunications Act 1997</w:t>
      </w:r>
      <w:r w:rsidR="00394C4A" w:rsidRPr="00FD7E86">
        <w:rPr>
          <w:rFonts w:cs="Arial"/>
        </w:rPr>
        <w:t xml:space="preserve"> </w:t>
      </w:r>
      <w:r w:rsidRPr="00FD7E86">
        <w:rPr>
          <w:rFonts w:cs="Arial"/>
        </w:rPr>
        <w:t>that requires it to collect data from industry for monitoring and reporting purposes. However, as part of the Australian Government’s regulation reform agenda, the ACMA will continue to work with industry participants to identify opportunities to streamline regulatory reporting arrangements.</w:t>
      </w:r>
    </w:p>
    <w:p w14:paraId="05438594" w14:textId="77777777" w:rsidR="00D6667D" w:rsidRPr="00FD7E86" w:rsidRDefault="00D6667D" w:rsidP="00AA360E">
      <w:pPr>
        <w:spacing w:after="60"/>
        <w:rPr>
          <w:rFonts w:cs="Arial"/>
        </w:rPr>
      </w:pPr>
      <w:r w:rsidRPr="00FD7E86">
        <w:rPr>
          <w:rFonts w:cs="Arial"/>
          <w:b/>
        </w:rPr>
        <w:t>Disclaimer</w:t>
      </w:r>
    </w:p>
    <w:p w14:paraId="0A6825CF" w14:textId="77777777" w:rsidR="00D6667D" w:rsidRPr="00FD7E86" w:rsidRDefault="00D6667D" w:rsidP="00D6667D">
      <w:pPr>
        <w:rPr>
          <w:rFonts w:cs="Arial"/>
        </w:rPr>
      </w:pPr>
      <w:r w:rsidRPr="00FD7E86">
        <w:rPr>
          <w:rFonts w:cs="Arial"/>
        </w:rPr>
        <w:t>The information in this document was obtained from sources the ACMA believes to be reliable. However, the ACMA does not guarantee the accuracy, completeness or adequacy of the information. To the maximum extent permitted by law, the ACMA is not liable for any errors, omissions or inadequacy in the information, or for any reliance on the information. Predictions and forward-looking statements in this document are based on information existing and known at the time of publication, and are subject to risks, uncertainties and changes in circumstances beyond the control of the ACMA. Opinions and positions stated in this document are subject to change without notice.</w:t>
      </w:r>
    </w:p>
    <w:p w14:paraId="587F1BAA" w14:textId="77777777" w:rsidR="00D6667D" w:rsidRPr="00FD7E86" w:rsidRDefault="00D6667D" w:rsidP="00AA360E">
      <w:pPr>
        <w:spacing w:after="60"/>
        <w:rPr>
          <w:rFonts w:cs="Arial"/>
          <w:b/>
        </w:rPr>
      </w:pPr>
      <w:r w:rsidRPr="00FD7E86">
        <w:rPr>
          <w:rFonts w:cs="Arial"/>
          <w:b/>
        </w:rPr>
        <w:t>Comments</w:t>
      </w:r>
    </w:p>
    <w:p w14:paraId="1F551BB5" w14:textId="77777777" w:rsidR="00D6667D" w:rsidRPr="00FD7E86" w:rsidRDefault="00D6667D" w:rsidP="00D6667D">
      <w:pPr>
        <w:rPr>
          <w:rFonts w:cs="Arial"/>
        </w:rPr>
      </w:pPr>
      <w:r w:rsidRPr="00FD7E86">
        <w:rPr>
          <w:rFonts w:cs="Arial"/>
        </w:rPr>
        <w:t xml:space="preserve">The ACMA welcomes feedback on the communications report. Comments and enquiries about the scope, content and format of the report should be sent to </w:t>
      </w:r>
      <w:hyperlink r:id="rId15" w:history="1">
        <w:r w:rsidRPr="00FD7E86">
          <w:rPr>
            <w:rStyle w:val="Hyperlink"/>
            <w:rFonts w:cs="Arial"/>
          </w:rPr>
          <w:t>research.analysis@acma.gov.au</w:t>
        </w:r>
      </w:hyperlink>
      <w:r w:rsidRPr="00FD7E86">
        <w:rPr>
          <w:rFonts w:cs="Arial"/>
        </w:rPr>
        <w:t>.</w:t>
      </w:r>
    </w:p>
    <w:p w14:paraId="1F14A527" w14:textId="77777777" w:rsidR="00D6667D" w:rsidRPr="00FD7E86" w:rsidRDefault="00D6667D" w:rsidP="00E679B8">
      <w:pPr>
        <w:spacing w:after="60"/>
        <w:rPr>
          <w:rFonts w:cs="Arial"/>
          <w:b/>
        </w:rPr>
      </w:pPr>
      <w:r w:rsidRPr="006B16F3">
        <w:rPr>
          <w:rFonts w:cs="Arial"/>
          <w:b/>
        </w:rPr>
        <w:t>Further information</w:t>
      </w:r>
    </w:p>
    <w:p w14:paraId="76109E0F" w14:textId="77777777" w:rsidR="00D6667D" w:rsidRPr="00FD7E86" w:rsidRDefault="00D6667D" w:rsidP="00D6667D">
      <w:pPr>
        <w:rPr>
          <w:rFonts w:cs="Arial"/>
        </w:rPr>
      </w:pPr>
      <w:r w:rsidRPr="00FD7E86">
        <w:rPr>
          <w:rFonts w:cs="Arial"/>
        </w:rPr>
        <w:t xml:space="preserve">For further information about the ACMA and links to the </w:t>
      </w:r>
      <w:r w:rsidR="00110E17">
        <w:rPr>
          <w:rFonts w:cs="Arial"/>
        </w:rPr>
        <w:t>C</w:t>
      </w:r>
      <w:r w:rsidRPr="00FD7E86">
        <w:rPr>
          <w:rFonts w:cs="Arial"/>
        </w:rPr>
        <w:t xml:space="preserve">ommunications report, please go to </w:t>
      </w:r>
      <w:hyperlink r:id="rId16" w:history="1">
        <w:r w:rsidRPr="00FD7E86">
          <w:rPr>
            <w:rStyle w:val="Hyperlink"/>
            <w:rFonts w:cs="Arial"/>
          </w:rPr>
          <w:t>www.acma.gov.au/commsreport</w:t>
        </w:r>
      </w:hyperlink>
      <w:r w:rsidRPr="00FD7E86">
        <w:rPr>
          <w:rFonts w:cs="Arial"/>
        </w:rPr>
        <w:t>.</w:t>
      </w:r>
    </w:p>
    <w:p w14:paraId="768C9DEE" w14:textId="77777777" w:rsidR="00140318" w:rsidRPr="00FD7E86" w:rsidRDefault="00140318" w:rsidP="00CC141A">
      <w:pPr>
        <w:pStyle w:val="ACMACopyrightHeader"/>
        <w:spacing w:before="1440"/>
      </w:pPr>
      <w:r w:rsidRPr="00FD7E86">
        <w:t>Copyright notice</w:t>
      </w:r>
    </w:p>
    <w:p w14:paraId="0B93B6AA" w14:textId="77777777" w:rsidR="00140318" w:rsidRPr="00FD7E86" w:rsidRDefault="00623FF9" w:rsidP="00623FF9">
      <w:pPr>
        <w:pStyle w:val="ACMACClogo"/>
      </w:pPr>
      <w:r w:rsidRPr="00FD7E86">
        <w:rPr>
          <w:noProof/>
        </w:rPr>
        <w:drawing>
          <wp:inline distT="0" distB="0" distL="0" distR="0" wp14:anchorId="639B2059" wp14:editId="5134D4BE">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14:paraId="3CD34D55" w14:textId="77777777" w:rsidR="00140318" w:rsidRPr="00FD7E86" w:rsidRDefault="005301FC" w:rsidP="00FC07B9">
      <w:pPr>
        <w:pStyle w:val="ACMACorporateAddresses"/>
        <w:rPr>
          <w:rStyle w:val="Hyperlink"/>
        </w:rPr>
      </w:pPr>
      <w:hyperlink r:id="rId19" w:tooltip="Creative Commons Licenses" w:history="1">
        <w:r w:rsidR="00140318" w:rsidRPr="00FD7E86">
          <w:rPr>
            <w:rStyle w:val="Hyperlink"/>
          </w:rPr>
          <w:t>http://creativecommons.org/licenses/by/3.0/au/</w:t>
        </w:r>
      </w:hyperlink>
    </w:p>
    <w:p w14:paraId="114A8ADA" w14:textId="77777777" w:rsidR="00140318" w:rsidRPr="00FD7E86" w:rsidRDefault="00140318" w:rsidP="00FC07B9">
      <w:pPr>
        <w:pStyle w:val="ACMACorporateAddresses"/>
      </w:pPr>
      <w:r w:rsidRPr="00FD7E86">
        <w:t xml:space="preserve">With the exception of coats of arms, logos, emblems, images, other third-party material or devices protected by a trademark, this content is licensed under the Creative Commons Australia Attribution 3.0 Licence. </w:t>
      </w:r>
    </w:p>
    <w:p w14:paraId="73BD7FEB" w14:textId="77777777" w:rsidR="00140318" w:rsidRPr="00FD7E86" w:rsidRDefault="00140318" w:rsidP="00FC07B9">
      <w:pPr>
        <w:pStyle w:val="ACMACorporateAddresses"/>
      </w:pPr>
      <w:r w:rsidRPr="00FD7E86">
        <w:t>We request attribution as: © Commonwealth of Australia (Australian Communications and Media Autho</w:t>
      </w:r>
      <w:r w:rsidR="00262448" w:rsidRPr="00FD7E86">
        <w:t>rity) 2015</w:t>
      </w:r>
      <w:r w:rsidRPr="00FD7E86">
        <w:t>.</w:t>
      </w:r>
    </w:p>
    <w:p w14:paraId="47E15973" w14:textId="77777777" w:rsidR="00140318" w:rsidRPr="00FD7E86" w:rsidRDefault="00140318" w:rsidP="00FC07B9">
      <w:pPr>
        <w:pStyle w:val="ACMACorporateAddresses"/>
      </w:pPr>
      <w:r w:rsidRPr="00FD7E86">
        <w:t>All other rights are reserved.</w:t>
      </w:r>
    </w:p>
    <w:p w14:paraId="2B316D04" w14:textId="77777777" w:rsidR="00140318" w:rsidRPr="00FD7E86" w:rsidRDefault="00140318" w:rsidP="00FC07B9">
      <w:pPr>
        <w:pStyle w:val="ACMACorporateAddresses"/>
      </w:pPr>
      <w:r w:rsidRPr="00FD7E86">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22FFCEF" w14:textId="77777777" w:rsidR="00140318" w:rsidRPr="00FD7E86" w:rsidRDefault="00140318" w:rsidP="00FC07B9">
      <w:pPr>
        <w:pStyle w:val="ACMACorporateAddresses"/>
      </w:pPr>
      <w:r w:rsidRPr="00FD7E86">
        <w:t>Written enquiries may be sent to:</w:t>
      </w:r>
    </w:p>
    <w:p w14:paraId="2607256F" w14:textId="77777777" w:rsidR="00CC45EB" w:rsidRPr="00FD7E86" w:rsidRDefault="00140318" w:rsidP="00D16FE3">
      <w:pPr>
        <w:pStyle w:val="ACMACorporateAddresses"/>
        <w:rPr>
          <w:rStyle w:val="Hyperlink"/>
        </w:rPr>
      </w:pPr>
      <w:r w:rsidRPr="00FD7E86">
        <w:t>Manager, Editorial and Design</w:t>
      </w:r>
      <w:r w:rsidR="00623FF9" w:rsidRPr="00FD7E86">
        <w:br/>
      </w:r>
      <w:r w:rsidRPr="00FD7E86">
        <w:t>PO Box 13112</w:t>
      </w:r>
      <w:r w:rsidR="00623FF9" w:rsidRPr="00FD7E86">
        <w:br/>
      </w:r>
      <w:r w:rsidRPr="00FD7E86">
        <w:t>Law Courts</w:t>
      </w:r>
      <w:r w:rsidR="00623FF9" w:rsidRPr="00FD7E86">
        <w:br/>
      </w:r>
      <w:r w:rsidRPr="00FD7E86">
        <w:t>Melbourne VIC 8010</w:t>
      </w:r>
      <w:r w:rsidR="00623FF9" w:rsidRPr="00FD7E86">
        <w:br/>
      </w:r>
      <w:r w:rsidRPr="00FD7E86">
        <w:t>Tel: 03 9963 6968</w:t>
      </w:r>
      <w:r w:rsidR="00623FF9" w:rsidRPr="00FD7E86">
        <w:br/>
      </w:r>
      <w:r w:rsidRPr="00FD7E86">
        <w:t xml:space="preserve">Email: </w:t>
      </w:r>
      <w:hyperlink r:id="rId20" w:history="1">
        <w:r w:rsidRPr="00FD7E86">
          <w:rPr>
            <w:rStyle w:val="Hyperlink"/>
          </w:rPr>
          <w:t>candinfo@acma.gov.au</w:t>
        </w:r>
      </w:hyperlink>
    </w:p>
    <w:p w14:paraId="7B33C72C" w14:textId="77777777" w:rsidR="00CC45EB" w:rsidRPr="00FD7E86" w:rsidRDefault="00CC45EB">
      <w:pPr>
        <w:spacing w:after="0"/>
        <w:rPr>
          <w:rStyle w:val="Hyperlink"/>
          <w:sz w:val="13"/>
        </w:rPr>
      </w:pPr>
      <w:r w:rsidRPr="00FD7E86">
        <w:rPr>
          <w:rStyle w:val="Hyperlink"/>
        </w:rPr>
        <w:br w:type="page"/>
      </w:r>
    </w:p>
    <w:p w14:paraId="0C6CD780" w14:textId="2492897B" w:rsidR="00D16FE3" w:rsidRPr="00FD7E86" w:rsidRDefault="00C15C9C" w:rsidP="00CC45EB">
      <w:pPr>
        <w:rPr>
          <w:rStyle w:val="Hyperlink"/>
        </w:rPr>
      </w:pPr>
      <w:r w:rsidRPr="006349CF">
        <w:rPr>
          <w:noProof/>
          <w:color w:val="0000FF"/>
        </w:rPr>
        <w:lastRenderedPageBreak/>
        <w:drawing>
          <wp:inline distT="0" distB="0" distL="0" distR="0" wp14:anchorId="24B0FE8A" wp14:editId="52753F00">
            <wp:extent cx="5635284" cy="7712938"/>
            <wp:effectExtent l="0" t="0" r="0" b="0"/>
            <wp:docPr id="92" name="Picture 92" title="Letter of transmit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Letter of transmittal-01.png"/>
                    <pic:cNvPicPr/>
                  </pic:nvPicPr>
                  <pic:blipFill rotWithShape="1">
                    <a:blip r:embed="rId21">
                      <a:extLst>
                        <a:ext uri="{28A0092B-C50C-407E-A947-70E740481C1C}">
                          <a14:useLocalDpi xmlns:a14="http://schemas.microsoft.com/office/drawing/2010/main" val="0"/>
                        </a:ext>
                      </a:extLst>
                    </a:blip>
                    <a:srcRect l="7146" t="9947" r="4408" b="4468"/>
                    <a:stretch/>
                  </pic:blipFill>
                  <pic:spPr bwMode="auto">
                    <a:xfrm>
                      <a:off x="0" y="0"/>
                      <a:ext cx="5642284" cy="7722519"/>
                    </a:xfrm>
                    <a:prstGeom prst="rect">
                      <a:avLst/>
                    </a:prstGeom>
                    <a:ln>
                      <a:noFill/>
                    </a:ln>
                    <a:extLst>
                      <a:ext uri="{53640926-AAD7-44D8-BBD7-CCE9431645EC}">
                        <a14:shadowObscured xmlns:a14="http://schemas.microsoft.com/office/drawing/2010/main"/>
                      </a:ext>
                    </a:extLst>
                  </pic:spPr>
                </pic:pic>
              </a:graphicData>
            </a:graphic>
          </wp:inline>
        </w:drawing>
      </w:r>
    </w:p>
    <w:p w14:paraId="38F7B67D" w14:textId="77777777" w:rsidR="008F5B03" w:rsidRDefault="008F5B03" w:rsidP="00D16FE3">
      <w:pPr>
        <w:pStyle w:val="ACMACorporateAddresses"/>
        <w:sectPr w:rsidR="008F5B03" w:rsidSect="00D6667D">
          <w:headerReference w:type="even" r:id="rId22"/>
          <w:headerReference w:type="default" r:id="rId23"/>
          <w:footerReference w:type="even" r:id="rId24"/>
          <w:footerReference w:type="default" r:id="rId25"/>
          <w:pgSz w:w="11906" w:h="16838" w:code="9"/>
          <w:pgMar w:top="3646" w:right="1134" w:bottom="868" w:left="1134" w:header="709" w:footer="119" w:gutter="284"/>
          <w:cols w:space="708"/>
          <w:docGrid w:linePitch="360"/>
        </w:sectPr>
      </w:pPr>
    </w:p>
    <w:p w14:paraId="1220B5CD" w14:textId="77777777" w:rsidR="00D16FE3" w:rsidRPr="00FD7E86" w:rsidRDefault="00D16FE3" w:rsidP="00D16FE3">
      <w:pPr>
        <w:pStyle w:val="ACMACorporateAddresses"/>
        <w:sectPr w:rsidR="00D16FE3" w:rsidRPr="00FD7E86" w:rsidSect="00D6667D">
          <w:pgSz w:w="11906" w:h="16838" w:code="9"/>
          <w:pgMar w:top="3646" w:right="1134" w:bottom="868" w:left="1134" w:header="709" w:footer="119" w:gutter="284"/>
          <w:cols w:space="708"/>
          <w:docGrid w:linePitch="360"/>
        </w:sectPr>
      </w:pPr>
    </w:p>
    <w:p w14:paraId="0BEB2B87" w14:textId="77777777" w:rsidR="00FD7E86" w:rsidRPr="00FD7E86" w:rsidRDefault="007A6CC0"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rFonts w:cs="Arial"/>
          <w:b w:val="0"/>
        </w:rPr>
        <w:lastRenderedPageBreak/>
        <w:fldChar w:fldCharType="begin"/>
      </w:r>
      <w:r w:rsidRPr="00FD7E86">
        <w:rPr>
          <w:rFonts w:cs="Arial"/>
          <w:b w:val="0"/>
        </w:rPr>
        <w:instrText xml:space="preserve"> TOC \o "1-3" \t "ACMA_ExecSummaryHeading,1" </w:instrText>
      </w:r>
      <w:r w:rsidRPr="00FD7E86">
        <w:rPr>
          <w:rFonts w:cs="Arial"/>
          <w:b w:val="0"/>
        </w:rPr>
        <w:fldChar w:fldCharType="separate"/>
      </w:r>
      <w:r w:rsidR="00FD7E86" w:rsidRPr="00FD7E86">
        <w:rPr>
          <w:color w:val="00ADBB" w:themeColor="accent1"/>
        </w:rPr>
        <w:t>Chairman’s foreword</w:t>
      </w:r>
      <w:r w:rsidR="00FD7E86" w:rsidRPr="00FD7E86">
        <w:rPr>
          <w:color w:val="00ADBB" w:themeColor="accent1"/>
        </w:rPr>
        <w:tab/>
      </w:r>
      <w:r w:rsidR="00FD7E86" w:rsidRPr="00FD7E86">
        <w:rPr>
          <w:color w:val="00ADBB" w:themeColor="accent1"/>
        </w:rPr>
        <w:fldChar w:fldCharType="begin"/>
      </w:r>
      <w:r w:rsidR="00FD7E86" w:rsidRPr="00FD7E86">
        <w:rPr>
          <w:color w:val="00ADBB" w:themeColor="accent1"/>
        </w:rPr>
        <w:instrText xml:space="preserve"> PAGEREF _Toc433790270 \h </w:instrText>
      </w:r>
      <w:r w:rsidR="00FD7E86" w:rsidRPr="00FD7E86">
        <w:rPr>
          <w:color w:val="00ADBB" w:themeColor="accent1"/>
        </w:rPr>
      </w:r>
      <w:r w:rsidR="00FD7E86" w:rsidRPr="00FD7E86">
        <w:rPr>
          <w:color w:val="00ADBB" w:themeColor="accent1"/>
        </w:rPr>
        <w:fldChar w:fldCharType="separate"/>
      </w:r>
      <w:r w:rsidR="007A7220">
        <w:rPr>
          <w:color w:val="00ADBB" w:themeColor="accent1"/>
        </w:rPr>
        <w:t>1</w:t>
      </w:r>
      <w:r w:rsidR="00FD7E86" w:rsidRPr="00FD7E86">
        <w:rPr>
          <w:color w:val="00ADBB" w:themeColor="accent1"/>
        </w:rPr>
        <w:fldChar w:fldCharType="end"/>
      </w:r>
    </w:p>
    <w:p w14:paraId="57F19A68" w14:textId="77777777" w:rsidR="00FD7E86" w:rsidRPr="00FD7E86" w:rsidRDefault="004507AB"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Pr>
          <w:color w:val="00ADBB" w:themeColor="accent1"/>
        </w:rPr>
        <w:t>Introduction and e</w:t>
      </w:r>
      <w:r w:rsidR="00FD7E86" w:rsidRPr="00FD7E86">
        <w:rPr>
          <w:color w:val="00ADBB" w:themeColor="accent1"/>
        </w:rPr>
        <w:t>xecutive summary</w:t>
      </w:r>
      <w:r w:rsidR="00FD7E86" w:rsidRPr="00FD7E86">
        <w:rPr>
          <w:color w:val="00ADBB" w:themeColor="accent1"/>
        </w:rPr>
        <w:tab/>
      </w:r>
      <w:r w:rsidR="00FD7E86" w:rsidRPr="00FD7E86">
        <w:rPr>
          <w:color w:val="00ADBB" w:themeColor="accent1"/>
        </w:rPr>
        <w:fldChar w:fldCharType="begin"/>
      </w:r>
      <w:r w:rsidR="00FD7E86" w:rsidRPr="00FD7E86">
        <w:rPr>
          <w:color w:val="00ADBB" w:themeColor="accent1"/>
        </w:rPr>
        <w:instrText xml:space="preserve"> PAGEREF _Toc433790271 \h </w:instrText>
      </w:r>
      <w:r w:rsidR="00FD7E86" w:rsidRPr="00FD7E86">
        <w:rPr>
          <w:color w:val="00ADBB" w:themeColor="accent1"/>
        </w:rPr>
      </w:r>
      <w:r w:rsidR="00FD7E86" w:rsidRPr="00FD7E86">
        <w:rPr>
          <w:color w:val="00ADBB" w:themeColor="accent1"/>
        </w:rPr>
        <w:fldChar w:fldCharType="separate"/>
      </w:r>
      <w:r w:rsidR="007A7220">
        <w:rPr>
          <w:color w:val="00ADBB" w:themeColor="accent1"/>
        </w:rPr>
        <w:t>2</w:t>
      </w:r>
      <w:r w:rsidR="00FD7E86" w:rsidRPr="00FD7E86">
        <w:rPr>
          <w:color w:val="00ADBB" w:themeColor="accent1"/>
        </w:rPr>
        <w:fldChar w:fldCharType="end"/>
      </w:r>
    </w:p>
    <w:p w14:paraId="6ABD62B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Introduction</w:t>
      </w:r>
      <w:r>
        <w:tab/>
      </w:r>
      <w:r>
        <w:fldChar w:fldCharType="begin"/>
      </w:r>
      <w:r>
        <w:instrText xml:space="preserve"> PAGEREF _Toc433790272 \h </w:instrText>
      </w:r>
      <w:r>
        <w:fldChar w:fldCharType="separate"/>
      </w:r>
      <w:r w:rsidR="007A7220">
        <w:t>2</w:t>
      </w:r>
      <w:r>
        <w:fldChar w:fldCharType="end"/>
      </w:r>
    </w:p>
    <w:p w14:paraId="7E82007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Legislative basis</w:t>
      </w:r>
      <w:r>
        <w:tab/>
      </w:r>
      <w:r>
        <w:fldChar w:fldCharType="begin"/>
      </w:r>
      <w:r>
        <w:instrText xml:space="preserve"> PAGEREF _Toc433790273 \h </w:instrText>
      </w:r>
      <w:r>
        <w:fldChar w:fldCharType="separate"/>
      </w:r>
      <w:r w:rsidR="007A7220">
        <w:t>2</w:t>
      </w:r>
      <w:r>
        <w:fldChar w:fldCharType="end"/>
      </w:r>
    </w:p>
    <w:p w14:paraId="5C59CA1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Scope and structure of report</w:t>
      </w:r>
      <w:r>
        <w:tab/>
      </w:r>
      <w:r>
        <w:fldChar w:fldCharType="begin"/>
      </w:r>
      <w:r>
        <w:instrText xml:space="preserve"> PAGEREF _Toc433790274 \h </w:instrText>
      </w:r>
      <w:r>
        <w:fldChar w:fldCharType="separate"/>
      </w:r>
      <w:r w:rsidR="007A7220">
        <w:t>2</w:t>
      </w:r>
      <w:r>
        <w:fldChar w:fldCharType="end"/>
      </w:r>
    </w:p>
    <w:p w14:paraId="7BAA0EB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Executive summary</w:t>
      </w:r>
      <w:r>
        <w:tab/>
      </w:r>
      <w:r>
        <w:fldChar w:fldCharType="begin"/>
      </w:r>
      <w:r>
        <w:instrText xml:space="preserve"> PAGEREF _Toc433790275 \h </w:instrText>
      </w:r>
      <w:r>
        <w:fldChar w:fldCharType="separate"/>
      </w:r>
      <w:r w:rsidR="007A7220">
        <w:t>3</w:t>
      </w:r>
      <w:r>
        <w:fldChar w:fldCharType="end"/>
      </w:r>
    </w:p>
    <w:p w14:paraId="4604990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Key highlights</w:t>
      </w:r>
      <w:r>
        <w:tab/>
      </w:r>
      <w:r>
        <w:fldChar w:fldCharType="begin"/>
      </w:r>
      <w:r>
        <w:instrText xml:space="preserve"> PAGEREF _Toc433790276 \h </w:instrText>
      </w:r>
      <w:r>
        <w:fldChar w:fldCharType="separate"/>
      </w:r>
      <w:r w:rsidR="007A7220">
        <w:t>3</w:t>
      </w:r>
      <w:r>
        <w:fldChar w:fldCharType="end"/>
      </w:r>
    </w:p>
    <w:p w14:paraId="397004F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Australia’s communications networks</w:t>
      </w:r>
      <w:r>
        <w:tab/>
      </w:r>
      <w:r>
        <w:fldChar w:fldCharType="begin"/>
      </w:r>
      <w:r>
        <w:instrText xml:space="preserve"> PAGEREF _Toc433790277 \h </w:instrText>
      </w:r>
      <w:r>
        <w:fldChar w:fldCharType="separate"/>
      </w:r>
      <w:r w:rsidR="007A7220">
        <w:t>3</w:t>
      </w:r>
      <w:r>
        <w:fldChar w:fldCharType="end"/>
      </w:r>
    </w:p>
    <w:p w14:paraId="197AC2D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Changing consumer preferences for over-the-top (OTT) and mobile voice services</w:t>
      </w:r>
      <w:r>
        <w:tab/>
      </w:r>
      <w:r>
        <w:fldChar w:fldCharType="begin"/>
      </w:r>
      <w:r>
        <w:instrText xml:space="preserve"> PAGEREF _Toc433790278 \h </w:instrText>
      </w:r>
      <w:r>
        <w:fldChar w:fldCharType="separate"/>
      </w:r>
      <w:r w:rsidR="007A7220">
        <w:t>4</w:t>
      </w:r>
      <w:r>
        <w:fldChar w:fldCharType="end"/>
      </w:r>
    </w:p>
    <w:p w14:paraId="1591361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The economic value of internet-related transactions</w:t>
      </w:r>
      <w:r>
        <w:tab/>
      </w:r>
      <w:r>
        <w:fldChar w:fldCharType="begin"/>
      </w:r>
      <w:r>
        <w:instrText xml:space="preserve"> PAGEREF _Toc433790279 \h </w:instrText>
      </w:r>
      <w:r>
        <w:fldChar w:fldCharType="separate"/>
      </w:r>
      <w:r w:rsidR="007A7220">
        <w:t>4</w:t>
      </w:r>
      <w:r>
        <w:fldChar w:fldCharType="end"/>
      </w:r>
    </w:p>
    <w:p w14:paraId="7ED468CA"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Television, radio and online</w:t>
      </w:r>
      <w:r>
        <w:tab/>
      </w:r>
      <w:r>
        <w:fldChar w:fldCharType="begin"/>
      </w:r>
      <w:r>
        <w:instrText xml:space="preserve"> PAGEREF _Toc433790280 \h </w:instrText>
      </w:r>
      <w:r>
        <w:fldChar w:fldCharType="separate"/>
      </w:r>
      <w:r w:rsidR="007A7220">
        <w:t>5</w:t>
      </w:r>
      <w:r>
        <w:fldChar w:fldCharType="end"/>
      </w:r>
    </w:p>
    <w:p w14:paraId="35C5112F"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Telecommunications consumer safeguards</w:t>
      </w:r>
      <w:r>
        <w:tab/>
      </w:r>
      <w:r>
        <w:fldChar w:fldCharType="begin"/>
      </w:r>
      <w:r>
        <w:instrText xml:space="preserve"> PAGEREF _Toc433790281 \h </w:instrText>
      </w:r>
      <w:r>
        <w:fldChar w:fldCharType="separate"/>
      </w:r>
      <w:r w:rsidR="007A7220">
        <w:t>5</w:t>
      </w:r>
      <w:r>
        <w:fldChar w:fldCharType="end"/>
      </w:r>
    </w:p>
    <w:p w14:paraId="6430FF0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National interest issues</w:t>
      </w:r>
      <w:r>
        <w:tab/>
      </w:r>
      <w:r>
        <w:fldChar w:fldCharType="begin"/>
      </w:r>
      <w:r>
        <w:instrText xml:space="preserve"> PAGEREF _Toc433790282 \h </w:instrText>
      </w:r>
      <w:r>
        <w:fldChar w:fldCharType="separate"/>
      </w:r>
      <w:r w:rsidR="007A7220">
        <w:t>5</w:t>
      </w:r>
      <w:r>
        <w:fldChar w:fldCharType="end"/>
      </w:r>
    </w:p>
    <w:p w14:paraId="46B4B04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Internet security</w:t>
      </w:r>
      <w:r>
        <w:tab/>
      </w:r>
      <w:r>
        <w:fldChar w:fldCharType="begin"/>
      </w:r>
      <w:r>
        <w:instrText xml:space="preserve"> PAGEREF _Toc433790283 \h </w:instrText>
      </w:r>
      <w:r>
        <w:fldChar w:fldCharType="separate"/>
      </w:r>
      <w:r w:rsidR="007A7220">
        <w:t>5</w:t>
      </w:r>
      <w:r>
        <w:fldChar w:fldCharType="end"/>
      </w:r>
    </w:p>
    <w:p w14:paraId="1CDB232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Broadcasting industry regulatory performance</w:t>
      </w:r>
      <w:r>
        <w:tab/>
      </w:r>
      <w:r>
        <w:fldChar w:fldCharType="begin"/>
      </w:r>
      <w:r>
        <w:instrText xml:space="preserve"> PAGEREF _Toc433790284 \h </w:instrText>
      </w:r>
      <w:r>
        <w:fldChar w:fldCharType="separate"/>
      </w:r>
      <w:r w:rsidR="007A7220">
        <w:t>6</w:t>
      </w:r>
      <w:r>
        <w:fldChar w:fldCharType="end"/>
      </w:r>
    </w:p>
    <w:p w14:paraId="1DE0721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ACMA complaint hotline for illegal and offensive online content</w:t>
      </w:r>
      <w:r>
        <w:tab/>
      </w:r>
      <w:r>
        <w:fldChar w:fldCharType="begin"/>
      </w:r>
      <w:r>
        <w:instrText xml:space="preserve"> PAGEREF _Toc433790285 \h </w:instrText>
      </w:r>
      <w:r>
        <w:fldChar w:fldCharType="separate"/>
      </w:r>
      <w:r w:rsidR="007A7220">
        <w:t>6</w:t>
      </w:r>
      <w:r>
        <w:fldChar w:fldCharType="end"/>
      </w:r>
    </w:p>
    <w:p w14:paraId="468513C0"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Key indicators—at a glance</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_Toc433790286 \h </w:instrText>
      </w:r>
      <w:r w:rsidRPr="00FD7E86">
        <w:rPr>
          <w:color w:val="00ADBB" w:themeColor="accent1"/>
        </w:rPr>
      </w:r>
      <w:r w:rsidRPr="00FD7E86">
        <w:rPr>
          <w:color w:val="00ADBB" w:themeColor="accent1"/>
        </w:rPr>
        <w:fldChar w:fldCharType="separate"/>
      </w:r>
      <w:r w:rsidR="007A7220">
        <w:rPr>
          <w:color w:val="00ADBB" w:themeColor="accent1"/>
        </w:rPr>
        <w:t>7</w:t>
      </w:r>
      <w:r w:rsidRPr="00FD7E86">
        <w:rPr>
          <w:color w:val="00ADBB" w:themeColor="accent1"/>
        </w:rPr>
        <w:fldChar w:fldCharType="end"/>
      </w:r>
    </w:p>
    <w:p w14:paraId="7A538636"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Chapter 1: Industry supply of communications services</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_Toc433790287 \h </w:instrText>
      </w:r>
      <w:r w:rsidRPr="00FD7E86">
        <w:rPr>
          <w:color w:val="00ADBB" w:themeColor="accent1"/>
        </w:rPr>
      </w:r>
      <w:r w:rsidRPr="00FD7E86">
        <w:rPr>
          <w:color w:val="00ADBB" w:themeColor="accent1"/>
        </w:rPr>
        <w:fldChar w:fldCharType="separate"/>
      </w:r>
      <w:r w:rsidR="007A7220">
        <w:rPr>
          <w:color w:val="00ADBB" w:themeColor="accent1"/>
        </w:rPr>
        <w:t>13</w:t>
      </w:r>
      <w:r w:rsidRPr="00FD7E86">
        <w:rPr>
          <w:color w:val="00ADBB" w:themeColor="accent1"/>
        </w:rPr>
        <w:fldChar w:fldCharType="end"/>
      </w:r>
    </w:p>
    <w:p w14:paraId="7150C12C"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Overview</w:t>
      </w:r>
      <w:r>
        <w:tab/>
      </w:r>
      <w:r>
        <w:fldChar w:fldCharType="begin"/>
      </w:r>
      <w:r>
        <w:instrText xml:space="preserve"> PAGEREF _Toc433790288 \h </w:instrText>
      </w:r>
      <w:r>
        <w:fldChar w:fldCharType="separate"/>
      </w:r>
      <w:r w:rsidR="007A7220">
        <w:t>13</w:t>
      </w:r>
      <w:r>
        <w:fldChar w:fldCharType="end"/>
      </w:r>
    </w:p>
    <w:p w14:paraId="420FA30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Fixed-line service availability</w:t>
      </w:r>
      <w:r>
        <w:tab/>
      </w:r>
      <w:r>
        <w:fldChar w:fldCharType="begin"/>
      </w:r>
      <w:r>
        <w:instrText xml:space="preserve"> PAGEREF _Toc433790289 \h </w:instrText>
      </w:r>
      <w:r>
        <w:fldChar w:fldCharType="separate"/>
      </w:r>
      <w:r w:rsidR="007A7220">
        <w:t>14</w:t>
      </w:r>
      <w:r>
        <w:fldChar w:fldCharType="end"/>
      </w:r>
    </w:p>
    <w:p w14:paraId="6CEF237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Number of services in operation</w:t>
      </w:r>
      <w:r>
        <w:tab/>
      </w:r>
      <w:r>
        <w:fldChar w:fldCharType="begin"/>
      </w:r>
      <w:r>
        <w:instrText xml:space="preserve"> PAGEREF _Toc433790290 \h </w:instrText>
      </w:r>
      <w:r>
        <w:fldChar w:fldCharType="separate"/>
      </w:r>
      <w:r w:rsidR="007A7220">
        <w:t>14</w:t>
      </w:r>
      <w:r>
        <w:fldChar w:fldCharType="end"/>
      </w:r>
    </w:p>
    <w:p w14:paraId="2D3105E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The continued shift from fixed-line telephony</w:t>
      </w:r>
      <w:r>
        <w:tab/>
      </w:r>
      <w:r>
        <w:fldChar w:fldCharType="begin"/>
      </w:r>
      <w:r>
        <w:instrText xml:space="preserve"> PAGEREF _Toc433790291 \h </w:instrText>
      </w:r>
      <w:r>
        <w:fldChar w:fldCharType="separate"/>
      </w:r>
      <w:r w:rsidR="007A7220">
        <w:t>14</w:t>
      </w:r>
      <w:r>
        <w:fldChar w:fldCharType="end"/>
      </w:r>
    </w:p>
    <w:p w14:paraId="4CBBDE5C" w14:textId="77777777" w:rsidR="00FD7E86" w:rsidRDefault="00ED45DF" w:rsidP="00FD7E86">
      <w:pPr>
        <w:pStyle w:val="TOC3"/>
        <w:tabs>
          <w:tab w:val="clear" w:pos="7661"/>
          <w:tab w:val="right" w:pos="9072"/>
        </w:tabs>
        <w:ind w:right="425"/>
        <w:rPr>
          <w:rFonts w:asciiTheme="minorHAnsi" w:eastAsiaTheme="minorEastAsia" w:hAnsiTheme="minorHAnsi" w:cstheme="minorBidi"/>
        </w:rPr>
      </w:pPr>
      <w:r>
        <w:t>Fixed-line telephone and</w:t>
      </w:r>
      <w:r w:rsidR="00FD7E86">
        <w:t xml:space="preserve"> OTT VoIP services</w:t>
      </w:r>
      <w:r w:rsidR="00FD7E86">
        <w:tab/>
      </w:r>
      <w:r w:rsidR="00FD7E86">
        <w:fldChar w:fldCharType="begin"/>
      </w:r>
      <w:r w:rsidR="00FD7E86">
        <w:instrText xml:space="preserve"> PAGEREF _Toc433790292 \h </w:instrText>
      </w:r>
      <w:r w:rsidR="00FD7E86">
        <w:fldChar w:fldCharType="separate"/>
      </w:r>
      <w:r w:rsidR="007A7220">
        <w:t>15</w:t>
      </w:r>
      <w:r w:rsidR="00FD7E86">
        <w:fldChar w:fldCharType="end"/>
      </w:r>
    </w:p>
    <w:p w14:paraId="5E4E43CA"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Mobile service availability</w:t>
      </w:r>
      <w:r>
        <w:tab/>
      </w:r>
      <w:r>
        <w:fldChar w:fldCharType="begin"/>
      </w:r>
      <w:r>
        <w:instrText xml:space="preserve"> PAGEREF _Toc433790293 \h </w:instrText>
      </w:r>
      <w:r>
        <w:fldChar w:fldCharType="separate"/>
      </w:r>
      <w:r w:rsidR="007A7220">
        <w:t>17</w:t>
      </w:r>
      <w:r>
        <w:fldChar w:fldCharType="end"/>
      </w:r>
    </w:p>
    <w:p w14:paraId="7B8B8A7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Number of services in operation and market share</w:t>
      </w:r>
      <w:r>
        <w:tab/>
      </w:r>
      <w:r>
        <w:fldChar w:fldCharType="begin"/>
      </w:r>
      <w:r>
        <w:instrText xml:space="preserve"> PAGEREF _Toc433790294 \h </w:instrText>
      </w:r>
      <w:r>
        <w:fldChar w:fldCharType="separate"/>
      </w:r>
      <w:r w:rsidR="007A7220">
        <w:t>17</w:t>
      </w:r>
      <w:r>
        <w:fldChar w:fldCharType="end"/>
      </w:r>
    </w:p>
    <w:p w14:paraId="334B577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Mobile network infrastructure</w:t>
      </w:r>
      <w:r>
        <w:tab/>
      </w:r>
      <w:r>
        <w:fldChar w:fldCharType="begin"/>
      </w:r>
      <w:r>
        <w:instrText xml:space="preserve"> PAGEREF _Toc433790295 \h </w:instrText>
      </w:r>
      <w:r>
        <w:fldChar w:fldCharType="separate"/>
      </w:r>
      <w:r w:rsidR="007A7220">
        <w:t>19</w:t>
      </w:r>
      <w:r>
        <w:fldChar w:fldCharType="end"/>
      </w:r>
    </w:p>
    <w:p w14:paraId="6C67231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Mobile Black Spot Programme</w:t>
      </w:r>
      <w:r>
        <w:tab/>
      </w:r>
      <w:r>
        <w:fldChar w:fldCharType="begin"/>
      </w:r>
      <w:r>
        <w:instrText xml:space="preserve"> PAGEREF _Toc433790296 \h </w:instrText>
      </w:r>
      <w:r>
        <w:fldChar w:fldCharType="separate"/>
      </w:r>
      <w:r w:rsidR="007A7220">
        <w:t>19</w:t>
      </w:r>
      <w:r>
        <w:fldChar w:fldCharType="end"/>
      </w:r>
    </w:p>
    <w:p w14:paraId="4BBAA97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Emerging mobile technologies—Voice over LTE and Voice over Wi-Fi</w:t>
      </w:r>
      <w:r>
        <w:tab/>
      </w:r>
      <w:r>
        <w:fldChar w:fldCharType="begin"/>
      </w:r>
      <w:r>
        <w:instrText xml:space="preserve"> PAGEREF _Toc433790297 \h </w:instrText>
      </w:r>
      <w:r>
        <w:fldChar w:fldCharType="separate"/>
      </w:r>
      <w:r w:rsidR="007A7220">
        <w:t>19</w:t>
      </w:r>
      <w:r>
        <w:fldChar w:fldCharType="end"/>
      </w:r>
    </w:p>
    <w:p w14:paraId="5303E803"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1.4</w:t>
      </w:r>
      <w:r>
        <w:rPr>
          <w:rFonts w:asciiTheme="minorHAnsi" w:eastAsiaTheme="minorEastAsia" w:hAnsiTheme="minorHAnsi" w:cstheme="minorBidi"/>
          <w:spacing w:val="0"/>
          <w:sz w:val="22"/>
          <w:szCs w:val="22"/>
        </w:rPr>
        <w:tab/>
      </w:r>
      <w:r>
        <w:t>Internet service availability</w:t>
      </w:r>
      <w:r>
        <w:tab/>
      </w:r>
      <w:r>
        <w:fldChar w:fldCharType="begin"/>
      </w:r>
      <w:r>
        <w:instrText xml:space="preserve"> PAGEREF _Toc433790298 \h </w:instrText>
      </w:r>
      <w:r>
        <w:fldChar w:fldCharType="separate"/>
      </w:r>
      <w:r w:rsidR="007A7220">
        <w:t>20</w:t>
      </w:r>
      <w:r>
        <w:fldChar w:fldCharType="end"/>
      </w:r>
    </w:p>
    <w:p w14:paraId="57E89441"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Number of internet subscribers</w:t>
      </w:r>
      <w:r>
        <w:tab/>
      </w:r>
      <w:r>
        <w:fldChar w:fldCharType="begin"/>
      </w:r>
      <w:r>
        <w:instrText xml:space="preserve"> PAGEREF _Toc433790299 \h </w:instrText>
      </w:r>
      <w:r>
        <w:fldChar w:fldCharType="separate"/>
      </w:r>
      <w:r w:rsidR="007A7220">
        <w:t>20</w:t>
      </w:r>
      <w:r>
        <w:fldChar w:fldCharType="end"/>
      </w:r>
    </w:p>
    <w:p w14:paraId="108C614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Mobile-internet services</w:t>
      </w:r>
      <w:r>
        <w:tab/>
      </w:r>
      <w:r>
        <w:fldChar w:fldCharType="begin"/>
      </w:r>
      <w:r>
        <w:instrText xml:space="preserve"> PAGEREF _Toc433790300 \h </w:instrText>
      </w:r>
      <w:r>
        <w:fldChar w:fldCharType="separate"/>
      </w:r>
      <w:r w:rsidR="007A7220">
        <w:t>21</w:t>
      </w:r>
      <w:r>
        <w:fldChar w:fldCharType="end"/>
      </w:r>
    </w:p>
    <w:p w14:paraId="747D78B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Publicly accessible wireless internet</w:t>
      </w:r>
      <w:r>
        <w:tab/>
      </w:r>
      <w:r>
        <w:fldChar w:fldCharType="begin"/>
      </w:r>
      <w:r>
        <w:instrText xml:space="preserve"> PAGEREF _Toc433790301 \h </w:instrText>
      </w:r>
      <w:r>
        <w:fldChar w:fldCharType="separate"/>
      </w:r>
      <w:r w:rsidR="007A7220">
        <w:t>22</w:t>
      </w:r>
      <w:r>
        <w:fldChar w:fldCharType="end"/>
      </w:r>
    </w:p>
    <w:p w14:paraId="0C8D426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lastRenderedPageBreak/>
        <w:t>Number of internet service providers</w:t>
      </w:r>
      <w:r>
        <w:tab/>
      </w:r>
      <w:r>
        <w:fldChar w:fldCharType="begin"/>
      </w:r>
      <w:r>
        <w:instrText xml:space="preserve"> PAGEREF _Toc433790302 \h </w:instrText>
      </w:r>
      <w:r>
        <w:fldChar w:fldCharType="separate"/>
      </w:r>
      <w:r w:rsidR="007A7220">
        <w:t>23</w:t>
      </w:r>
      <w:r>
        <w:fldChar w:fldCharType="end"/>
      </w:r>
    </w:p>
    <w:p w14:paraId="223A14C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Domain name registrations</w:t>
      </w:r>
      <w:r>
        <w:tab/>
      </w:r>
      <w:r>
        <w:fldChar w:fldCharType="begin"/>
      </w:r>
      <w:r>
        <w:instrText xml:space="preserve"> PAGEREF _Toc433790303 \h </w:instrText>
      </w:r>
      <w:r>
        <w:fldChar w:fldCharType="separate"/>
      </w:r>
      <w:r w:rsidR="007A7220">
        <w:t>25</w:t>
      </w:r>
      <w:r>
        <w:fldChar w:fldCharType="end"/>
      </w:r>
    </w:p>
    <w:p w14:paraId="293B230E"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National broadband network</w:t>
      </w:r>
      <w:r>
        <w:tab/>
      </w:r>
      <w:r>
        <w:fldChar w:fldCharType="begin"/>
      </w:r>
      <w:r>
        <w:instrText xml:space="preserve"> PAGEREF _Toc433790304 \h </w:instrText>
      </w:r>
      <w:r>
        <w:fldChar w:fldCharType="separate"/>
      </w:r>
      <w:r w:rsidR="007A7220">
        <w:t>25</w:t>
      </w:r>
      <w:r>
        <w:fldChar w:fldCharType="end"/>
      </w:r>
    </w:p>
    <w:p w14:paraId="5CBC9BF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Copper network switch-off</w:t>
      </w:r>
      <w:r>
        <w:tab/>
      </w:r>
      <w:r>
        <w:fldChar w:fldCharType="begin"/>
      </w:r>
      <w:r>
        <w:instrText xml:space="preserve"> PAGEREF _Toc433790305 \h </w:instrText>
      </w:r>
      <w:r>
        <w:fldChar w:fldCharType="separate"/>
      </w:r>
      <w:r w:rsidR="007A7220">
        <w:t>26</w:t>
      </w:r>
      <w:r>
        <w:fldChar w:fldCharType="end"/>
      </w:r>
    </w:p>
    <w:p w14:paraId="4AB912D3" w14:textId="77777777" w:rsidR="00FD7E86" w:rsidRDefault="0061331D" w:rsidP="00FD7E86">
      <w:pPr>
        <w:pStyle w:val="TOC3"/>
        <w:tabs>
          <w:tab w:val="clear" w:pos="7661"/>
          <w:tab w:val="right" w:pos="9072"/>
        </w:tabs>
        <w:ind w:right="425"/>
        <w:rPr>
          <w:rFonts w:asciiTheme="minorHAnsi" w:eastAsiaTheme="minorEastAsia" w:hAnsiTheme="minorHAnsi" w:cstheme="minorBidi"/>
        </w:rPr>
      </w:pPr>
      <w:r>
        <w:t>The Internet of T</w:t>
      </w:r>
      <w:r w:rsidR="00FD7E86">
        <w:t>hings</w:t>
      </w:r>
      <w:r w:rsidR="00FD7E86" w:rsidRPr="00DF6F42">
        <w:rPr>
          <w:iCs/>
        </w:rPr>
        <w:t xml:space="preserve"> and M2M</w:t>
      </w:r>
      <w:r w:rsidR="00FD7E86">
        <w:tab/>
      </w:r>
      <w:r w:rsidR="00FD7E86">
        <w:fldChar w:fldCharType="begin"/>
      </w:r>
      <w:r w:rsidR="00FD7E86">
        <w:instrText xml:space="preserve"> PAGEREF _Toc433790306 \h </w:instrText>
      </w:r>
      <w:r w:rsidR="00FD7E86">
        <w:fldChar w:fldCharType="separate"/>
      </w:r>
      <w:r w:rsidR="007A7220">
        <w:t>27</w:t>
      </w:r>
      <w:r w:rsidR="00FD7E86">
        <w:fldChar w:fldCharType="end"/>
      </w:r>
    </w:p>
    <w:p w14:paraId="3914014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The cloud</w:t>
      </w:r>
      <w:r>
        <w:tab/>
      </w:r>
      <w:r>
        <w:fldChar w:fldCharType="begin"/>
      </w:r>
      <w:r>
        <w:instrText xml:space="preserve"> PAGEREF _Toc433790307 \h </w:instrText>
      </w:r>
      <w:r>
        <w:fldChar w:fldCharType="separate"/>
      </w:r>
      <w:r w:rsidR="007A7220">
        <w:t>28</w:t>
      </w:r>
      <w:r>
        <w:fldChar w:fldCharType="end"/>
      </w:r>
    </w:p>
    <w:p w14:paraId="4F826F84"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1.5</w:t>
      </w:r>
      <w:r>
        <w:rPr>
          <w:rFonts w:asciiTheme="minorHAnsi" w:eastAsiaTheme="minorEastAsia" w:hAnsiTheme="minorHAnsi" w:cstheme="minorBidi"/>
          <w:spacing w:val="0"/>
          <w:sz w:val="22"/>
          <w:szCs w:val="22"/>
        </w:rPr>
        <w:tab/>
      </w:r>
      <w:r>
        <w:t>Communications mergers and acquisitions</w:t>
      </w:r>
      <w:r>
        <w:tab/>
      </w:r>
      <w:r>
        <w:fldChar w:fldCharType="begin"/>
      </w:r>
      <w:r>
        <w:instrText xml:space="preserve"> PAGEREF _Toc433790308 \h </w:instrText>
      </w:r>
      <w:r>
        <w:fldChar w:fldCharType="separate"/>
      </w:r>
      <w:r w:rsidR="007A7220">
        <w:t>28</w:t>
      </w:r>
      <w:r>
        <w:fldChar w:fldCharType="end"/>
      </w:r>
    </w:p>
    <w:p w14:paraId="59FCE98D"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1.6</w:t>
      </w:r>
      <w:r>
        <w:rPr>
          <w:rFonts w:asciiTheme="minorHAnsi" w:eastAsiaTheme="minorEastAsia" w:hAnsiTheme="minorHAnsi" w:cstheme="minorBidi"/>
          <w:spacing w:val="0"/>
          <w:sz w:val="22"/>
          <w:szCs w:val="22"/>
        </w:rPr>
        <w:tab/>
      </w:r>
      <w:r>
        <w:t>Carrier licensing and CSPs</w:t>
      </w:r>
      <w:r>
        <w:tab/>
      </w:r>
      <w:r>
        <w:fldChar w:fldCharType="begin"/>
      </w:r>
      <w:r>
        <w:instrText xml:space="preserve"> PAGEREF _Toc433790309 \h </w:instrText>
      </w:r>
      <w:r>
        <w:fldChar w:fldCharType="separate"/>
      </w:r>
      <w:r w:rsidR="007A7220">
        <w:t>29</w:t>
      </w:r>
      <w:r>
        <w:fldChar w:fldCharType="end"/>
      </w:r>
    </w:p>
    <w:p w14:paraId="5698B4D1"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1.7</w:t>
      </w:r>
      <w:r>
        <w:rPr>
          <w:rFonts w:asciiTheme="minorHAnsi" w:eastAsiaTheme="minorEastAsia" w:hAnsiTheme="minorHAnsi" w:cstheme="minorBidi"/>
          <w:spacing w:val="0"/>
          <w:sz w:val="22"/>
          <w:szCs w:val="22"/>
        </w:rPr>
        <w:tab/>
      </w:r>
      <w:r>
        <w:t>Allocation of numbers</w:t>
      </w:r>
      <w:r>
        <w:tab/>
      </w:r>
      <w:r>
        <w:fldChar w:fldCharType="begin"/>
      </w:r>
      <w:r>
        <w:instrText xml:space="preserve"> PAGEREF _Toc433790310 \h </w:instrText>
      </w:r>
      <w:r>
        <w:fldChar w:fldCharType="separate"/>
      </w:r>
      <w:r w:rsidR="007A7220">
        <w:t>30</w:t>
      </w:r>
      <w:r>
        <w:fldChar w:fldCharType="end"/>
      </w:r>
    </w:p>
    <w:p w14:paraId="3B5D93A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Smartnumbers</w:t>
      </w:r>
      <w:r>
        <w:tab/>
      </w:r>
      <w:r>
        <w:fldChar w:fldCharType="begin"/>
      </w:r>
      <w:r>
        <w:instrText xml:space="preserve"> PAGEREF _Toc433790311 \h </w:instrText>
      </w:r>
      <w:r>
        <w:fldChar w:fldCharType="separate"/>
      </w:r>
      <w:r w:rsidR="007A7220">
        <w:t>30</w:t>
      </w:r>
      <w:r>
        <w:fldChar w:fldCharType="end"/>
      </w:r>
    </w:p>
    <w:p w14:paraId="0FF69D2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Geographic numbers</w:t>
      </w:r>
      <w:r>
        <w:tab/>
      </w:r>
      <w:r>
        <w:fldChar w:fldCharType="begin"/>
      </w:r>
      <w:r>
        <w:instrText xml:space="preserve"> PAGEREF _Toc433790312 \h </w:instrText>
      </w:r>
      <w:r>
        <w:fldChar w:fldCharType="separate"/>
      </w:r>
      <w:r w:rsidR="007A7220">
        <w:t>30</w:t>
      </w:r>
      <w:r>
        <w:fldChar w:fldCharType="end"/>
      </w:r>
    </w:p>
    <w:p w14:paraId="02F7A41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Digital mobile numbers</w:t>
      </w:r>
      <w:r>
        <w:tab/>
      </w:r>
      <w:r>
        <w:fldChar w:fldCharType="begin"/>
      </w:r>
      <w:r>
        <w:instrText xml:space="preserve"> PAGEREF _Toc433790313 \h </w:instrText>
      </w:r>
      <w:r>
        <w:fldChar w:fldCharType="separate"/>
      </w:r>
      <w:r w:rsidR="007A7220">
        <w:t>31</w:t>
      </w:r>
      <w:r>
        <w:fldChar w:fldCharType="end"/>
      </w:r>
    </w:p>
    <w:p w14:paraId="715E74F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Other numbers</w:t>
      </w:r>
      <w:r>
        <w:tab/>
      </w:r>
      <w:r>
        <w:fldChar w:fldCharType="begin"/>
      </w:r>
      <w:r>
        <w:instrText xml:space="preserve"> PAGEREF _Toc433790314 \h </w:instrText>
      </w:r>
      <w:r>
        <w:fldChar w:fldCharType="separate"/>
      </w:r>
      <w:r w:rsidR="007A7220">
        <w:t>31</w:t>
      </w:r>
      <w:r>
        <w:fldChar w:fldCharType="end"/>
      </w:r>
    </w:p>
    <w:p w14:paraId="4FBA48E7"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1.8</w:t>
      </w:r>
      <w:r>
        <w:rPr>
          <w:rFonts w:asciiTheme="minorHAnsi" w:eastAsiaTheme="minorEastAsia" w:hAnsiTheme="minorHAnsi" w:cstheme="minorBidi"/>
          <w:spacing w:val="0"/>
          <w:sz w:val="22"/>
          <w:szCs w:val="22"/>
        </w:rPr>
        <w:tab/>
      </w:r>
      <w:r>
        <w:t>Broadcasting services</w:t>
      </w:r>
      <w:r>
        <w:tab/>
      </w:r>
      <w:r>
        <w:fldChar w:fldCharType="begin"/>
      </w:r>
      <w:r>
        <w:instrText xml:space="preserve"> PAGEREF _Toc433790315 \h </w:instrText>
      </w:r>
      <w:r>
        <w:fldChar w:fldCharType="separate"/>
      </w:r>
      <w:r w:rsidR="007A7220">
        <w:t>31</w:t>
      </w:r>
      <w:r>
        <w:fldChar w:fldCharType="end"/>
      </w:r>
    </w:p>
    <w:p w14:paraId="388BAB99" w14:textId="77777777" w:rsidR="00ED45DF" w:rsidRDefault="00ED45DF" w:rsidP="00FD7E86">
      <w:pPr>
        <w:pStyle w:val="TOC3"/>
        <w:tabs>
          <w:tab w:val="clear" w:pos="7661"/>
          <w:tab w:val="right" w:pos="9072"/>
        </w:tabs>
        <w:ind w:right="425"/>
      </w:pPr>
      <w:r w:rsidRPr="00ED45DF">
        <w:t>Number of broadcasters by segment (radio/television/commercial</w:t>
      </w:r>
      <w:r>
        <w:t>)</w:t>
      </w:r>
      <w:r>
        <w:tab/>
        <w:t>31</w:t>
      </w:r>
    </w:p>
    <w:p w14:paraId="6142D2B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Commercial broadcasting services</w:t>
      </w:r>
      <w:r>
        <w:tab/>
      </w:r>
      <w:r>
        <w:fldChar w:fldCharType="begin"/>
      </w:r>
      <w:r>
        <w:instrText xml:space="preserve"> PAGEREF _Toc433790316 \h </w:instrText>
      </w:r>
      <w:r>
        <w:fldChar w:fldCharType="separate"/>
      </w:r>
      <w:r w:rsidR="007A7220">
        <w:t>32</w:t>
      </w:r>
      <w:r>
        <w:fldChar w:fldCharType="end"/>
      </w:r>
    </w:p>
    <w:p w14:paraId="5B9A90EB" w14:textId="77777777" w:rsidR="00ED45DF" w:rsidRDefault="00ED45DF" w:rsidP="00FD7E86">
      <w:pPr>
        <w:pStyle w:val="TOC3"/>
        <w:tabs>
          <w:tab w:val="clear" w:pos="7661"/>
          <w:tab w:val="right" w:pos="9072"/>
        </w:tabs>
        <w:ind w:right="425"/>
      </w:pPr>
      <w:r w:rsidRPr="00ED45DF">
        <w:t>Ownership and control of commercial television services</w:t>
      </w:r>
      <w:r>
        <w:tab/>
        <w:t>32</w:t>
      </w:r>
    </w:p>
    <w:p w14:paraId="53B66A6D" w14:textId="77777777" w:rsidR="00ED45DF" w:rsidRDefault="00ED45DF" w:rsidP="00FD7E86">
      <w:pPr>
        <w:pStyle w:val="TOC3"/>
        <w:tabs>
          <w:tab w:val="clear" w:pos="7661"/>
          <w:tab w:val="right" w:pos="9072"/>
        </w:tabs>
        <w:ind w:right="425"/>
      </w:pPr>
      <w:r w:rsidRPr="00ED45DF">
        <w:t>Ownership and control of commercial radio services</w:t>
      </w:r>
      <w:r>
        <w:tab/>
        <w:t>33</w:t>
      </w:r>
    </w:p>
    <w:p w14:paraId="181DB66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Cross-media ownership</w:t>
      </w:r>
      <w:r>
        <w:tab/>
      </w:r>
      <w:r>
        <w:fldChar w:fldCharType="begin"/>
      </w:r>
      <w:r>
        <w:instrText xml:space="preserve"> PAGEREF _Toc433790317 \h </w:instrText>
      </w:r>
      <w:r>
        <w:fldChar w:fldCharType="separate"/>
      </w:r>
      <w:r w:rsidR="007A7220">
        <w:t>35</w:t>
      </w:r>
      <w:r>
        <w:fldChar w:fldCharType="end"/>
      </w:r>
    </w:p>
    <w:p w14:paraId="46EA9ED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Subscription television in Australia</w:t>
      </w:r>
      <w:r>
        <w:tab/>
      </w:r>
      <w:r>
        <w:fldChar w:fldCharType="begin"/>
      </w:r>
      <w:r>
        <w:instrText xml:space="preserve"> PAGEREF _Toc433790318 \h </w:instrText>
      </w:r>
      <w:r>
        <w:fldChar w:fldCharType="separate"/>
      </w:r>
      <w:r w:rsidR="007A7220">
        <w:t>36</w:t>
      </w:r>
      <w:r>
        <w:fldChar w:fldCharType="end"/>
      </w:r>
    </w:p>
    <w:p w14:paraId="31DBDA9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Community radio and broadcasting licences</w:t>
      </w:r>
      <w:r>
        <w:tab/>
      </w:r>
      <w:r>
        <w:fldChar w:fldCharType="begin"/>
      </w:r>
      <w:r>
        <w:instrText xml:space="preserve"> PAGEREF _Toc433790319 \h </w:instrText>
      </w:r>
      <w:r>
        <w:fldChar w:fldCharType="separate"/>
      </w:r>
      <w:r w:rsidR="007A7220">
        <w:t>36</w:t>
      </w:r>
      <w:r>
        <w:fldChar w:fldCharType="end"/>
      </w:r>
    </w:p>
    <w:p w14:paraId="5A5DE02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Temporary community radio broadcasting licences</w:t>
      </w:r>
      <w:r>
        <w:tab/>
      </w:r>
      <w:r>
        <w:fldChar w:fldCharType="begin"/>
      </w:r>
      <w:r>
        <w:instrText xml:space="preserve"> PAGEREF _Toc433790320 \h </w:instrText>
      </w:r>
      <w:r>
        <w:fldChar w:fldCharType="separate"/>
      </w:r>
      <w:r w:rsidR="007A7220">
        <w:t>36</w:t>
      </w:r>
      <w:r>
        <w:fldChar w:fldCharType="end"/>
      </w:r>
    </w:p>
    <w:p w14:paraId="5E6DC17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Community television services</w:t>
      </w:r>
      <w:r>
        <w:tab/>
      </w:r>
      <w:r>
        <w:fldChar w:fldCharType="begin"/>
      </w:r>
      <w:r>
        <w:instrText xml:space="preserve"> PAGEREF _Toc433790321 \h </w:instrText>
      </w:r>
      <w:r>
        <w:fldChar w:fldCharType="separate"/>
      </w:r>
      <w:r w:rsidR="007A7220">
        <w:t>36</w:t>
      </w:r>
      <w:r>
        <w:fldChar w:fldCharType="end"/>
      </w:r>
    </w:p>
    <w:p w14:paraId="33A4B985" w14:textId="77777777" w:rsidR="00B530C2" w:rsidRDefault="00B530C2" w:rsidP="00FD7E86">
      <w:pPr>
        <w:pStyle w:val="TOC3"/>
        <w:tabs>
          <w:tab w:val="clear" w:pos="7661"/>
          <w:tab w:val="right" w:pos="9072"/>
        </w:tabs>
        <w:ind w:right="425"/>
      </w:pPr>
      <w:r w:rsidRPr="00B530C2">
        <w:t>Community television transition</w:t>
      </w:r>
      <w:r>
        <w:tab/>
        <w:t>37</w:t>
      </w:r>
    </w:p>
    <w:p w14:paraId="516DE660"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Community television trials</w:t>
      </w:r>
      <w:r>
        <w:tab/>
      </w:r>
      <w:r>
        <w:fldChar w:fldCharType="begin"/>
      </w:r>
      <w:r>
        <w:instrText xml:space="preserve"> PAGEREF _Toc433790322 \h </w:instrText>
      </w:r>
      <w:r>
        <w:fldChar w:fldCharType="separate"/>
      </w:r>
      <w:r w:rsidR="007A7220">
        <w:t>37</w:t>
      </w:r>
      <w:r>
        <w:fldChar w:fldCharType="end"/>
      </w:r>
    </w:p>
    <w:p w14:paraId="002BE08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Advertising expenditure in main media</w:t>
      </w:r>
      <w:r>
        <w:tab/>
      </w:r>
      <w:r>
        <w:fldChar w:fldCharType="begin"/>
      </w:r>
      <w:r>
        <w:instrText xml:space="preserve"> PAGEREF _Toc433790323 \h </w:instrText>
      </w:r>
      <w:r>
        <w:fldChar w:fldCharType="separate"/>
      </w:r>
      <w:r w:rsidR="007A7220">
        <w:t>37</w:t>
      </w:r>
      <w:r>
        <w:fldChar w:fldCharType="end"/>
      </w:r>
    </w:p>
    <w:p w14:paraId="2E511A85"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Chapter 2: Engagement with communications and media</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_Toc433790324 \h </w:instrText>
      </w:r>
      <w:r w:rsidRPr="00FD7E86">
        <w:rPr>
          <w:color w:val="00ADBB" w:themeColor="accent1"/>
        </w:rPr>
      </w:r>
      <w:r w:rsidRPr="00FD7E86">
        <w:rPr>
          <w:color w:val="00ADBB" w:themeColor="accent1"/>
        </w:rPr>
        <w:fldChar w:fldCharType="separate"/>
      </w:r>
      <w:r w:rsidR="007A7220">
        <w:rPr>
          <w:color w:val="00ADBB" w:themeColor="accent1"/>
        </w:rPr>
        <w:t>42</w:t>
      </w:r>
      <w:r w:rsidRPr="00FD7E86">
        <w:rPr>
          <w:color w:val="00ADBB" w:themeColor="accent1"/>
        </w:rPr>
        <w:fldChar w:fldCharType="end"/>
      </w:r>
    </w:p>
    <w:p w14:paraId="78732FBD"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Overview</w:t>
      </w:r>
      <w:r>
        <w:tab/>
      </w:r>
      <w:r>
        <w:fldChar w:fldCharType="begin"/>
      </w:r>
      <w:r>
        <w:instrText xml:space="preserve"> PAGEREF _Toc433790325 \h </w:instrText>
      </w:r>
      <w:r>
        <w:fldChar w:fldCharType="separate"/>
      </w:r>
      <w:r w:rsidR="007A7220">
        <w:t>42</w:t>
      </w:r>
      <w:r>
        <w:fldChar w:fldCharType="end"/>
      </w:r>
    </w:p>
    <w:p w14:paraId="75FB6290"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Consumer take-up of communications services</w:t>
      </w:r>
      <w:r>
        <w:tab/>
      </w:r>
      <w:r>
        <w:fldChar w:fldCharType="begin"/>
      </w:r>
      <w:r>
        <w:instrText xml:space="preserve"> PAGEREF _Toc433790326 \h </w:instrText>
      </w:r>
      <w:r>
        <w:fldChar w:fldCharType="separate"/>
      </w:r>
      <w:r w:rsidR="007A7220">
        <w:t>43</w:t>
      </w:r>
      <w:r>
        <w:fldChar w:fldCharType="end"/>
      </w:r>
    </w:p>
    <w:p w14:paraId="480126B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Connectivity—take-up of the internet</w:t>
      </w:r>
      <w:r>
        <w:tab/>
      </w:r>
      <w:r>
        <w:fldChar w:fldCharType="begin"/>
      </w:r>
      <w:r>
        <w:instrText xml:space="preserve"> PAGEREF _Toc433790327 \h </w:instrText>
      </w:r>
      <w:r>
        <w:fldChar w:fldCharType="separate"/>
      </w:r>
      <w:r w:rsidR="007A7220">
        <w:t>43</w:t>
      </w:r>
      <w:r>
        <w:fldChar w:fldCharType="end"/>
      </w:r>
    </w:p>
    <w:p w14:paraId="6F375D2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Offline Australians</w:t>
      </w:r>
      <w:r>
        <w:tab/>
      </w:r>
      <w:r>
        <w:fldChar w:fldCharType="begin"/>
      </w:r>
      <w:r>
        <w:instrText xml:space="preserve"> PAGEREF _Toc433790328 \h </w:instrText>
      </w:r>
      <w:r>
        <w:fldChar w:fldCharType="separate"/>
      </w:r>
      <w:r w:rsidR="007A7220">
        <w:t>44</w:t>
      </w:r>
      <w:r>
        <w:fldChar w:fldCharType="end"/>
      </w:r>
    </w:p>
    <w:p w14:paraId="39FD61C2"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2.3</w:t>
      </w:r>
      <w:r>
        <w:rPr>
          <w:rFonts w:asciiTheme="minorHAnsi" w:eastAsiaTheme="minorEastAsia" w:hAnsiTheme="minorHAnsi" w:cstheme="minorBidi"/>
          <w:spacing w:val="0"/>
          <w:sz w:val="22"/>
          <w:szCs w:val="22"/>
        </w:rPr>
        <w:tab/>
      </w:r>
      <w:r>
        <w:t>Accessing communications services</w:t>
      </w:r>
      <w:r>
        <w:tab/>
      </w:r>
      <w:r>
        <w:fldChar w:fldCharType="begin"/>
      </w:r>
      <w:r>
        <w:instrText xml:space="preserve"> PAGEREF _Toc433790329 \h </w:instrText>
      </w:r>
      <w:r>
        <w:fldChar w:fldCharType="separate"/>
      </w:r>
      <w:r w:rsidR="007A7220">
        <w:t>44</w:t>
      </w:r>
      <w:r>
        <w:fldChar w:fldCharType="end"/>
      </w:r>
    </w:p>
    <w:p w14:paraId="489C192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Variety of internet access devices</w:t>
      </w:r>
      <w:r>
        <w:tab/>
      </w:r>
      <w:r>
        <w:fldChar w:fldCharType="begin"/>
      </w:r>
      <w:r>
        <w:instrText xml:space="preserve"> PAGEREF _Toc433790330 \h </w:instrText>
      </w:r>
      <w:r>
        <w:fldChar w:fldCharType="separate"/>
      </w:r>
      <w:r w:rsidR="007A7220">
        <w:t>44</w:t>
      </w:r>
      <w:r>
        <w:fldChar w:fldCharType="end"/>
      </w:r>
    </w:p>
    <w:p w14:paraId="277CF60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lastRenderedPageBreak/>
        <w:t>Diversification of consumer internet access devices</w:t>
      </w:r>
      <w:r>
        <w:tab/>
      </w:r>
      <w:r>
        <w:fldChar w:fldCharType="begin"/>
      </w:r>
      <w:r>
        <w:instrText xml:space="preserve"> PAGEREF _Toc433790331 \h </w:instrText>
      </w:r>
      <w:r>
        <w:fldChar w:fldCharType="separate"/>
      </w:r>
      <w:r w:rsidR="007A7220">
        <w:t>45</w:t>
      </w:r>
      <w:r>
        <w:fldChar w:fldCharType="end"/>
      </w:r>
    </w:p>
    <w:p w14:paraId="7FF7721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Volume of data downloaded continues to increase</w:t>
      </w:r>
      <w:r>
        <w:tab/>
      </w:r>
      <w:r>
        <w:fldChar w:fldCharType="begin"/>
      </w:r>
      <w:r>
        <w:instrText xml:space="preserve"> PAGEREF _Toc433790332 \h </w:instrText>
      </w:r>
      <w:r>
        <w:fldChar w:fldCharType="separate"/>
      </w:r>
      <w:r w:rsidR="007A7220">
        <w:t>47</w:t>
      </w:r>
      <w:r>
        <w:fldChar w:fldCharType="end"/>
      </w:r>
    </w:p>
    <w:p w14:paraId="52E0A66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Data allowance—mobile and tablet</w:t>
      </w:r>
      <w:r>
        <w:tab/>
      </w:r>
      <w:r>
        <w:fldChar w:fldCharType="begin"/>
      </w:r>
      <w:r>
        <w:instrText xml:space="preserve"> PAGEREF _Toc433790333 \h </w:instrText>
      </w:r>
      <w:r>
        <w:fldChar w:fldCharType="separate"/>
      </w:r>
      <w:r w:rsidR="007A7220">
        <w:t>48</w:t>
      </w:r>
      <w:r>
        <w:fldChar w:fldCharType="end"/>
      </w:r>
    </w:p>
    <w:p w14:paraId="0F5BE921"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Frequency of internet use</w:t>
      </w:r>
      <w:r>
        <w:tab/>
      </w:r>
      <w:r>
        <w:fldChar w:fldCharType="begin"/>
      </w:r>
      <w:r>
        <w:instrText xml:space="preserve"> PAGEREF _Toc433790334 \h </w:instrText>
      </w:r>
      <w:r>
        <w:fldChar w:fldCharType="separate"/>
      </w:r>
      <w:r w:rsidR="007A7220">
        <w:t>49</w:t>
      </w:r>
      <w:r>
        <w:fldChar w:fldCharType="end"/>
      </w:r>
    </w:p>
    <w:p w14:paraId="540B3D3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Australians’ diverse use of communications services</w:t>
      </w:r>
      <w:r>
        <w:tab/>
      </w:r>
      <w:r>
        <w:fldChar w:fldCharType="begin"/>
      </w:r>
      <w:r>
        <w:instrText xml:space="preserve"> PAGEREF _Toc433790335 \h </w:instrText>
      </w:r>
      <w:r>
        <w:fldChar w:fldCharType="separate"/>
      </w:r>
      <w:r w:rsidR="007A7220">
        <w:t>50</w:t>
      </w:r>
      <w:r>
        <w:fldChar w:fldCharType="end"/>
      </w:r>
    </w:p>
    <w:p w14:paraId="4E37BFC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Mobile-only users</w:t>
      </w:r>
      <w:r>
        <w:tab/>
      </w:r>
      <w:r>
        <w:fldChar w:fldCharType="begin"/>
      </w:r>
      <w:r>
        <w:instrText xml:space="preserve"> PAGEREF _Toc433790336 \h </w:instrText>
      </w:r>
      <w:r>
        <w:fldChar w:fldCharType="separate"/>
      </w:r>
      <w:r w:rsidR="007A7220">
        <w:t>52</w:t>
      </w:r>
      <w:r>
        <w:fldChar w:fldCharType="end"/>
      </w:r>
    </w:p>
    <w:p w14:paraId="4BC5A8A9"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2.4</w:t>
      </w:r>
      <w:r>
        <w:rPr>
          <w:rFonts w:asciiTheme="minorHAnsi" w:eastAsiaTheme="minorEastAsia" w:hAnsiTheme="minorHAnsi" w:cstheme="minorBidi"/>
          <w:spacing w:val="0"/>
          <w:sz w:val="22"/>
          <w:szCs w:val="22"/>
        </w:rPr>
        <w:tab/>
      </w:r>
      <w:r>
        <w:t>Use of communications services</w:t>
      </w:r>
      <w:r>
        <w:tab/>
      </w:r>
      <w:r>
        <w:fldChar w:fldCharType="begin"/>
      </w:r>
      <w:r>
        <w:instrText xml:space="preserve"> PAGEREF _Toc433790337 \h </w:instrText>
      </w:r>
      <w:r>
        <w:fldChar w:fldCharType="separate"/>
      </w:r>
      <w:r w:rsidR="007A7220">
        <w:t>52</w:t>
      </w:r>
      <w:r>
        <w:fldChar w:fldCharType="end"/>
      </w:r>
    </w:p>
    <w:p w14:paraId="78E4340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Social networking activities</w:t>
      </w:r>
      <w:r>
        <w:tab/>
      </w:r>
      <w:r>
        <w:fldChar w:fldCharType="begin"/>
      </w:r>
      <w:r>
        <w:instrText xml:space="preserve"> PAGEREF _Toc433790338 \h </w:instrText>
      </w:r>
      <w:r>
        <w:fldChar w:fldCharType="separate"/>
      </w:r>
      <w:r w:rsidR="007A7220">
        <w:t>52</w:t>
      </w:r>
      <w:r>
        <w:fldChar w:fldCharType="end"/>
      </w:r>
    </w:p>
    <w:p w14:paraId="65AD128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Communications apps</w:t>
      </w:r>
      <w:r>
        <w:tab/>
      </w:r>
      <w:r>
        <w:fldChar w:fldCharType="begin"/>
      </w:r>
      <w:r>
        <w:instrText xml:space="preserve"> PAGEREF _Toc433790339 \h </w:instrText>
      </w:r>
      <w:r>
        <w:fldChar w:fldCharType="separate"/>
      </w:r>
      <w:r w:rsidR="007A7220">
        <w:t>53</w:t>
      </w:r>
      <w:r>
        <w:fldChar w:fldCharType="end"/>
      </w:r>
    </w:p>
    <w:p w14:paraId="3BAD06E2" w14:textId="77777777" w:rsidR="00ED45DF" w:rsidRDefault="00ED45DF" w:rsidP="00FD7E86">
      <w:pPr>
        <w:pStyle w:val="TOC3"/>
        <w:tabs>
          <w:tab w:val="clear" w:pos="7661"/>
          <w:tab w:val="right" w:pos="9072"/>
        </w:tabs>
        <w:ind w:right="425"/>
      </w:pPr>
      <w:r w:rsidRPr="00ED45DF">
        <w:t xml:space="preserve">What communications apps are in use? </w:t>
      </w:r>
      <w:r>
        <w:tab/>
        <w:t>54</w:t>
      </w:r>
    </w:p>
    <w:p w14:paraId="77EDE244" w14:textId="77777777" w:rsidR="00ED45DF" w:rsidRDefault="00ED45DF" w:rsidP="00FD7E86">
      <w:pPr>
        <w:pStyle w:val="TOC3"/>
        <w:tabs>
          <w:tab w:val="clear" w:pos="7661"/>
          <w:tab w:val="right" w:pos="9072"/>
        </w:tabs>
        <w:ind w:right="425"/>
      </w:pPr>
      <w:r w:rsidRPr="00ED45DF">
        <w:t>What devices are used for apps?</w:t>
      </w:r>
      <w:r>
        <w:tab/>
        <w:t>55</w:t>
      </w:r>
    </w:p>
    <w:p w14:paraId="7C0E468E" w14:textId="77777777" w:rsidR="00FD7E86" w:rsidRDefault="00FD7E86" w:rsidP="00FD7E86">
      <w:pPr>
        <w:pStyle w:val="TOC3"/>
        <w:tabs>
          <w:tab w:val="clear" w:pos="7661"/>
          <w:tab w:val="right" w:pos="9072"/>
        </w:tabs>
        <w:ind w:right="425"/>
      </w:pPr>
      <w:r>
        <w:t>Performing activities online</w:t>
      </w:r>
      <w:r>
        <w:tab/>
      </w:r>
      <w:r>
        <w:fldChar w:fldCharType="begin"/>
      </w:r>
      <w:r>
        <w:instrText xml:space="preserve"> PAGEREF _Toc433790340 \h </w:instrText>
      </w:r>
      <w:r>
        <w:fldChar w:fldCharType="separate"/>
      </w:r>
      <w:r w:rsidR="007A7220">
        <w:t>56</w:t>
      </w:r>
      <w:r>
        <w:fldChar w:fldCharType="end"/>
      </w:r>
    </w:p>
    <w:p w14:paraId="4AB5BF87" w14:textId="77777777" w:rsidR="00ED45DF" w:rsidRDefault="00ED45DF" w:rsidP="00ED45DF">
      <w:pPr>
        <w:pStyle w:val="TOC3"/>
        <w:tabs>
          <w:tab w:val="clear" w:pos="7661"/>
          <w:tab w:val="right" w:pos="9072"/>
        </w:tabs>
        <w:ind w:right="425"/>
      </w:pPr>
      <w:r w:rsidRPr="00ED45DF">
        <w:t>Online audio and video</w:t>
      </w:r>
      <w:r>
        <w:tab/>
        <w:t>57</w:t>
      </w:r>
    </w:p>
    <w:p w14:paraId="39818751" w14:textId="77777777" w:rsidR="00ED45DF" w:rsidRDefault="00ED45DF" w:rsidP="00ED45DF">
      <w:pPr>
        <w:pStyle w:val="TOC3"/>
        <w:tabs>
          <w:tab w:val="clear" w:pos="7661"/>
          <w:tab w:val="right" w:pos="9072"/>
        </w:tabs>
        <w:ind w:right="425"/>
      </w:pPr>
      <w:r w:rsidRPr="00ED45DF">
        <w:t>Growth in e-commerce activity</w:t>
      </w:r>
      <w:r>
        <w:tab/>
        <w:t>58</w:t>
      </w:r>
    </w:p>
    <w:p w14:paraId="39311022" w14:textId="77777777" w:rsidR="00ED45DF" w:rsidRPr="00ED45DF" w:rsidRDefault="00ED45DF" w:rsidP="007E0A93">
      <w:pPr>
        <w:pStyle w:val="TOC3"/>
        <w:tabs>
          <w:tab w:val="clear" w:pos="7661"/>
          <w:tab w:val="right" w:pos="9072"/>
        </w:tabs>
        <w:ind w:right="425"/>
      </w:pPr>
      <w:r w:rsidRPr="00ED45DF">
        <w:t>Online buying, selling and shopping</w:t>
      </w:r>
      <w:r w:rsidR="007E0A93">
        <w:tab/>
        <w:t>58</w:t>
      </w:r>
    </w:p>
    <w:p w14:paraId="2A44BCCC"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2.5</w:t>
      </w:r>
      <w:r>
        <w:rPr>
          <w:rFonts w:asciiTheme="minorHAnsi" w:eastAsiaTheme="minorEastAsia" w:hAnsiTheme="minorHAnsi" w:cstheme="minorBidi"/>
          <w:spacing w:val="0"/>
          <w:sz w:val="22"/>
          <w:szCs w:val="22"/>
        </w:rPr>
        <w:tab/>
      </w:r>
      <w:r>
        <w:t>Consumer satisfaction with communications services</w:t>
      </w:r>
      <w:r>
        <w:tab/>
      </w:r>
      <w:r>
        <w:fldChar w:fldCharType="begin"/>
      </w:r>
      <w:r>
        <w:instrText xml:space="preserve"> PAGEREF _Toc433790341 \h </w:instrText>
      </w:r>
      <w:r>
        <w:fldChar w:fldCharType="separate"/>
      </w:r>
      <w:r w:rsidR="007A7220">
        <w:t>59</w:t>
      </w:r>
      <w:r>
        <w:fldChar w:fldCharType="end"/>
      </w:r>
    </w:p>
    <w:p w14:paraId="2A0BACC9"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2.6</w:t>
      </w:r>
      <w:r>
        <w:rPr>
          <w:rFonts w:asciiTheme="minorHAnsi" w:eastAsiaTheme="minorEastAsia" w:hAnsiTheme="minorHAnsi" w:cstheme="minorBidi"/>
          <w:spacing w:val="0"/>
          <w:sz w:val="22"/>
          <w:szCs w:val="22"/>
        </w:rPr>
        <w:tab/>
      </w:r>
      <w:r>
        <w:t>International trends</w:t>
      </w:r>
      <w:r>
        <w:tab/>
      </w:r>
      <w:r>
        <w:fldChar w:fldCharType="begin"/>
      </w:r>
      <w:r>
        <w:instrText xml:space="preserve"> PAGEREF _Toc433790342 \h </w:instrText>
      </w:r>
      <w:r>
        <w:fldChar w:fldCharType="separate"/>
      </w:r>
      <w:r w:rsidR="007A7220">
        <w:t>62</w:t>
      </w:r>
      <w:r>
        <w:fldChar w:fldCharType="end"/>
      </w:r>
    </w:p>
    <w:p w14:paraId="1CF06A3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Communications services</w:t>
      </w:r>
      <w:r>
        <w:tab/>
      </w:r>
      <w:r>
        <w:fldChar w:fldCharType="begin"/>
      </w:r>
      <w:r>
        <w:instrText xml:space="preserve"> PAGEREF _Toc433790343 \h </w:instrText>
      </w:r>
      <w:r>
        <w:fldChar w:fldCharType="separate"/>
      </w:r>
      <w:r w:rsidR="007A7220">
        <w:t>62</w:t>
      </w:r>
      <w:r>
        <w:fldChar w:fldCharType="end"/>
      </w:r>
    </w:p>
    <w:p w14:paraId="4E27BFF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Access to the internet</w:t>
      </w:r>
      <w:r>
        <w:tab/>
      </w:r>
      <w:r>
        <w:fldChar w:fldCharType="begin"/>
      </w:r>
      <w:r>
        <w:instrText xml:space="preserve"> PAGEREF _Toc433790344 \h </w:instrText>
      </w:r>
      <w:r>
        <w:fldChar w:fldCharType="separate"/>
      </w:r>
      <w:r w:rsidR="007A7220">
        <w:t>62</w:t>
      </w:r>
      <w:r>
        <w:fldChar w:fldCharType="end"/>
      </w:r>
    </w:p>
    <w:p w14:paraId="65FBFD2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Internet access devices</w:t>
      </w:r>
      <w:r>
        <w:tab/>
      </w:r>
      <w:r>
        <w:fldChar w:fldCharType="begin"/>
      </w:r>
      <w:r>
        <w:instrText xml:space="preserve"> PAGEREF _Toc433790345 \h </w:instrText>
      </w:r>
      <w:r>
        <w:fldChar w:fldCharType="separate"/>
      </w:r>
      <w:r w:rsidR="007A7220">
        <w:t>63</w:t>
      </w:r>
      <w:r>
        <w:fldChar w:fldCharType="end"/>
      </w:r>
    </w:p>
    <w:p w14:paraId="0F2AE71C"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Activities performed online</w:t>
      </w:r>
      <w:r>
        <w:tab/>
      </w:r>
      <w:r>
        <w:fldChar w:fldCharType="begin"/>
      </w:r>
      <w:r>
        <w:instrText xml:space="preserve"> PAGEREF _Toc433790346 \h </w:instrText>
      </w:r>
      <w:r>
        <w:fldChar w:fldCharType="separate"/>
      </w:r>
      <w:r w:rsidR="007A7220">
        <w:t>63</w:t>
      </w:r>
      <w:r>
        <w:fldChar w:fldCharType="end"/>
      </w:r>
    </w:p>
    <w:p w14:paraId="7BF0C3E8"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Chapter 3: Television, radio and online content developments</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_Toc433790347 \h </w:instrText>
      </w:r>
      <w:r w:rsidRPr="00FD7E86">
        <w:rPr>
          <w:color w:val="00ADBB" w:themeColor="accent1"/>
        </w:rPr>
      </w:r>
      <w:r w:rsidRPr="00FD7E86">
        <w:rPr>
          <w:color w:val="00ADBB" w:themeColor="accent1"/>
        </w:rPr>
        <w:fldChar w:fldCharType="separate"/>
      </w:r>
      <w:r w:rsidR="007A7220">
        <w:rPr>
          <w:color w:val="00ADBB" w:themeColor="accent1"/>
        </w:rPr>
        <w:t>66</w:t>
      </w:r>
      <w:r w:rsidRPr="00FD7E86">
        <w:rPr>
          <w:color w:val="00ADBB" w:themeColor="accent1"/>
        </w:rPr>
        <w:fldChar w:fldCharType="end"/>
      </w:r>
    </w:p>
    <w:p w14:paraId="5E9897F6"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Overview</w:t>
      </w:r>
      <w:r>
        <w:tab/>
      </w:r>
      <w:r>
        <w:fldChar w:fldCharType="begin"/>
      </w:r>
      <w:r>
        <w:instrText xml:space="preserve"> PAGEREF _Toc433790348 \h </w:instrText>
      </w:r>
      <w:r>
        <w:fldChar w:fldCharType="separate"/>
      </w:r>
      <w:r w:rsidR="007A7220">
        <w:t>66</w:t>
      </w:r>
      <w:r>
        <w:fldChar w:fldCharType="end"/>
      </w:r>
    </w:p>
    <w:p w14:paraId="1F0A9BCD"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Audio content</w:t>
      </w:r>
      <w:r>
        <w:tab/>
      </w:r>
      <w:r>
        <w:fldChar w:fldCharType="begin"/>
      </w:r>
      <w:r>
        <w:instrText xml:space="preserve"> PAGEREF _Toc433790349 \h </w:instrText>
      </w:r>
      <w:r>
        <w:fldChar w:fldCharType="separate"/>
      </w:r>
      <w:r w:rsidR="007A7220">
        <w:t>67</w:t>
      </w:r>
      <w:r>
        <w:fldChar w:fldCharType="end"/>
      </w:r>
    </w:p>
    <w:p w14:paraId="7507BC5E"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Radio—traditional and audio streaming</w:t>
      </w:r>
      <w:r>
        <w:tab/>
      </w:r>
      <w:r>
        <w:fldChar w:fldCharType="begin"/>
      </w:r>
      <w:r>
        <w:instrText xml:space="preserve"> PAGEREF _Toc433790350 \h </w:instrText>
      </w:r>
      <w:r>
        <w:fldChar w:fldCharType="separate"/>
      </w:r>
      <w:r w:rsidR="007A7220">
        <w:t>67</w:t>
      </w:r>
      <w:r>
        <w:fldChar w:fldCharType="end"/>
      </w:r>
    </w:p>
    <w:p w14:paraId="44D26B7E"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Reach of radio</w:t>
      </w:r>
      <w:r>
        <w:tab/>
      </w:r>
      <w:r>
        <w:fldChar w:fldCharType="begin"/>
      </w:r>
      <w:r>
        <w:instrText xml:space="preserve"> PAGEREF _Toc433790351 \h </w:instrText>
      </w:r>
      <w:r>
        <w:fldChar w:fldCharType="separate"/>
      </w:r>
      <w:r w:rsidR="007A7220">
        <w:t>67</w:t>
      </w:r>
      <w:r>
        <w:fldChar w:fldCharType="end"/>
      </w:r>
    </w:p>
    <w:p w14:paraId="577298AA"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Video content</w:t>
      </w:r>
      <w:r>
        <w:tab/>
      </w:r>
      <w:r>
        <w:fldChar w:fldCharType="begin"/>
      </w:r>
      <w:r>
        <w:instrText xml:space="preserve"> PAGEREF _Toc433790352 \h </w:instrText>
      </w:r>
      <w:r>
        <w:fldChar w:fldCharType="separate"/>
      </w:r>
      <w:r w:rsidR="007A7220">
        <w:t>67</w:t>
      </w:r>
      <w:r>
        <w:fldChar w:fldCharType="end"/>
      </w:r>
    </w:p>
    <w:p w14:paraId="62578E11"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Household television sets</w:t>
      </w:r>
      <w:r>
        <w:tab/>
      </w:r>
      <w:r>
        <w:fldChar w:fldCharType="begin"/>
      </w:r>
      <w:r>
        <w:instrText xml:space="preserve"> PAGEREF _Toc433790353 \h </w:instrText>
      </w:r>
      <w:r>
        <w:fldChar w:fldCharType="separate"/>
      </w:r>
      <w:r w:rsidR="007A7220">
        <w:t>68</w:t>
      </w:r>
      <w:r>
        <w:fldChar w:fldCharType="end"/>
      </w:r>
    </w:p>
    <w:p w14:paraId="53F219FC"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Reach of broadcast television</w:t>
      </w:r>
      <w:r>
        <w:tab/>
      </w:r>
      <w:r>
        <w:fldChar w:fldCharType="begin"/>
      </w:r>
      <w:r>
        <w:instrText xml:space="preserve"> PAGEREF _Toc433790354 \h </w:instrText>
      </w:r>
      <w:r>
        <w:fldChar w:fldCharType="separate"/>
      </w:r>
      <w:r w:rsidR="007A7220">
        <w:t>68</w:t>
      </w:r>
      <w:r>
        <w:fldChar w:fldCharType="end"/>
      </w:r>
    </w:p>
    <w:p w14:paraId="09DBC36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Time spent watching television and online content</w:t>
      </w:r>
      <w:r>
        <w:tab/>
      </w:r>
      <w:r>
        <w:fldChar w:fldCharType="begin"/>
      </w:r>
      <w:r>
        <w:instrText xml:space="preserve"> PAGEREF _Toc433790355 \h </w:instrText>
      </w:r>
      <w:r>
        <w:fldChar w:fldCharType="separate"/>
      </w:r>
      <w:r w:rsidR="007A7220">
        <w:t>68</w:t>
      </w:r>
      <w:r>
        <w:fldChar w:fldCharType="end"/>
      </w:r>
    </w:p>
    <w:p w14:paraId="4EE3D44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Types of activities and devices used</w:t>
      </w:r>
      <w:r>
        <w:tab/>
      </w:r>
      <w:r>
        <w:fldChar w:fldCharType="begin"/>
      </w:r>
      <w:r>
        <w:instrText xml:space="preserve"> PAGEREF _Toc433790356 \h </w:instrText>
      </w:r>
      <w:r>
        <w:fldChar w:fldCharType="separate"/>
      </w:r>
      <w:r w:rsidR="007A7220">
        <w:t>69</w:t>
      </w:r>
      <w:r>
        <w:fldChar w:fldCharType="end"/>
      </w:r>
    </w:p>
    <w:p w14:paraId="155398CA"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Internet video</w:t>
      </w:r>
      <w:r>
        <w:tab/>
      </w:r>
      <w:r>
        <w:fldChar w:fldCharType="begin"/>
      </w:r>
      <w:r>
        <w:instrText xml:space="preserve"> PAGEREF _Toc433790357 \h </w:instrText>
      </w:r>
      <w:r>
        <w:fldChar w:fldCharType="separate"/>
      </w:r>
      <w:r w:rsidR="007A7220">
        <w:t>70</w:t>
      </w:r>
      <w:r>
        <w:fldChar w:fldCharType="end"/>
      </w:r>
    </w:p>
    <w:p w14:paraId="43192D90"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Subscription video on demand (SVOD)</w:t>
      </w:r>
      <w:r>
        <w:tab/>
      </w:r>
      <w:r>
        <w:fldChar w:fldCharType="begin"/>
      </w:r>
      <w:r>
        <w:instrText xml:space="preserve"> PAGEREF _Toc433790358 \h </w:instrText>
      </w:r>
      <w:r>
        <w:fldChar w:fldCharType="separate"/>
      </w:r>
      <w:r w:rsidR="007A7220">
        <w:t>71</w:t>
      </w:r>
      <w:r>
        <w:fldChar w:fldCharType="end"/>
      </w:r>
    </w:p>
    <w:p w14:paraId="37F5BF4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lastRenderedPageBreak/>
        <w:t>Viewing online video services</w:t>
      </w:r>
      <w:r>
        <w:tab/>
      </w:r>
      <w:r>
        <w:fldChar w:fldCharType="begin"/>
      </w:r>
      <w:r>
        <w:instrText xml:space="preserve"> PAGEREF _Toc433790359 \h </w:instrText>
      </w:r>
      <w:r>
        <w:fldChar w:fldCharType="separate"/>
      </w:r>
      <w:r w:rsidR="007A7220">
        <w:t>72</w:t>
      </w:r>
      <w:r>
        <w:fldChar w:fldCharType="end"/>
      </w:r>
    </w:p>
    <w:p w14:paraId="69B8226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Content choice and other benefits</w:t>
      </w:r>
      <w:r>
        <w:tab/>
      </w:r>
      <w:r>
        <w:fldChar w:fldCharType="begin"/>
      </w:r>
      <w:r>
        <w:instrText xml:space="preserve"> PAGEREF _Toc433790360 \h </w:instrText>
      </w:r>
      <w:r>
        <w:fldChar w:fldCharType="separate"/>
      </w:r>
      <w:r w:rsidR="007A7220">
        <w:t>73</w:t>
      </w:r>
      <w:r>
        <w:fldChar w:fldCharType="end"/>
      </w:r>
    </w:p>
    <w:p w14:paraId="580D46F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Technical experience</w:t>
      </w:r>
      <w:r>
        <w:tab/>
      </w:r>
      <w:r>
        <w:fldChar w:fldCharType="begin"/>
      </w:r>
      <w:r>
        <w:instrText xml:space="preserve"> PAGEREF _Toc433790361 \h </w:instrText>
      </w:r>
      <w:r>
        <w:fldChar w:fldCharType="separate"/>
      </w:r>
      <w:r w:rsidR="007A7220">
        <w:t>74</w:t>
      </w:r>
      <w:r>
        <w:fldChar w:fldCharType="end"/>
      </w:r>
    </w:p>
    <w:p w14:paraId="1068B21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Who is watching online?</w:t>
      </w:r>
      <w:r>
        <w:tab/>
      </w:r>
      <w:r>
        <w:fldChar w:fldCharType="begin"/>
      </w:r>
      <w:r>
        <w:instrText xml:space="preserve"> PAGEREF _Toc433790362 \h </w:instrText>
      </w:r>
      <w:r>
        <w:fldChar w:fldCharType="separate"/>
      </w:r>
      <w:r w:rsidR="007A7220">
        <w:t>76</w:t>
      </w:r>
      <w:r>
        <w:fldChar w:fldCharType="end"/>
      </w:r>
    </w:p>
    <w:p w14:paraId="1B8440CC"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Streaming video through a specialised device</w:t>
      </w:r>
      <w:r>
        <w:tab/>
      </w:r>
      <w:r>
        <w:fldChar w:fldCharType="begin"/>
      </w:r>
      <w:r>
        <w:instrText xml:space="preserve"> PAGEREF _Toc433790363 \h </w:instrText>
      </w:r>
      <w:r>
        <w:fldChar w:fldCharType="separate"/>
      </w:r>
      <w:r w:rsidR="007A7220">
        <w:t>76</w:t>
      </w:r>
      <w:r>
        <w:fldChar w:fldCharType="end"/>
      </w:r>
    </w:p>
    <w:p w14:paraId="3BB686EF"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International trends</w:t>
      </w:r>
      <w:r>
        <w:tab/>
      </w:r>
      <w:r>
        <w:fldChar w:fldCharType="begin"/>
      </w:r>
      <w:r>
        <w:instrText xml:space="preserve"> PAGEREF _Toc433790364 \h </w:instrText>
      </w:r>
      <w:r>
        <w:fldChar w:fldCharType="separate"/>
      </w:r>
      <w:r w:rsidR="007A7220">
        <w:t>76</w:t>
      </w:r>
      <w:r>
        <w:fldChar w:fldCharType="end"/>
      </w:r>
    </w:p>
    <w:p w14:paraId="64635AD6"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Online news services</w:t>
      </w:r>
      <w:r>
        <w:tab/>
      </w:r>
      <w:r>
        <w:fldChar w:fldCharType="begin"/>
      </w:r>
      <w:r>
        <w:instrText xml:space="preserve"> PAGEREF _Toc433790365 \h </w:instrText>
      </w:r>
      <w:r>
        <w:fldChar w:fldCharType="separate"/>
      </w:r>
      <w:r w:rsidR="007A7220">
        <w:t>77</w:t>
      </w:r>
      <w:r>
        <w:fldChar w:fldCharType="end"/>
      </w:r>
    </w:p>
    <w:p w14:paraId="52A09FA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Broadcasting in Australia</w:t>
      </w:r>
      <w:r>
        <w:tab/>
      </w:r>
      <w:r>
        <w:fldChar w:fldCharType="begin"/>
      </w:r>
      <w:r>
        <w:instrText xml:space="preserve"> PAGEREF _Toc433790366 \h </w:instrText>
      </w:r>
      <w:r>
        <w:fldChar w:fldCharType="separate"/>
      </w:r>
      <w:r w:rsidR="007A7220">
        <w:t>77</w:t>
      </w:r>
      <w:r>
        <w:fldChar w:fldCharType="end"/>
      </w:r>
    </w:p>
    <w:p w14:paraId="771AAB2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Australian content</w:t>
      </w:r>
      <w:r>
        <w:tab/>
      </w:r>
      <w:r>
        <w:fldChar w:fldCharType="begin"/>
      </w:r>
      <w:r>
        <w:instrText xml:space="preserve"> PAGEREF _Toc433790367 \h </w:instrText>
      </w:r>
      <w:r>
        <w:fldChar w:fldCharType="separate"/>
      </w:r>
      <w:r w:rsidR="007A7220">
        <w:t>77</w:t>
      </w:r>
      <w:r>
        <w:fldChar w:fldCharType="end"/>
      </w:r>
    </w:p>
    <w:p w14:paraId="5525DCC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Children’s programs on commercial television</w:t>
      </w:r>
      <w:r>
        <w:tab/>
      </w:r>
      <w:r>
        <w:fldChar w:fldCharType="begin"/>
      </w:r>
      <w:r>
        <w:instrText xml:space="preserve"> PAGEREF _Toc433790368 \h </w:instrText>
      </w:r>
      <w:r>
        <w:fldChar w:fldCharType="separate"/>
      </w:r>
      <w:r w:rsidR="007A7220">
        <w:t>78</w:t>
      </w:r>
      <w:r>
        <w:fldChar w:fldCharType="end"/>
      </w:r>
    </w:p>
    <w:p w14:paraId="28947D4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Subscription television drama expenditure</w:t>
      </w:r>
      <w:r>
        <w:tab/>
      </w:r>
      <w:r>
        <w:fldChar w:fldCharType="begin"/>
      </w:r>
      <w:r>
        <w:instrText xml:space="preserve"> PAGEREF _Toc433790369 \h </w:instrText>
      </w:r>
      <w:r>
        <w:fldChar w:fldCharType="separate"/>
      </w:r>
      <w:r w:rsidR="007A7220">
        <w:t>79</w:t>
      </w:r>
      <w:r>
        <w:fldChar w:fldCharType="end"/>
      </w:r>
    </w:p>
    <w:p w14:paraId="6396568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Captioning</w:t>
      </w:r>
      <w:r>
        <w:tab/>
      </w:r>
      <w:r>
        <w:fldChar w:fldCharType="begin"/>
      </w:r>
      <w:r>
        <w:instrText xml:space="preserve"> PAGEREF _Toc433790370 \h </w:instrText>
      </w:r>
      <w:r>
        <w:fldChar w:fldCharType="separate"/>
      </w:r>
      <w:r w:rsidR="007A7220">
        <w:t>80</w:t>
      </w:r>
      <w:r>
        <w:fldChar w:fldCharType="end"/>
      </w:r>
    </w:p>
    <w:p w14:paraId="1982FF3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Notification of changes in control</w:t>
      </w:r>
      <w:r>
        <w:tab/>
      </w:r>
      <w:r>
        <w:fldChar w:fldCharType="begin"/>
      </w:r>
      <w:r>
        <w:instrText xml:space="preserve"> PAGEREF _Toc433790371 \h </w:instrText>
      </w:r>
      <w:r>
        <w:fldChar w:fldCharType="separate"/>
      </w:r>
      <w:r w:rsidR="007A7220">
        <w:t>82</w:t>
      </w:r>
      <w:r>
        <w:fldChar w:fldCharType="end"/>
      </w:r>
    </w:p>
    <w:p w14:paraId="5185D05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Local information on regional television</w:t>
      </w:r>
      <w:r>
        <w:tab/>
      </w:r>
      <w:r>
        <w:fldChar w:fldCharType="begin"/>
      </w:r>
      <w:r>
        <w:instrText xml:space="preserve"> PAGEREF _Toc433790372 \h </w:instrText>
      </w:r>
      <w:r>
        <w:fldChar w:fldCharType="separate"/>
      </w:r>
      <w:r w:rsidR="007A7220">
        <w:t>83</w:t>
      </w:r>
      <w:r>
        <w:fldChar w:fldCharType="end"/>
      </w:r>
    </w:p>
    <w:p w14:paraId="1595D6D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Local content, information and presence on regional commercial radio</w:t>
      </w:r>
      <w:r>
        <w:tab/>
      </w:r>
      <w:r>
        <w:fldChar w:fldCharType="begin"/>
      </w:r>
      <w:r>
        <w:instrText xml:space="preserve"> PAGEREF _Toc433790373 \h </w:instrText>
      </w:r>
      <w:r>
        <w:fldChar w:fldCharType="separate"/>
      </w:r>
      <w:r w:rsidR="007A7220">
        <w:t>83</w:t>
      </w:r>
      <w:r>
        <w:fldChar w:fldCharType="end"/>
      </w:r>
    </w:p>
    <w:p w14:paraId="305FFC61"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Anti-siphoning provisions</w:t>
      </w:r>
      <w:r>
        <w:tab/>
      </w:r>
      <w:r>
        <w:fldChar w:fldCharType="begin"/>
      </w:r>
      <w:r>
        <w:instrText xml:space="preserve"> PAGEREF _Toc433790374 \h </w:instrText>
      </w:r>
      <w:r>
        <w:fldChar w:fldCharType="separate"/>
      </w:r>
      <w:r w:rsidR="007A7220">
        <w:t>83</w:t>
      </w:r>
      <w:r>
        <w:fldChar w:fldCharType="end"/>
      </w:r>
    </w:p>
    <w:p w14:paraId="6D61DBE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Digital broadcasting</w:t>
      </w:r>
      <w:r>
        <w:tab/>
      </w:r>
      <w:r>
        <w:fldChar w:fldCharType="begin"/>
      </w:r>
      <w:r>
        <w:instrText xml:space="preserve"> PAGEREF _Toc433790375 \h </w:instrText>
      </w:r>
      <w:r>
        <w:fldChar w:fldCharType="separate"/>
      </w:r>
      <w:r w:rsidR="007A7220">
        <w:t>83</w:t>
      </w:r>
      <w:r>
        <w:fldChar w:fldCharType="end"/>
      </w:r>
    </w:p>
    <w:p w14:paraId="5E3DC50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Broadcasting complaints and investigations</w:t>
      </w:r>
      <w:r>
        <w:tab/>
      </w:r>
      <w:r>
        <w:fldChar w:fldCharType="begin"/>
      </w:r>
      <w:r>
        <w:instrText xml:space="preserve"> PAGEREF _Toc433790376 \h </w:instrText>
      </w:r>
      <w:r>
        <w:fldChar w:fldCharType="separate"/>
      </w:r>
      <w:r w:rsidR="007A7220">
        <w:t>84</w:t>
      </w:r>
      <w:r>
        <w:fldChar w:fldCharType="end"/>
      </w:r>
    </w:p>
    <w:p w14:paraId="02BD23B9"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3.6</w:t>
      </w:r>
      <w:r>
        <w:rPr>
          <w:rFonts w:asciiTheme="minorHAnsi" w:eastAsiaTheme="minorEastAsia" w:hAnsiTheme="minorHAnsi" w:cstheme="minorBidi"/>
          <w:spacing w:val="0"/>
          <w:sz w:val="22"/>
          <w:szCs w:val="22"/>
        </w:rPr>
        <w:tab/>
      </w:r>
      <w:r>
        <w:t>Online content investigations</w:t>
      </w:r>
      <w:r>
        <w:tab/>
      </w:r>
      <w:r>
        <w:fldChar w:fldCharType="begin"/>
      </w:r>
      <w:r>
        <w:instrText xml:space="preserve"> PAGEREF _Toc433790377 \h </w:instrText>
      </w:r>
      <w:r>
        <w:fldChar w:fldCharType="separate"/>
      </w:r>
      <w:r w:rsidR="007A7220">
        <w:t>85</w:t>
      </w:r>
      <w:r>
        <w:fldChar w:fldCharType="end"/>
      </w:r>
    </w:p>
    <w:p w14:paraId="2D1012D3" w14:textId="77777777" w:rsidR="007E0A93" w:rsidRDefault="007E0A93" w:rsidP="00FD7E86">
      <w:pPr>
        <w:pStyle w:val="TOC3"/>
        <w:tabs>
          <w:tab w:val="clear" w:pos="7661"/>
          <w:tab w:val="right" w:pos="9072"/>
        </w:tabs>
        <w:ind w:right="425"/>
      </w:pPr>
      <w:r>
        <w:t>I</w:t>
      </w:r>
      <w:r w:rsidRPr="007E0A93">
        <w:t>nternational cooperation to remove online illegal content</w:t>
      </w:r>
      <w:r>
        <w:tab/>
        <w:t>87</w:t>
      </w:r>
    </w:p>
    <w:p w14:paraId="5CAEFF5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Interactive gambling</w:t>
      </w:r>
      <w:r>
        <w:tab/>
      </w:r>
      <w:r>
        <w:fldChar w:fldCharType="begin"/>
      </w:r>
      <w:r>
        <w:instrText xml:space="preserve"> PAGEREF _Toc433790378 \h </w:instrText>
      </w:r>
      <w:r>
        <w:fldChar w:fldCharType="separate"/>
      </w:r>
      <w:r w:rsidR="007A7220">
        <w:t>87</w:t>
      </w:r>
      <w:r>
        <w:fldChar w:fldCharType="end"/>
      </w:r>
    </w:p>
    <w:p w14:paraId="4086C9E1"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Chapter 4: National interest issues</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_Toc433790379 \h </w:instrText>
      </w:r>
      <w:r w:rsidRPr="00FD7E86">
        <w:rPr>
          <w:color w:val="00ADBB" w:themeColor="accent1"/>
        </w:rPr>
      </w:r>
      <w:r w:rsidRPr="00FD7E86">
        <w:rPr>
          <w:color w:val="00ADBB" w:themeColor="accent1"/>
        </w:rPr>
        <w:fldChar w:fldCharType="separate"/>
      </w:r>
      <w:r w:rsidR="007A7220">
        <w:rPr>
          <w:color w:val="00ADBB" w:themeColor="accent1"/>
        </w:rPr>
        <w:t>89</w:t>
      </w:r>
      <w:r w:rsidRPr="00FD7E86">
        <w:rPr>
          <w:color w:val="00ADBB" w:themeColor="accent1"/>
        </w:rPr>
        <w:fldChar w:fldCharType="end"/>
      </w:r>
    </w:p>
    <w:p w14:paraId="0DFBA0B2"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4.1</w:t>
      </w:r>
      <w:r>
        <w:rPr>
          <w:rFonts w:asciiTheme="minorHAnsi" w:eastAsiaTheme="minorEastAsia" w:hAnsiTheme="minorHAnsi" w:cstheme="minorBidi"/>
          <w:spacing w:val="0"/>
          <w:sz w:val="22"/>
          <w:szCs w:val="22"/>
        </w:rPr>
        <w:tab/>
      </w:r>
      <w:r>
        <w:t>Overview</w:t>
      </w:r>
      <w:r>
        <w:tab/>
      </w:r>
      <w:r>
        <w:fldChar w:fldCharType="begin"/>
      </w:r>
      <w:r>
        <w:instrText xml:space="preserve"> PAGEREF _Toc433790380 \h </w:instrText>
      </w:r>
      <w:r>
        <w:fldChar w:fldCharType="separate"/>
      </w:r>
      <w:r w:rsidR="007A7220">
        <w:t>89</w:t>
      </w:r>
      <w:r>
        <w:fldChar w:fldCharType="end"/>
      </w:r>
    </w:p>
    <w:p w14:paraId="09508BFB"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4.2</w:t>
      </w:r>
      <w:r>
        <w:rPr>
          <w:rFonts w:asciiTheme="minorHAnsi" w:eastAsiaTheme="minorEastAsia" w:hAnsiTheme="minorHAnsi" w:cstheme="minorBidi"/>
          <w:spacing w:val="0"/>
          <w:sz w:val="22"/>
          <w:szCs w:val="22"/>
        </w:rPr>
        <w:tab/>
      </w:r>
      <w:r>
        <w:t>Emergency call service</w:t>
      </w:r>
      <w:r>
        <w:tab/>
      </w:r>
      <w:r>
        <w:fldChar w:fldCharType="begin"/>
      </w:r>
      <w:r>
        <w:instrText xml:space="preserve"> PAGEREF _Toc433790381 \h </w:instrText>
      </w:r>
      <w:r>
        <w:fldChar w:fldCharType="separate"/>
      </w:r>
      <w:r w:rsidR="007A7220">
        <w:t>89</w:t>
      </w:r>
      <w:r>
        <w:fldChar w:fldCharType="end"/>
      </w:r>
    </w:p>
    <w:p w14:paraId="7216E250"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Emergency call service—Triple Zero and 112</w:t>
      </w:r>
      <w:r>
        <w:tab/>
      </w:r>
      <w:r>
        <w:fldChar w:fldCharType="begin"/>
      </w:r>
      <w:r>
        <w:instrText xml:space="preserve"> PAGEREF _Toc433790382 \h </w:instrText>
      </w:r>
      <w:r>
        <w:fldChar w:fldCharType="separate"/>
      </w:r>
      <w:r w:rsidR="007A7220">
        <w:t>90</w:t>
      </w:r>
      <w:r>
        <w:fldChar w:fldCharType="end"/>
      </w:r>
    </w:p>
    <w:p w14:paraId="72F517D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Telstra’s performance in answering emergency calls</w:t>
      </w:r>
      <w:r>
        <w:tab/>
      </w:r>
      <w:r>
        <w:fldChar w:fldCharType="begin"/>
      </w:r>
      <w:r>
        <w:instrText xml:space="preserve"> PAGEREF _Toc433790383 \h </w:instrText>
      </w:r>
      <w:r>
        <w:fldChar w:fldCharType="separate"/>
      </w:r>
      <w:r w:rsidR="007A7220">
        <w:t>90</w:t>
      </w:r>
      <w:r>
        <w:fldChar w:fldCharType="end"/>
      </w:r>
    </w:p>
    <w:p w14:paraId="3FA15C6A"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Calls connected to emergency service organisations</w:t>
      </w:r>
      <w:r>
        <w:tab/>
      </w:r>
      <w:r>
        <w:fldChar w:fldCharType="begin"/>
      </w:r>
      <w:r>
        <w:instrText xml:space="preserve"> PAGEREF _Toc433790384 \h </w:instrText>
      </w:r>
      <w:r>
        <w:fldChar w:fldCharType="separate"/>
      </w:r>
      <w:r w:rsidR="007A7220">
        <w:t>90</w:t>
      </w:r>
      <w:r>
        <w:fldChar w:fldCharType="end"/>
      </w:r>
    </w:p>
    <w:p w14:paraId="2C63345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Precise mobile location for emergency service organisations</w:t>
      </w:r>
      <w:r>
        <w:tab/>
      </w:r>
      <w:r>
        <w:fldChar w:fldCharType="begin"/>
      </w:r>
      <w:r>
        <w:instrText xml:space="preserve"> PAGEREF _Toc433790385 \h </w:instrText>
      </w:r>
      <w:r>
        <w:fldChar w:fldCharType="separate"/>
      </w:r>
      <w:r w:rsidR="007A7220">
        <w:t>91</w:t>
      </w:r>
      <w:r>
        <w:fldChar w:fldCharType="end"/>
      </w:r>
    </w:p>
    <w:p w14:paraId="74DB9B4F"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Enquiries and complaints about the Triple Zero service</w:t>
      </w:r>
      <w:r>
        <w:tab/>
      </w:r>
      <w:r>
        <w:fldChar w:fldCharType="begin"/>
      </w:r>
      <w:r>
        <w:instrText xml:space="preserve"> PAGEREF _Toc433790386 \h </w:instrText>
      </w:r>
      <w:r>
        <w:fldChar w:fldCharType="separate"/>
      </w:r>
      <w:r w:rsidR="007A7220">
        <w:t>91</w:t>
      </w:r>
      <w:r>
        <w:fldChar w:fldCharType="end"/>
      </w:r>
    </w:p>
    <w:p w14:paraId="27E21E43" w14:textId="77777777" w:rsidR="00FD7E86" w:rsidRDefault="004507AB" w:rsidP="00FD7E86">
      <w:pPr>
        <w:pStyle w:val="TOC3"/>
        <w:tabs>
          <w:tab w:val="clear" w:pos="7661"/>
          <w:tab w:val="right" w:pos="9072"/>
        </w:tabs>
        <w:ind w:right="425"/>
        <w:rPr>
          <w:rFonts w:asciiTheme="minorHAnsi" w:eastAsiaTheme="minorEastAsia" w:hAnsiTheme="minorHAnsi" w:cstheme="minorBidi"/>
        </w:rPr>
      </w:pPr>
      <w:r>
        <w:t>Emergency call service—</w:t>
      </w:r>
      <w:r w:rsidR="00FD7E86">
        <w:t>NRS</w:t>
      </w:r>
      <w:r w:rsidR="00FD7E86">
        <w:tab/>
      </w:r>
      <w:r w:rsidR="00FD7E86">
        <w:fldChar w:fldCharType="begin"/>
      </w:r>
      <w:r w:rsidR="00FD7E86">
        <w:instrText xml:space="preserve"> PAGEREF _Toc433790387 \h </w:instrText>
      </w:r>
      <w:r w:rsidR="00FD7E86">
        <w:fldChar w:fldCharType="separate"/>
      </w:r>
      <w:r w:rsidR="007A7220">
        <w:t>92</w:t>
      </w:r>
      <w:r w:rsidR="00FD7E86">
        <w:fldChar w:fldCharType="end"/>
      </w:r>
    </w:p>
    <w:p w14:paraId="28AFADDC"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4.3</w:t>
      </w:r>
      <w:r>
        <w:rPr>
          <w:rFonts w:asciiTheme="minorHAnsi" w:eastAsiaTheme="minorEastAsia" w:hAnsiTheme="minorHAnsi" w:cstheme="minorBidi"/>
          <w:spacing w:val="0"/>
          <w:sz w:val="22"/>
          <w:szCs w:val="22"/>
        </w:rPr>
        <w:tab/>
      </w:r>
      <w:r>
        <w:t>Supporting law enforcement and national security agencies</w:t>
      </w:r>
      <w:r>
        <w:tab/>
      </w:r>
      <w:r>
        <w:fldChar w:fldCharType="begin"/>
      </w:r>
      <w:r>
        <w:instrText xml:space="preserve"> PAGEREF _Toc433790388 \h </w:instrText>
      </w:r>
      <w:r>
        <w:fldChar w:fldCharType="separate"/>
      </w:r>
      <w:r w:rsidR="007A7220">
        <w:t>93</w:t>
      </w:r>
      <w:r>
        <w:fldChar w:fldCharType="end"/>
      </w:r>
    </w:p>
    <w:p w14:paraId="76AD894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Disclosure of customer information</w:t>
      </w:r>
      <w:r>
        <w:tab/>
      </w:r>
      <w:r>
        <w:fldChar w:fldCharType="begin"/>
      </w:r>
      <w:r>
        <w:instrText xml:space="preserve"> PAGEREF _Toc433790389 \h </w:instrText>
      </w:r>
      <w:r>
        <w:fldChar w:fldCharType="separate"/>
      </w:r>
      <w:r w:rsidR="007A7220">
        <w:t>94</w:t>
      </w:r>
      <w:r>
        <w:fldChar w:fldCharType="end"/>
      </w:r>
    </w:p>
    <w:p w14:paraId="7A77E651"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Emergency suspension of carriage services</w:t>
      </w:r>
      <w:r>
        <w:tab/>
      </w:r>
      <w:r>
        <w:fldChar w:fldCharType="begin"/>
      </w:r>
      <w:r>
        <w:instrText xml:space="preserve"> PAGEREF _Toc433790390 \h </w:instrText>
      </w:r>
      <w:r>
        <w:fldChar w:fldCharType="separate"/>
      </w:r>
      <w:r w:rsidR="007A7220">
        <w:t>96</w:t>
      </w:r>
      <w:r>
        <w:fldChar w:fldCharType="end"/>
      </w:r>
    </w:p>
    <w:p w14:paraId="64CBB1ED"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lastRenderedPageBreak/>
        <w:t>4.4</w:t>
      </w:r>
      <w:r>
        <w:rPr>
          <w:rFonts w:asciiTheme="minorHAnsi" w:eastAsiaTheme="minorEastAsia" w:hAnsiTheme="minorHAnsi" w:cstheme="minorBidi"/>
          <w:spacing w:val="0"/>
          <w:sz w:val="22"/>
          <w:szCs w:val="22"/>
        </w:rPr>
        <w:tab/>
      </w:r>
      <w:r>
        <w:t>Interception</w:t>
      </w:r>
      <w:r>
        <w:tab/>
      </w:r>
      <w:r>
        <w:fldChar w:fldCharType="begin"/>
      </w:r>
      <w:r>
        <w:instrText xml:space="preserve"> PAGEREF _Toc433790391 \h </w:instrText>
      </w:r>
      <w:r>
        <w:fldChar w:fldCharType="separate"/>
      </w:r>
      <w:r w:rsidR="007A7220">
        <w:t>96</w:t>
      </w:r>
      <w:r>
        <w:fldChar w:fldCharType="end"/>
      </w:r>
    </w:p>
    <w:p w14:paraId="7575BEB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Cost of providing assistance</w:t>
      </w:r>
      <w:r>
        <w:tab/>
      </w:r>
      <w:r>
        <w:fldChar w:fldCharType="begin"/>
      </w:r>
      <w:r>
        <w:instrText xml:space="preserve"> PAGEREF _Toc433790392 \h </w:instrText>
      </w:r>
      <w:r>
        <w:fldChar w:fldCharType="separate"/>
      </w:r>
      <w:r w:rsidR="007A7220">
        <w:t>96</w:t>
      </w:r>
      <w:r>
        <w:fldChar w:fldCharType="end"/>
      </w:r>
    </w:p>
    <w:p w14:paraId="412268B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Interception capability plan compliance</w:t>
      </w:r>
      <w:r>
        <w:tab/>
      </w:r>
      <w:r>
        <w:fldChar w:fldCharType="begin"/>
      </w:r>
      <w:r>
        <w:instrText xml:space="preserve"> PAGEREF _Toc433790393 \h </w:instrText>
      </w:r>
      <w:r>
        <w:fldChar w:fldCharType="separate"/>
      </w:r>
      <w:r w:rsidR="007A7220">
        <w:t>97</w:t>
      </w:r>
      <w:r>
        <w:fldChar w:fldCharType="end"/>
      </w:r>
    </w:p>
    <w:p w14:paraId="60182698"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 xml:space="preserve">4.5 </w:t>
      </w:r>
      <w:r>
        <w:rPr>
          <w:rFonts w:asciiTheme="minorHAnsi" w:eastAsiaTheme="minorEastAsia" w:hAnsiTheme="minorHAnsi" w:cstheme="minorBidi"/>
          <w:spacing w:val="0"/>
          <w:sz w:val="22"/>
          <w:szCs w:val="22"/>
        </w:rPr>
        <w:tab/>
      </w:r>
      <w:r>
        <w:t>Identity checking requirements for prepaid mobile carriage services</w:t>
      </w:r>
      <w:r>
        <w:tab/>
      </w:r>
      <w:r>
        <w:fldChar w:fldCharType="begin"/>
      </w:r>
      <w:r>
        <w:instrText xml:space="preserve"> PAGEREF _Toc433790394 \h </w:instrText>
      </w:r>
      <w:r>
        <w:fldChar w:fldCharType="separate"/>
      </w:r>
      <w:r w:rsidR="007A7220">
        <w:t>97</w:t>
      </w:r>
      <w:r>
        <w:fldChar w:fldCharType="end"/>
      </w:r>
    </w:p>
    <w:p w14:paraId="198D8790"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4.6</w:t>
      </w:r>
      <w:r>
        <w:rPr>
          <w:rFonts w:asciiTheme="minorHAnsi" w:eastAsiaTheme="minorEastAsia" w:hAnsiTheme="minorHAnsi" w:cstheme="minorBidi"/>
          <w:spacing w:val="0"/>
          <w:sz w:val="22"/>
          <w:szCs w:val="22"/>
        </w:rPr>
        <w:tab/>
      </w:r>
      <w:r>
        <w:t>Role of the Integrated Public Number Database (IPND)</w:t>
      </w:r>
      <w:r>
        <w:tab/>
      </w:r>
      <w:r>
        <w:fldChar w:fldCharType="begin"/>
      </w:r>
      <w:r>
        <w:instrText xml:space="preserve"> PAGEREF _Toc433790395 \h </w:instrText>
      </w:r>
      <w:r>
        <w:fldChar w:fldCharType="separate"/>
      </w:r>
      <w:r w:rsidR="007A7220">
        <w:t>97</w:t>
      </w:r>
      <w:r>
        <w:fldChar w:fldCharType="end"/>
      </w:r>
    </w:p>
    <w:p w14:paraId="659659D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CSP compliance with IPND requirements</w:t>
      </w:r>
      <w:r>
        <w:tab/>
      </w:r>
      <w:r>
        <w:fldChar w:fldCharType="begin"/>
      </w:r>
      <w:r>
        <w:instrText xml:space="preserve"> PAGEREF _Toc433790396 \h </w:instrText>
      </w:r>
      <w:r>
        <w:fldChar w:fldCharType="separate"/>
      </w:r>
      <w:r w:rsidR="007A7220">
        <w:t>97</w:t>
      </w:r>
      <w:r>
        <w:fldChar w:fldCharType="end"/>
      </w:r>
    </w:p>
    <w:p w14:paraId="540114E6"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4.7</w:t>
      </w:r>
      <w:r>
        <w:rPr>
          <w:rFonts w:asciiTheme="minorHAnsi" w:eastAsiaTheme="minorEastAsia" w:hAnsiTheme="minorHAnsi" w:cstheme="minorBidi"/>
          <w:spacing w:val="0"/>
          <w:sz w:val="22"/>
          <w:szCs w:val="22"/>
        </w:rPr>
        <w:tab/>
      </w:r>
      <w:r>
        <w:t>Handling of life-threatening and unwelcome communications</w:t>
      </w:r>
      <w:r>
        <w:tab/>
      </w:r>
      <w:r>
        <w:fldChar w:fldCharType="begin"/>
      </w:r>
      <w:r>
        <w:instrText xml:space="preserve"> PAGEREF _Toc433790397 \h </w:instrText>
      </w:r>
      <w:r>
        <w:fldChar w:fldCharType="separate"/>
      </w:r>
      <w:r w:rsidR="007A7220">
        <w:t>98</w:t>
      </w:r>
      <w:r>
        <w:fldChar w:fldCharType="end"/>
      </w:r>
    </w:p>
    <w:p w14:paraId="488B9133"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4.8</w:t>
      </w:r>
      <w:r>
        <w:rPr>
          <w:rFonts w:asciiTheme="minorHAnsi" w:eastAsiaTheme="minorEastAsia" w:hAnsiTheme="minorHAnsi" w:cstheme="minorBidi"/>
          <w:spacing w:val="0"/>
          <w:sz w:val="22"/>
          <w:szCs w:val="22"/>
        </w:rPr>
        <w:tab/>
      </w:r>
      <w:r>
        <w:t>Submarine cable protection</w:t>
      </w:r>
      <w:r>
        <w:tab/>
      </w:r>
      <w:r>
        <w:fldChar w:fldCharType="begin"/>
      </w:r>
      <w:r>
        <w:instrText xml:space="preserve"> PAGEREF _Toc433790398 \h </w:instrText>
      </w:r>
      <w:r>
        <w:fldChar w:fldCharType="separate"/>
      </w:r>
      <w:r w:rsidR="007A7220">
        <w:t>98</w:t>
      </w:r>
      <w:r>
        <w:fldChar w:fldCharType="end"/>
      </w:r>
    </w:p>
    <w:p w14:paraId="2D4E1C9B"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4.9</w:t>
      </w:r>
      <w:r>
        <w:rPr>
          <w:rFonts w:asciiTheme="minorHAnsi" w:eastAsiaTheme="minorEastAsia" w:hAnsiTheme="minorHAnsi" w:cstheme="minorBidi"/>
          <w:spacing w:val="0"/>
          <w:sz w:val="22"/>
          <w:szCs w:val="22"/>
        </w:rPr>
        <w:tab/>
      </w:r>
      <w:r>
        <w:t>Radiocommunications interference complaints</w:t>
      </w:r>
      <w:r>
        <w:tab/>
      </w:r>
      <w:r>
        <w:fldChar w:fldCharType="begin"/>
      </w:r>
      <w:r>
        <w:instrText xml:space="preserve"> PAGEREF _Toc433790399 \h </w:instrText>
      </w:r>
      <w:r>
        <w:fldChar w:fldCharType="separate"/>
      </w:r>
      <w:r w:rsidR="007A7220">
        <w:t>99</w:t>
      </w:r>
      <w:r>
        <w:fldChar w:fldCharType="end"/>
      </w:r>
    </w:p>
    <w:p w14:paraId="28AC404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Domestic systems interference</w:t>
      </w:r>
      <w:r>
        <w:tab/>
      </w:r>
      <w:r>
        <w:fldChar w:fldCharType="begin"/>
      </w:r>
      <w:r>
        <w:instrText xml:space="preserve"> PAGEREF _Toc433790400 \h </w:instrText>
      </w:r>
      <w:r>
        <w:fldChar w:fldCharType="separate"/>
      </w:r>
      <w:r w:rsidR="007A7220">
        <w:t>99</w:t>
      </w:r>
      <w:r>
        <w:fldChar w:fldCharType="end"/>
      </w:r>
    </w:p>
    <w:p w14:paraId="732B833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Radiocommunications interference</w:t>
      </w:r>
      <w:r>
        <w:tab/>
      </w:r>
      <w:r>
        <w:fldChar w:fldCharType="begin"/>
      </w:r>
      <w:r>
        <w:instrText xml:space="preserve"> PAGEREF _Toc433790401 \h </w:instrText>
      </w:r>
      <w:r>
        <w:fldChar w:fldCharType="separate"/>
      </w:r>
      <w:r w:rsidR="007A7220">
        <w:t>99</w:t>
      </w:r>
      <w:r>
        <w:fldChar w:fldCharType="end"/>
      </w:r>
    </w:p>
    <w:p w14:paraId="6755CC7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ACMA radiocommunications compliance program</w:t>
      </w:r>
      <w:r>
        <w:tab/>
      </w:r>
      <w:r>
        <w:fldChar w:fldCharType="begin"/>
      </w:r>
      <w:r>
        <w:instrText xml:space="preserve"> PAGEREF _Toc433790402 \h </w:instrText>
      </w:r>
      <w:r>
        <w:fldChar w:fldCharType="separate"/>
      </w:r>
      <w:r w:rsidR="007A7220">
        <w:t>99</w:t>
      </w:r>
      <w:r>
        <w:fldChar w:fldCharType="end"/>
      </w:r>
    </w:p>
    <w:p w14:paraId="6192CCD2" w14:textId="77777777" w:rsidR="00FD7E86" w:rsidRDefault="00FD7E86" w:rsidP="00FD7E86">
      <w:pPr>
        <w:pStyle w:val="TOC1"/>
        <w:tabs>
          <w:tab w:val="clear" w:pos="7660"/>
          <w:tab w:val="right" w:pos="9072"/>
        </w:tabs>
        <w:ind w:right="425"/>
        <w:rPr>
          <w:rFonts w:asciiTheme="minorHAnsi" w:eastAsiaTheme="minorEastAsia" w:hAnsiTheme="minorHAnsi" w:cstheme="minorBidi"/>
          <w:b w:val="0"/>
          <w:spacing w:val="0"/>
          <w:sz w:val="22"/>
          <w:szCs w:val="22"/>
        </w:rPr>
      </w:pPr>
      <w:r w:rsidRPr="00FD7E86">
        <w:rPr>
          <w:color w:val="00ADBB" w:themeColor="accent1"/>
        </w:rPr>
        <w:t xml:space="preserve">Chapter 5: Telecommunications consumer safeguards and </w:t>
      </w:r>
      <w:r w:rsidR="004507AB">
        <w:rPr>
          <w:color w:val="00ADBB" w:themeColor="accent1"/>
        </w:rPr>
        <w:br/>
      </w:r>
      <w:r w:rsidRPr="00FD7E86">
        <w:rPr>
          <w:color w:val="00ADBB" w:themeColor="accent1"/>
        </w:rPr>
        <w:t>quality of service</w:t>
      </w:r>
      <w:r>
        <w:tab/>
      </w:r>
      <w:r w:rsidRPr="00FD7E86">
        <w:rPr>
          <w:color w:val="00ADBB" w:themeColor="accent1"/>
        </w:rPr>
        <w:fldChar w:fldCharType="begin"/>
      </w:r>
      <w:r w:rsidRPr="00FD7E86">
        <w:rPr>
          <w:color w:val="00ADBB" w:themeColor="accent1"/>
        </w:rPr>
        <w:instrText xml:space="preserve"> PAGEREF _Toc433790403 \h </w:instrText>
      </w:r>
      <w:r w:rsidRPr="00FD7E86">
        <w:rPr>
          <w:color w:val="00ADBB" w:themeColor="accent1"/>
        </w:rPr>
      </w:r>
      <w:r w:rsidRPr="00FD7E86">
        <w:rPr>
          <w:color w:val="00ADBB" w:themeColor="accent1"/>
        </w:rPr>
        <w:fldChar w:fldCharType="separate"/>
      </w:r>
      <w:r w:rsidR="007A7220">
        <w:rPr>
          <w:color w:val="00ADBB" w:themeColor="accent1"/>
        </w:rPr>
        <w:t>101</w:t>
      </w:r>
      <w:r w:rsidRPr="00FD7E86">
        <w:rPr>
          <w:color w:val="00ADBB" w:themeColor="accent1"/>
        </w:rPr>
        <w:fldChar w:fldCharType="end"/>
      </w:r>
    </w:p>
    <w:p w14:paraId="57C88654"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w:t>
      </w:r>
      <w:r>
        <w:rPr>
          <w:rFonts w:asciiTheme="minorHAnsi" w:eastAsiaTheme="minorEastAsia" w:hAnsiTheme="minorHAnsi" w:cstheme="minorBidi"/>
          <w:spacing w:val="0"/>
          <w:sz w:val="22"/>
          <w:szCs w:val="22"/>
        </w:rPr>
        <w:tab/>
      </w:r>
      <w:r>
        <w:t>Overview</w:t>
      </w:r>
      <w:r>
        <w:tab/>
      </w:r>
      <w:r>
        <w:fldChar w:fldCharType="begin"/>
      </w:r>
      <w:r>
        <w:instrText xml:space="preserve"> PAGEREF _Toc433790404 \h </w:instrText>
      </w:r>
      <w:r>
        <w:fldChar w:fldCharType="separate"/>
      </w:r>
      <w:r w:rsidR="007A7220">
        <w:t>101</w:t>
      </w:r>
      <w:r>
        <w:fldChar w:fldCharType="end"/>
      </w:r>
    </w:p>
    <w:p w14:paraId="42D62FE3"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5.2</w:t>
      </w:r>
      <w:r>
        <w:rPr>
          <w:rFonts w:asciiTheme="minorHAnsi" w:eastAsiaTheme="minorEastAsia" w:hAnsiTheme="minorHAnsi" w:cstheme="minorBidi"/>
          <w:spacing w:val="0"/>
          <w:sz w:val="22"/>
          <w:szCs w:val="22"/>
        </w:rPr>
        <w:tab/>
      </w:r>
      <w:r>
        <w:t xml:space="preserve">Telecommunications Industry Levy (TIL) and telecommunications </w:t>
      </w:r>
      <w:r w:rsidR="004507AB">
        <w:br/>
      </w:r>
      <w:r>
        <w:t>public policy outcomes</w:t>
      </w:r>
      <w:r>
        <w:tab/>
      </w:r>
      <w:r>
        <w:fldChar w:fldCharType="begin"/>
      </w:r>
      <w:r>
        <w:instrText xml:space="preserve"> PAGEREF _Toc433790405 \h </w:instrText>
      </w:r>
      <w:r>
        <w:fldChar w:fldCharType="separate"/>
      </w:r>
      <w:r w:rsidR="007A7220">
        <w:t>101</w:t>
      </w:r>
      <w:r>
        <w:fldChar w:fldCharType="end"/>
      </w:r>
    </w:p>
    <w:p w14:paraId="2DF7FC78"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Industry levies and payments</w:t>
      </w:r>
      <w:r>
        <w:tab/>
      </w:r>
      <w:r>
        <w:fldChar w:fldCharType="begin"/>
      </w:r>
      <w:r>
        <w:instrText xml:space="preserve"> PAGEREF _Toc433790406 \h </w:instrText>
      </w:r>
      <w:r>
        <w:fldChar w:fldCharType="separate"/>
      </w:r>
      <w:r w:rsidR="007A7220">
        <w:t>102</w:t>
      </w:r>
      <w:r>
        <w:fldChar w:fldCharType="end"/>
      </w:r>
    </w:p>
    <w:p w14:paraId="1D9D5BBE"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Final TIL assessment</w:t>
      </w:r>
      <w:r>
        <w:tab/>
      </w:r>
      <w:r>
        <w:fldChar w:fldCharType="begin"/>
      </w:r>
      <w:r>
        <w:instrText xml:space="preserve"> PAGEREF _Toc433790407 \h </w:instrText>
      </w:r>
      <w:r>
        <w:fldChar w:fldCharType="separate"/>
      </w:r>
      <w:r w:rsidR="007A7220">
        <w:t>102</w:t>
      </w:r>
      <w:r>
        <w:fldChar w:fldCharType="end"/>
      </w:r>
    </w:p>
    <w:p w14:paraId="38D53AD3"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5.3</w:t>
      </w:r>
      <w:r>
        <w:rPr>
          <w:rFonts w:asciiTheme="minorHAnsi" w:eastAsiaTheme="minorEastAsia" w:hAnsiTheme="minorHAnsi" w:cstheme="minorBidi"/>
          <w:spacing w:val="0"/>
          <w:sz w:val="22"/>
          <w:szCs w:val="22"/>
        </w:rPr>
        <w:tab/>
      </w:r>
      <w:r>
        <w:t>Public payphones</w:t>
      </w:r>
      <w:r>
        <w:tab/>
      </w:r>
      <w:r>
        <w:fldChar w:fldCharType="begin"/>
      </w:r>
      <w:r>
        <w:instrText xml:space="preserve"> PAGEREF _Toc433790408 \h </w:instrText>
      </w:r>
      <w:r>
        <w:fldChar w:fldCharType="separate"/>
      </w:r>
      <w:r w:rsidR="007A7220">
        <w:t>102</w:t>
      </w:r>
      <w:r>
        <w:fldChar w:fldCharType="end"/>
      </w:r>
    </w:p>
    <w:p w14:paraId="673E9055"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Numbers of payphones and payphone sites</w:t>
      </w:r>
      <w:r>
        <w:tab/>
      </w:r>
      <w:r>
        <w:fldChar w:fldCharType="begin"/>
      </w:r>
      <w:r>
        <w:instrText xml:space="preserve"> PAGEREF _Toc433790409 \h </w:instrText>
      </w:r>
      <w:r>
        <w:fldChar w:fldCharType="separate"/>
      </w:r>
      <w:r w:rsidR="007A7220">
        <w:t>103</w:t>
      </w:r>
      <w:r>
        <w:fldChar w:fldCharType="end"/>
      </w:r>
    </w:p>
    <w:p w14:paraId="66340B5B"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Payphone fault repair performance</w:t>
      </w:r>
      <w:r>
        <w:tab/>
      </w:r>
      <w:r>
        <w:fldChar w:fldCharType="begin"/>
      </w:r>
      <w:r>
        <w:instrText xml:space="preserve"> PAGEREF _Toc433790410 \h </w:instrText>
      </w:r>
      <w:r>
        <w:fldChar w:fldCharType="separate"/>
      </w:r>
      <w:r w:rsidR="007A7220">
        <w:t>104</w:t>
      </w:r>
      <w:r>
        <w:fldChar w:fldCharType="end"/>
      </w:r>
    </w:p>
    <w:p w14:paraId="75A4934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Payphones for people with disabilities</w:t>
      </w:r>
      <w:r>
        <w:tab/>
      </w:r>
      <w:r>
        <w:fldChar w:fldCharType="begin"/>
      </w:r>
      <w:r>
        <w:instrText xml:space="preserve"> PAGEREF _Toc433790411 \h </w:instrText>
      </w:r>
      <w:r>
        <w:fldChar w:fldCharType="separate"/>
      </w:r>
      <w:r w:rsidR="007A7220">
        <w:t>104</w:t>
      </w:r>
      <w:r>
        <w:fldChar w:fldCharType="end"/>
      </w:r>
    </w:p>
    <w:p w14:paraId="45B2CFE0"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5.4</w:t>
      </w:r>
      <w:r>
        <w:rPr>
          <w:rFonts w:asciiTheme="minorHAnsi" w:eastAsiaTheme="minorEastAsia" w:hAnsiTheme="minorHAnsi" w:cstheme="minorBidi"/>
          <w:spacing w:val="0"/>
          <w:sz w:val="22"/>
          <w:szCs w:val="22"/>
        </w:rPr>
        <w:tab/>
      </w:r>
      <w:r>
        <w:t>Customer Service Guarantee Standard</w:t>
      </w:r>
      <w:r>
        <w:tab/>
      </w:r>
      <w:r>
        <w:fldChar w:fldCharType="begin"/>
      </w:r>
      <w:r>
        <w:instrText xml:space="preserve"> PAGEREF _Toc433790412 \h </w:instrText>
      </w:r>
      <w:r>
        <w:fldChar w:fldCharType="separate"/>
      </w:r>
      <w:r w:rsidR="007A7220">
        <w:t>104</w:t>
      </w:r>
      <w:r>
        <w:fldChar w:fldCharType="end"/>
      </w:r>
    </w:p>
    <w:p w14:paraId="77DDB07E"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CSG benchmark performance</w:t>
      </w:r>
      <w:r>
        <w:tab/>
      </w:r>
      <w:r>
        <w:fldChar w:fldCharType="begin"/>
      </w:r>
      <w:r>
        <w:instrText xml:space="preserve"> PAGEREF _Toc433790413 \h </w:instrText>
      </w:r>
      <w:r>
        <w:fldChar w:fldCharType="separate"/>
      </w:r>
      <w:r w:rsidR="007A7220">
        <w:t>106</w:t>
      </w:r>
      <w:r>
        <w:fldChar w:fldCharType="end"/>
      </w:r>
    </w:p>
    <w:p w14:paraId="0EC8D61A"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Appointments and fault repairs</w:t>
      </w:r>
      <w:r>
        <w:tab/>
      </w:r>
      <w:r>
        <w:fldChar w:fldCharType="begin"/>
      </w:r>
      <w:r>
        <w:instrText xml:space="preserve"> PAGEREF _Toc433790414 \h </w:instrText>
      </w:r>
      <w:r>
        <w:fldChar w:fldCharType="separate"/>
      </w:r>
      <w:r w:rsidR="007A7220">
        <w:t>107</w:t>
      </w:r>
      <w:r>
        <w:fldChar w:fldCharType="end"/>
      </w:r>
    </w:p>
    <w:p w14:paraId="49CA4E8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CSG Standard payments</w:t>
      </w:r>
      <w:r>
        <w:tab/>
      </w:r>
      <w:r>
        <w:fldChar w:fldCharType="begin"/>
      </w:r>
      <w:r>
        <w:instrText xml:space="preserve"> PAGEREF _Toc433790415 \h </w:instrText>
      </w:r>
      <w:r>
        <w:fldChar w:fldCharType="separate"/>
      </w:r>
      <w:r w:rsidR="007A7220">
        <w:t>109</w:t>
      </w:r>
      <w:r>
        <w:fldChar w:fldCharType="end"/>
      </w:r>
    </w:p>
    <w:p w14:paraId="71337BE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Exemptions from the CSG Standard</w:t>
      </w:r>
      <w:r>
        <w:tab/>
      </w:r>
      <w:r>
        <w:fldChar w:fldCharType="begin"/>
      </w:r>
      <w:r>
        <w:instrText xml:space="preserve"> PAGEREF _Toc433790416 \h </w:instrText>
      </w:r>
      <w:r>
        <w:fldChar w:fldCharType="separate"/>
      </w:r>
      <w:r w:rsidR="007A7220">
        <w:t>110</w:t>
      </w:r>
      <w:r>
        <w:fldChar w:fldCharType="end"/>
      </w:r>
    </w:p>
    <w:p w14:paraId="5F24B46A"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5.5</w:t>
      </w:r>
      <w:r>
        <w:rPr>
          <w:rFonts w:asciiTheme="minorHAnsi" w:eastAsiaTheme="minorEastAsia" w:hAnsiTheme="minorHAnsi" w:cstheme="minorBidi"/>
          <w:spacing w:val="0"/>
          <w:sz w:val="22"/>
          <w:szCs w:val="22"/>
        </w:rPr>
        <w:tab/>
      </w:r>
      <w:r>
        <w:t>Network Reliability Framework (NRF)</w:t>
      </w:r>
      <w:r>
        <w:tab/>
      </w:r>
      <w:r>
        <w:fldChar w:fldCharType="begin"/>
      </w:r>
      <w:r>
        <w:instrText xml:space="preserve"> PAGEREF _Toc433790417 \h </w:instrText>
      </w:r>
      <w:r>
        <w:fldChar w:fldCharType="separate"/>
      </w:r>
      <w:r w:rsidR="007A7220">
        <w:t>110</w:t>
      </w:r>
      <w:r>
        <w:fldChar w:fldCharType="end"/>
      </w:r>
    </w:p>
    <w:p w14:paraId="1E2A379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Level 1—national and field service area performance</w:t>
      </w:r>
      <w:r>
        <w:tab/>
      </w:r>
      <w:r>
        <w:fldChar w:fldCharType="begin"/>
      </w:r>
      <w:r>
        <w:instrText xml:space="preserve"> PAGEREF _Toc433790418 \h </w:instrText>
      </w:r>
      <w:r>
        <w:fldChar w:fldCharType="separate"/>
      </w:r>
      <w:r w:rsidR="007A7220">
        <w:t>110</w:t>
      </w:r>
      <w:r>
        <w:fldChar w:fldCharType="end"/>
      </w:r>
    </w:p>
    <w:p w14:paraId="54A2DFE9"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Level 2—local cable run remediation</w:t>
      </w:r>
      <w:r>
        <w:tab/>
      </w:r>
      <w:r>
        <w:fldChar w:fldCharType="begin"/>
      </w:r>
      <w:r>
        <w:instrText xml:space="preserve"> PAGEREF _Toc433790419 \h </w:instrText>
      </w:r>
      <w:r>
        <w:fldChar w:fldCharType="separate"/>
      </w:r>
      <w:r w:rsidR="007A7220">
        <w:t>112</w:t>
      </w:r>
      <w:r>
        <w:fldChar w:fldCharType="end"/>
      </w:r>
    </w:p>
    <w:p w14:paraId="0774E1D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Level 3—individual service performance</w:t>
      </w:r>
      <w:r>
        <w:tab/>
      </w:r>
      <w:r>
        <w:fldChar w:fldCharType="begin"/>
      </w:r>
      <w:r>
        <w:instrText xml:space="preserve"> PAGEREF _Toc433790420 \h </w:instrText>
      </w:r>
      <w:r>
        <w:fldChar w:fldCharType="separate"/>
      </w:r>
      <w:r w:rsidR="007A7220">
        <w:t>112</w:t>
      </w:r>
      <w:r>
        <w:fldChar w:fldCharType="end"/>
      </w:r>
    </w:p>
    <w:p w14:paraId="2A098433"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5.6</w:t>
      </w:r>
      <w:r>
        <w:rPr>
          <w:rFonts w:asciiTheme="minorHAnsi" w:eastAsiaTheme="minorEastAsia" w:hAnsiTheme="minorHAnsi" w:cstheme="minorBidi"/>
          <w:spacing w:val="0"/>
          <w:sz w:val="22"/>
          <w:szCs w:val="22"/>
        </w:rPr>
        <w:tab/>
      </w:r>
      <w:r>
        <w:t>Priority assistance</w:t>
      </w:r>
      <w:r>
        <w:tab/>
      </w:r>
      <w:r>
        <w:fldChar w:fldCharType="begin"/>
      </w:r>
      <w:r>
        <w:instrText xml:space="preserve"> PAGEREF _Toc433790421 \h </w:instrText>
      </w:r>
      <w:r>
        <w:fldChar w:fldCharType="separate"/>
      </w:r>
      <w:r w:rsidR="007A7220">
        <w:t>114</w:t>
      </w:r>
      <w:r>
        <w:fldChar w:fldCharType="end"/>
      </w:r>
    </w:p>
    <w:p w14:paraId="4A2152BF"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lastRenderedPageBreak/>
        <w:t>5.7</w:t>
      </w:r>
      <w:r>
        <w:rPr>
          <w:rFonts w:asciiTheme="minorHAnsi" w:eastAsiaTheme="minorEastAsia" w:hAnsiTheme="minorHAnsi" w:cstheme="minorBidi"/>
          <w:spacing w:val="0"/>
          <w:sz w:val="22"/>
          <w:szCs w:val="22"/>
        </w:rPr>
        <w:tab/>
      </w:r>
      <w:r>
        <w:t>Number portability</w:t>
      </w:r>
      <w:r>
        <w:tab/>
      </w:r>
      <w:r>
        <w:fldChar w:fldCharType="begin"/>
      </w:r>
      <w:r>
        <w:instrText xml:space="preserve"> PAGEREF _Toc433790422 \h </w:instrText>
      </w:r>
      <w:r>
        <w:fldChar w:fldCharType="separate"/>
      </w:r>
      <w:r w:rsidR="007A7220">
        <w:t>116</w:t>
      </w:r>
      <w:r>
        <w:fldChar w:fldCharType="end"/>
      </w:r>
    </w:p>
    <w:p w14:paraId="7B704864"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Local number portability</w:t>
      </w:r>
      <w:r>
        <w:tab/>
      </w:r>
      <w:r>
        <w:fldChar w:fldCharType="begin"/>
      </w:r>
      <w:r>
        <w:instrText xml:space="preserve"> PAGEREF _Toc433790423 \h </w:instrText>
      </w:r>
      <w:r>
        <w:fldChar w:fldCharType="separate"/>
      </w:r>
      <w:r w:rsidR="007A7220">
        <w:t>116</w:t>
      </w:r>
      <w:r>
        <w:fldChar w:fldCharType="end"/>
      </w:r>
    </w:p>
    <w:p w14:paraId="1D9630D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Freephone and local rate number (FLRN) portability</w:t>
      </w:r>
      <w:r>
        <w:tab/>
      </w:r>
      <w:r>
        <w:fldChar w:fldCharType="begin"/>
      </w:r>
      <w:r>
        <w:instrText xml:space="preserve"> PAGEREF _Toc433790424 \h </w:instrText>
      </w:r>
      <w:r>
        <w:fldChar w:fldCharType="separate"/>
      </w:r>
      <w:r w:rsidR="007A7220">
        <w:t>117</w:t>
      </w:r>
      <w:r>
        <w:fldChar w:fldCharType="end"/>
      </w:r>
    </w:p>
    <w:p w14:paraId="25DBB1F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Mobile number portability</w:t>
      </w:r>
      <w:r>
        <w:tab/>
      </w:r>
      <w:r>
        <w:fldChar w:fldCharType="begin"/>
      </w:r>
      <w:r>
        <w:instrText xml:space="preserve"> PAGEREF _Toc433790425 \h </w:instrText>
      </w:r>
      <w:r>
        <w:fldChar w:fldCharType="separate"/>
      </w:r>
      <w:r w:rsidR="007A7220">
        <w:t>117</w:t>
      </w:r>
      <w:r>
        <w:fldChar w:fldCharType="end"/>
      </w:r>
    </w:p>
    <w:p w14:paraId="78465997"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5.8</w:t>
      </w:r>
      <w:r>
        <w:rPr>
          <w:rFonts w:asciiTheme="minorHAnsi" w:eastAsiaTheme="minorEastAsia" w:hAnsiTheme="minorHAnsi" w:cstheme="minorBidi"/>
          <w:spacing w:val="0"/>
          <w:sz w:val="22"/>
          <w:szCs w:val="22"/>
        </w:rPr>
        <w:tab/>
      </w:r>
      <w:r>
        <w:t>Cabling regulation</w:t>
      </w:r>
      <w:r>
        <w:tab/>
      </w:r>
      <w:r>
        <w:fldChar w:fldCharType="begin"/>
      </w:r>
      <w:r>
        <w:instrText xml:space="preserve"> PAGEREF _Toc433790426 \h </w:instrText>
      </w:r>
      <w:r>
        <w:fldChar w:fldCharType="separate"/>
      </w:r>
      <w:r w:rsidR="007A7220">
        <w:t>117</w:t>
      </w:r>
      <w:r>
        <w:fldChar w:fldCharType="end"/>
      </w:r>
    </w:p>
    <w:p w14:paraId="3DE7FD6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Registered cablers</w:t>
      </w:r>
      <w:r>
        <w:tab/>
      </w:r>
      <w:r>
        <w:fldChar w:fldCharType="begin"/>
      </w:r>
      <w:r>
        <w:instrText xml:space="preserve"> PAGEREF _Toc433790427 \h </w:instrText>
      </w:r>
      <w:r>
        <w:fldChar w:fldCharType="separate"/>
      </w:r>
      <w:r w:rsidR="007A7220">
        <w:t>117</w:t>
      </w:r>
      <w:r>
        <w:fldChar w:fldCharType="end"/>
      </w:r>
    </w:p>
    <w:p w14:paraId="07F12287"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Cabling compliance</w:t>
      </w:r>
      <w:r>
        <w:tab/>
      </w:r>
      <w:r>
        <w:fldChar w:fldCharType="begin"/>
      </w:r>
      <w:r>
        <w:instrText xml:space="preserve"> PAGEREF _Toc433790428 \h </w:instrText>
      </w:r>
      <w:r>
        <w:fldChar w:fldCharType="separate"/>
      </w:r>
      <w:r w:rsidR="007A7220">
        <w:t>117</w:t>
      </w:r>
      <w:r>
        <w:fldChar w:fldCharType="end"/>
      </w:r>
    </w:p>
    <w:p w14:paraId="48C63AC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5.9</w:t>
      </w:r>
      <w:r>
        <w:rPr>
          <w:rFonts w:asciiTheme="minorHAnsi" w:eastAsiaTheme="minorEastAsia" w:hAnsiTheme="minorHAnsi" w:cstheme="minorBidi"/>
          <w:spacing w:val="0"/>
          <w:sz w:val="22"/>
          <w:szCs w:val="22"/>
        </w:rPr>
        <w:tab/>
      </w:r>
      <w:r>
        <w:t>Do Not Call Register (DNCR)</w:t>
      </w:r>
      <w:r>
        <w:tab/>
      </w:r>
      <w:r>
        <w:fldChar w:fldCharType="begin"/>
      </w:r>
      <w:r>
        <w:instrText xml:space="preserve"> PAGEREF _Toc433790429 \h </w:instrText>
      </w:r>
      <w:r>
        <w:fldChar w:fldCharType="separate"/>
      </w:r>
      <w:r w:rsidR="007A7220">
        <w:t>118</w:t>
      </w:r>
      <w:r>
        <w:fldChar w:fldCharType="end"/>
      </w:r>
    </w:p>
    <w:p w14:paraId="77CADFA7"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5.10</w:t>
      </w:r>
      <w:r>
        <w:rPr>
          <w:rFonts w:asciiTheme="minorHAnsi" w:eastAsiaTheme="minorEastAsia" w:hAnsiTheme="minorHAnsi" w:cstheme="minorBidi"/>
          <w:spacing w:val="0"/>
          <w:sz w:val="22"/>
          <w:szCs w:val="22"/>
        </w:rPr>
        <w:tab/>
      </w:r>
      <w:r>
        <w:t>Unsolicited communications—spam and telemarketing</w:t>
      </w:r>
      <w:r>
        <w:tab/>
      </w:r>
      <w:r>
        <w:fldChar w:fldCharType="begin"/>
      </w:r>
      <w:r>
        <w:instrText xml:space="preserve"> PAGEREF _Toc433790430 \h </w:instrText>
      </w:r>
      <w:r>
        <w:fldChar w:fldCharType="separate"/>
      </w:r>
      <w:r w:rsidR="007A7220">
        <w:t>118</w:t>
      </w:r>
      <w:r>
        <w:fldChar w:fldCharType="end"/>
      </w:r>
    </w:p>
    <w:p w14:paraId="3CF2FC4F"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5.11</w:t>
      </w:r>
      <w:r>
        <w:rPr>
          <w:rFonts w:asciiTheme="minorHAnsi" w:eastAsiaTheme="minorEastAsia" w:hAnsiTheme="minorHAnsi" w:cstheme="minorBidi"/>
          <w:spacing w:val="0"/>
          <w:sz w:val="22"/>
          <w:szCs w:val="22"/>
        </w:rPr>
        <w:tab/>
      </w:r>
      <w:r>
        <w:t>Cybersecurity</w:t>
      </w:r>
      <w:r>
        <w:tab/>
      </w:r>
      <w:r>
        <w:fldChar w:fldCharType="begin"/>
      </w:r>
      <w:r>
        <w:instrText xml:space="preserve"> PAGEREF _Toc433790431 \h </w:instrText>
      </w:r>
      <w:r>
        <w:fldChar w:fldCharType="separate"/>
      </w:r>
      <w:r w:rsidR="007A7220">
        <w:t>120</w:t>
      </w:r>
      <w:r>
        <w:fldChar w:fldCharType="end"/>
      </w:r>
    </w:p>
    <w:p w14:paraId="50C6393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5.12</w:t>
      </w:r>
      <w:r>
        <w:rPr>
          <w:rFonts w:asciiTheme="minorHAnsi" w:eastAsiaTheme="minorEastAsia" w:hAnsiTheme="minorHAnsi" w:cstheme="minorBidi"/>
          <w:spacing w:val="0"/>
          <w:sz w:val="22"/>
          <w:szCs w:val="22"/>
        </w:rPr>
        <w:tab/>
      </w:r>
      <w:r>
        <w:t>Telecommunications codes—development and review</w:t>
      </w:r>
      <w:r>
        <w:tab/>
      </w:r>
      <w:r>
        <w:fldChar w:fldCharType="begin"/>
      </w:r>
      <w:r>
        <w:instrText xml:space="preserve"> PAGEREF _Toc433790432 \h </w:instrText>
      </w:r>
      <w:r>
        <w:fldChar w:fldCharType="separate"/>
      </w:r>
      <w:r w:rsidR="007A7220">
        <w:t>121</w:t>
      </w:r>
      <w:r>
        <w:fldChar w:fldCharType="end"/>
      </w:r>
    </w:p>
    <w:p w14:paraId="5F8ED17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5.13</w:t>
      </w:r>
      <w:r>
        <w:rPr>
          <w:rFonts w:asciiTheme="minorHAnsi" w:eastAsiaTheme="minorEastAsia" w:hAnsiTheme="minorHAnsi" w:cstheme="minorBidi"/>
          <w:spacing w:val="0"/>
          <w:sz w:val="22"/>
          <w:szCs w:val="22"/>
        </w:rPr>
        <w:tab/>
      </w:r>
      <w:r>
        <w:t>Industry compliance with telecommunications codes</w:t>
      </w:r>
      <w:r>
        <w:tab/>
      </w:r>
      <w:r>
        <w:fldChar w:fldCharType="begin"/>
      </w:r>
      <w:r>
        <w:instrText xml:space="preserve"> PAGEREF _Toc433790433 \h </w:instrText>
      </w:r>
      <w:r>
        <w:fldChar w:fldCharType="separate"/>
      </w:r>
      <w:r w:rsidR="007A7220">
        <w:t>121</w:t>
      </w:r>
      <w:r>
        <w:fldChar w:fldCharType="end"/>
      </w:r>
    </w:p>
    <w:p w14:paraId="0507C40A"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Compliance with the TCP Code</w:t>
      </w:r>
      <w:r>
        <w:tab/>
      </w:r>
      <w:r>
        <w:fldChar w:fldCharType="begin"/>
      </w:r>
      <w:r>
        <w:instrText xml:space="preserve"> PAGEREF _Toc433790434 \h </w:instrText>
      </w:r>
      <w:r>
        <w:fldChar w:fldCharType="separate"/>
      </w:r>
      <w:r w:rsidR="007A7220">
        <w:t>121</w:t>
      </w:r>
      <w:r>
        <w:fldChar w:fldCharType="end"/>
      </w:r>
    </w:p>
    <w:p w14:paraId="15F87160"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5.14</w:t>
      </w:r>
      <w:r>
        <w:rPr>
          <w:rFonts w:asciiTheme="minorHAnsi" w:eastAsiaTheme="minorEastAsia" w:hAnsiTheme="minorHAnsi" w:cstheme="minorBidi"/>
          <w:spacing w:val="0"/>
          <w:sz w:val="22"/>
          <w:szCs w:val="22"/>
        </w:rPr>
        <w:tab/>
      </w:r>
      <w:r>
        <w:t>Industry compliance with TIO scheme</w:t>
      </w:r>
      <w:r>
        <w:tab/>
      </w:r>
      <w:r>
        <w:fldChar w:fldCharType="begin"/>
      </w:r>
      <w:r>
        <w:instrText xml:space="preserve"> PAGEREF _Toc433790435 \h </w:instrText>
      </w:r>
      <w:r>
        <w:fldChar w:fldCharType="separate"/>
      </w:r>
      <w:r w:rsidR="007A7220">
        <w:t>122</w:t>
      </w:r>
      <w:r>
        <w:fldChar w:fldCharType="end"/>
      </w:r>
    </w:p>
    <w:p w14:paraId="77223D1F"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5.15</w:t>
      </w:r>
      <w:r>
        <w:rPr>
          <w:rFonts w:asciiTheme="minorHAnsi" w:eastAsiaTheme="minorEastAsia" w:hAnsiTheme="minorHAnsi" w:cstheme="minorBidi"/>
          <w:spacing w:val="0"/>
          <w:sz w:val="22"/>
          <w:szCs w:val="22"/>
        </w:rPr>
        <w:tab/>
      </w:r>
      <w:r>
        <w:t>Complaints to the TIO</w:t>
      </w:r>
      <w:r>
        <w:tab/>
      </w:r>
      <w:r>
        <w:fldChar w:fldCharType="begin"/>
      </w:r>
      <w:r>
        <w:instrText xml:space="preserve"> PAGEREF _Toc433790436 \h </w:instrText>
      </w:r>
      <w:r>
        <w:fldChar w:fldCharType="separate"/>
      </w:r>
      <w:r w:rsidR="007A7220">
        <w:t>122</w:t>
      </w:r>
      <w:r>
        <w:fldChar w:fldCharType="end"/>
      </w:r>
    </w:p>
    <w:p w14:paraId="778FD8E0"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5.16</w:t>
      </w:r>
      <w:r>
        <w:rPr>
          <w:rFonts w:asciiTheme="minorHAnsi" w:eastAsiaTheme="minorEastAsia" w:hAnsiTheme="minorHAnsi" w:cstheme="minorBidi"/>
          <w:spacing w:val="0"/>
          <w:sz w:val="22"/>
          <w:szCs w:val="22"/>
        </w:rPr>
        <w:tab/>
      </w:r>
      <w:r>
        <w:t>Communications infrastructure regulation</w:t>
      </w:r>
      <w:r>
        <w:tab/>
      </w:r>
      <w:r>
        <w:fldChar w:fldCharType="begin"/>
      </w:r>
      <w:r>
        <w:instrText xml:space="preserve"> PAGEREF _Toc433790437 \h </w:instrText>
      </w:r>
      <w:r>
        <w:fldChar w:fldCharType="separate"/>
      </w:r>
      <w:r w:rsidR="007A7220">
        <w:t>124</w:t>
      </w:r>
      <w:r>
        <w:fldChar w:fldCharType="end"/>
      </w:r>
    </w:p>
    <w:p w14:paraId="64800B13"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Complaints to the TIO</w:t>
      </w:r>
      <w:r>
        <w:tab/>
      </w:r>
      <w:r>
        <w:fldChar w:fldCharType="begin"/>
      </w:r>
      <w:r>
        <w:instrText xml:space="preserve"> PAGEREF _Toc433790438 \h </w:instrText>
      </w:r>
      <w:r>
        <w:fldChar w:fldCharType="separate"/>
      </w:r>
      <w:r w:rsidR="007A7220">
        <w:t>124</w:t>
      </w:r>
      <w:r>
        <w:fldChar w:fldCharType="end"/>
      </w:r>
    </w:p>
    <w:p w14:paraId="1F35C1EE"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5.17</w:t>
      </w:r>
      <w:r>
        <w:rPr>
          <w:rFonts w:asciiTheme="minorHAnsi" w:eastAsiaTheme="minorEastAsia" w:hAnsiTheme="minorHAnsi" w:cstheme="minorBidi"/>
          <w:spacing w:val="0"/>
          <w:sz w:val="22"/>
          <w:szCs w:val="22"/>
        </w:rPr>
        <w:tab/>
      </w:r>
      <w:r>
        <w:t>Mobile phone base stations</w:t>
      </w:r>
      <w:r>
        <w:tab/>
      </w:r>
      <w:r>
        <w:fldChar w:fldCharType="begin"/>
      </w:r>
      <w:r>
        <w:instrText xml:space="preserve"> PAGEREF _Toc433790439 \h </w:instrText>
      </w:r>
      <w:r>
        <w:fldChar w:fldCharType="separate"/>
      </w:r>
      <w:r w:rsidR="007A7220">
        <w:t>125</w:t>
      </w:r>
      <w:r>
        <w:fldChar w:fldCharType="end"/>
      </w:r>
    </w:p>
    <w:p w14:paraId="6C5D7BC2"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Complaints and enquiries to the ACMA</w:t>
      </w:r>
      <w:r>
        <w:tab/>
      </w:r>
      <w:r>
        <w:fldChar w:fldCharType="begin"/>
      </w:r>
      <w:r>
        <w:instrText xml:space="preserve"> PAGEREF _Toc433790440 \h </w:instrText>
      </w:r>
      <w:r>
        <w:fldChar w:fldCharType="separate"/>
      </w:r>
      <w:r w:rsidR="007A7220">
        <w:t>125</w:t>
      </w:r>
      <w:r>
        <w:fldChar w:fldCharType="end"/>
      </w:r>
    </w:p>
    <w:p w14:paraId="5961B96F" w14:textId="77777777" w:rsidR="00FD7E86" w:rsidRPr="00FD7E86" w:rsidRDefault="00FD7E86"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sidRPr="00FD7E86">
        <w:rPr>
          <w:color w:val="00ADBB" w:themeColor="accent1"/>
        </w:rPr>
        <w:t>Glossary</w:t>
      </w:r>
      <w:r w:rsidRPr="00FD7E86">
        <w:rPr>
          <w:color w:val="00ADBB" w:themeColor="accent1"/>
        </w:rPr>
        <w:tab/>
      </w:r>
      <w:r w:rsidRPr="00FD7E86">
        <w:rPr>
          <w:color w:val="00ADBB" w:themeColor="accent1"/>
        </w:rPr>
        <w:fldChar w:fldCharType="begin"/>
      </w:r>
      <w:r w:rsidRPr="00FD7E86">
        <w:rPr>
          <w:color w:val="00ADBB" w:themeColor="accent1"/>
        </w:rPr>
        <w:instrText xml:space="preserve"> PAGEREF _Toc433790441 \h </w:instrText>
      </w:r>
      <w:r w:rsidRPr="00FD7E86">
        <w:rPr>
          <w:color w:val="00ADBB" w:themeColor="accent1"/>
        </w:rPr>
      </w:r>
      <w:r w:rsidRPr="00FD7E86">
        <w:rPr>
          <w:color w:val="00ADBB" w:themeColor="accent1"/>
        </w:rPr>
        <w:fldChar w:fldCharType="separate"/>
      </w:r>
      <w:r w:rsidR="007A7220">
        <w:rPr>
          <w:color w:val="00ADBB" w:themeColor="accent1"/>
        </w:rPr>
        <w:t>126</w:t>
      </w:r>
      <w:r w:rsidRPr="00FD7E86">
        <w:rPr>
          <w:color w:val="00ADBB" w:themeColor="accent1"/>
        </w:rPr>
        <w:fldChar w:fldCharType="end"/>
      </w:r>
    </w:p>
    <w:p w14:paraId="1513D030" w14:textId="77777777" w:rsidR="00FD7E86" w:rsidRPr="00FD7E86" w:rsidRDefault="00151649" w:rsidP="00FD7E86">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Pr>
          <w:color w:val="00ADBB" w:themeColor="accent1"/>
        </w:rPr>
        <w:t>Appendix</w:t>
      </w:r>
      <w:r w:rsidR="00FD7E86" w:rsidRPr="00FD7E86">
        <w:rPr>
          <w:color w:val="00ADBB" w:themeColor="accent1"/>
        </w:rPr>
        <w:t>—Research methodology</w:t>
      </w:r>
      <w:r w:rsidR="00FD7E86" w:rsidRPr="00FD7E86">
        <w:rPr>
          <w:color w:val="00ADBB" w:themeColor="accent1"/>
        </w:rPr>
        <w:tab/>
      </w:r>
      <w:r w:rsidR="00FD7E86" w:rsidRPr="00FD7E86">
        <w:rPr>
          <w:color w:val="00ADBB" w:themeColor="accent1"/>
        </w:rPr>
        <w:fldChar w:fldCharType="begin"/>
      </w:r>
      <w:r w:rsidR="00FD7E86" w:rsidRPr="00FD7E86">
        <w:rPr>
          <w:color w:val="00ADBB" w:themeColor="accent1"/>
        </w:rPr>
        <w:instrText xml:space="preserve"> PAGEREF _Toc433790442 \h </w:instrText>
      </w:r>
      <w:r w:rsidR="00FD7E86" w:rsidRPr="00FD7E86">
        <w:rPr>
          <w:color w:val="00ADBB" w:themeColor="accent1"/>
        </w:rPr>
      </w:r>
      <w:r w:rsidR="00FD7E86" w:rsidRPr="00FD7E86">
        <w:rPr>
          <w:color w:val="00ADBB" w:themeColor="accent1"/>
        </w:rPr>
        <w:fldChar w:fldCharType="separate"/>
      </w:r>
      <w:r w:rsidR="007A7220">
        <w:rPr>
          <w:color w:val="00ADBB" w:themeColor="accent1"/>
        </w:rPr>
        <w:t>135</w:t>
      </w:r>
      <w:r w:rsidR="00FD7E86" w:rsidRPr="00FD7E86">
        <w:rPr>
          <w:color w:val="00ADBB" w:themeColor="accent1"/>
        </w:rPr>
        <w:fldChar w:fldCharType="end"/>
      </w:r>
    </w:p>
    <w:p w14:paraId="34267464"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Data sources</w:t>
      </w:r>
      <w:r>
        <w:tab/>
      </w:r>
      <w:r>
        <w:fldChar w:fldCharType="begin"/>
      </w:r>
      <w:r>
        <w:instrText xml:space="preserve"> PAGEREF _Toc433790443 \h </w:instrText>
      </w:r>
      <w:r>
        <w:fldChar w:fldCharType="separate"/>
      </w:r>
      <w:r w:rsidR="007A7220">
        <w:t>135</w:t>
      </w:r>
      <w:r>
        <w:fldChar w:fldCharType="end"/>
      </w:r>
    </w:p>
    <w:p w14:paraId="424BE796"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ACMA-commissioned surveys</w:t>
      </w:r>
      <w:r>
        <w:tab/>
      </w:r>
      <w:r>
        <w:fldChar w:fldCharType="begin"/>
      </w:r>
      <w:r>
        <w:instrText xml:space="preserve"> PAGEREF _Toc433790444 \h </w:instrText>
      </w:r>
      <w:r>
        <w:fldChar w:fldCharType="separate"/>
      </w:r>
      <w:r w:rsidR="007A7220">
        <w:t>135</w:t>
      </w:r>
      <w:r>
        <w:fldChar w:fldCharType="end"/>
      </w:r>
    </w:p>
    <w:p w14:paraId="7500355D" w14:textId="77777777" w:rsidR="00FD7E86" w:rsidRDefault="00FD7E86" w:rsidP="00FD7E86">
      <w:pPr>
        <w:pStyle w:val="TOC3"/>
        <w:tabs>
          <w:tab w:val="clear" w:pos="7661"/>
          <w:tab w:val="right" w:pos="9072"/>
        </w:tabs>
        <w:ind w:right="425"/>
        <w:rPr>
          <w:rFonts w:asciiTheme="minorHAnsi" w:eastAsiaTheme="minorEastAsia" w:hAnsiTheme="minorHAnsi" w:cstheme="minorBidi"/>
        </w:rPr>
      </w:pPr>
      <w:r>
        <w:t>Roy Morgan Single Source</w:t>
      </w:r>
      <w:r>
        <w:tab/>
      </w:r>
      <w:r>
        <w:fldChar w:fldCharType="begin"/>
      </w:r>
      <w:r>
        <w:instrText xml:space="preserve"> PAGEREF _Toc433790446 \h </w:instrText>
      </w:r>
      <w:r>
        <w:fldChar w:fldCharType="separate"/>
      </w:r>
      <w:r w:rsidR="007A7220">
        <w:t>136</w:t>
      </w:r>
      <w:r>
        <w:fldChar w:fldCharType="end"/>
      </w:r>
    </w:p>
    <w:p w14:paraId="240C22C1" w14:textId="77777777" w:rsidR="00FD7E86" w:rsidRDefault="00FD7E86" w:rsidP="00FD7E86">
      <w:pPr>
        <w:pStyle w:val="TOC2"/>
        <w:tabs>
          <w:tab w:val="clear" w:pos="7660"/>
          <w:tab w:val="right" w:pos="9072"/>
        </w:tabs>
        <w:ind w:right="425"/>
        <w:rPr>
          <w:rFonts w:asciiTheme="minorHAnsi" w:eastAsiaTheme="minorEastAsia" w:hAnsiTheme="minorHAnsi" w:cstheme="minorBidi"/>
          <w:spacing w:val="0"/>
          <w:sz w:val="22"/>
          <w:szCs w:val="22"/>
        </w:rPr>
      </w:pPr>
      <w:r>
        <w:t>Other sources</w:t>
      </w:r>
      <w:r>
        <w:tab/>
      </w:r>
      <w:r>
        <w:fldChar w:fldCharType="begin"/>
      </w:r>
      <w:r>
        <w:instrText xml:space="preserve"> PAGEREF _Toc433790447 \h </w:instrText>
      </w:r>
      <w:r>
        <w:fldChar w:fldCharType="separate"/>
      </w:r>
      <w:r w:rsidR="007A7220">
        <w:t>136</w:t>
      </w:r>
      <w:r>
        <w:fldChar w:fldCharType="end"/>
      </w:r>
    </w:p>
    <w:p w14:paraId="009E043C" w14:textId="77777777" w:rsidR="00FD7E86" w:rsidRDefault="00FD7E86" w:rsidP="00FD7E86">
      <w:pPr>
        <w:pStyle w:val="TOC2"/>
        <w:tabs>
          <w:tab w:val="clear" w:pos="7660"/>
          <w:tab w:val="right" w:pos="9072"/>
        </w:tabs>
        <w:ind w:right="425"/>
      </w:pPr>
      <w:r>
        <w:t>Data analysis</w:t>
      </w:r>
      <w:r>
        <w:tab/>
      </w:r>
      <w:r>
        <w:fldChar w:fldCharType="begin"/>
      </w:r>
      <w:r>
        <w:instrText xml:space="preserve"> PAGEREF _Toc433790448 \h </w:instrText>
      </w:r>
      <w:r>
        <w:fldChar w:fldCharType="separate"/>
      </w:r>
      <w:r w:rsidR="007A7220">
        <w:t>137</w:t>
      </w:r>
      <w:r>
        <w:fldChar w:fldCharType="end"/>
      </w:r>
    </w:p>
    <w:p w14:paraId="4915152A" w14:textId="77777777" w:rsidR="004061F1" w:rsidRPr="00FD7E86" w:rsidRDefault="004061F1" w:rsidP="004061F1">
      <w:pPr>
        <w:pStyle w:val="TOC1"/>
        <w:tabs>
          <w:tab w:val="clear" w:pos="7660"/>
          <w:tab w:val="right" w:pos="9072"/>
        </w:tabs>
        <w:ind w:right="425"/>
        <w:rPr>
          <w:rFonts w:asciiTheme="minorHAnsi" w:eastAsiaTheme="minorEastAsia" w:hAnsiTheme="minorHAnsi" w:cstheme="minorBidi"/>
          <w:b w:val="0"/>
          <w:color w:val="00ADBB" w:themeColor="accent1"/>
          <w:spacing w:val="0"/>
          <w:sz w:val="22"/>
          <w:szCs w:val="22"/>
        </w:rPr>
      </w:pPr>
      <w:r>
        <w:rPr>
          <w:color w:val="00ADBB" w:themeColor="accent1"/>
        </w:rPr>
        <w:t>Index</w:t>
      </w:r>
      <w:r w:rsidRPr="00FD7E86">
        <w:rPr>
          <w:color w:val="00ADBB" w:themeColor="accent1"/>
        </w:rPr>
        <w:tab/>
      </w:r>
      <w:r>
        <w:rPr>
          <w:color w:val="00ADBB" w:themeColor="accent1"/>
        </w:rPr>
        <w:t>138</w:t>
      </w:r>
    </w:p>
    <w:p w14:paraId="48D9BBE8" w14:textId="77777777" w:rsidR="004061F1" w:rsidRPr="004061F1" w:rsidRDefault="004061F1" w:rsidP="004061F1">
      <w:pPr>
        <w:rPr>
          <w:rFonts w:eastAsiaTheme="minorEastAsia"/>
        </w:rPr>
      </w:pPr>
    </w:p>
    <w:p w14:paraId="640A9BCE" w14:textId="77777777" w:rsidR="000A4A51" w:rsidRPr="00FD7E86" w:rsidRDefault="007A6CC0" w:rsidP="00FD7E86">
      <w:pPr>
        <w:tabs>
          <w:tab w:val="right" w:pos="8788"/>
          <w:tab w:val="right" w:pos="9072"/>
          <w:tab w:val="right" w:pos="9356"/>
        </w:tabs>
        <w:ind w:right="425"/>
        <w:rPr>
          <w:rFonts w:cs="Arial"/>
        </w:rPr>
      </w:pPr>
      <w:r w:rsidRPr="00FD7E86">
        <w:rPr>
          <w:rFonts w:cs="Arial"/>
          <w:b/>
          <w:noProof/>
          <w:spacing w:val="-14"/>
          <w:sz w:val="28"/>
        </w:rPr>
        <w:fldChar w:fldCharType="end"/>
      </w:r>
    </w:p>
    <w:p w14:paraId="06081697" w14:textId="77777777" w:rsidR="004D56FF" w:rsidRPr="00FD7E86" w:rsidRDefault="004D56FF">
      <w:pPr>
        <w:rPr>
          <w:rFonts w:cs="Arial"/>
        </w:rPr>
        <w:sectPr w:rsidR="004D56FF" w:rsidRPr="00FD7E86" w:rsidSect="00A2339C">
          <w:headerReference w:type="even" r:id="rId26"/>
          <w:headerReference w:type="default" r:id="rId27"/>
          <w:footerReference w:type="even" r:id="rId28"/>
          <w:footerReference w:type="default" r:id="rId29"/>
          <w:footerReference w:type="first" r:id="rId30"/>
          <w:pgSz w:w="11906" w:h="16838" w:code="9"/>
          <w:pgMar w:top="3646" w:right="1133" w:bottom="1134" w:left="1134" w:header="709" w:footer="119" w:gutter="0"/>
          <w:cols w:space="708"/>
          <w:titlePg/>
          <w:docGrid w:linePitch="360"/>
        </w:sectPr>
      </w:pPr>
    </w:p>
    <w:p w14:paraId="7F574FC8" w14:textId="77777777" w:rsidR="00A42E26" w:rsidRPr="00FD7E86" w:rsidRDefault="00A42E26" w:rsidP="00685BA6">
      <w:pPr>
        <w:pStyle w:val="Heading1"/>
        <w:spacing w:after="1320"/>
      </w:pPr>
      <w:bookmarkStart w:id="1" w:name="_Toc433790270"/>
      <w:bookmarkStart w:id="2" w:name="_Toc399331702"/>
      <w:bookmarkStart w:id="3" w:name="_Toc399336883"/>
      <w:bookmarkStart w:id="4" w:name="_Toc402337487"/>
      <w:bookmarkStart w:id="5" w:name="_Toc285789710"/>
      <w:bookmarkStart w:id="6" w:name="_Toc285791789"/>
      <w:r w:rsidRPr="00FD7E86">
        <w:lastRenderedPageBreak/>
        <w:t>Chairman’s foreword</w:t>
      </w:r>
      <w:bookmarkEnd w:id="1"/>
    </w:p>
    <w:p w14:paraId="539C9CF2" w14:textId="77777777" w:rsidR="00D52527" w:rsidRPr="00FD7E86" w:rsidRDefault="00685BA6" w:rsidP="00D52527">
      <w:pPr>
        <w:rPr>
          <w:lang w:val="en-US"/>
        </w:rPr>
      </w:pPr>
      <w:r w:rsidRPr="00FD7E86">
        <w:rPr>
          <w:rFonts w:cs="Arial"/>
          <w:noProof/>
          <w:szCs w:val="20"/>
        </w:rPr>
        <w:drawing>
          <wp:anchor distT="0" distB="71755" distL="36195" distR="252095" simplePos="0" relativeHeight="251660800" behindDoc="0" locked="0" layoutInCell="1" allowOverlap="1" wp14:anchorId="72D251C4" wp14:editId="0271C590">
            <wp:simplePos x="0" y="0"/>
            <wp:positionH relativeFrom="column">
              <wp:posOffset>19464</wp:posOffset>
            </wp:positionH>
            <wp:positionV relativeFrom="page">
              <wp:posOffset>2441575</wp:posOffset>
            </wp:positionV>
            <wp:extent cx="1283970" cy="1254760"/>
            <wp:effectExtent l="19050" t="19050" r="11430" b="21590"/>
            <wp:wrapSquare wrapText="bothSides"/>
            <wp:docPr id="17" name="Picture 0" descr="Image of Chris Chapm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AER 0017.tif"/>
                    <pic:cNvPicPr/>
                  </pic:nvPicPr>
                  <pic:blipFill>
                    <a:blip r:embed="rId31" cstate="print"/>
                    <a:srcRect l="19575" t="11111" r="19828"/>
                    <a:stretch>
                      <a:fillRect/>
                    </a:stretch>
                  </pic:blipFill>
                  <pic:spPr>
                    <a:xfrm>
                      <a:off x="0" y="0"/>
                      <a:ext cx="1283970" cy="1254760"/>
                    </a:xfrm>
                    <a:prstGeom prst="rect">
                      <a:avLst/>
                    </a:prstGeom>
                    <a:ln w="3175">
                      <a:solidFill>
                        <a:schemeClr val="tx1">
                          <a:lumMod val="65000"/>
                          <a:lumOff val="35000"/>
                        </a:schemeClr>
                      </a:solidFill>
                    </a:ln>
                  </pic:spPr>
                </pic:pic>
              </a:graphicData>
            </a:graphic>
          </wp:anchor>
        </w:drawing>
      </w:r>
      <w:r w:rsidR="00D52527" w:rsidRPr="00FD7E86">
        <w:rPr>
          <w:lang w:val="en-US"/>
        </w:rPr>
        <w:t>I am pleased to present the ACMA</w:t>
      </w:r>
      <w:r w:rsidR="00D52527" w:rsidRPr="00FD7E86">
        <w:rPr>
          <w:i/>
          <w:lang w:val="en-US"/>
        </w:rPr>
        <w:t xml:space="preserve"> Communications report 2014–15</w:t>
      </w:r>
      <w:r w:rsidR="006C5AA6" w:rsidRPr="00FD7E86">
        <w:rPr>
          <w:i/>
          <w:lang w:val="en-US"/>
        </w:rPr>
        <w:t>.</w:t>
      </w:r>
      <w:r w:rsidR="006C5AA6" w:rsidRPr="00FD7E86">
        <w:rPr>
          <w:lang w:val="en-US"/>
        </w:rPr>
        <w:t xml:space="preserve"> This is </w:t>
      </w:r>
      <w:r w:rsidR="00D52527" w:rsidRPr="00FD7E86">
        <w:rPr>
          <w:lang w:val="en-US"/>
        </w:rPr>
        <w:t xml:space="preserve">the tenth </w:t>
      </w:r>
      <w:r w:rsidR="00392300" w:rsidRPr="00FD7E86">
        <w:rPr>
          <w:lang w:val="en-US"/>
        </w:rPr>
        <w:t xml:space="preserve">consecutive </w:t>
      </w:r>
      <w:r w:rsidR="00D52527" w:rsidRPr="00FD7E86">
        <w:rPr>
          <w:lang w:val="en-US"/>
        </w:rPr>
        <w:t xml:space="preserve">edition </w:t>
      </w:r>
      <w:r w:rsidR="00392300" w:rsidRPr="00FD7E86">
        <w:rPr>
          <w:lang w:val="en-US"/>
        </w:rPr>
        <w:t xml:space="preserve">of this report </w:t>
      </w:r>
      <w:r w:rsidR="00D52527" w:rsidRPr="00FD7E86">
        <w:rPr>
          <w:lang w:val="en-US"/>
        </w:rPr>
        <w:t>produced since the Australian Communications and Media Authority (the ACMA) was formed in July 2005.</w:t>
      </w:r>
    </w:p>
    <w:p w14:paraId="3A3DE255" w14:textId="77777777" w:rsidR="006C5AA6" w:rsidRPr="00FD7E86" w:rsidRDefault="00D52527" w:rsidP="00D52527">
      <w:pPr>
        <w:rPr>
          <w:lang w:val="en-US"/>
        </w:rPr>
      </w:pPr>
      <w:r w:rsidRPr="00FD7E86">
        <w:rPr>
          <w:lang w:val="en-US"/>
        </w:rPr>
        <w:t xml:space="preserve">The Communications report </w:t>
      </w:r>
      <w:r w:rsidR="00392300" w:rsidRPr="00FD7E86">
        <w:rPr>
          <w:lang w:val="en-US"/>
        </w:rPr>
        <w:t xml:space="preserve">again </w:t>
      </w:r>
      <w:r w:rsidRPr="00FD7E86">
        <w:rPr>
          <w:lang w:val="en-US"/>
        </w:rPr>
        <w:t xml:space="preserve">provides a comprehensive overview of issues relating to the changing communications and media market in Australia, </w:t>
      </w:r>
      <w:r w:rsidR="006C5AA6" w:rsidRPr="00FD7E86">
        <w:rPr>
          <w:lang w:val="en-US"/>
        </w:rPr>
        <w:t xml:space="preserve">including changes in the way Australians engage with digital communications technologies and content. </w:t>
      </w:r>
    </w:p>
    <w:p w14:paraId="7320985D" w14:textId="77777777" w:rsidR="006C5AA6" w:rsidRPr="00FD7E86" w:rsidRDefault="00392300" w:rsidP="006C5AA6">
      <w:pPr>
        <w:rPr>
          <w:lang w:val="en-US"/>
        </w:rPr>
      </w:pPr>
      <w:r w:rsidRPr="00FD7E86">
        <w:rPr>
          <w:lang w:val="en-US"/>
        </w:rPr>
        <w:t>One of the standout areas of change during 2014–15 has been the growing impact of o</w:t>
      </w:r>
      <w:r w:rsidR="006C5AA6" w:rsidRPr="00FD7E86">
        <w:rPr>
          <w:lang w:val="en-US"/>
        </w:rPr>
        <w:t xml:space="preserve">ver-the-top (OTT) services </w:t>
      </w:r>
      <w:r w:rsidRPr="00FD7E86">
        <w:rPr>
          <w:lang w:val="en-US"/>
        </w:rPr>
        <w:t>beyond their now established communications role, reflecting the growing popularity of OTT content services.</w:t>
      </w:r>
      <w:r w:rsidR="006C5AA6" w:rsidRPr="00FD7E86">
        <w:rPr>
          <w:lang w:val="en-US"/>
        </w:rPr>
        <w:t xml:space="preserve"> While traditional free-to-air and subscription television continue to dominate Australian’s content viewing, this year we report that 34 per cent of Australian adults watched online television or online professionally</w:t>
      </w:r>
      <w:r w:rsidR="00ED78CB" w:rsidRPr="00FD7E86">
        <w:rPr>
          <w:lang w:val="en-US"/>
        </w:rPr>
        <w:t xml:space="preserve"> </w:t>
      </w:r>
      <w:r w:rsidR="006C5AA6" w:rsidRPr="00FD7E86">
        <w:rPr>
          <w:lang w:val="en-US"/>
        </w:rPr>
        <w:t>produced video content</w:t>
      </w:r>
      <w:r w:rsidR="006C5AA6" w:rsidRPr="00FD7E86" w:rsidDel="000F2823">
        <w:rPr>
          <w:lang w:val="en-US"/>
        </w:rPr>
        <w:t xml:space="preserve"> </w:t>
      </w:r>
      <w:r w:rsidR="006C5AA6" w:rsidRPr="00FD7E86">
        <w:rPr>
          <w:lang w:val="en-US"/>
        </w:rPr>
        <w:t xml:space="preserve">in a given week. The ACMA </w:t>
      </w:r>
      <w:r w:rsidRPr="00FD7E86">
        <w:rPr>
          <w:lang w:val="en-US"/>
        </w:rPr>
        <w:t xml:space="preserve">will </w:t>
      </w:r>
      <w:r w:rsidR="006C5AA6" w:rsidRPr="00FD7E86">
        <w:rPr>
          <w:lang w:val="en-US"/>
        </w:rPr>
        <w:t>continu</w:t>
      </w:r>
      <w:r w:rsidRPr="00FD7E86">
        <w:rPr>
          <w:lang w:val="en-US"/>
        </w:rPr>
        <w:t>e</w:t>
      </w:r>
      <w:r w:rsidR="006C5AA6" w:rsidRPr="00FD7E86">
        <w:rPr>
          <w:lang w:val="en-US"/>
        </w:rPr>
        <w:t xml:space="preserve"> to monitor </w:t>
      </w:r>
      <w:r w:rsidRPr="00FD7E86">
        <w:rPr>
          <w:lang w:val="en-US"/>
        </w:rPr>
        <w:t xml:space="preserve">with interest </w:t>
      </w:r>
      <w:r w:rsidR="006C5AA6" w:rsidRPr="00FD7E86">
        <w:rPr>
          <w:lang w:val="en-US"/>
        </w:rPr>
        <w:t>the impact of OTT video on the content industries.</w:t>
      </w:r>
    </w:p>
    <w:p w14:paraId="44821E8C" w14:textId="77777777" w:rsidR="006C5AA6" w:rsidRPr="00FD7E86" w:rsidRDefault="006C5AA6" w:rsidP="006C5AA6">
      <w:pPr>
        <w:rPr>
          <w:lang w:val="en-US"/>
        </w:rPr>
      </w:pPr>
      <w:r w:rsidRPr="00FD7E86">
        <w:rPr>
          <w:lang w:val="en-US"/>
        </w:rPr>
        <w:t xml:space="preserve">The communications industry’s ongoing infrastructure investment continues to support this internet-enabled communications environment. Over </w:t>
      </w:r>
      <w:r w:rsidR="00D52527" w:rsidRPr="00FD7E86">
        <w:rPr>
          <w:lang w:val="en-US"/>
        </w:rPr>
        <w:t>90 per cent of the Australian population</w:t>
      </w:r>
      <w:r w:rsidRPr="00FD7E86">
        <w:rPr>
          <w:lang w:val="en-US"/>
        </w:rPr>
        <w:t xml:space="preserve"> can now access 4G mobile networks and the progressive rollout of the </w:t>
      </w:r>
      <w:r w:rsidR="008F0620" w:rsidRPr="00FD7E86">
        <w:rPr>
          <w:lang w:val="en-US"/>
        </w:rPr>
        <w:t>n</w:t>
      </w:r>
      <w:r w:rsidRPr="00FD7E86">
        <w:rPr>
          <w:lang w:val="en-US"/>
        </w:rPr>
        <w:t xml:space="preserve">ational </w:t>
      </w:r>
      <w:r w:rsidR="008F0620" w:rsidRPr="00FD7E86">
        <w:rPr>
          <w:lang w:val="en-US"/>
        </w:rPr>
        <w:t>b</w:t>
      </w:r>
      <w:r w:rsidRPr="00FD7E86">
        <w:rPr>
          <w:lang w:val="en-US"/>
        </w:rPr>
        <w:t xml:space="preserve">roadband </w:t>
      </w:r>
      <w:r w:rsidR="008F0620" w:rsidRPr="00FD7E86">
        <w:rPr>
          <w:lang w:val="en-US"/>
        </w:rPr>
        <w:t>n</w:t>
      </w:r>
      <w:r w:rsidRPr="00FD7E86">
        <w:rPr>
          <w:lang w:val="en-US"/>
        </w:rPr>
        <w:t xml:space="preserve">etwork is </w:t>
      </w:r>
      <w:r w:rsidR="00392300" w:rsidRPr="00FD7E86">
        <w:rPr>
          <w:lang w:val="en-US"/>
        </w:rPr>
        <w:t xml:space="preserve">facilitating </w:t>
      </w:r>
      <w:r w:rsidRPr="00FD7E86">
        <w:rPr>
          <w:lang w:val="en-US"/>
        </w:rPr>
        <w:t>access to higher bandwidth services</w:t>
      </w:r>
      <w:r w:rsidR="00D52527" w:rsidRPr="00FD7E86">
        <w:rPr>
          <w:lang w:val="en-US"/>
        </w:rPr>
        <w:t xml:space="preserve">. </w:t>
      </w:r>
    </w:p>
    <w:p w14:paraId="4EDAB6F4" w14:textId="77777777" w:rsidR="005029D2" w:rsidRPr="00FD7E86" w:rsidRDefault="00392300" w:rsidP="00D52527">
      <w:pPr>
        <w:rPr>
          <w:rFonts w:cs="Arial"/>
          <w:lang w:val="en-US"/>
        </w:rPr>
      </w:pPr>
      <w:r w:rsidRPr="00FD7E86">
        <w:rPr>
          <w:rFonts w:cs="Arial"/>
        </w:rPr>
        <w:t>Mobile services and the use of mobile devices have continued the overall growth trends seen in the last five years</w:t>
      </w:r>
      <w:r w:rsidRPr="00FD7E86">
        <w:rPr>
          <w:rFonts w:cs="Arial"/>
          <w:lang w:val="en-US"/>
        </w:rPr>
        <w:t>. Almost all adult Australians (94 per cent) have a mobile phone, and there was yet again a massive increase in the amount of data downloaded over mobile handsets (85 per cent since last year).</w:t>
      </w:r>
      <w:r w:rsidR="00A1796A">
        <w:rPr>
          <w:rFonts w:cs="Arial"/>
          <w:lang w:val="en-US"/>
        </w:rPr>
        <w:t xml:space="preserve"> </w:t>
      </w:r>
      <w:r w:rsidRPr="00FD7E86">
        <w:rPr>
          <w:rFonts w:cs="Arial"/>
          <w:lang w:val="en-US"/>
        </w:rPr>
        <w:t xml:space="preserve">The report also shows that a significant majority of Australians continued to be generally satisfied with their communications services, </w:t>
      </w:r>
      <w:r w:rsidR="0022210A" w:rsidRPr="00FD7E86">
        <w:rPr>
          <w:rFonts w:cs="Arial"/>
          <w:lang w:val="en-US"/>
        </w:rPr>
        <w:t>and that</w:t>
      </w:r>
      <w:r w:rsidRPr="00FD7E86">
        <w:rPr>
          <w:rFonts w:cs="Arial"/>
          <w:lang w:val="en-US"/>
        </w:rPr>
        <w:t xml:space="preserve"> industry </w:t>
      </w:r>
      <w:r w:rsidR="0022210A" w:rsidRPr="00FD7E86">
        <w:rPr>
          <w:rFonts w:cs="Arial"/>
          <w:lang w:val="en-US"/>
        </w:rPr>
        <w:t xml:space="preserve">is broadly </w:t>
      </w:r>
      <w:r w:rsidRPr="00FD7E86">
        <w:rPr>
          <w:rFonts w:cs="Arial"/>
          <w:lang w:val="en-US"/>
        </w:rPr>
        <w:t>complian</w:t>
      </w:r>
      <w:r w:rsidR="0022210A" w:rsidRPr="00FD7E86">
        <w:rPr>
          <w:rFonts w:cs="Arial"/>
          <w:lang w:val="en-US"/>
        </w:rPr>
        <w:t>t</w:t>
      </w:r>
      <w:r w:rsidRPr="00FD7E86">
        <w:rPr>
          <w:rFonts w:cs="Arial"/>
          <w:lang w:val="en-US"/>
        </w:rPr>
        <w:t xml:space="preserve"> with mandated performance requirements. </w:t>
      </w:r>
    </w:p>
    <w:p w14:paraId="37A97D2B" w14:textId="77777777" w:rsidR="00392300" w:rsidRPr="00FD7E86" w:rsidRDefault="00392300" w:rsidP="00D52527">
      <w:pPr>
        <w:rPr>
          <w:rFonts w:cs="Arial"/>
          <w:lang w:val="en-US"/>
        </w:rPr>
      </w:pPr>
      <w:r w:rsidRPr="00FD7E86">
        <w:rPr>
          <w:rFonts w:cs="Arial"/>
          <w:lang w:val="en-US"/>
        </w:rPr>
        <w:t xml:space="preserve">This year’s report has been expanded to </w:t>
      </w:r>
      <w:r w:rsidR="001515F0" w:rsidRPr="00FD7E86">
        <w:rPr>
          <w:rFonts w:cs="Arial"/>
          <w:lang w:val="en-US"/>
        </w:rPr>
        <w:t xml:space="preserve">contain </w:t>
      </w:r>
      <w:r w:rsidRPr="00FD7E86">
        <w:rPr>
          <w:rFonts w:cs="Arial"/>
          <w:lang w:val="en-US"/>
        </w:rPr>
        <w:t>more information about content industries. For the first time</w:t>
      </w:r>
      <w:r w:rsidR="005029D2" w:rsidRPr="00FD7E86">
        <w:rPr>
          <w:rFonts w:cs="Arial"/>
          <w:lang w:val="en-US"/>
        </w:rPr>
        <w:t>,</w:t>
      </w:r>
      <w:r w:rsidRPr="00FD7E86">
        <w:rPr>
          <w:rFonts w:cs="Arial"/>
          <w:lang w:val="en-US"/>
        </w:rPr>
        <w:t xml:space="preserve"> the ACMA reports on online video consumption and consumer satisfaction with the technical quality of the online video experience.</w:t>
      </w:r>
    </w:p>
    <w:p w14:paraId="7C339BE1" w14:textId="77777777" w:rsidR="00D52527" w:rsidRPr="00FD7E86" w:rsidRDefault="00D52527" w:rsidP="00D52527">
      <w:pPr>
        <w:rPr>
          <w:lang w:val="en-US"/>
        </w:rPr>
      </w:pPr>
      <w:r w:rsidRPr="00FD7E86">
        <w:rPr>
          <w:lang w:val="en-US"/>
        </w:rPr>
        <w:t xml:space="preserve">I commend the ACMA Communications report to you as an important evidence </w:t>
      </w:r>
      <w:r w:rsidR="00A1796A" w:rsidRPr="00FD7E86">
        <w:rPr>
          <w:lang w:val="en-US"/>
        </w:rPr>
        <w:t>base, which</w:t>
      </w:r>
      <w:r w:rsidRPr="00FD7E86">
        <w:rPr>
          <w:lang w:val="en-US"/>
        </w:rPr>
        <w:t xml:space="preserve"> </w:t>
      </w:r>
      <w:r w:rsidR="00ED78CB" w:rsidRPr="00FD7E86">
        <w:rPr>
          <w:lang w:val="en-US"/>
        </w:rPr>
        <w:t xml:space="preserve">provides </w:t>
      </w:r>
      <w:r w:rsidRPr="00FD7E86">
        <w:rPr>
          <w:lang w:val="en-US"/>
        </w:rPr>
        <w:t xml:space="preserve">information and analysis about the rapid change and innovation occurring in Australia’s communications and media environment. </w:t>
      </w:r>
    </w:p>
    <w:p w14:paraId="62F00EF5" w14:textId="77777777" w:rsidR="00900A5E" w:rsidRDefault="00D52527" w:rsidP="00900A5E">
      <w:pPr>
        <w:spacing w:after="0"/>
        <w:rPr>
          <w:lang w:val="en-US"/>
        </w:rPr>
      </w:pPr>
      <w:r w:rsidRPr="00FD7E86">
        <w:rPr>
          <w:lang w:val="en-US"/>
        </w:rPr>
        <w:t>The ACMA welcomes feedback on this report</w:t>
      </w:r>
      <w:r w:rsidR="00392300" w:rsidRPr="00FD7E86">
        <w:rPr>
          <w:lang w:val="en-US"/>
        </w:rPr>
        <w:t xml:space="preserve"> so that its value to the national interest is further developed.</w:t>
      </w:r>
    </w:p>
    <w:p w14:paraId="2E7AAF89" w14:textId="77777777" w:rsidR="00900A5E" w:rsidRPr="00900A5E" w:rsidRDefault="00900A5E" w:rsidP="00900A5E">
      <w:pPr>
        <w:spacing w:after="360"/>
        <w:rPr>
          <w:lang w:val="en-US"/>
        </w:rPr>
      </w:pPr>
      <w:r>
        <w:rPr>
          <w:rFonts w:cs="Arial"/>
          <w:noProof/>
          <w:szCs w:val="20"/>
        </w:rPr>
        <w:drawing>
          <wp:anchor distT="0" distB="0" distL="114300" distR="114300" simplePos="0" relativeHeight="251662848" behindDoc="1" locked="0" layoutInCell="1" allowOverlap="1" wp14:anchorId="1C4AC8FB" wp14:editId="5EFBDD8D">
            <wp:simplePos x="0" y="0"/>
            <wp:positionH relativeFrom="column">
              <wp:posOffset>0</wp:posOffset>
            </wp:positionH>
            <wp:positionV relativeFrom="paragraph">
              <wp:posOffset>113665</wp:posOffset>
            </wp:positionV>
            <wp:extent cx="2151380" cy="981075"/>
            <wp:effectExtent l="57150" t="114300" r="58420" b="123825"/>
            <wp:wrapNone/>
            <wp:docPr id="4" name="Picture 19" descr="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CM_ChrisChapmanSignature.tif"/>
                    <pic:cNvPicPr/>
                  </pic:nvPicPr>
                  <pic:blipFill>
                    <a:blip r:embed="rId32" cstate="print"/>
                    <a:srcRect l="17285" t="28780" r="15985" b="16576"/>
                    <a:stretch>
                      <a:fillRect/>
                    </a:stretch>
                  </pic:blipFill>
                  <pic:spPr>
                    <a:xfrm rot="360000">
                      <a:off x="0" y="0"/>
                      <a:ext cx="2151380" cy="981075"/>
                    </a:xfrm>
                    <a:prstGeom prst="rect">
                      <a:avLst/>
                    </a:prstGeom>
                  </pic:spPr>
                </pic:pic>
              </a:graphicData>
            </a:graphic>
          </wp:anchor>
        </w:drawing>
      </w:r>
    </w:p>
    <w:p w14:paraId="33ACEF24" w14:textId="77777777" w:rsidR="00900A5E" w:rsidRDefault="00900A5E" w:rsidP="00D52527"/>
    <w:p w14:paraId="0C5EFFCA" w14:textId="77777777" w:rsidR="00900A5E" w:rsidRDefault="00900A5E" w:rsidP="00900A5E">
      <w:pPr>
        <w:keepNext/>
        <w:keepLines/>
        <w:spacing w:before="720" w:after="0"/>
        <w:rPr>
          <w:lang w:val="en-US"/>
        </w:rPr>
      </w:pPr>
      <w:r>
        <w:rPr>
          <w:lang w:val="en-US"/>
        </w:rPr>
        <w:t>Chris Chapman</w:t>
      </w:r>
    </w:p>
    <w:p w14:paraId="33879557" w14:textId="77777777" w:rsidR="00900A5E" w:rsidRPr="00FD7E86" w:rsidRDefault="00900A5E" w:rsidP="00900A5E">
      <w:r>
        <w:rPr>
          <w:lang w:val="en-US"/>
        </w:rPr>
        <w:t>Chairman</w:t>
      </w:r>
      <w:r>
        <w:rPr>
          <w:rFonts w:cs="Arial"/>
          <w:noProof/>
          <w:szCs w:val="20"/>
        </w:rPr>
        <w:t xml:space="preserve"> </w:t>
      </w:r>
    </w:p>
    <w:p w14:paraId="737903D8" w14:textId="77777777" w:rsidR="007932FF" w:rsidRPr="00FD7E86" w:rsidRDefault="007932FF" w:rsidP="007932FF">
      <w:pPr>
        <w:pStyle w:val="PreHeading1"/>
      </w:pPr>
      <w:bookmarkStart w:id="7" w:name="_Toc433790271"/>
      <w:r w:rsidRPr="00FD7E86">
        <w:lastRenderedPageBreak/>
        <w:t xml:space="preserve">Introduction and </w:t>
      </w:r>
      <w:r w:rsidR="00F27DBA" w:rsidRPr="00FD7E86">
        <w:br/>
      </w:r>
      <w:r w:rsidR="00CC141A">
        <w:t>e</w:t>
      </w:r>
      <w:r w:rsidRPr="00FD7E86">
        <w:t>xecutive summary</w:t>
      </w:r>
      <w:bookmarkEnd w:id="7"/>
    </w:p>
    <w:p w14:paraId="04955C20" w14:textId="77777777" w:rsidR="007932FF" w:rsidRPr="00FD7E86" w:rsidRDefault="007932FF" w:rsidP="00A73013">
      <w:pPr>
        <w:pStyle w:val="ACMAHeading1"/>
      </w:pPr>
      <w:bookmarkStart w:id="8" w:name="_Toc399331687"/>
      <w:bookmarkStart w:id="9" w:name="_Toc399336868"/>
      <w:bookmarkStart w:id="10" w:name="_Toc433790272"/>
      <w:r w:rsidRPr="00FD7E86">
        <w:t>Introduction</w:t>
      </w:r>
      <w:bookmarkEnd w:id="8"/>
      <w:bookmarkEnd w:id="9"/>
      <w:bookmarkEnd w:id="10"/>
      <w:r w:rsidRPr="00FD7E86">
        <w:t xml:space="preserve"> </w:t>
      </w:r>
    </w:p>
    <w:p w14:paraId="70FBE567" w14:textId="77777777" w:rsidR="007932FF" w:rsidRPr="00FD7E86" w:rsidRDefault="007932FF" w:rsidP="00A73013">
      <w:pPr>
        <w:pStyle w:val="ACMAHeading2"/>
      </w:pPr>
      <w:bookmarkStart w:id="11" w:name="_Toc399331688"/>
      <w:bookmarkStart w:id="12" w:name="_Toc399336869"/>
      <w:bookmarkStart w:id="13" w:name="_Toc402337474"/>
      <w:bookmarkStart w:id="14" w:name="_Toc433790273"/>
      <w:r w:rsidRPr="00FD7E86">
        <w:t>Legislative basis</w:t>
      </w:r>
      <w:bookmarkEnd w:id="11"/>
      <w:bookmarkEnd w:id="12"/>
      <w:bookmarkEnd w:id="13"/>
      <w:bookmarkEnd w:id="14"/>
      <w:r w:rsidRPr="00FD7E86">
        <w:t xml:space="preserve"> </w:t>
      </w:r>
    </w:p>
    <w:p w14:paraId="0A9C9FF3" w14:textId="77777777" w:rsidR="007932FF" w:rsidRPr="00FD7E86" w:rsidRDefault="007932FF" w:rsidP="00FB3FB2">
      <w:r w:rsidRPr="00FD7E86">
        <w:t xml:space="preserve">The </w:t>
      </w:r>
      <w:r w:rsidRPr="00FD7E86">
        <w:rPr>
          <w:i/>
          <w:iCs/>
        </w:rPr>
        <w:t xml:space="preserve">Communications report 2014–15 </w:t>
      </w:r>
      <w:r w:rsidRPr="00FD7E86">
        <w:t xml:space="preserve">fulfils the ACMA’s statutory reporting requirements under the </w:t>
      </w:r>
      <w:r w:rsidRPr="00FD7E86">
        <w:rPr>
          <w:i/>
          <w:iCs/>
        </w:rPr>
        <w:t xml:space="preserve">Telecommunications Act 1997 </w:t>
      </w:r>
      <w:r w:rsidRPr="00FD7E86">
        <w:t>(the Act). Section 105 of the Act requires the ACMA to report annually on the performance of carriers and carriage service providers (CSPs) in meeting regulatory obligations with specific reference to consumer satisfaction, consumer benefits and quality of service. Information about the broadcasting industry’s performance in meeting regulatory obligations is also included in this report—a reflection of the ACMA’s regulatory remit and role as a converged communications and media regulator.</w:t>
      </w:r>
    </w:p>
    <w:p w14:paraId="35B0E6C0" w14:textId="77777777" w:rsidR="007932FF" w:rsidRPr="00FD7E86" w:rsidRDefault="007932FF" w:rsidP="00A73013">
      <w:pPr>
        <w:pStyle w:val="ACMAHeading2"/>
      </w:pPr>
      <w:bookmarkStart w:id="15" w:name="_Toc399257332"/>
      <w:bookmarkStart w:id="16" w:name="_Toc402337476"/>
      <w:bookmarkStart w:id="17" w:name="_Toc433790274"/>
      <w:r w:rsidRPr="00FD7E86">
        <w:t>Scope and structure of report</w:t>
      </w:r>
      <w:bookmarkEnd w:id="15"/>
      <w:bookmarkEnd w:id="16"/>
      <w:bookmarkEnd w:id="17"/>
    </w:p>
    <w:p w14:paraId="5E911370" w14:textId="77777777" w:rsidR="007932FF" w:rsidRPr="00FD7E86" w:rsidRDefault="007932FF" w:rsidP="007932FF">
      <w:pPr>
        <w:spacing w:after="80"/>
      </w:pPr>
      <w:r w:rsidRPr="00FD7E86">
        <w:t xml:space="preserve">The </w:t>
      </w:r>
      <w:r w:rsidRPr="00FD7E86">
        <w:rPr>
          <w:i/>
        </w:rPr>
        <w:t>Communications report 2014–15</w:t>
      </w:r>
      <w:r w:rsidRPr="00FD7E86">
        <w:t xml:space="preserve"> comprises the following chapters:</w:t>
      </w:r>
    </w:p>
    <w:p w14:paraId="7EA398A9" w14:textId="77777777" w:rsidR="007932FF" w:rsidRPr="00FD7E86" w:rsidRDefault="007932FF" w:rsidP="007932FF">
      <w:pPr>
        <w:pStyle w:val="ListBullet"/>
      </w:pPr>
      <w:r w:rsidRPr="00FD7E86">
        <w:rPr>
          <w:i/>
        </w:rPr>
        <w:t>Chapter 1—The Australian communications and media market</w:t>
      </w:r>
      <w:r w:rsidRPr="00FD7E86">
        <w:t xml:space="preserve"> presents a detailed analysis of key supply-side developments in the communications and media markets in Australia during the 2014–15 reporting period. This chapter focuses on the supply of communications and content services in Australia, including the number of carriers and CSPs and services in operation, and developments relating to the rollout of infrastructure.</w:t>
      </w:r>
    </w:p>
    <w:p w14:paraId="65247797" w14:textId="77777777" w:rsidR="007932FF" w:rsidRPr="00FD7E86" w:rsidRDefault="007932FF" w:rsidP="007932FF">
      <w:pPr>
        <w:pStyle w:val="ListBullet"/>
      </w:pPr>
      <w:r w:rsidRPr="00FD7E86">
        <w:rPr>
          <w:i/>
        </w:rPr>
        <w:t>Chapter 2—Engagement with communications</w:t>
      </w:r>
      <w:r w:rsidRPr="00FD7E86">
        <w:t xml:space="preserve"> </w:t>
      </w:r>
      <w:r w:rsidRPr="00FD7E86">
        <w:rPr>
          <w:i/>
        </w:rPr>
        <w:t xml:space="preserve">and media </w:t>
      </w:r>
      <w:r w:rsidRPr="00FD7E86">
        <w:t xml:space="preserve">presents information about consumer engagement with communications </w:t>
      </w:r>
      <w:r w:rsidR="00F87FE5" w:rsidRPr="00FD7E86">
        <w:t xml:space="preserve">services </w:t>
      </w:r>
      <w:r w:rsidRPr="00FD7E86">
        <w:t>and benefits derived from the services. This chapter includes changing consumer service preferences, current levels of consumer satisfaction with communications services</w:t>
      </w:r>
      <w:r w:rsidR="00251DA6" w:rsidRPr="00FD7E86">
        <w:t>,</w:t>
      </w:r>
      <w:r w:rsidRPr="00FD7E86" w:rsidDel="009F285F">
        <w:t xml:space="preserve"> and international</w:t>
      </w:r>
      <w:r w:rsidRPr="00FD7E86">
        <w:t xml:space="preserve"> trends in service take-up and use.</w:t>
      </w:r>
      <w:r w:rsidRPr="00FD7E86" w:rsidDel="00DF52D4">
        <w:t xml:space="preserve"> </w:t>
      </w:r>
    </w:p>
    <w:p w14:paraId="430CC0C9" w14:textId="77777777" w:rsidR="007932FF" w:rsidRPr="00FD7E86" w:rsidRDefault="007932FF" w:rsidP="007932FF">
      <w:pPr>
        <w:pStyle w:val="ListBullet"/>
      </w:pPr>
      <w:r w:rsidRPr="00FD7E86">
        <w:rPr>
          <w:i/>
        </w:rPr>
        <w:t xml:space="preserve">Chapter 3—Television, radio and online content developments </w:t>
      </w:r>
      <w:r w:rsidRPr="00FD7E86">
        <w:t>presents the changes in delivery of audio and video content including viewing behaviours for television, subscription and online content. It also discusses the performance of Australian broadcasters in meeting their regulatory obligations relating to broadcasting Australian content, captioning, changes in media ownership and control, the digitalisation of broadcasting services and complaints to the ACMA about broadcasting matters and prohibited online content.</w:t>
      </w:r>
    </w:p>
    <w:p w14:paraId="5B4CAC32" w14:textId="77777777" w:rsidR="007932FF" w:rsidRPr="00FD7E86" w:rsidRDefault="007932FF" w:rsidP="007932FF">
      <w:pPr>
        <w:pStyle w:val="ListBullet"/>
      </w:pPr>
      <w:r w:rsidRPr="00FD7E86">
        <w:rPr>
          <w:i/>
        </w:rPr>
        <w:t>Chapter 4—National interest issues</w:t>
      </w:r>
      <w:r w:rsidRPr="00FD7E86">
        <w:t xml:space="preserve"> presents information about the performance of the emergency call services, the cost of maintaining communications interception capabilities, the disclosure of customer information in support of law enforcement and </w:t>
      </w:r>
      <w:r w:rsidR="00FD75BC" w:rsidRPr="00FD7E86">
        <w:t xml:space="preserve">national security </w:t>
      </w:r>
      <w:r w:rsidRPr="00FD7E86">
        <w:t>investigations, submarine cable infrastructure protection</w:t>
      </w:r>
      <w:r w:rsidR="00251DA6" w:rsidRPr="00FD7E86">
        <w:t>,</w:t>
      </w:r>
      <w:r w:rsidRPr="00FD7E86">
        <w:t xml:space="preserve"> and radiofrequency interference complaints.</w:t>
      </w:r>
    </w:p>
    <w:p w14:paraId="2776D774" w14:textId="77777777" w:rsidR="00DF0CD7" w:rsidRPr="00FD7E86" w:rsidRDefault="007932FF" w:rsidP="00C05F4C">
      <w:pPr>
        <w:pStyle w:val="ListBullet"/>
      </w:pPr>
      <w:r w:rsidRPr="00FD7E86">
        <w:rPr>
          <w:i/>
        </w:rPr>
        <w:t xml:space="preserve">Chapter 5—Telecommunications consumer safeguards and quality of service </w:t>
      </w:r>
      <w:r w:rsidRPr="00FD7E86">
        <w:t>examines the performance of key communications safeguards</w:t>
      </w:r>
      <w:r w:rsidR="006853B9" w:rsidRPr="00FD7E86">
        <w:t>. These include</w:t>
      </w:r>
      <w:r w:rsidRPr="00FD7E86">
        <w:t xml:space="preserve"> the Customer Service Guarantee Standard, priority assistance and the Network Reliability Framework, the Do Not Call Register and related unwanted communications rules covering telemarketing and spam complaints. This chapter also examines number portability and complaints to the Telecommunica</w:t>
      </w:r>
      <w:r w:rsidR="00DF0CD7" w:rsidRPr="00FD7E86">
        <w:t>tions Industry Ombudsman</w:t>
      </w:r>
      <w:r w:rsidR="000550FE" w:rsidRPr="00FD7E86">
        <w:t>.</w:t>
      </w:r>
    </w:p>
    <w:p w14:paraId="15343617" w14:textId="77777777" w:rsidR="007932FF" w:rsidRPr="00FD7E86" w:rsidRDefault="001231DC" w:rsidP="00685BA6">
      <w:pPr>
        <w:pStyle w:val="ACMAHeading1"/>
        <w:pageBreakBefore/>
      </w:pPr>
      <w:bookmarkStart w:id="18" w:name="_Toc399257333"/>
      <w:bookmarkStart w:id="19" w:name="_Toc433790275"/>
      <w:r w:rsidRPr="00685BA6">
        <w:lastRenderedPageBreak/>
        <w:t>Executive summary</w:t>
      </w:r>
      <w:bookmarkEnd w:id="18"/>
      <w:bookmarkEnd w:id="19"/>
      <w:r w:rsidRPr="00FD7E86">
        <w:t xml:space="preserve"> </w:t>
      </w:r>
    </w:p>
    <w:p w14:paraId="0F0BC5A2" w14:textId="77777777" w:rsidR="007932FF" w:rsidRPr="00FD7E86" w:rsidRDefault="007932FF" w:rsidP="00CC141A">
      <w:pPr>
        <w:pStyle w:val="ACMAHeading2"/>
      </w:pPr>
      <w:bookmarkStart w:id="20" w:name="_Toc399257334"/>
      <w:bookmarkStart w:id="21" w:name="_Toc402337477"/>
      <w:bookmarkStart w:id="22" w:name="_Toc433790276"/>
      <w:bookmarkEnd w:id="20"/>
      <w:bookmarkEnd w:id="21"/>
      <w:r w:rsidRPr="00FD7E86">
        <w:t xml:space="preserve">Key </w:t>
      </w:r>
      <w:r w:rsidRPr="00CC141A">
        <w:t>highlights</w:t>
      </w:r>
      <w:bookmarkEnd w:id="22"/>
    </w:p>
    <w:p w14:paraId="51A990F2" w14:textId="77777777" w:rsidR="000268B5" w:rsidRPr="00FD7E86" w:rsidRDefault="000268B5" w:rsidP="00685BA6">
      <w:r w:rsidRPr="00FD7E86">
        <w:t xml:space="preserve">The Australian launch of subscription video on demand (SVOD) services such as Netflix, Stan and Presto TV in early 2015 saw rapid consumer take-up </w:t>
      </w:r>
      <w:r w:rsidR="006C5AA6" w:rsidRPr="00FD7E86">
        <w:t>of these over-the</w:t>
      </w:r>
      <w:r w:rsidR="00585F9C" w:rsidRPr="00FD7E86">
        <w:t>-</w:t>
      </w:r>
      <w:r w:rsidR="006C5AA6" w:rsidRPr="00FD7E86">
        <w:t xml:space="preserve">top </w:t>
      </w:r>
      <w:r w:rsidR="00985EC2" w:rsidRPr="00FD7E86">
        <w:t xml:space="preserve">(OTT) </w:t>
      </w:r>
      <w:r w:rsidR="006C5AA6" w:rsidRPr="00FD7E86">
        <w:t xml:space="preserve">streaming services </w:t>
      </w:r>
      <w:r w:rsidRPr="00FD7E86">
        <w:t>in a relatively short period of time—</w:t>
      </w:r>
      <w:r w:rsidR="00C959E5" w:rsidRPr="00FD7E86">
        <w:t xml:space="preserve">11 </w:t>
      </w:r>
      <w:r w:rsidRPr="00FD7E86">
        <w:t xml:space="preserve">per cent of Australian adults </w:t>
      </w:r>
      <w:r w:rsidR="009D445F" w:rsidRPr="00FD7E86">
        <w:t xml:space="preserve">had </w:t>
      </w:r>
      <w:r w:rsidRPr="00FD7E86">
        <w:t xml:space="preserve">watched Netflix in a given week, as </w:t>
      </w:r>
      <w:r w:rsidR="00502CE5" w:rsidRPr="00FD7E86">
        <w:t>at</w:t>
      </w:r>
      <w:r w:rsidRPr="00FD7E86">
        <w:t xml:space="preserve"> June 2015.</w:t>
      </w:r>
    </w:p>
    <w:p w14:paraId="712A7D7C" w14:textId="77777777" w:rsidR="000268B5" w:rsidRPr="00685BA6" w:rsidRDefault="000268B5" w:rsidP="00685BA6">
      <w:pPr>
        <w:rPr>
          <w:rFonts w:ascii="Times New Roman" w:hAnsi="Times New Roman"/>
          <w:sz w:val="24"/>
        </w:rPr>
      </w:pPr>
      <w:r w:rsidRPr="00FD7E86">
        <w:t xml:space="preserve">There was strong demand for streaming online video more generally, </w:t>
      </w:r>
      <w:r w:rsidR="00453247" w:rsidRPr="00FD7E86">
        <w:t>with 34 per cent of Australian adults watching online television or online professionally</w:t>
      </w:r>
      <w:r w:rsidR="00251DA6" w:rsidRPr="00FD7E86">
        <w:t xml:space="preserve"> </w:t>
      </w:r>
      <w:r w:rsidR="00453247" w:rsidRPr="00FD7E86">
        <w:t>produced video content</w:t>
      </w:r>
      <w:r w:rsidR="00453247" w:rsidRPr="00FD7E86" w:rsidDel="000F2823">
        <w:t xml:space="preserve"> </w:t>
      </w:r>
      <w:r w:rsidR="00453247" w:rsidRPr="00FD7E86">
        <w:t xml:space="preserve">in a given </w:t>
      </w:r>
      <w:r w:rsidRPr="00FD7E86">
        <w:t>week. The rise of SVOD services is complementing traditional viewing</w:t>
      </w:r>
      <w:r w:rsidR="00251DA6" w:rsidRPr="00FD7E86">
        <w:t>,</w:t>
      </w:r>
      <w:r w:rsidRPr="00FD7E86">
        <w:t xml:space="preserve"> with the television screen continuing to dominate in the home</w:t>
      </w:r>
      <w:r w:rsidR="00DB1DC0" w:rsidRPr="00FD7E86">
        <w:t xml:space="preserve">. </w:t>
      </w:r>
      <w:r w:rsidR="0032299D" w:rsidRPr="00FD7E86">
        <w:t>On average, around 85 per cent of Australians aged 18 and over in the five major capital cities watched at least five minutes consecutively of free-to-air television (live and time-shifted) each week. In the combined regional markets, the figure was 84 per cent.</w:t>
      </w:r>
    </w:p>
    <w:p w14:paraId="061CFBA1" w14:textId="77777777" w:rsidR="000268B5" w:rsidRPr="00FD7E86" w:rsidRDefault="000268B5" w:rsidP="000268B5">
      <w:r w:rsidRPr="00FD7E86">
        <w:t xml:space="preserve">Access to radio is also popular with 97 per cent of adults </w:t>
      </w:r>
      <w:r w:rsidR="00251DA6" w:rsidRPr="00FD7E86">
        <w:t xml:space="preserve">having </w:t>
      </w:r>
      <w:r w:rsidRPr="00FD7E86">
        <w:t xml:space="preserve">a radio in the home or car. Digital radio listening continued to grow </w:t>
      </w:r>
      <w:r w:rsidR="00251DA6" w:rsidRPr="00FD7E86">
        <w:t xml:space="preserve">reaching </w:t>
      </w:r>
      <w:r w:rsidRPr="00FD7E86">
        <w:t>3.2 million in Sydney, Melbourne, Brisbane, Perth and Adelaide at August 2015</w:t>
      </w:r>
      <w:r w:rsidR="00251DA6" w:rsidRPr="00FD7E86">
        <w:t xml:space="preserve">, up </w:t>
      </w:r>
      <w:r w:rsidRPr="00FD7E86">
        <w:t>from 2.8 million in the previous 12 months.</w:t>
      </w:r>
    </w:p>
    <w:p w14:paraId="20EE1373" w14:textId="77777777" w:rsidR="000268B5" w:rsidRPr="00FD7E86" w:rsidRDefault="000268B5" w:rsidP="000268B5">
      <w:pPr>
        <w:rPr>
          <w:rFonts w:cs="Arial"/>
        </w:rPr>
      </w:pPr>
      <w:r w:rsidRPr="00FD7E86">
        <w:t xml:space="preserve">Mobile services extended the </w:t>
      </w:r>
      <w:r w:rsidR="009B4F7C" w:rsidRPr="00FD7E86">
        <w:t xml:space="preserve">overall </w:t>
      </w:r>
      <w:r w:rsidRPr="00FD7E86">
        <w:t xml:space="preserve">growth trends seen in </w:t>
      </w:r>
      <w:r w:rsidR="009B4F7C" w:rsidRPr="00FD7E86">
        <w:t xml:space="preserve">the last five </w:t>
      </w:r>
      <w:r w:rsidRPr="00FD7E86">
        <w:t xml:space="preserve">years. The number of mobile services in operation increased by 2.5 per cent on the previous year </w:t>
      </w:r>
      <w:r w:rsidRPr="00FD7E86">
        <w:rPr>
          <w:rFonts w:cs="Arial"/>
        </w:rPr>
        <w:t>to 31.77 million voice and data services at June 2015. This growth is in part attributed to increases in machine-to-machine communications.</w:t>
      </w:r>
    </w:p>
    <w:p w14:paraId="686CF2F3" w14:textId="77777777" w:rsidR="000268B5" w:rsidRPr="00FD7E86" w:rsidRDefault="000268B5" w:rsidP="00685BA6">
      <w:r w:rsidRPr="00FD7E86">
        <w:t xml:space="preserve">Mobile phones are entrenched in the lives of almost all Australians with 94 per cent of adults using these portable devices to either send text messages or make calls at May 2015. While mobile phone use has remained steady </w:t>
      </w:r>
      <w:r w:rsidR="00453247" w:rsidRPr="00FD7E86">
        <w:t xml:space="preserve">since </w:t>
      </w:r>
      <w:r w:rsidRPr="00FD7E86">
        <w:t>May 2013, smartphone adoption continued to increase. At May 2015, 13.41 million Australian adults (74 per cent) were estimated to be using a smartphone compared to 12.07 million (</w:t>
      </w:r>
      <w:r w:rsidR="00FB3FB2" w:rsidRPr="00FD7E86">
        <w:t>67</w:t>
      </w:r>
      <w:r w:rsidR="00FB3FB2">
        <w:t> </w:t>
      </w:r>
      <w:r w:rsidRPr="00FD7E86">
        <w:t>per cent) at May 2014.</w:t>
      </w:r>
    </w:p>
    <w:p w14:paraId="36B13BC1" w14:textId="77777777" w:rsidR="007932FF" w:rsidRPr="00FD7E86" w:rsidRDefault="000268B5" w:rsidP="000268B5">
      <w:r w:rsidRPr="00FD7E86">
        <w:t>The growth of mobile phone</w:t>
      </w:r>
      <w:r w:rsidR="00FA20F7" w:rsidRPr="00FD7E86">
        <w:t xml:space="preserve"> </w:t>
      </w:r>
      <w:r w:rsidRPr="00FD7E86">
        <w:t xml:space="preserve">only consumers also continued during 2014–15 with </w:t>
      </w:r>
      <w:r w:rsidRPr="00FD7E86">
        <w:rPr>
          <w:rFonts w:cs="Arial"/>
        </w:rPr>
        <w:t>5.4 million adult Australians (29 per cent) estimated to be without a fixed-line telephone service in the home</w:t>
      </w:r>
      <w:r w:rsidR="00E0152F" w:rsidRPr="00FD7E86">
        <w:rPr>
          <w:rFonts w:cs="Arial"/>
        </w:rPr>
        <w:t xml:space="preserve"> and using a mobile phone</w:t>
      </w:r>
      <w:r w:rsidRPr="00FD7E86">
        <w:rPr>
          <w:rFonts w:cs="Arial"/>
        </w:rPr>
        <w:t>, an increase of two percentage points since June 2014.</w:t>
      </w:r>
    </w:p>
    <w:p w14:paraId="484E2F08" w14:textId="77777777" w:rsidR="007932FF" w:rsidRPr="00FD7E86" w:rsidRDefault="007932FF" w:rsidP="007932FF">
      <w:r w:rsidRPr="00FD7E86">
        <w:t>Internet subscriber growth has slowed over the last four years</w:t>
      </w:r>
      <w:r w:rsidR="00431CF7" w:rsidRPr="00FD7E86">
        <w:t xml:space="preserve"> with 33.76</w:t>
      </w:r>
      <w:r w:rsidR="00247337" w:rsidRPr="00FD7E86">
        <w:t xml:space="preserve"> million internet subscribers at June 2015, an increase of two per cent</w:t>
      </w:r>
      <w:r w:rsidR="00CD2FA4" w:rsidRPr="00FD7E86">
        <w:t xml:space="preserve"> from June 2014</w:t>
      </w:r>
      <w:r w:rsidR="00247337" w:rsidRPr="00FD7E86">
        <w:t xml:space="preserve">. </w:t>
      </w:r>
      <w:r w:rsidR="000824C1" w:rsidRPr="00FD7E86">
        <w:t>M</w:t>
      </w:r>
      <w:r w:rsidRPr="00FD7E86">
        <w:t xml:space="preserve">ore Australians have an internet connection in the home—15.8 million or 86 per cent—up three percentage points from June 2014. </w:t>
      </w:r>
    </w:p>
    <w:p w14:paraId="7A6F3087" w14:textId="77777777" w:rsidR="007932FF" w:rsidRPr="00FD7E86" w:rsidRDefault="007932FF" w:rsidP="007932FF">
      <w:pPr>
        <w:rPr>
          <w:rFonts w:cs="Arial"/>
        </w:rPr>
      </w:pPr>
      <w:r w:rsidRPr="00FD7E86">
        <w:t>The top five ISPs by number of subscribers in the Australian market all report growth in the total number of broadband subscribers.</w:t>
      </w:r>
      <w:r w:rsidRPr="00FD7E86" w:rsidDel="00931D94">
        <w:rPr>
          <w:rFonts w:cs="Arial"/>
        </w:rPr>
        <w:t xml:space="preserve"> </w:t>
      </w:r>
    </w:p>
    <w:p w14:paraId="16A59718" w14:textId="77777777" w:rsidR="007932FF" w:rsidRPr="00FD7E86" w:rsidRDefault="007932FF" w:rsidP="007932FF">
      <w:r w:rsidRPr="00FD7E86">
        <w:t>While use of mobile devices to access the internet has seen significant growth, fixed-line broadband (with subscriptions that generally offer faster download speeds and larger data plans than mobile handset internet subscriptions) nonetheless contributed 9</w:t>
      </w:r>
      <w:r w:rsidR="00FC5D7A" w:rsidRPr="00FD7E86">
        <w:t>2</w:t>
      </w:r>
      <w:r w:rsidRPr="00FD7E86">
        <w:t xml:space="preserve"> per cent of total growth in data downloads during the June quarter of 2015.</w:t>
      </w:r>
    </w:p>
    <w:p w14:paraId="69A2247F" w14:textId="77777777" w:rsidR="007932FF" w:rsidRPr="00FD7E86" w:rsidRDefault="007932FF" w:rsidP="007932FF">
      <w:r w:rsidRPr="00FD7E86">
        <w:t xml:space="preserve">The total volume of data downloaded in Australia during the June quarter of 2015 was </w:t>
      </w:r>
      <w:r w:rsidR="00190316" w:rsidRPr="00FD7E86">
        <w:t>41</w:t>
      </w:r>
      <w:r w:rsidRPr="00FD7E86">
        <w:t xml:space="preserve"> per cent higher than the volume downloaded during the June quarter of 2014</w:t>
      </w:r>
      <w:r w:rsidR="00F4607D" w:rsidRPr="00FD7E86">
        <w:t>. D</w:t>
      </w:r>
      <w:r w:rsidRPr="00FD7E86">
        <w:t xml:space="preserve">ata downloaded via fixed-line broadband increased by </w:t>
      </w:r>
      <w:r w:rsidR="00190316" w:rsidRPr="00FD7E86">
        <w:t xml:space="preserve">40 </w:t>
      </w:r>
      <w:r w:rsidRPr="00FD7E86">
        <w:t xml:space="preserve">per cent and downloads </w:t>
      </w:r>
      <w:r w:rsidR="00F4607D" w:rsidRPr="00FD7E86">
        <w:t xml:space="preserve">using </w:t>
      </w:r>
      <w:r w:rsidRPr="00FD7E86">
        <w:t xml:space="preserve">wireless broadband </w:t>
      </w:r>
      <w:r w:rsidR="00F4607D" w:rsidRPr="00FD7E86">
        <w:t xml:space="preserve">rose </w:t>
      </w:r>
      <w:r w:rsidRPr="00FD7E86">
        <w:t xml:space="preserve">by </w:t>
      </w:r>
      <w:r w:rsidR="00190316" w:rsidRPr="00FD7E86">
        <w:t xml:space="preserve">18 </w:t>
      </w:r>
      <w:r w:rsidRPr="00FD7E86">
        <w:t xml:space="preserve">per cent. </w:t>
      </w:r>
    </w:p>
    <w:p w14:paraId="0C5EFF7F" w14:textId="77777777" w:rsidR="007932FF" w:rsidRPr="00FD7E86" w:rsidRDefault="007932FF" w:rsidP="00DE4771">
      <w:pPr>
        <w:pStyle w:val="ACMAHeading2"/>
      </w:pPr>
      <w:bookmarkStart w:id="23" w:name="_Toc433790277"/>
      <w:r w:rsidRPr="00FD7E86">
        <w:t>Australia’s communications networks</w:t>
      </w:r>
      <w:bookmarkEnd w:id="23"/>
    </w:p>
    <w:p w14:paraId="337C5912" w14:textId="77777777" w:rsidR="00526464" w:rsidRPr="00FD7E86" w:rsidRDefault="007932FF" w:rsidP="00526464">
      <w:pPr>
        <w:rPr>
          <w:rFonts w:cs="Arial"/>
          <w:szCs w:val="20"/>
        </w:rPr>
      </w:pPr>
      <w:r w:rsidRPr="00FD7E86">
        <w:rPr>
          <w:szCs w:val="20"/>
        </w:rPr>
        <w:t xml:space="preserve">Investment by </w:t>
      </w:r>
      <w:r w:rsidRPr="00FD7E86">
        <w:t>mobile network operators</w:t>
      </w:r>
      <w:r w:rsidRPr="00FD7E86">
        <w:rPr>
          <w:szCs w:val="20"/>
        </w:rPr>
        <w:t xml:space="preserve"> in </w:t>
      </w:r>
      <w:r w:rsidRPr="00FD7E86">
        <w:rPr>
          <w:rFonts w:cs="Arial"/>
          <w:szCs w:val="20"/>
        </w:rPr>
        <w:t xml:space="preserve">communications infrastructure has seen the continued expansion of 4G services across Australia. All mobile network operators expanded their 4G networks, with Telstra’s 4G coverage </w:t>
      </w:r>
      <w:r w:rsidR="00F4607D" w:rsidRPr="00FD7E86">
        <w:rPr>
          <w:rFonts w:cs="Arial"/>
          <w:szCs w:val="20"/>
        </w:rPr>
        <w:t>reaching</w:t>
      </w:r>
      <w:r w:rsidRPr="00FD7E86">
        <w:rPr>
          <w:rFonts w:cs="Arial"/>
          <w:szCs w:val="20"/>
        </w:rPr>
        <w:t xml:space="preserve"> 94 per cent of the population (up from 87 per cent in the </w:t>
      </w:r>
      <w:r w:rsidR="00526464" w:rsidRPr="00FD7E86">
        <w:rPr>
          <w:rFonts w:cs="Arial"/>
          <w:szCs w:val="20"/>
        </w:rPr>
        <w:t xml:space="preserve">previous </w:t>
      </w:r>
      <w:r w:rsidR="00526464" w:rsidRPr="00FD7E86">
        <w:rPr>
          <w:rFonts w:cs="Arial"/>
          <w:szCs w:val="20"/>
        </w:rPr>
        <w:lastRenderedPageBreak/>
        <w:t>year)</w:t>
      </w:r>
      <w:r w:rsidR="000824C1" w:rsidRPr="00FD7E86">
        <w:rPr>
          <w:rFonts w:cs="Arial"/>
          <w:szCs w:val="20"/>
        </w:rPr>
        <w:t xml:space="preserve"> and </w:t>
      </w:r>
      <w:r w:rsidRPr="00FD7E86">
        <w:rPr>
          <w:rFonts w:cs="Arial"/>
          <w:szCs w:val="20"/>
        </w:rPr>
        <w:t>Optus now covering almost 90 per cent of the population</w:t>
      </w:r>
      <w:r w:rsidR="000824C1" w:rsidRPr="00FD7E86">
        <w:rPr>
          <w:rFonts w:cs="Arial"/>
          <w:szCs w:val="20"/>
        </w:rPr>
        <w:t>.</w:t>
      </w:r>
      <w:r w:rsidRPr="00FD7E86">
        <w:rPr>
          <w:rFonts w:cs="Arial"/>
          <w:szCs w:val="20"/>
        </w:rPr>
        <w:t xml:space="preserve"> </w:t>
      </w:r>
      <w:r w:rsidR="00526464" w:rsidRPr="00FD7E86">
        <w:rPr>
          <w:rFonts w:cs="Arial"/>
        </w:rPr>
        <w:t xml:space="preserve">VHA </w:t>
      </w:r>
      <w:r w:rsidR="00F4607D" w:rsidRPr="00FD7E86">
        <w:rPr>
          <w:rFonts w:cs="Arial"/>
        </w:rPr>
        <w:t xml:space="preserve">4G </w:t>
      </w:r>
      <w:r w:rsidR="00526464" w:rsidRPr="00FD7E86">
        <w:rPr>
          <w:rFonts w:cs="Arial"/>
        </w:rPr>
        <w:t xml:space="preserve">now </w:t>
      </w:r>
      <w:r w:rsidR="000824C1" w:rsidRPr="00FD7E86">
        <w:rPr>
          <w:rFonts w:cs="Arial"/>
        </w:rPr>
        <w:t>reaches</w:t>
      </w:r>
      <w:r w:rsidR="00526464" w:rsidRPr="00FD7E86">
        <w:rPr>
          <w:rFonts w:cs="Arial"/>
        </w:rPr>
        <w:t xml:space="preserve"> 95 per cent of the metropolitan population</w:t>
      </w:r>
      <w:r w:rsidR="00526464" w:rsidRPr="00FD7E86">
        <w:rPr>
          <w:rFonts w:cs="Arial"/>
          <w:szCs w:val="20"/>
        </w:rPr>
        <w:t>.</w:t>
      </w:r>
    </w:p>
    <w:p w14:paraId="4471C847" w14:textId="77777777" w:rsidR="007932FF" w:rsidRPr="00FD7E86" w:rsidRDefault="007932FF" w:rsidP="00C05F4C">
      <w:r w:rsidRPr="00FD7E86">
        <w:rPr>
          <w:rFonts w:cs="Arial"/>
        </w:rPr>
        <w:t xml:space="preserve">The continued rollout of the </w:t>
      </w:r>
      <w:r w:rsidR="001F0646" w:rsidRPr="00FD7E86">
        <w:t>n</w:t>
      </w:r>
      <w:r w:rsidRPr="00FD7E86">
        <w:t xml:space="preserve">ational </w:t>
      </w:r>
      <w:r w:rsidR="001F0646" w:rsidRPr="00FD7E86">
        <w:t>b</w:t>
      </w:r>
      <w:r w:rsidRPr="00FD7E86">
        <w:t xml:space="preserve">roadband </w:t>
      </w:r>
      <w:r w:rsidR="001F0646" w:rsidRPr="00FD7E86">
        <w:t>n</w:t>
      </w:r>
      <w:r w:rsidRPr="00FD7E86">
        <w:t>etwork</w:t>
      </w:r>
      <w:r w:rsidR="00E022ED" w:rsidRPr="00FD7E86">
        <w:t xml:space="preserve"> by NBN Co Limited </w:t>
      </w:r>
      <w:r w:rsidRPr="00FD7E86">
        <w:t xml:space="preserve">resulted in an increased number of </w:t>
      </w:r>
      <w:r w:rsidR="00E022ED" w:rsidRPr="00FD7E86">
        <w:t xml:space="preserve">connected </w:t>
      </w:r>
      <w:r w:rsidRPr="00FD7E86">
        <w:t xml:space="preserve">households. </w:t>
      </w:r>
      <w:r w:rsidRPr="00FD7E86">
        <w:rPr>
          <w:szCs w:val="20"/>
        </w:rPr>
        <w:t>At June 2015 there were</w:t>
      </w:r>
      <w:r w:rsidR="00F31A0F">
        <w:t xml:space="preserve"> </w:t>
      </w:r>
      <w:r w:rsidRPr="00FD7E86">
        <w:t xml:space="preserve">1,153,077 premises serviceable (552,618 at June 2014) </w:t>
      </w:r>
      <w:r w:rsidR="00F31A0F">
        <w:t xml:space="preserve">and </w:t>
      </w:r>
      <w:r w:rsidRPr="00FD7E86">
        <w:t>485,615 premises activated (210,628 at June 2014).</w:t>
      </w:r>
    </w:p>
    <w:p w14:paraId="5C1D233C" w14:textId="77777777" w:rsidR="007932FF" w:rsidRPr="00FD7E86" w:rsidRDefault="007932FF" w:rsidP="002B6F51">
      <w:r w:rsidRPr="00FD7E86">
        <w:t>Australians continue to diversify their use of internet access devices</w:t>
      </w:r>
      <w:r w:rsidR="00F4607D" w:rsidRPr="00FD7E86">
        <w:t>,</w:t>
      </w:r>
      <w:r w:rsidRPr="00FD7E86">
        <w:t xml:space="preserve"> with mobile phones now the most popular devices used by adult Australians to access the internet (79</w:t>
      </w:r>
      <w:r w:rsidR="00B646BC" w:rsidRPr="00FD7E86">
        <w:t xml:space="preserve"> </w:t>
      </w:r>
      <w:r w:rsidRPr="00FD7E86">
        <w:t>per cent of online Australians) followed by laptop computers (74 per cent), at May 2015. The availability of higher-speed internet services on both fixed and mobile networks, larger data download plans</w:t>
      </w:r>
      <w:r w:rsidR="00F4607D" w:rsidRPr="00FD7E86">
        <w:t>,</w:t>
      </w:r>
      <w:r w:rsidRPr="00FD7E86">
        <w:t xml:space="preserve"> and growth in the use of cloud content services are contributing to increases in streaming and downloading of content.</w:t>
      </w:r>
    </w:p>
    <w:p w14:paraId="64DD8DA9" w14:textId="77777777" w:rsidR="007932FF" w:rsidRPr="00FD7E86" w:rsidRDefault="007932FF" w:rsidP="002B6F51">
      <w:r w:rsidRPr="00FD7E86">
        <w:t>Internet connections will all soon be broadband connections with providers announcing that 2G networks will close, and dial-up services will cease, in 2016.</w:t>
      </w:r>
    </w:p>
    <w:p w14:paraId="22907692" w14:textId="77777777" w:rsidR="007932FF" w:rsidRPr="00FD7E86" w:rsidRDefault="000824C1" w:rsidP="002B6F51">
      <w:r w:rsidRPr="00FD7E86">
        <w:t xml:space="preserve">Internationally, </w:t>
      </w:r>
      <w:r w:rsidR="007932FF" w:rsidRPr="00FD7E86">
        <w:t>Australia was ranked 11th in terms of mobile-internet penetration per 100 inhabitants at December 2014 (down from fourth in December 2013).</w:t>
      </w:r>
    </w:p>
    <w:p w14:paraId="1B218147" w14:textId="77777777" w:rsidR="007932FF" w:rsidRPr="00FD7E86" w:rsidRDefault="007932FF" w:rsidP="002B6F51">
      <w:r w:rsidRPr="00FD7E86">
        <w:t xml:space="preserve">The number of fixed-line telephone services in operation has continued to decline in the past few years. During 2014–15, fixed-line telephone services in operation declined by </w:t>
      </w:r>
      <w:r w:rsidR="00306835" w:rsidRPr="00FD7E86">
        <w:t>one</w:t>
      </w:r>
      <w:r w:rsidRPr="00FD7E86">
        <w:t xml:space="preserve"> per cent to 9.</w:t>
      </w:r>
      <w:r w:rsidR="00306835" w:rsidRPr="00FD7E86">
        <w:t>08</w:t>
      </w:r>
      <w:r w:rsidRPr="00FD7E86">
        <w:t xml:space="preserve"> million, consistent with the trend over recent years.</w:t>
      </w:r>
    </w:p>
    <w:p w14:paraId="6F694A25" w14:textId="77777777" w:rsidR="007932FF" w:rsidRPr="00FD7E86" w:rsidRDefault="007932FF" w:rsidP="007932FF">
      <w:r w:rsidRPr="00FD7E86">
        <w:t>From a regulatory perspective, the compliance performance of Australia’s communications and media organisations with regulated performance requirements continues to be very strong.</w:t>
      </w:r>
    </w:p>
    <w:p w14:paraId="354E66FA" w14:textId="77777777" w:rsidR="007932FF" w:rsidRPr="00FD7E86" w:rsidRDefault="007932FF" w:rsidP="00A73013">
      <w:pPr>
        <w:pStyle w:val="ACMAHeading2"/>
      </w:pPr>
      <w:bookmarkStart w:id="24" w:name="_Toc399257335"/>
      <w:bookmarkStart w:id="25" w:name="_Toc402337478"/>
      <w:bookmarkStart w:id="26" w:name="_Toc433790278"/>
      <w:r w:rsidRPr="00FD7E86">
        <w:t>Changing consumer preferences for over</w:t>
      </w:r>
      <w:r w:rsidR="008C7F98" w:rsidRPr="00FD7E86">
        <w:t>-</w:t>
      </w:r>
      <w:r w:rsidRPr="00FD7E86">
        <w:t>the</w:t>
      </w:r>
      <w:r w:rsidR="008C7F98" w:rsidRPr="00FD7E86">
        <w:t>-</w:t>
      </w:r>
      <w:r w:rsidRPr="00FD7E86">
        <w:t xml:space="preserve">top (OTT) and </w:t>
      </w:r>
      <w:r w:rsidR="00BF4AF3">
        <w:br/>
      </w:r>
      <w:r w:rsidRPr="00FD7E86">
        <w:t>mobile voice services</w:t>
      </w:r>
      <w:bookmarkEnd w:id="24"/>
      <w:bookmarkEnd w:id="25"/>
      <w:bookmarkEnd w:id="26"/>
    </w:p>
    <w:p w14:paraId="1BD15047" w14:textId="77777777" w:rsidR="007932FF" w:rsidRPr="00FD7E86" w:rsidRDefault="00260F00" w:rsidP="00260F00">
      <w:r>
        <w:t>The shift to OTT and mobile voice services is evident in the</w:t>
      </w:r>
      <w:r w:rsidRPr="00FD7E86" w:rsidDel="00260F00">
        <w:t xml:space="preserve"> </w:t>
      </w:r>
      <w:r w:rsidR="007932FF" w:rsidRPr="00FD7E86">
        <w:t>ongoing decline in the number of fixed-line voice services in operation and related revenue</w:t>
      </w:r>
      <w:r w:rsidR="007932FF" w:rsidRPr="00FD7E86" w:rsidDel="00BA0DEF">
        <w:t>.</w:t>
      </w:r>
    </w:p>
    <w:p w14:paraId="480163E6" w14:textId="77777777" w:rsidR="007932FF" w:rsidRPr="00FD7E86" w:rsidRDefault="007932FF" w:rsidP="007932FF">
      <w:r w:rsidRPr="00FD7E86">
        <w:t>The growth of OTT services is reflected by a continued use of voice over internet protocol (VoIP) services, accessed</w:t>
      </w:r>
      <w:r w:rsidRPr="00FD7E86" w:rsidDel="008D4368">
        <w:t xml:space="preserve"> by </w:t>
      </w:r>
      <w:r w:rsidRPr="00FD7E86">
        <w:t>4.9 million adult Australians at June 2015.</w:t>
      </w:r>
      <w:r w:rsidRPr="00FD7E86" w:rsidDel="008D4368">
        <w:t xml:space="preserve"> </w:t>
      </w:r>
      <w:r w:rsidRPr="00FD7E86">
        <w:t xml:space="preserve">This shift towards OTT services is also evident in the use of communications services such as social networking (65 per cent of adult Australians) and instant messaging (42 per cent of adult Australians), both increasing four percentage points </w:t>
      </w:r>
      <w:r w:rsidR="00367B6C" w:rsidRPr="00FD7E86">
        <w:t>since</w:t>
      </w:r>
      <w:r w:rsidRPr="00FD7E86">
        <w:t xml:space="preserve"> May 2014.</w:t>
      </w:r>
    </w:p>
    <w:p w14:paraId="7862398E" w14:textId="77777777" w:rsidR="007932FF" w:rsidRPr="00FD7E86" w:rsidRDefault="007932FF" w:rsidP="007932FF">
      <w:r w:rsidRPr="00FD7E86">
        <w:t xml:space="preserve">Increases in consumer participation in digital media activities also reflect </w:t>
      </w:r>
      <w:r w:rsidR="001916BC" w:rsidRPr="00FD7E86">
        <w:t xml:space="preserve">a </w:t>
      </w:r>
      <w:r w:rsidRPr="00FD7E86">
        <w:t>changing consumer preference for OTT</w:t>
      </w:r>
      <w:r w:rsidR="00DF4434" w:rsidRPr="00FD7E86">
        <w:t>,</w:t>
      </w:r>
      <w:r w:rsidRPr="00FD7E86">
        <w:t xml:space="preserve"> with more than half of </w:t>
      </w:r>
      <w:r w:rsidR="00DF4434" w:rsidRPr="00FD7E86">
        <w:t xml:space="preserve">all </w:t>
      </w:r>
      <w:r w:rsidR="00A16F6B" w:rsidRPr="00FD7E86">
        <w:t xml:space="preserve">adults </w:t>
      </w:r>
      <w:r w:rsidRPr="00FD7E86">
        <w:t xml:space="preserve">(53 per cent) </w:t>
      </w:r>
      <w:r w:rsidR="00DF4434" w:rsidRPr="00FD7E86">
        <w:t xml:space="preserve">watching </w:t>
      </w:r>
      <w:r w:rsidR="00C46538" w:rsidRPr="00FD7E86">
        <w:t xml:space="preserve">professional </w:t>
      </w:r>
      <w:r w:rsidRPr="00FD7E86">
        <w:t>online video content, such as catch-up TV, video on demand and IPTV in the l</w:t>
      </w:r>
      <w:r w:rsidR="00087D74" w:rsidRPr="00FD7E86">
        <w:t>ast six</w:t>
      </w:r>
      <w:r w:rsidR="00DF4434" w:rsidRPr="00FD7E86">
        <w:t xml:space="preserve"> </w:t>
      </w:r>
      <w:r w:rsidR="008B4C9B" w:rsidRPr="00FD7E86">
        <w:t>months</w:t>
      </w:r>
      <w:r w:rsidR="00453247" w:rsidRPr="00FD7E86">
        <w:t>.</w:t>
      </w:r>
    </w:p>
    <w:p w14:paraId="6B46F5F8" w14:textId="77777777" w:rsidR="007932FF" w:rsidRPr="00FD7E86" w:rsidRDefault="007932FF" w:rsidP="007932FF">
      <w:r w:rsidRPr="00FD7E86">
        <w:t xml:space="preserve">Video and audio content is also contributing to the continued growth in the volume of data downloaded. </w:t>
      </w:r>
    </w:p>
    <w:p w14:paraId="1C570ED3" w14:textId="77777777" w:rsidR="007932FF" w:rsidRPr="00FD7E86" w:rsidRDefault="007932FF" w:rsidP="002B6F51">
      <w:r w:rsidRPr="00FD7E86">
        <w:t xml:space="preserve">While 92 per cent of adult Australians accessed the internet in the six months to May 2015, an estimated 1.1 million (six per cent) had never accessed the internet at June 2015. While both groups are unchanged from the previous year, the number of adult Australians reporting </w:t>
      </w:r>
      <w:r w:rsidR="00367B6C" w:rsidRPr="00FD7E86">
        <w:t xml:space="preserve">that they </w:t>
      </w:r>
      <w:r w:rsidRPr="00FD7E86">
        <w:t>hav</w:t>
      </w:r>
      <w:r w:rsidR="00367B6C" w:rsidRPr="00FD7E86">
        <w:t>e</w:t>
      </w:r>
      <w:r w:rsidRPr="00FD7E86">
        <w:t xml:space="preserve"> never accessed </w:t>
      </w:r>
      <w:r w:rsidR="00DF4434" w:rsidRPr="00FD7E86">
        <w:t xml:space="preserve">the internet </w:t>
      </w:r>
      <w:r w:rsidRPr="00FD7E86">
        <w:t xml:space="preserve">has halved in </w:t>
      </w:r>
      <w:r w:rsidR="00367B6C" w:rsidRPr="00FD7E86">
        <w:t xml:space="preserve">the last </w:t>
      </w:r>
      <w:r w:rsidRPr="00FD7E86">
        <w:t xml:space="preserve">five years, </w:t>
      </w:r>
      <w:r w:rsidR="00367B6C" w:rsidRPr="00FD7E86">
        <w:t xml:space="preserve">down from </w:t>
      </w:r>
      <w:r w:rsidRPr="00FD7E86">
        <w:t>two million (12 per cent) at June 2010.</w:t>
      </w:r>
    </w:p>
    <w:p w14:paraId="52E08580" w14:textId="77777777" w:rsidR="007932FF" w:rsidRPr="00FD7E86" w:rsidRDefault="007932FF" w:rsidP="00A73013">
      <w:pPr>
        <w:pStyle w:val="ACMAHeading2"/>
      </w:pPr>
      <w:bookmarkStart w:id="27" w:name="_Toc399257337"/>
      <w:bookmarkStart w:id="28" w:name="_Toc402337480"/>
      <w:bookmarkStart w:id="29" w:name="_Toc433790279"/>
      <w:r w:rsidRPr="00FD7E86">
        <w:t>The economic value of internet-related transactions</w:t>
      </w:r>
      <w:bookmarkEnd w:id="27"/>
      <w:bookmarkEnd w:id="28"/>
      <w:bookmarkEnd w:id="29"/>
    </w:p>
    <w:p w14:paraId="0A6E58F8" w14:textId="77777777" w:rsidR="007932FF" w:rsidRPr="00FD7E86" w:rsidRDefault="007932FF" w:rsidP="007932FF">
      <w:pPr>
        <w:rPr>
          <w:rFonts w:cs="Arial"/>
        </w:rPr>
      </w:pPr>
      <w:r w:rsidRPr="00FD7E86">
        <w:rPr>
          <w:rFonts w:cs="Arial"/>
        </w:rPr>
        <w:t xml:space="preserve">Australian businesses continued to generate increased economic value from the internet with an estimated $266.8 billion in revenue </w:t>
      </w:r>
      <w:r w:rsidR="00DF4434" w:rsidRPr="00FD7E86">
        <w:rPr>
          <w:rFonts w:cs="Arial"/>
        </w:rPr>
        <w:t xml:space="preserve">generated </w:t>
      </w:r>
      <w:r w:rsidRPr="00FD7E86">
        <w:rPr>
          <w:rFonts w:cs="Arial"/>
        </w:rPr>
        <w:t>from online sales of goods and services during 2013–14, a $20 billion increase over 2012–13.</w:t>
      </w:r>
    </w:p>
    <w:p w14:paraId="4657D0ED" w14:textId="77777777" w:rsidR="007932FF" w:rsidRPr="00FD7E86" w:rsidRDefault="007932FF" w:rsidP="007932FF">
      <w:pPr>
        <w:rPr>
          <w:rFonts w:cs="Arial"/>
        </w:rPr>
      </w:pPr>
      <w:r w:rsidRPr="00FD7E86">
        <w:t xml:space="preserve">Total advertising expenditure across the main media categories—print, television, radio, online, outdoor and cinema—decreased by </w:t>
      </w:r>
      <w:r w:rsidRPr="00FD7E86">
        <w:rPr>
          <w:rFonts w:cs="Arial"/>
        </w:rPr>
        <w:t>4.5 per cent in 2014 to $12.8 billion. Advertising</w:t>
      </w:r>
      <w:r w:rsidRPr="00FD7E86" w:rsidDel="00202987">
        <w:rPr>
          <w:rFonts w:cs="Arial"/>
        </w:rPr>
        <w:t xml:space="preserve"> </w:t>
      </w:r>
      <w:r w:rsidRPr="00FD7E86">
        <w:rPr>
          <w:rFonts w:cs="Arial"/>
        </w:rPr>
        <w:t xml:space="preserve">expenditure has increased for online and decreased for print, while </w:t>
      </w:r>
      <w:r w:rsidR="00C011BD" w:rsidRPr="00FD7E86">
        <w:rPr>
          <w:rFonts w:cs="Arial"/>
        </w:rPr>
        <w:t>television</w:t>
      </w:r>
      <w:r w:rsidRPr="00FD7E86">
        <w:rPr>
          <w:rFonts w:cs="Arial"/>
        </w:rPr>
        <w:t xml:space="preserve"> and radio revenue remains generally stable. </w:t>
      </w:r>
      <w:r w:rsidRPr="00FD7E86">
        <w:rPr>
          <w:rFonts w:cs="Arial"/>
        </w:rPr>
        <w:lastRenderedPageBreak/>
        <w:t xml:space="preserve">Expenditure on online advertising </w:t>
      </w:r>
      <w:r w:rsidRPr="00FD7E86">
        <w:t>grew by 16.2 per cent</w:t>
      </w:r>
      <w:r w:rsidRPr="00FD7E86">
        <w:rPr>
          <w:rFonts w:cs="Arial"/>
        </w:rPr>
        <w:t xml:space="preserve"> to $4.63 billion over the 2014 calendar year. This represented a 36 per cent share of total media advertising expenditure, compared to 30 per cent in 2013 and 25 per cent during 2012.</w:t>
      </w:r>
    </w:p>
    <w:p w14:paraId="31F6DBBB" w14:textId="77777777" w:rsidR="007932FF" w:rsidRPr="00FD7E86" w:rsidRDefault="007932FF" w:rsidP="00A73013">
      <w:pPr>
        <w:pStyle w:val="ACMAHeading2"/>
      </w:pPr>
      <w:bookmarkStart w:id="30" w:name="_Toc433790280"/>
      <w:r w:rsidRPr="00FD7E86">
        <w:t>T</w:t>
      </w:r>
      <w:r w:rsidR="00C011BD" w:rsidRPr="00FD7E86">
        <w:t>elevision</w:t>
      </w:r>
      <w:r w:rsidRPr="00FD7E86">
        <w:t>, radio and online</w:t>
      </w:r>
      <w:bookmarkEnd w:id="30"/>
    </w:p>
    <w:p w14:paraId="66586149" w14:textId="77777777" w:rsidR="007932FF" w:rsidRPr="00FD7E86" w:rsidRDefault="007932FF" w:rsidP="007932FF">
      <w:r w:rsidRPr="00FD7E86">
        <w:t>The growth in consumer participation in digital activities saw a continued shift to online service delivery models by traditional broadcasters and print media operators.</w:t>
      </w:r>
    </w:p>
    <w:p w14:paraId="67990AE1" w14:textId="77777777" w:rsidR="007932FF" w:rsidRPr="00FD7E86" w:rsidRDefault="007932FF" w:rsidP="007932FF">
      <w:r w:rsidRPr="00FD7E86">
        <w:t xml:space="preserve">Nonetheless, watching free-to-air television </w:t>
      </w:r>
      <w:r w:rsidR="00A41630" w:rsidRPr="00FD7E86">
        <w:t xml:space="preserve">live </w:t>
      </w:r>
      <w:r w:rsidRPr="00FD7E86">
        <w:t>represents the largest share (59 per cent) of average time spent watching television or video content</w:t>
      </w:r>
      <w:r w:rsidR="00A41630" w:rsidRPr="00FD7E86">
        <w:t xml:space="preserve"> (excluding pre-recorded DVDs)</w:t>
      </w:r>
      <w:r w:rsidRPr="00FD7E86">
        <w:t xml:space="preserve"> among adults. Watching </w:t>
      </w:r>
      <w:r w:rsidR="005C58E5" w:rsidRPr="00FD7E86">
        <w:t xml:space="preserve">professional </w:t>
      </w:r>
      <w:r w:rsidRPr="00FD7E86">
        <w:t>online content</w:t>
      </w:r>
      <w:r w:rsidR="00003199" w:rsidRPr="00FD7E86">
        <w:t>—</w:t>
      </w:r>
      <w:r w:rsidRPr="00FD7E86">
        <w:t>catch-up TV, other free online video content, video content via a subscription service, or pay-per-view content</w:t>
      </w:r>
      <w:r w:rsidR="00EB1B7C" w:rsidRPr="00FD7E86">
        <w:t>—</w:t>
      </w:r>
      <w:r w:rsidRPr="00FD7E86">
        <w:t xml:space="preserve">accounted for 16 per cent of time spent. The proportion of time spent watching online content was highest for </w:t>
      </w:r>
      <w:r w:rsidR="00980627" w:rsidRPr="00FD7E86">
        <w:t xml:space="preserve">those aged </w:t>
      </w:r>
      <w:r w:rsidRPr="00FD7E86">
        <w:t>18</w:t>
      </w:r>
      <w:r w:rsidR="00980627" w:rsidRPr="00FD7E86">
        <w:t xml:space="preserve"> to </w:t>
      </w:r>
      <w:r w:rsidRPr="00FD7E86">
        <w:t>24, at 56 per cent.</w:t>
      </w:r>
    </w:p>
    <w:p w14:paraId="75434003" w14:textId="77777777" w:rsidR="007932FF" w:rsidRPr="00FD7E86" w:rsidRDefault="007932FF" w:rsidP="007932FF">
      <w:r w:rsidRPr="00FD7E86">
        <w:t>Listening to the radio remains popular with adult Australians, with 86 per cent listening to some radio in an average seven</w:t>
      </w:r>
      <w:r w:rsidR="00EB1B7C" w:rsidRPr="00FD7E86">
        <w:t>-</w:t>
      </w:r>
      <w:r w:rsidRPr="00FD7E86">
        <w:t>day period to June 2015. This figure is very similar for the previous three years, with a slight increase from 2011 and 2012.</w:t>
      </w:r>
    </w:p>
    <w:p w14:paraId="2FFBB0F8" w14:textId="77777777" w:rsidR="007932FF" w:rsidRPr="00FD7E86" w:rsidRDefault="007932FF" w:rsidP="00A73013">
      <w:pPr>
        <w:pStyle w:val="ACMAHeading2"/>
      </w:pPr>
      <w:bookmarkStart w:id="31" w:name="_Toc399257339"/>
      <w:bookmarkStart w:id="32" w:name="_Toc402337482"/>
      <w:bookmarkStart w:id="33" w:name="_Toc433790281"/>
      <w:r w:rsidRPr="00FD7E86">
        <w:t>Telecommunications consumer safeguards</w:t>
      </w:r>
      <w:bookmarkEnd w:id="31"/>
      <w:bookmarkEnd w:id="32"/>
      <w:bookmarkEnd w:id="33"/>
    </w:p>
    <w:p w14:paraId="65C0F9ED" w14:textId="77777777" w:rsidR="007932FF" w:rsidRPr="00FD7E86" w:rsidRDefault="007932FF" w:rsidP="007932FF">
      <w:r w:rsidRPr="00FD7E86">
        <w:t>The Do Not Call Register recorded a six per cent increase in the number of listed telephone numbers, taking the total amount of numbers listed to 10.26 million.</w:t>
      </w:r>
    </w:p>
    <w:p w14:paraId="3740DF27" w14:textId="77777777" w:rsidR="007932FF" w:rsidRPr="00FD7E86" w:rsidRDefault="007932FF" w:rsidP="007932FF">
      <w:r w:rsidRPr="00FD7E86">
        <w:t xml:space="preserve">Australia’s CSPs demonstrated strong compliance with the regulatory safeguards supporting fixed-line telephone services. All qualifying CSPs met the Customer Service Guarantee performance benchmarks </w:t>
      </w:r>
      <w:r w:rsidR="00192039" w:rsidRPr="00FD7E86">
        <w:t>in the Telecommunication</w:t>
      </w:r>
      <w:r w:rsidR="00025557" w:rsidRPr="00FD7E86">
        <w:t>s (Customer Service Guarantee—</w:t>
      </w:r>
      <w:r w:rsidR="00192039" w:rsidRPr="00FD7E86">
        <w:t xml:space="preserve">Retail Performance Benchmarks) Instrument (No. 1) 2011 </w:t>
      </w:r>
      <w:r w:rsidRPr="00FD7E86">
        <w:t>with regard to installing and repairing standard telephone services and meeting appointments for residential and small business customers.</w:t>
      </w:r>
    </w:p>
    <w:p w14:paraId="4EBD9DC7" w14:textId="77777777" w:rsidR="007932FF" w:rsidRPr="00FD7E86" w:rsidRDefault="007932FF" w:rsidP="007932FF">
      <w:r w:rsidRPr="00FD7E86">
        <w:t>The total number of payphones once again declined</w:t>
      </w:r>
      <w:r w:rsidR="004B6D41" w:rsidRPr="00FD7E86">
        <w:t>,</w:t>
      </w:r>
      <w:r w:rsidRPr="00FD7E86">
        <w:t xml:space="preserve"> by 7.8 per cent from </w:t>
      </w:r>
      <w:r w:rsidRPr="00FD7E86">
        <w:rPr>
          <w:rFonts w:cs="Arial"/>
        </w:rPr>
        <w:t xml:space="preserve">28,068 to 25,876 during </w:t>
      </w:r>
      <w:r w:rsidR="00F31A0F">
        <w:rPr>
          <w:rFonts w:cs="Arial"/>
        </w:rPr>
        <w:br/>
      </w:r>
      <w:r w:rsidRPr="00FD7E86">
        <w:rPr>
          <w:rFonts w:cs="Arial"/>
        </w:rPr>
        <w:t>2014–15.</w:t>
      </w:r>
    </w:p>
    <w:p w14:paraId="5B5AC77D" w14:textId="77777777" w:rsidR="007932FF" w:rsidRPr="00FD7E86" w:rsidRDefault="007932FF" w:rsidP="002B6F51">
      <w:pPr>
        <w:spacing w:after="80"/>
      </w:pPr>
      <w:r w:rsidRPr="00FD7E86">
        <w:t>The overall level of service provided to telecommunications customers is reflected in both strong satisfaction with telecommunications services and reduced complaints:</w:t>
      </w:r>
    </w:p>
    <w:p w14:paraId="44A3EB57" w14:textId="77777777" w:rsidR="007932FF" w:rsidRPr="00FD7E86" w:rsidRDefault="007932FF" w:rsidP="007932FF">
      <w:pPr>
        <w:pStyle w:val="ListBullet"/>
      </w:pPr>
      <w:r w:rsidRPr="00FD7E86">
        <w:t>The majority of Australians are generally satisfied with their communications services</w:t>
      </w:r>
      <w:r w:rsidR="006901F2" w:rsidRPr="00FD7E86">
        <w:t>. T</w:t>
      </w:r>
      <w:r w:rsidRPr="00FD7E86">
        <w:t xml:space="preserve">he highest levels of satisfaction </w:t>
      </w:r>
      <w:r w:rsidR="006901F2" w:rsidRPr="00FD7E86">
        <w:t xml:space="preserve">are with </w:t>
      </w:r>
      <w:r w:rsidRPr="00FD7E86">
        <w:t>fixed-line telephone services (89 per cent satisfied or very satisfied) and mobile phone services (88 per cent)</w:t>
      </w:r>
      <w:r w:rsidR="00EB1B7C" w:rsidRPr="00FD7E86">
        <w:t>.</w:t>
      </w:r>
    </w:p>
    <w:p w14:paraId="5F8835C8" w14:textId="77777777" w:rsidR="007932FF" w:rsidRPr="00FD7E86" w:rsidRDefault="007932FF" w:rsidP="002B6F51">
      <w:pPr>
        <w:pStyle w:val="ListBulletLast"/>
      </w:pPr>
      <w:r w:rsidRPr="00FD7E86">
        <w:t>There has been a 10.4 per cent decline in the number of complaints to the industry complaints resolution body, the T</w:t>
      </w:r>
      <w:r w:rsidR="00385DFE" w:rsidRPr="00FD7E86">
        <w:t xml:space="preserve">elecommunications </w:t>
      </w:r>
      <w:r w:rsidRPr="00FD7E86">
        <w:t>I</w:t>
      </w:r>
      <w:r w:rsidR="00385DFE" w:rsidRPr="00FD7E86">
        <w:t xml:space="preserve">ndustry </w:t>
      </w:r>
      <w:r w:rsidRPr="00FD7E86">
        <w:t>O</w:t>
      </w:r>
      <w:r w:rsidR="00385DFE" w:rsidRPr="00FD7E86">
        <w:t>mbudsman</w:t>
      </w:r>
      <w:r w:rsidRPr="00FD7E86">
        <w:t>. In 2014–15</w:t>
      </w:r>
      <w:r w:rsidR="00EB1B7C" w:rsidRPr="00FD7E86">
        <w:t>,</w:t>
      </w:r>
      <w:r w:rsidRPr="00FD7E86">
        <w:t xml:space="preserve"> new complaints were down to 124,417.</w:t>
      </w:r>
    </w:p>
    <w:p w14:paraId="078416F2" w14:textId="77777777" w:rsidR="007932FF" w:rsidRPr="00FD7E86" w:rsidRDefault="007932FF" w:rsidP="00A73013">
      <w:pPr>
        <w:pStyle w:val="ACMAHeading2"/>
      </w:pPr>
      <w:bookmarkStart w:id="34" w:name="_Toc399257340"/>
      <w:bookmarkStart w:id="35" w:name="_Toc402337483"/>
      <w:bookmarkStart w:id="36" w:name="_Toc433790282"/>
      <w:r w:rsidRPr="00FD7E86">
        <w:t>National interest issues</w:t>
      </w:r>
      <w:bookmarkEnd w:id="34"/>
      <w:bookmarkEnd w:id="35"/>
      <w:bookmarkEnd w:id="36"/>
    </w:p>
    <w:p w14:paraId="7170FADB" w14:textId="77777777" w:rsidR="007932FF" w:rsidRPr="00FD7E86" w:rsidRDefault="007932FF" w:rsidP="007932FF">
      <w:r w:rsidRPr="00FD7E86">
        <w:t>During 2014–15, mobile carriers introduced of a new capability that allows emergency service organisations to more accurately determine the precise location of mobile callers to the Triple Zero service. The majority of emergency calls (66.9 per cent or 5,606,275) were made from mobile phones.</w:t>
      </w:r>
    </w:p>
    <w:p w14:paraId="1654A590" w14:textId="77777777" w:rsidR="007932FF" w:rsidRPr="00FD7E86" w:rsidRDefault="007932FF" w:rsidP="007932FF">
      <w:r w:rsidRPr="00FD7E86">
        <w:t>There was a small decrease (1.2 per cent) in</w:t>
      </w:r>
      <w:r w:rsidR="004E381F">
        <w:t xml:space="preserve"> </w:t>
      </w:r>
      <w:r w:rsidR="004E381F" w:rsidRPr="00891429">
        <w:t>the</w:t>
      </w:r>
      <w:r w:rsidRPr="00FD7E86">
        <w:t xml:space="preserve"> number of calls (</w:t>
      </w:r>
      <w:r w:rsidRPr="00FD7E86">
        <w:rPr>
          <w:rFonts w:cs="Arial"/>
        </w:rPr>
        <w:t>104,076</w:t>
      </w:r>
      <w:r w:rsidRPr="00FD7E86">
        <w:t xml:space="preserve">) to the emergency service numbers Triple Zero and 112. </w:t>
      </w:r>
    </w:p>
    <w:p w14:paraId="48603E7C" w14:textId="77777777" w:rsidR="007932FF" w:rsidRPr="00FD7E86" w:rsidRDefault="007932FF" w:rsidP="007932FF">
      <w:r w:rsidRPr="00FD7E86">
        <w:t>Telstra again performed above emergency call answering regulatory requirements in terms of the time taken to answer each call.</w:t>
      </w:r>
    </w:p>
    <w:p w14:paraId="2F49E53A" w14:textId="77777777" w:rsidR="007932FF" w:rsidRPr="00FD7E86" w:rsidRDefault="007932FF" w:rsidP="00A73013">
      <w:pPr>
        <w:pStyle w:val="ACMAHeading2"/>
      </w:pPr>
      <w:bookmarkStart w:id="37" w:name="_Toc399257341"/>
      <w:bookmarkStart w:id="38" w:name="_Toc402337484"/>
      <w:bookmarkStart w:id="39" w:name="_Toc433790283"/>
      <w:r w:rsidRPr="00FD7E86">
        <w:t>Internet security</w:t>
      </w:r>
      <w:bookmarkEnd w:id="37"/>
      <w:bookmarkEnd w:id="38"/>
      <w:bookmarkEnd w:id="39"/>
    </w:p>
    <w:p w14:paraId="40EBB52B" w14:textId="77777777" w:rsidR="007932FF" w:rsidRPr="00FD7E86" w:rsidRDefault="007932FF" w:rsidP="007932FF">
      <w:r w:rsidRPr="00FD7E86">
        <w:t xml:space="preserve">Growth in the intensity of Australians’ online engagement is also matched by an increase in their exposure to network security risks. There was an increase in the average number of computer infections </w:t>
      </w:r>
      <w:r w:rsidRPr="00FD7E86">
        <w:lastRenderedPageBreak/>
        <w:t xml:space="preserve">reported under the Australian Internet Security Initiative by </w:t>
      </w:r>
      <w:r w:rsidRPr="00FD7E86">
        <w:rPr>
          <w:rFonts w:cs="Arial"/>
          <w:szCs w:val="20"/>
        </w:rPr>
        <w:t>participants in 2014–15—averaging 26,645 per day compared to 25,839 in 2013–14</w:t>
      </w:r>
      <w:r w:rsidRPr="00FD7E86" w:rsidDel="00AF0667">
        <w:rPr>
          <w:rFonts w:cs="Arial"/>
          <w:szCs w:val="20"/>
        </w:rPr>
        <w:t>.</w:t>
      </w:r>
    </w:p>
    <w:p w14:paraId="2D91F6F5" w14:textId="77777777" w:rsidR="007932FF" w:rsidRPr="00FD7E86" w:rsidRDefault="007932FF" w:rsidP="00A73013">
      <w:pPr>
        <w:pStyle w:val="ACMAHeading2"/>
      </w:pPr>
      <w:bookmarkStart w:id="40" w:name="_Toc399257342"/>
      <w:bookmarkStart w:id="41" w:name="_Toc402337485"/>
      <w:bookmarkStart w:id="42" w:name="_Toc433790284"/>
      <w:r w:rsidRPr="00FD7E86">
        <w:t>Broadcasting industry regulatory performance</w:t>
      </w:r>
      <w:bookmarkEnd w:id="40"/>
      <w:bookmarkEnd w:id="41"/>
      <w:bookmarkEnd w:id="42"/>
    </w:p>
    <w:p w14:paraId="53BBE1A8" w14:textId="77777777" w:rsidR="007932FF" w:rsidRPr="00FD7E86" w:rsidRDefault="00222A4C" w:rsidP="00657EF3">
      <w:r w:rsidRPr="00FD7E86">
        <w:t>All free-to-air commercial television licensees met the Australian transmission quota and sub-quota requirements for drama, documentary and children’s programs for the 2014 calendar year.</w:t>
      </w:r>
    </w:p>
    <w:p w14:paraId="69CCBCE6" w14:textId="77777777" w:rsidR="007932FF" w:rsidRPr="00FD7E86" w:rsidRDefault="007932FF" w:rsidP="007932FF">
      <w:r w:rsidRPr="00FD7E86">
        <w:t>All regional commercial radio and television broadcasting licensees broadcast the required amount of material of local significance.</w:t>
      </w:r>
    </w:p>
    <w:p w14:paraId="6E77BFB5" w14:textId="77777777" w:rsidR="007932FF" w:rsidRPr="00FD7E86" w:rsidRDefault="007932FF" w:rsidP="00A73013">
      <w:pPr>
        <w:pStyle w:val="ACMAHeading2"/>
      </w:pPr>
      <w:bookmarkStart w:id="43" w:name="_Toc399257343"/>
      <w:bookmarkStart w:id="44" w:name="_Toc402337486"/>
      <w:bookmarkStart w:id="45" w:name="_Toc433790285"/>
      <w:r w:rsidRPr="00FD7E86">
        <w:t xml:space="preserve">ACMA complaint </w:t>
      </w:r>
      <w:bookmarkEnd w:id="43"/>
      <w:r w:rsidRPr="00FD7E86">
        <w:t>hotline for illegal and offensive online content</w:t>
      </w:r>
      <w:bookmarkEnd w:id="44"/>
      <w:bookmarkEnd w:id="45"/>
    </w:p>
    <w:p w14:paraId="03028223" w14:textId="77777777" w:rsidR="007932FF" w:rsidRPr="00FD7E86" w:rsidRDefault="007932FF" w:rsidP="00DF0CD7">
      <w:r w:rsidRPr="00FD7E86">
        <w:rPr>
          <w:rFonts w:cs="Arial"/>
        </w:rPr>
        <w:t xml:space="preserve">During 2014–15, the ACMA received 4,801 complaints (an 18 per cent increase compared to 2013–14) and finalised investigations into 8,728 items of content as at 30 June 2015 (a complaint may result in the investigation of multiple items of content). </w:t>
      </w:r>
      <w:bookmarkStart w:id="46" w:name="_Toc399316055"/>
      <w:bookmarkStart w:id="47" w:name="_Toc399331709"/>
      <w:bookmarkStart w:id="48" w:name="_Toc399336890"/>
      <w:bookmarkStart w:id="49" w:name="_Toc402337488"/>
      <w:bookmarkEnd w:id="46"/>
      <w:bookmarkEnd w:id="47"/>
      <w:bookmarkEnd w:id="48"/>
      <w:bookmarkEnd w:id="49"/>
    </w:p>
    <w:p w14:paraId="1247241A" w14:textId="77777777" w:rsidR="00244C97" w:rsidRPr="00FD7E86" w:rsidRDefault="00244C97" w:rsidP="00871ECF">
      <w:pPr>
        <w:pStyle w:val="Heading1"/>
      </w:pPr>
      <w:bookmarkStart w:id="50" w:name="_Toc433790286"/>
      <w:r w:rsidRPr="00FD7E86">
        <w:lastRenderedPageBreak/>
        <w:t>Key indicators—at a glance</w:t>
      </w:r>
      <w:bookmarkEnd w:id="2"/>
      <w:bookmarkEnd w:id="3"/>
      <w:bookmarkEnd w:id="4"/>
      <w:bookmarkEnd w:id="50"/>
    </w:p>
    <w:p w14:paraId="4E40B371" w14:textId="77777777" w:rsidR="00244C97" w:rsidRPr="00FD7E86" w:rsidRDefault="00244C97" w:rsidP="0024643D">
      <w:pPr>
        <w:spacing w:after="0" w:line="240" w:lineRule="auto"/>
        <w:rPr>
          <w:b/>
          <w:sz w:val="32"/>
          <w:szCs w:val="32"/>
        </w:rPr>
      </w:pPr>
      <w:bookmarkStart w:id="51" w:name="_Toc399331703"/>
      <w:bookmarkStart w:id="52" w:name="_Toc399336884"/>
      <w:r w:rsidRPr="004D4DF8">
        <w:rPr>
          <w:b/>
          <w:sz w:val="32"/>
          <w:szCs w:val="32"/>
        </w:rPr>
        <w:t>Telecommunications services</w:t>
      </w:r>
      <w:bookmarkEnd w:id="51"/>
      <w:bookmarkEnd w:id="52"/>
    </w:p>
    <w:p w14:paraId="2330D729"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Number of services</w:t>
      </w:r>
    </w:p>
    <w:tbl>
      <w:tblPr>
        <w:tblStyle w:val="Commsreport2014-15TABLE"/>
        <w:tblW w:w="9429" w:type="dxa"/>
        <w:tblLayout w:type="fixed"/>
        <w:tblLook w:val="04A0" w:firstRow="1" w:lastRow="0" w:firstColumn="1" w:lastColumn="0" w:noHBand="0" w:noVBand="1"/>
        <w:tblCaption w:val="Telecommunications services: Number of services"/>
      </w:tblPr>
      <w:tblGrid>
        <w:gridCol w:w="3057"/>
        <w:gridCol w:w="1061"/>
        <w:gridCol w:w="1062"/>
        <w:gridCol w:w="1062"/>
        <w:gridCol w:w="1062"/>
        <w:gridCol w:w="1062"/>
        <w:gridCol w:w="1063"/>
      </w:tblGrid>
      <w:tr w:rsidR="00244C97" w:rsidRPr="00FD7E86" w14:paraId="606E2F12"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57" w:type="dxa"/>
            <w:shd w:val="clear" w:color="auto" w:fill="auto"/>
          </w:tcPr>
          <w:p w14:paraId="23BB02F5" w14:textId="77777777" w:rsidR="00244C97" w:rsidRPr="00FD7E86" w:rsidRDefault="00244C97" w:rsidP="00244C97">
            <w:pPr>
              <w:keepNext/>
              <w:keepLines/>
              <w:spacing w:before="20" w:after="20"/>
              <w:rPr>
                <w:rFonts w:cs="Arial"/>
                <w:szCs w:val="18"/>
              </w:rPr>
            </w:pPr>
          </w:p>
        </w:tc>
        <w:tc>
          <w:tcPr>
            <w:tcW w:w="1061" w:type="dxa"/>
            <w:vAlign w:val="top"/>
          </w:tcPr>
          <w:p w14:paraId="586D3A48"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C82DEF">
              <w:rPr>
                <w:b/>
              </w:rPr>
              <w:t>Jun-11</w:t>
            </w:r>
          </w:p>
          <w:p w14:paraId="7161CEB8"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(m)</w:t>
            </w:r>
          </w:p>
        </w:tc>
        <w:tc>
          <w:tcPr>
            <w:tcW w:w="1062" w:type="dxa"/>
            <w:vAlign w:val="top"/>
          </w:tcPr>
          <w:p w14:paraId="50445EA1"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Jun-12</w:t>
            </w:r>
            <w:r w:rsidRPr="00C82DEF">
              <w:rPr>
                <w:rFonts w:cs="Arial"/>
                <w:b/>
                <w:szCs w:val="18"/>
              </w:rPr>
              <w:br/>
              <w:t>(m)</w:t>
            </w:r>
          </w:p>
        </w:tc>
        <w:tc>
          <w:tcPr>
            <w:tcW w:w="1062" w:type="dxa"/>
            <w:vAlign w:val="top"/>
          </w:tcPr>
          <w:p w14:paraId="69EF3501"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Jun-13</w:t>
            </w:r>
            <w:r w:rsidRPr="00C82DEF">
              <w:rPr>
                <w:rFonts w:cs="Arial"/>
                <w:b/>
                <w:szCs w:val="18"/>
              </w:rPr>
              <w:br/>
              <w:t>(m)</w:t>
            </w:r>
          </w:p>
        </w:tc>
        <w:tc>
          <w:tcPr>
            <w:tcW w:w="1062" w:type="dxa"/>
            <w:vAlign w:val="top"/>
          </w:tcPr>
          <w:p w14:paraId="18D1647F"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Jun-14</w:t>
            </w:r>
          </w:p>
          <w:p w14:paraId="34091CA7"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(m)</w:t>
            </w:r>
          </w:p>
        </w:tc>
        <w:tc>
          <w:tcPr>
            <w:tcW w:w="1062" w:type="dxa"/>
            <w:vAlign w:val="top"/>
          </w:tcPr>
          <w:p w14:paraId="5C9CF534"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Jun-15</w:t>
            </w:r>
          </w:p>
          <w:p w14:paraId="0C77B11F"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(m)</w:t>
            </w:r>
          </w:p>
        </w:tc>
        <w:tc>
          <w:tcPr>
            <w:tcW w:w="1063" w:type="dxa"/>
            <w:vAlign w:val="top"/>
          </w:tcPr>
          <w:p w14:paraId="66D2B4F2" w14:textId="77777777" w:rsidR="00244C97" w:rsidRPr="00C82DEF" w:rsidRDefault="0069577D"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Jun-14 to Jun-15</w:t>
            </w:r>
            <w:r w:rsidR="00244C97" w:rsidRPr="00C82DEF">
              <w:rPr>
                <w:rFonts w:cs="Arial"/>
                <w:b/>
                <w:szCs w:val="18"/>
              </w:rPr>
              <w:t xml:space="preserve"> change</w:t>
            </w:r>
          </w:p>
          <w:p w14:paraId="3C749B14" w14:textId="77777777" w:rsidR="00244C97" w:rsidRPr="00C82DEF" w:rsidRDefault="00244C97" w:rsidP="00C82DEF">
            <w:pPr>
              <w:pStyle w:val="TableHeading"/>
              <w:spacing w:before="20" w:after="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w:t>
            </w:r>
          </w:p>
        </w:tc>
      </w:tr>
      <w:tr w:rsidR="00244C97" w:rsidRPr="00FD7E86" w14:paraId="2617C66B" w14:textId="77777777" w:rsidTr="000F5736">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7E10B973"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Mobile services (voice and data)*</w:t>
            </w:r>
          </w:p>
        </w:tc>
        <w:tc>
          <w:tcPr>
            <w:tcW w:w="1061" w:type="dxa"/>
          </w:tcPr>
          <w:p w14:paraId="62A770E7"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29.28</w:t>
            </w:r>
          </w:p>
        </w:tc>
        <w:tc>
          <w:tcPr>
            <w:tcW w:w="1062" w:type="dxa"/>
          </w:tcPr>
          <w:p w14:paraId="4CA33F22"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30.20</w:t>
            </w:r>
          </w:p>
        </w:tc>
        <w:tc>
          <w:tcPr>
            <w:tcW w:w="1062" w:type="dxa"/>
          </w:tcPr>
          <w:p w14:paraId="2DB9E6CD"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31.09</w:t>
            </w:r>
          </w:p>
        </w:tc>
        <w:tc>
          <w:tcPr>
            <w:tcW w:w="1062" w:type="dxa"/>
          </w:tcPr>
          <w:p w14:paraId="4FD80C15"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31.01</w:t>
            </w:r>
          </w:p>
        </w:tc>
        <w:tc>
          <w:tcPr>
            <w:tcW w:w="1062" w:type="dxa"/>
          </w:tcPr>
          <w:p w14:paraId="2E5451A7"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31.77</w:t>
            </w:r>
          </w:p>
        </w:tc>
        <w:tc>
          <w:tcPr>
            <w:tcW w:w="1063" w:type="dxa"/>
          </w:tcPr>
          <w:p w14:paraId="73CD4D34"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w:t>
            </w:r>
          </w:p>
        </w:tc>
      </w:tr>
      <w:tr w:rsidR="00244C97" w:rsidRPr="00FD7E86" w14:paraId="0D3B74CE" w14:textId="77777777" w:rsidTr="00601D3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7923BA87" w14:textId="77777777" w:rsidR="00244C97" w:rsidRPr="00900A5E" w:rsidRDefault="00244C97" w:rsidP="004E381F">
            <w:pPr>
              <w:keepNext/>
              <w:keepLines/>
              <w:spacing w:before="20" w:after="20"/>
              <w:ind w:left="284"/>
              <w:rPr>
                <w:rFonts w:cs="Arial"/>
                <w:color w:val="auto"/>
                <w:szCs w:val="18"/>
              </w:rPr>
            </w:pPr>
            <w:r w:rsidRPr="0021106E">
              <w:rPr>
                <w:rFonts w:cs="Arial"/>
                <w:color w:val="auto"/>
                <w:szCs w:val="18"/>
              </w:rPr>
              <w:t xml:space="preserve">Mobile </w:t>
            </w:r>
            <w:r w:rsidR="004E381F" w:rsidRPr="0021106E">
              <w:rPr>
                <w:rFonts w:cs="Arial"/>
                <w:color w:val="auto"/>
                <w:szCs w:val="18"/>
              </w:rPr>
              <w:t>handset internet subscribers</w:t>
            </w:r>
          </w:p>
        </w:tc>
        <w:tc>
          <w:tcPr>
            <w:tcW w:w="1061" w:type="dxa"/>
          </w:tcPr>
          <w:p w14:paraId="6AB7CE11"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13.32</w:t>
            </w:r>
          </w:p>
        </w:tc>
        <w:tc>
          <w:tcPr>
            <w:tcW w:w="1062" w:type="dxa"/>
          </w:tcPr>
          <w:p w14:paraId="28695A4A"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16.19</w:t>
            </w:r>
          </w:p>
        </w:tc>
        <w:tc>
          <w:tcPr>
            <w:tcW w:w="1062" w:type="dxa"/>
          </w:tcPr>
          <w:p w14:paraId="6CB982E0"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19.65</w:t>
            </w:r>
          </w:p>
        </w:tc>
        <w:tc>
          <w:tcPr>
            <w:tcW w:w="1062" w:type="dxa"/>
          </w:tcPr>
          <w:p w14:paraId="23DEBBD8"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20.57</w:t>
            </w:r>
          </w:p>
        </w:tc>
        <w:tc>
          <w:tcPr>
            <w:tcW w:w="1062" w:type="dxa"/>
            <w:shd w:val="clear" w:color="auto" w:fill="E9FBFB" w:themeFill="accent3"/>
          </w:tcPr>
          <w:p w14:paraId="32D919AC" w14:textId="77777777" w:rsidR="00244C97" w:rsidRPr="00FD7E86" w:rsidDel="00791650" w:rsidRDefault="00771B0E"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20.99</w:t>
            </w:r>
          </w:p>
        </w:tc>
        <w:tc>
          <w:tcPr>
            <w:tcW w:w="1063" w:type="dxa"/>
            <w:shd w:val="clear" w:color="auto" w:fill="E9FBFB" w:themeFill="accent3"/>
          </w:tcPr>
          <w:p w14:paraId="4DBAAAE8" w14:textId="77777777" w:rsidR="00244C97" w:rsidRPr="00FD7E86" w:rsidRDefault="00771B0E"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w:t>
            </w:r>
          </w:p>
        </w:tc>
      </w:tr>
      <w:tr w:rsidR="00244C97" w:rsidRPr="00FD7E86" w14:paraId="25FAD3C6" w14:textId="77777777" w:rsidTr="00601D3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3CFCB33D" w14:textId="77777777" w:rsidR="00244C97" w:rsidRPr="00900A5E" w:rsidRDefault="00244C97" w:rsidP="00A15355">
            <w:pPr>
              <w:keepNext/>
              <w:keepLines/>
              <w:spacing w:before="20" w:after="20"/>
              <w:ind w:left="284"/>
              <w:rPr>
                <w:rFonts w:cs="Arial"/>
                <w:color w:val="auto"/>
                <w:szCs w:val="18"/>
              </w:rPr>
            </w:pPr>
            <w:r w:rsidRPr="00900A5E">
              <w:rPr>
                <w:rFonts w:cs="Arial"/>
                <w:color w:val="auto"/>
                <w:szCs w:val="18"/>
              </w:rPr>
              <w:t>Mobile wireless broadband (e.g., dongle/datacard)</w:t>
            </w:r>
          </w:p>
        </w:tc>
        <w:tc>
          <w:tcPr>
            <w:tcW w:w="1061" w:type="dxa"/>
          </w:tcPr>
          <w:p w14:paraId="45751209"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4.79</w:t>
            </w:r>
          </w:p>
        </w:tc>
        <w:tc>
          <w:tcPr>
            <w:tcW w:w="1062" w:type="dxa"/>
          </w:tcPr>
          <w:p w14:paraId="3741CC2C"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5.86</w:t>
            </w:r>
          </w:p>
        </w:tc>
        <w:tc>
          <w:tcPr>
            <w:tcW w:w="1062" w:type="dxa"/>
          </w:tcPr>
          <w:p w14:paraId="724272D9"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6.15</w:t>
            </w:r>
          </w:p>
        </w:tc>
        <w:tc>
          <w:tcPr>
            <w:tcW w:w="1062" w:type="dxa"/>
          </w:tcPr>
          <w:p w14:paraId="7A3CD7E1"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5.95</w:t>
            </w:r>
          </w:p>
        </w:tc>
        <w:tc>
          <w:tcPr>
            <w:tcW w:w="1062" w:type="dxa"/>
            <w:shd w:val="clear" w:color="auto" w:fill="E9FBFB" w:themeFill="accent3"/>
          </w:tcPr>
          <w:p w14:paraId="0B32C60E" w14:textId="77777777" w:rsidR="00244C97" w:rsidRPr="00FD7E86" w:rsidDel="00791650" w:rsidRDefault="00771B0E"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w:t>
            </w:r>
            <w:r w:rsidR="0069577D" w:rsidRPr="00FD7E86">
              <w:rPr>
                <w:rFonts w:cs="Arial"/>
                <w:szCs w:val="18"/>
              </w:rPr>
              <w:t>.</w:t>
            </w:r>
            <w:r w:rsidRPr="00FD7E86">
              <w:rPr>
                <w:rFonts w:cs="Arial"/>
                <w:szCs w:val="18"/>
              </w:rPr>
              <w:t>00</w:t>
            </w:r>
          </w:p>
        </w:tc>
        <w:tc>
          <w:tcPr>
            <w:tcW w:w="1063" w:type="dxa"/>
            <w:shd w:val="clear" w:color="auto" w:fill="E9FBFB" w:themeFill="accent3"/>
          </w:tcPr>
          <w:p w14:paraId="35E4CF8B" w14:textId="77777777" w:rsidR="00244C97" w:rsidRPr="00FD7E86" w:rsidRDefault="00771B0E"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+0.8</w:t>
            </w:r>
          </w:p>
        </w:tc>
      </w:tr>
      <w:tr w:rsidR="00244C97" w:rsidRPr="00FD7E86" w14:paraId="6E3FDB5F" w14:textId="77777777" w:rsidTr="00601D3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229B2953"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ab/>
              <w:t>Total mobile internet services</w:t>
            </w:r>
            <w:r w:rsidRPr="00900A5E">
              <w:rPr>
                <w:rFonts w:cs="Arial"/>
                <w:color w:val="auto"/>
                <w:szCs w:val="18"/>
                <w:vertAlign w:val="superscript"/>
              </w:rPr>
              <w:t>†</w:t>
            </w:r>
          </w:p>
        </w:tc>
        <w:tc>
          <w:tcPr>
            <w:tcW w:w="1061" w:type="dxa"/>
          </w:tcPr>
          <w:p w14:paraId="358D1930"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18.11</w:t>
            </w:r>
          </w:p>
        </w:tc>
        <w:tc>
          <w:tcPr>
            <w:tcW w:w="1062" w:type="dxa"/>
          </w:tcPr>
          <w:p w14:paraId="010C1D95"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22.05</w:t>
            </w:r>
          </w:p>
        </w:tc>
        <w:tc>
          <w:tcPr>
            <w:tcW w:w="1062" w:type="dxa"/>
          </w:tcPr>
          <w:p w14:paraId="48D79A1F"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25.80</w:t>
            </w:r>
          </w:p>
        </w:tc>
        <w:tc>
          <w:tcPr>
            <w:tcW w:w="1062" w:type="dxa"/>
          </w:tcPr>
          <w:p w14:paraId="12406B8F"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26.52</w:t>
            </w:r>
          </w:p>
        </w:tc>
        <w:tc>
          <w:tcPr>
            <w:tcW w:w="1062" w:type="dxa"/>
            <w:shd w:val="clear" w:color="auto" w:fill="E9FBFB" w:themeFill="accent3"/>
          </w:tcPr>
          <w:p w14:paraId="4C6B1927" w14:textId="77777777" w:rsidR="00244C97" w:rsidRPr="00FD7E86" w:rsidRDefault="00C86FFD"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27.00</w:t>
            </w:r>
          </w:p>
        </w:tc>
        <w:tc>
          <w:tcPr>
            <w:tcW w:w="1063" w:type="dxa"/>
            <w:shd w:val="clear" w:color="auto" w:fill="E9FBFB" w:themeFill="accent3"/>
          </w:tcPr>
          <w:p w14:paraId="43B0BC98" w14:textId="77777777" w:rsidR="00244C97" w:rsidRPr="00FD7E86" w:rsidRDefault="00771B0E"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w:t>
            </w:r>
          </w:p>
        </w:tc>
      </w:tr>
      <w:tr w:rsidR="00244C97" w:rsidRPr="00FD7E86" w14:paraId="734C7B14" w14:textId="77777777" w:rsidTr="00601D3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22CFC8A5"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Total internet service subscribers</w:t>
            </w:r>
            <w:r w:rsidRPr="00900A5E">
              <w:rPr>
                <w:rFonts w:cs="Arial"/>
                <w:color w:val="auto"/>
                <w:sz w:val="16"/>
                <w:szCs w:val="16"/>
                <w:vertAlign w:val="superscript"/>
              </w:rPr>
              <w:t>‡</w:t>
            </w:r>
          </w:p>
        </w:tc>
        <w:tc>
          <w:tcPr>
            <w:tcW w:w="1061" w:type="dxa"/>
          </w:tcPr>
          <w:p w14:paraId="1851229B"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24.23</w:t>
            </w:r>
          </w:p>
        </w:tc>
        <w:tc>
          <w:tcPr>
            <w:tcW w:w="1062" w:type="dxa"/>
          </w:tcPr>
          <w:p w14:paraId="7BA964C7"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28.23</w:t>
            </w:r>
          </w:p>
        </w:tc>
        <w:tc>
          <w:tcPr>
            <w:tcW w:w="1062" w:type="dxa"/>
          </w:tcPr>
          <w:p w14:paraId="2C8C29A5"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32.00</w:t>
            </w:r>
          </w:p>
        </w:tc>
        <w:tc>
          <w:tcPr>
            <w:tcW w:w="1062" w:type="dxa"/>
          </w:tcPr>
          <w:p w14:paraId="18266274"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33.05</w:t>
            </w:r>
          </w:p>
        </w:tc>
        <w:tc>
          <w:tcPr>
            <w:tcW w:w="1062" w:type="dxa"/>
            <w:shd w:val="clear" w:color="auto" w:fill="E9FBFB" w:themeFill="accent3"/>
          </w:tcPr>
          <w:p w14:paraId="139BC8DF" w14:textId="77777777" w:rsidR="00244C97" w:rsidRPr="00FD7E86" w:rsidRDefault="00CF440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33.76</w:t>
            </w:r>
          </w:p>
        </w:tc>
        <w:tc>
          <w:tcPr>
            <w:tcW w:w="1063" w:type="dxa"/>
            <w:shd w:val="clear" w:color="auto" w:fill="E9FBFB" w:themeFill="accent3"/>
          </w:tcPr>
          <w:p w14:paraId="5A75C67C" w14:textId="77777777" w:rsidR="00244C97" w:rsidRPr="00FD7E86" w:rsidRDefault="00771B0E" w:rsidP="00CB6920">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w:t>
            </w:r>
            <w:r w:rsidR="00CB6920" w:rsidRPr="00FD7E86">
              <w:rPr>
                <w:rFonts w:cs="Arial"/>
                <w:szCs w:val="18"/>
              </w:rPr>
              <w:t>2.1</w:t>
            </w:r>
          </w:p>
        </w:tc>
      </w:tr>
      <w:tr w:rsidR="00244C97" w:rsidRPr="00FD7E86" w14:paraId="7CB117BC" w14:textId="77777777" w:rsidTr="004D45E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581AAE04"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Fixed-line telephone services</w:t>
            </w:r>
            <w:r w:rsidR="00771B0E" w:rsidRPr="00900A5E">
              <w:rPr>
                <w:rFonts w:cs="Arial"/>
                <w:color w:val="auto"/>
                <w:szCs w:val="18"/>
              </w:rPr>
              <w:t>*</w:t>
            </w:r>
            <w:r w:rsidRPr="00900A5E">
              <w:rPr>
                <w:rFonts w:cs="Arial"/>
                <w:color w:val="auto"/>
                <w:szCs w:val="18"/>
                <w:vertAlign w:val="superscript"/>
              </w:rPr>
              <w:t>§</w:t>
            </w:r>
          </w:p>
        </w:tc>
        <w:tc>
          <w:tcPr>
            <w:tcW w:w="1061" w:type="dxa"/>
          </w:tcPr>
          <w:p w14:paraId="1292C41F"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10.54</w:t>
            </w:r>
          </w:p>
        </w:tc>
        <w:tc>
          <w:tcPr>
            <w:tcW w:w="1062" w:type="dxa"/>
          </w:tcPr>
          <w:p w14:paraId="237A859F"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10.44</w:t>
            </w:r>
          </w:p>
        </w:tc>
        <w:tc>
          <w:tcPr>
            <w:tcW w:w="1062" w:type="dxa"/>
          </w:tcPr>
          <w:p w14:paraId="2E64EC9F"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9.42</w:t>
            </w:r>
          </w:p>
        </w:tc>
        <w:tc>
          <w:tcPr>
            <w:tcW w:w="1062" w:type="dxa"/>
          </w:tcPr>
          <w:p w14:paraId="70D64AA7" w14:textId="77777777" w:rsidR="00244C97" w:rsidRPr="00FD7E86" w:rsidRDefault="00244C97"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9.19</w:t>
            </w:r>
          </w:p>
        </w:tc>
        <w:tc>
          <w:tcPr>
            <w:tcW w:w="1062" w:type="dxa"/>
            <w:shd w:val="clear" w:color="auto" w:fill="E9FBFB" w:themeFill="accent3"/>
          </w:tcPr>
          <w:p w14:paraId="67FAE007" w14:textId="77777777" w:rsidR="00244C97" w:rsidRPr="00FD7E86" w:rsidRDefault="00306835"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9.08</w:t>
            </w:r>
          </w:p>
        </w:tc>
        <w:tc>
          <w:tcPr>
            <w:tcW w:w="1063" w:type="dxa"/>
            <w:shd w:val="clear" w:color="auto" w:fill="E9FBFB" w:themeFill="accent3"/>
          </w:tcPr>
          <w:p w14:paraId="1E715405" w14:textId="77777777" w:rsidR="00244C97" w:rsidRPr="00FD7E86" w:rsidRDefault="00306835" w:rsidP="00A15355">
            <w:pPr>
              <w:keepNext/>
              <w:keepLine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w:t>
            </w:r>
          </w:p>
        </w:tc>
      </w:tr>
    </w:tbl>
    <w:p w14:paraId="30E871EC" w14:textId="77777777" w:rsidR="00244C97" w:rsidRPr="00FD7E86" w:rsidRDefault="00244C97" w:rsidP="007F5C55">
      <w:pPr>
        <w:spacing w:before="80" w:after="60" w:line="240" w:lineRule="auto"/>
        <w:rPr>
          <w:rFonts w:cs="Arial"/>
          <w:i/>
          <w:sz w:val="16"/>
        </w:rPr>
      </w:pPr>
      <w:r w:rsidRPr="00FD7E86">
        <w:rPr>
          <w:rFonts w:cs="Arial"/>
          <w:i/>
          <w:sz w:val="16"/>
        </w:rPr>
        <w:t>m=million.</w:t>
      </w:r>
    </w:p>
    <w:p w14:paraId="6067307E" w14:textId="77777777" w:rsidR="00244C97" w:rsidRPr="00FD7E86" w:rsidRDefault="00244C97" w:rsidP="007F5C55">
      <w:pPr>
        <w:spacing w:after="60" w:line="240" w:lineRule="auto"/>
        <w:rPr>
          <w:rFonts w:cs="Arial"/>
          <w:i/>
          <w:sz w:val="16"/>
        </w:rPr>
      </w:pPr>
      <w:r w:rsidRPr="00FD7E86">
        <w:rPr>
          <w:rFonts w:cs="Arial"/>
          <w:i/>
          <w:sz w:val="16"/>
        </w:rPr>
        <w:t xml:space="preserve">*Change in data source from ACMA annual industry data request </w:t>
      </w:r>
      <w:r w:rsidR="00771B0E" w:rsidRPr="00FD7E86">
        <w:rPr>
          <w:rFonts w:cs="Arial"/>
          <w:i/>
          <w:sz w:val="16"/>
        </w:rPr>
        <w:t xml:space="preserve">in June 2013 </w:t>
      </w:r>
      <w:r w:rsidRPr="00FD7E86">
        <w:rPr>
          <w:rFonts w:cs="Arial"/>
          <w:i/>
          <w:sz w:val="16"/>
        </w:rPr>
        <w:t>to company annual reports</w:t>
      </w:r>
      <w:r w:rsidR="00771B0E" w:rsidRPr="00FD7E86">
        <w:rPr>
          <w:rFonts w:cs="Arial"/>
          <w:i/>
          <w:sz w:val="16"/>
        </w:rPr>
        <w:t xml:space="preserve"> from June 2014</w:t>
      </w:r>
      <w:r w:rsidRPr="00FD7E86">
        <w:rPr>
          <w:rFonts w:cs="Arial"/>
          <w:i/>
          <w:sz w:val="16"/>
        </w:rPr>
        <w:t xml:space="preserve">. </w:t>
      </w:r>
    </w:p>
    <w:p w14:paraId="71BC2FBB" w14:textId="77777777" w:rsidR="00244C97" w:rsidRPr="00FD7E86" w:rsidRDefault="00244C97" w:rsidP="007F5C55">
      <w:pPr>
        <w:spacing w:after="60" w:line="240" w:lineRule="auto"/>
        <w:rPr>
          <w:rFonts w:cs="Arial"/>
          <w:i/>
          <w:sz w:val="16"/>
        </w:rPr>
      </w:pPr>
      <w:r w:rsidRPr="00FD7E86">
        <w:rPr>
          <w:rFonts w:cs="Arial"/>
          <w:i/>
          <w:sz w:val="16"/>
          <w:vertAlign w:val="superscript"/>
        </w:rPr>
        <w:t>†</w:t>
      </w:r>
      <w:r w:rsidRPr="00FD7E86">
        <w:rPr>
          <w:rFonts w:cs="Arial"/>
          <w:i/>
          <w:sz w:val="16"/>
        </w:rPr>
        <w:t xml:space="preserve">Sum of mobile phone handset and mobile wireless broadband subscribers. </w:t>
      </w:r>
    </w:p>
    <w:p w14:paraId="5B801098" w14:textId="77777777" w:rsidR="00244C97" w:rsidRPr="00FD7E86" w:rsidRDefault="00244C97" w:rsidP="007F5C55">
      <w:pPr>
        <w:spacing w:after="60" w:line="240" w:lineRule="auto"/>
        <w:rPr>
          <w:rFonts w:cs="Arial"/>
          <w:i/>
          <w:sz w:val="16"/>
        </w:rPr>
      </w:pPr>
      <w:r w:rsidRPr="00FD7E86">
        <w:rPr>
          <w:rFonts w:cs="Arial"/>
          <w:i/>
          <w:sz w:val="16"/>
          <w:vertAlign w:val="superscript"/>
        </w:rPr>
        <w:t>‡</w:t>
      </w:r>
      <w:r w:rsidRPr="00FD7E86">
        <w:rPr>
          <w:rFonts w:cs="Arial"/>
          <w:i/>
          <w:sz w:val="16"/>
        </w:rPr>
        <w:t>Including mobile phone handset, mobile wireless broadband, fixed-broadband, satellite, fixed-wireless, other broadband and dial-up subscribers.</w:t>
      </w:r>
    </w:p>
    <w:p w14:paraId="5B097434" w14:textId="77777777" w:rsidR="00244C97" w:rsidRPr="00FD7E86" w:rsidRDefault="00244C97" w:rsidP="007F5C55">
      <w:pPr>
        <w:spacing w:after="60" w:line="240" w:lineRule="auto"/>
        <w:rPr>
          <w:rFonts w:cs="Arial"/>
          <w:i/>
          <w:sz w:val="16"/>
        </w:rPr>
      </w:pPr>
      <w:r w:rsidRPr="00FD7E86">
        <w:rPr>
          <w:rFonts w:cs="Arial"/>
          <w:i/>
          <w:sz w:val="18"/>
          <w:szCs w:val="18"/>
          <w:vertAlign w:val="superscript"/>
        </w:rPr>
        <w:t>§</w:t>
      </w:r>
      <w:r w:rsidRPr="00FD7E86">
        <w:rPr>
          <w:rFonts w:cs="Arial"/>
          <w:i/>
          <w:sz w:val="16"/>
        </w:rPr>
        <w:t xml:space="preserve">Includes PSTN and other fixed-line telephone services. Due to a methodology change in 2014, data reported here differs from data reported in previous communications reports. In 2014, the total resale (retail services directly connected via another network) and retail services in operation are reported. In previous communications reports, wholesale and retail totals were reported. </w:t>
      </w:r>
    </w:p>
    <w:p w14:paraId="14BBD8B1" w14:textId="77777777" w:rsidR="00244C97" w:rsidRPr="00FD7E86" w:rsidRDefault="00244C97" w:rsidP="007F5C55">
      <w:pPr>
        <w:spacing w:after="60" w:line="240" w:lineRule="auto"/>
        <w:rPr>
          <w:rFonts w:cs="Arial"/>
          <w:i/>
          <w:sz w:val="16"/>
        </w:rPr>
      </w:pPr>
      <w:r w:rsidRPr="00FD7E86">
        <w:rPr>
          <w:rFonts w:cs="Arial"/>
          <w:i/>
          <w:sz w:val="16"/>
        </w:rPr>
        <w:t xml:space="preserve">Note: Counts of subscribers published in previous </w:t>
      </w:r>
      <w:r w:rsidR="006901F2" w:rsidRPr="00FD7E86">
        <w:rPr>
          <w:rFonts w:cs="Arial"/>
          <w:i/>
          <w:sz w:val="16"/>
        </w:rPr>
        <w:t>c</w:t>
      </w:r>
      <w:r w:rsidRPr="00FD7E86">
        <w:rPr>
          <w:rFonts w:cs="Arial"/>
          <w:i/>
          <w:sz w:val="16"/>
        </w:rPr>
        <w:t>ommunications reports may vary due to revisions by the ABS.</w:t>
      </w:r>
      <w:r w:rsidR="00346D82" w:rsidRPr="00FD7E86">
        <w:rPr>
          <w:rFonts w:cs="Arial"/>
          <w:i/>
          <w:sz w:val="16"/>
        </w:rPr>
        <w:t xml:space="preserve"> Percentage changes are calculated on non-rounded data.</w:t>
      </w:r>
    </w:p>
    <w:p w14:paraId="0574C410" w14:textId="77777777" w:rsidR="00244C97" w:rsidRPr="00FD7E86" w:rsidRDefault="00244C97" w:rsidP="007F5C55">
      <w:pPr>
        <w:spacing w:after="60" w:line="240" w:lineRule="auto"/>
        <w:rPr>
          <w:rFonts w:cs="Arial"/>
          <w:i/>
          <w:sz w:val="16"/>
        </w:rPr>
      </w:pPr>
      <w:r w:rsidRPr="00FD7E86">
        <w:rPr>
          <w:rFonts w:cs="Arial"/>
          <w:i/>
          <w:sz w:val="16"/>
        </w:rPr>
        <w:t xml:space="preserve">Source: </w:t>
      </w:r>
      <w:r w:rsidR="009F0863" w:rsidRPr="00FD7E86">
        <w:rPr>
          <w:rFonts w:cs="Arial"/>
          <w:i/>
          <w:sz w:val="16"/>
        </w:rPr>
        <w:t>S</w:t>
      </w:r>
      <w:r w:rsidRPr="00FD7E86">
        <w:rPr>
          <w:rFonts w:cs="Arial"/>
          <w:i/>
          <w:sz w:val="16"/>
        </w:rPr>
        <w:t>ee Chapter 1. Further explanatory details for this data can be found in the source chapter.</w:t>
      </w:r>
    </w:p>
    <w:p w14:paraId="6B925168"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Use of services</w:t>
      </w:r>
    </w:p>
    <w:tbl>
      <w:tblPr>
        <w:tblStyle w:val="Commsreport2014-15TABLE"/>
        <w:tblW w:w="9429" w:type="dxa"/>
        <w:tblLayout w:type="fixed"/>
        <w:tblLook w:val="04A0" w:firstRow="1" w:lastRow="0" w:firstColumn="1" w:lastColumn="0" w:noHBand="0" w:noVBand="1"/>
        <w:tblCaption w:val="Telecommunications services:  Use of services"/>
      </w:tblPr>
      <w:tblGrid>
        <w:gridCol w:w="3057"/>
        <w:gridCol w:w="1061"/>
        <w:gridCol w:w="1062"/>
        <w:gridCol w:w="1062"/>
        <w:gridCol w:w="1062"/>
        <w:gridCol w:w="1062"/>
        <w:gridCol w:w="1063"/>
      </w:tblGrid>
      <w:tr w:rsidR="00244C97" w:rsidRPr="00C82DEF" w14:paraId="1371E1F9"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57" w:type="dxa"/>
            <w:shd w:val="clear" w:color="auto" w:fill="auto"/>
          </w:tcPr>
          <w:p w14:paraId="6749FA71" w14:textId="77777777" w:rsidR="00244C97" w:rsidRPr="00C82DEF" w:rsidRDefault="00244C97" w:rsidP="00C82DEF">
            <w:pPr>
              <w:pStyle w:val="TableHeading"/>
              <w:spacing w:before="20"/>
              <w:rPr>
                <w:b/>
              </w:rPr>
            </w:pPr>
          </w:p>
        </w:tc>
        <w:tc>
          <w:tcPr>
            <w:tcW w:w="1061" w:type="dxa"/>
            <w:vAlign w:val="top"/>
          </w:tcPr>
          <w:p w14:paraId="1C199E0A" w14:textId="77777777" w:rsidR="00244C97" w:rsidRPr="00C82DEF" w:rsidRDefault="00D26090"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May</w:t>
            </w:r>
            <w:r w:rsidR="000309CE" w:rsidRPr="00C82DEF">
              <w:rPr>
                <w:b/>
              </w:rPr>
              <w:t>-11</w:t>
            </w:r>
          </w:p>
          <w:p w14:paraId="1DD0A91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w:t>
            </w:r>
          </w:p>
        </w:tc>
        <w:tc>
          <w:tcPr>
            <w:tcW w:w="1062" w:type="dxa"/>
            <w:vAlign w:val="top"/>
          </w:tcPr>
          <w:p w14:paraId="68F2DD4C" w14:textId="77777777" w:rsidR="00244C97" w:rsidRPr="00C82DEF" w:rsidRDefault="000309CE"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 xml:space="preserve"> </w:t>
            </w:r>
            <w:r w:rsidR="00D26090" w:rsidRPr="00C82DEF">
              <w:rPr>
                <w:b/>
              </w:rPr>
              <w:t>May</w:t>
            </w:r>
            <w:r w:rsidRPr="00C82DEF">
              <w:rPr>
                <w:b/>
              </w:rPr>
              <w:t>-12</w:t>
            </w:r>
          </w:p>
          <w:p w14:paraId="48208A9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w:t>
            </w:r>
          </w:p>
        </w:tc>
        <w:tc>
          <w:tcPr>
            <w:tcW w:w="1062" w:type="dxa"/>
            <w:vAlign w:val="top"/>
          </w:tcPr>
          <w:p w14:paraId="2370D457" w14:textId="77777777" w:rsidR="00244C97" w:rsidRPr="00C82DEF" w:rsidRDefault="00D26090"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May</w:t>
            </w:r>
            <w:r w:rsidR="000309CE" w:rsidRPr="00C82DEF">
              <w:rPr>
                <w:b/>
              </w:rPr>
              <w:t>-13</w:t>
            </w:r>
            <w:r w:rsidR="000309CE" w:rsidRPr="00C82DEF" w:rsidDel="000309CE">
              <w:rPr>
                <w:b/>
              </w:rPr>
              <w:t xml:space="preserve"> </w:t>
            </w:r>
            <w:r w:rsidR="00244C97" w:rsidRPr="00C82DEF">
              <w:rPr>
                <w:b/>
              </w:rPr>
              <w:t>(m)</w:t>
            </w:r>
          </w:p>
        </w:tc>
        <w:tc>
          <w:tcPr>
            <w:tcW w:w="1062" w:type="dxa"/>
            <w:vAlign w:val="top"/>
          </w:tcPr>
          <w:p w14:paraId="3A8EC427" w14:textId="77777777" w:rsidR="00244C97" w:rsidRPr="00C82DEF" w:rsidRDefault="00D26090"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May</w:t>
            </w:r>
            <w:r w:rsidR="000309CE" w:rsidRPr="00C82DEF">
              <w:rPr>
                <w:b/>
              </w:rPr>
              <w:t>-14</w:t>
            </w:r>
            <w:r w:rsidR="000309CE" w:rsidRPr="00C82DEF" w:rsidDel="000309CE">
              <w:rPr>
                <w:b/>
              </w:rPr>
              <w:t xml:space="preserve"> </w:t>
            </w:r>
            <w:r w:rsidR="00244C97" w:rsidRPr="00C82DEF">
              <w:rPr>
                <w:b/>
              </w:rPr>
              <w:t>(m)</w:t>
            </w:r>
          </w:p>
        </w:tc>
        <w:tc>
          <w:tcPr>
            <w:tcW w:w="1062" w:type="dxa"/>
            <w:vAlign w:val="top"/>
          </w:tcPr>
          <w:p w14:paraId="1207EF00" w14:textId="77777777" w:rsidR="00244C97" w:rsidRPr="00C82DEF" w:rsidRDefault="00D26090"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May</w:t>
            </w:r>
            <w:r w:rsidR="000309CE" w:rsidRPr="00C82DEF">
              <w:rPr>
                <w:b/>
              </w:rPr>
              <w:t>-15</w:t>
            </w:r>
            <w:r w:rsidR="000309CE" w:rsidRPr="00C82DEF" w:rsidDel="000309CE">
              <w:rPr>
                <w:b/>
              </w:rPr>
              <w:t xml:space="preserve"> </w:t>
            </w:r>
            <w:r w:rsidR="00244C97" w:rsidRPr="00C82DEF">
              <w:rPr>
                <w:b/>
              </w:rPr>
              <w:t>(m)</w:t>
            </w:r>
          </w:p>
        </w:tc>
        <w:tc>
          <w:tcPr>
            <w:tcW w:w="1063" w:type="dxa"/>
            <w:vAlign w:val="top"/>
          </w:tcPr>
          <w:p w14:paraId="55689CE1" w14:textId="77777777" w:rsidR="000309CE" w:rsidRPr="00C82DEF" w:rsidRDefault="000309CE"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Pr>
                <w:b/>
              </w:rPr>
              <w:t xml:space="preserve">2014–15 </w:t>
            </w:r>
            <w:r w:rsidR="007E694F" w:rsidRPr="00C82DEF">
              <w:rPr>
                <w:b/>
              </w:rPr>
              <w:t>c</w:t>
            </w:r>
            <w:r w:rsidRPr="00C82DEF">
              <w:rPr>
                <w:b/>
              </w:rPr>
              <w:t>hange</w:t>
            </w:r>
          </w:p>
          <w:p w14:paraId="29574153" w14:textId="77777777" w:rsidR="00244C97" w:rsidRPr="00C82DEF" w:rsidRDefault="000309CE" w:rsidP="00C82DEF">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C82DEF" w:rsidDel="000309CE">
              <w:rPr>
                <w:b/>
              </w:rPr>
              <w:t xml:space="preserve"> </w:t>
            </w:r>
            <w:r w:rsidR="00244C97" w:rsidRPr="00C82DEF">
              <w:rPr>
                <w:b/>
              </w:rPr>
              <w:t>(%)</w:t>
            </w:r>
          </w:p>
        </w:tc>
      </w:tr>
      <w:tr w:rsidR="00244C97" w:rsidRPr="00FD7E86" w14:paraId="739135B6" w14:textId="77777777" w:rsidTr="00A17C5C">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12F6D89D"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Fixed-line telephone users</w:t>
            </w:r>
          </w:p>
        </w:tc>
        <w:tc>
          <w:tcPr>
            <w:tcW w:w="1061" w:type="dxa"/>
          </w:tcPr>
          <w:p w14:paraId="22E0B9A2" w14:textId="77777777" w:rsidR="00244C97" w:rsidRPr="00FD7E86" w:rsidRDefault="00346D8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2" w:type="dxa"/>
          </w:tcPr>
          <w:p w14:paraId="223E30FA" w14:textId="77777777" w:rsidR="00244C97" w:rsidRPr="00FD7E86" w:rsidRDefault="00346D8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13.83</w:t>
            </w:r>
          </w:p>
        </w:tc>
        <w:tc>
          <w:tcPr>
            <w:tcW w:w="1062" w:type="dxa"/>
          </w:tcPr>
          <w:p w14:paraId="46E9B858" w14:textId="77777777" w:rsidR="00244C97" w:rsidRPr="00FD7E86" w:rsidRDefault="00346D8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13.34</w:t>
            </w:r>
          </w:p>
        </w:tc>
        <w:tc>
          <w:tcPr>
            <w:tcW w:w="1062" w:type="dxa"/>
          </w:tcPr>
          <w:p w14:paraId="0F51D36D" w14:textId="77777777" w:rsidR="00244C97" w:rsidRPr="00FD7E86" w:rsidRDefault="00346D8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13.37</w:t>
            </w:r>
          </w:p>
        </w:tc>
        <w:tc>
          <w:tcPr>
            <w:tcW w:w="1062" w:type="dxa"/>
            <w:shd w:val="clear" w:color="auto" w:fill="E9FBFB" w:themeFill="accent3"/>
          </w:tcPr>
          <w:p w14:paraId="5128ACB3" w14:textId="77777777" w:rsidR="00244C97" w:rsidRPr="00FD7E86" w:rsidRDefault="00586A5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13.07</w:t>
            </w:r>
          </w:p>
        </w:tc>
        <w:tc>
          <w:tcPr>
            <w:tcW w:w="1063" w:type="dxa"/>
            <w:shd w:val="clear" w:color="auto" w:fill="E9FBFB" w:themeFill="accent3"/>
          </w:tcPr>
          <w:p w14:paraId="20764065" w14:textId="77777777" w:rsidR="00244C97" w:rsidRPr="00FD7E86" w:rsidRDefault="00346D82" w:rsidP="00244C97">
            <w:pPr>
              <w:keepNext/>
              <w:keepLines/>
              <w:spacing w:before="20" w:after="20"/>
              <w:ind w:right="5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w:t>
            </w:r>
          </w:p>
        </w:tc>
      </w:tr>
      <w:tr w:rsidR="00244C97" w:rsidRPr="00FD7E86" w14:paraId="0A103532"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24C66AD9" w14:textId="77777777" w:rsidR="00244C97" w:rsidRPr="00900A5E" w:rsidRDefault="00244C97" w:rsidP="00D26090">
            <w:pPr>
              <w:keepNext/>
              <w:keepLines/>
              <w:spacing w:before="20" w:after="20"/>
              <w:rPr>
                <w:rFonts w:cs="Arial"/>
                <w:color w:val="auto"/>
                <w:szCs w:val="18"/>
              </w:rPr>
            </w:pPr>
            <w:r w:rsidRPr="00900A5E">
              <w:rPr>
                <w:rFonts w:cs="Arial"/>
                <w:color w:val="auto"/>
                <w:szCs w:val="18"/>
              </w:rPr>
              <w:t>Smartphone users</w:t>
            </w:r>
          </w:p>
        </w:tc>
        <w:tc>
          <w:tcPr>
            <w:tcW w:w="1061" w:type="dxa"/>
          </w:tcPr>
          <w:p w14:paraId="6AFDD7AD" w14:textId="77777777" w:rsidR="00244C97" w:rsidRPr="00FD7E86" w:rsidRDefault="00EA7E69"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2" w:type="dxa"/>
          </w:tcPr>
          <w:p w14:paraId="274807AD"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8.67</w:t>
            </w:r>
          </w:p>
        </w:tc>
        <w:tc>
          <w:tcPr>
            <w:tcW w:w="1062" w:type="dxa"/>
          </w:tcPr>
          <w:p w14:paraId="115B4D32"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11.19</w:t>
            </w:r>
          </w:p>
        </w:tc>
        <w:tc>
          <w:tcPr>
            <w:tcW w:w="1062" w:type="dxa"/>
          </w:tcPr>
          <w:p w14:paraId="76AD265E"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12.07</w:t>
            </w:r>
          </w:p>
        </w:tc>
        <w:tc>
          <w:tcPr>
            <w:tcW w:w="1062" w:type="dxa"/>
          </w:tcPr>
          <w:p w14:paraId="6BA5CE9F"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13.41</w:t>
            </w:r>
          </w:p>
        </w:tc>
        <w:tc>
          <w:tcPr>
            <w:tcW w:w="1063" w:type="dxa"/>
          </w:tcPr>
          <w:p w14:paraId="52F487F2" w14:textId="77777777" w:rsidR="00244C97" w:rsidRPr="00FD7E86" w:rsidRDefault="00244C97" w:rsidP="00244C97">
            <w:pPr>
              <w:keepNext/>
              <w:keepLines/>
              <w:spacing w:before="20" w:after="20"/>
              <w:ind w:right="5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+11.1</w:t>
            </w:r>
          </w:p>
        </w:tc>
      </w:tr>
      <w:tr w:rsidR="00244C97" w:rsidRPr="00FD7E86" w14:paraId="3E399072"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2AD57052"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Mobile phone users without a home fixed-line telephone</w:t>
            </w:r>
            <w:r w:rsidR="00D26090" w:rsidRPr="00900A5E">
              <w:rPr>
                <w:rFonts w:ascii="Cambria Math" w:eastAsia="Malgun Gothic" w:hAnsi="Cambria Math" w:cs="Cambria Math"/>
                <w:b/>
                <w:color w:val="auto"/>
                <w:szCs w:val="18"/>
                <w:vertAlign w:val="superscript"/>
              </w:rPr>
              <w:t>*</w:t>
            </w:r>
          </w:p>
        </w:tc>
        <w:tc>
          <w:tcPr>
            <w:tcW w:w="1061" w:type="dxa"/>
          </w:tcPr>
          <w:p w14:paraId="5942B342"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2.53</w:t>
            </w:r>
          </w:p>
        </w:tc>
        <w:tc>
          <w:tcPr>
            <w:tcW w:w="1062" w:type="dxa"/>
          </w:tcPr>
          <w:p w14:paraId="6EE3D107"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3.13</w:t>
            </w:r>
          </w:p>
        </w:tc>
        <w:tc>
          <w:tcPr>
            <w:tcW w:w="1062" w:type="dxa"/>
          </w:tcPr>
          <w:p w14:paraId="34D6E285"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3.68</w:t>
            </w:r>
          </w:p>
        </w:tc>
        <w:tc>
          <w:tcPr>
            <w:tcW w:w="1062" w:type="dxa"/>
          </w:tcPr>
          <w:p w14:paraId="32BCCE3A"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4.90</w:t>
            </w:r>
          </w:p>
        </w:tc>
        <w:tc>
          <w:tcPr>
            <w:tcW w:w="1062" w:type="dxa"/>
          </w:tcPr>
          <w:p w14:paraId="10404C9B"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5.37</w:t>
            </w:r>
          </w:p>
        </w:tc>
        <w:tc>
          <w:tcPr>
            <w:tcW w:w="1063" w:type="dxa"/>
          </w:tcPr>
          <w:p w14:paraId="0DC79F5E" w14:textId="77777777" w:rsidR="00244C97" w:rsidRPr="00FD7E86" w:rsidRDefault="00244C97" w:rsidP="00244C97">
            <w:pPr>
              <w:keepNext/>
              <w:keepLines/>
              <w:spacing w:before="20" w:after="20"/>
              <w:ind w:right="5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w:t>
            </w:r>
            <w:r w:rsidR="00346D82" w:rsidRPr="00FD7E86">
              <w:rPr>
                <w:rFonts w:cs="Arial"/>
                <w:szCs w:val="18"/>
              </w:rPr>
              <w:t>5</w:t>
            </w:r>
          </w:p>
        </w:tc>
      </w:tr>
    </w:tbl>
    <w:p w14:paraId="41674134" w14:textId="77777777" w:rsidR="00244C97" w:rsidRPr="00FD7E86" w:rsidRDefault="00B646BC" w:rsidP="000664F7">
      <w:pPr>
        <w:pStyle w:val="ACMANotes"/>
      </w:pPr>
      <w:r w:rsidRPr="00FD7E86">
        <w:t>*</w:t>
      </w:r>
      <w:r w:rsidR="00244C97" w:rsidRPr="00FD7E86">
        <w:t xml:space="preserve">At </w:t>
      </w:r>
      <w:r w:rsidR="00D26090" w:rsidRPr="00FD7E86">
        <w:t xml:space="preserve">June </w:t>
      </w:r>
      <w:r w:rsidR="00244C97" w:rsidRPr="00FD7E86">
        <w:t>for each year.</w:t>
      </w:r>
    </w:p>
    <w:p w14:paraId="313D2EED" w14:textId="77777777" w:rsidR="00244C97" w:rsidRPr="00FD7E86" w:rsidRDefault="00244C97" w:rsidP="000664F7">
      <w:pPr>
        <w:pStyle w:val="ACMANotes"/>
      </w:pPr>
      <w:r w:rsidRPr="00FD7E86">
        <w:t>m=million.</w:t>
      </w:r>
    </w:p>
    <w:p w14:paraId="133DF512" w14:textId="77777777" w:rsidR="00244C97" w:rsidRPr="00FD7E86" w:rsidRDefault="00244C97" w:rsidP="000664F7">
      <w:pPr>
        <w:pStyle w:val="ACMANotes"/>
      </w:pPr>
      <w:r w:rsidRPr="00FD7E86">
        <w:t>n/a=not available.</w:t>
      </w:r>
    </w:p>
    <w:p w14:paraId="4AEF6524" w14:textId="77777777" w:rsidR="00244C97" w:rsidRPr="00FD7E86" w:rsidRDefault="00244C97" w:rsidP="000664F7">
      <w:pPr>
        <w:pStyle w:val="ACMANotes"/>
      </w:pPr>
      <w:r w:rsidRPr="00FD7E86">
        <w:t>Note: Data relates to people aged 18 years and over.</w:t>
      </w:r>
      <w:r w:rsidR="00346D82" w:rsidRPr="00FD7E86">
        <w:t xml:space="preserve"> Percentage changes are calculated on non-rounded data. </w:t>
      </w:r>
    </w:p>
    <w:p w14:paraId="5D07F95B" w14:textId="77777777" w:rsidR="00244C97" w:rsidRPr="00FD7E86" w:rsidRDefault="00244C97" w:rsidP="000664F7">
      <w:pPr>
        <w:pStyle w:val="ACMANotes"/>
      </w:pPr>
      <w:r w:rsidRPr="00FD7E86">
        <w:t xml:space="preserve">Source: </w:t>
      </w:r>
      <w:r w:rsidR="009F0863" w:rsidRPr="00FD7E86">
        <w:t>S</w:t>
      </w:r>
      <w:r w:rsidRPr="00FD7E86">
        <w:t>ee Chapter 1. Further explanatory details for this data can be found in the source chapter.</w:t>
      </w:r>
    </w:p>
    <w:p w14:paraId="15F60BC0" w14:textId="77777777" w:rsidR="00D4754C" w:rsidRPr="00FD7E86" w:rsidRDefault="00D4754C" w:rsidP="000664F7">
      <w:pPr>
        <w:pStyle w:val="ACMASpaceaftertable"/>
      </w:pPr>
    </w:p>
    <w:p w14:paraId="1B2D899D" w14:textId="77777777" w:rsidR="00244C97" w:rsidRPr="00FD7E86" w:rsidRDefault="00244C97" w:rsidP="00C05F4C">
      <w:pPr>
        <w:keepNext/>
        <w:spacing w:before="240" w:after="120"/>
        <w:rPr>
          <w:b/>
          <w:color w:val="00ADBB" w:themeColor="accent1"/>
          <w:sz w:val="26"/>
          <w:szCs w:val="26"/>
        </w:rPr>
      </w:pPr>
      <w:r w:rsidRPr="00FD7E86">
        <w:rPr>
          <w:b/>
          <w:color w:val="00ADBB" w:themeColor="accent1"/>
          <w:sz w:val="26"/>
          <w:szCs w:val="26"/>
        </w:rPr>
        <w:lastRenderedPageBreak/>
        <w:t>Regulated or contracted services</w:t>
      </w:r>
    </w:p>
    <w:tbl>
      <w:tblPr>
        <w:tblStyle w:val="Commsreport2014-15TABLE"/>
        <w:tblW w:w="9429" w:type="dxa"/>
        <w:tblLayout w:type="fixed"/>
        <w:tblLook w:val="04A0" w:firstRow="1" w:lastRow="0" w:firstColumn="1" w:lastColumn="0" w:noHBand="0" w:noVBand="1"/>
        <w:tblCaption w:val="Telecommunications services: Regulated or contracted services"/>
      </w:tblPr>
      <w:tblGrid>
        <w:gridCol w:w="3057"/>
        <w:gridCol w:w="1061"/>
        <w:gridCol w:w="1062"/>
        <w:gridCol w:w="1062"/>
        <w:gridCol w:w="1062"/>
        <w:gridCol w:w="1062"/>
        <w:gridCol w:w="1063"/>
      </w:tblGrid>
      <w:tr w:rsidR="00244C97" w:rsidRPr="00C82DEF" w14:paraId="202D110E"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57" w:type="dxa"/>
            <w:shd w:val="clear" w:color="auto" w:fill="auto"/>
          </w:tcPr>
          <w:p w14:paraId="3D04FCBD" w14:textId="77777777" w:rsidR="00244C97" w:rsidRPr="00C82DEF" w:rsidRDefault="00244C97" w:rsidP="00C82DEF">
            <w:pPr>
              <w:pStyle w:val="TableHeading"/>
              <w:spacing w:before="20"/>
              <w:rPr>
                <w:b/>
              </w:rPr>
            </w:pPr>
          </w:p>
        </w:tc>
        <w:tc>
          <w:tcPr>
            <w:tcW w:w="1061" w:type="dxa"/>
            <w:vAlign w:val="top"/>
          </w:tcPr>
          <w:p w14:paraId="0360BB0D"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Jun-11</w:t>
            </w:r>
          </w:p>
        </w:tc>
        <w:tc>
          <w:tcPr>
            <w:tcW w:w="1062" w:type="dxa"/>
            <w:vAlign w:val="top"/>
          </w:tcPr>
          <w:p w14:paraId="30F493C7"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Jun-12</w:t>
            </w:r>
          </w:p>
        </w:tc>
        <w:tc>
          <w:tcPr>
            <w:tcW w:w="1062" w:type="dxa"/>
            <w:vAlign w:val="top"/>
          </w:tcPr>
          <w:p w14:paraId="31D5F9A8"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Jun-13</w:t>
            </w:r>
          </w:p>
        </w:tc>
        <w:tc>
          <w:tcPr>
            <w:tcW w:w="1062" w:type="dxa"/>
            <w:vAlign w:val="top"/>
          </w:tcPr>
          <w:p w14:paraId="78D77CFE"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Jun-14</w:t>
            </w:r>
          </w:p>
        </w:tc>
        <w:tc>
          <w:tcPr>
            <w:tcW w:w="1062" w:type="dxa"/>
            <w:vAlign w:val="top"/>
          </w:tcPr>
          <w:p w14:paraId="7DE309BD"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Jun-15</w:t>
            </w:r>
          </w:p>
        </w:tc>
        <w:tc>
          <w:tcPr>
            <w:tcW w:w="1063" w:type="dxa"/>
          </w:tcPr>
          <w:p w14:paraId="09F9A667"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497171F1"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70AAED2C"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7BF40C24" w14:textId="77777777" w:rsidR="00244C97" w:rsidRPr="00900A5E" w:rsidRDefault="00244C97" w:rsidP="00244C97">
            <w:pPr>
              <w:keepNext/>
              <w:keepLines/>
              <w:spacing w:before="40" w:after="40"/>
              <w:rPr>
                <w:rFonts w:cs="Arial"/>
                <w:color w:val="auto"/>
                <w:szCs w:val="18"/>
              </w:rPr>
            </w:pPr>
            <w:r w:rsidRPr="00900A5E">
              <w:rPr>
                <w:rFonts w:cs="Arial"/>
                <w:color w:val="auto"/>
                <w:szCs w:val="18"/>
              </w:rPr>
              <w:t>Payphones (Telstra-operated and privately owned)</w:t>
            </w:r>
          </w:p>
        </w:tc>
        <w:tc>
          <w:tcPr>
            <w:tcW w:w="1061" w:type="dxa"/>
          </w:tcPr>
          <w:p w14:paraId="5C82BAE9"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33,201</w:t>
            </w:r>
          </w:p>
        </w:tc>
        <w:tc>
          <w:tcPr>
            <w:tcW w:w="1062" w:type="dxa"/>
          </w:tcPr>
          <w:p w14:paraId="1E4963F9"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31,032</w:t>
            </w:r>
          </w:p>
        </w:tc>
        <w:tc>
          <w:tcPr>
            <w:tcW w:w="1062" w:type="dxa"/>
          </w:tcPr>
          <w:p w14:paraId="008D0D72"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29,523</w:t>
            </w:r>
          </w:p>
        </w:tc>
        <w:tc>
          <w:tcPr>
            <w:tcW w:w="1062" w:type="dxa"/>
          </w:tcPr>
          <w:p w14:paraId="3E49748E"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28,068</w:t>
            </w:r>
          </w:p>
        </w:tc>
        <w:tc>
          <w:tcPr>
            <w:tcW w:w="1062" w:type="dxa"/>
          </w:tcPr>
          <w:p w14:paraId="23093086"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25,876</w:t>
            </w:r>
          </w:p>
        </w:tc>
        <w:tc>
          <w:tcPr>
            <w:tcW w:w="1063" w:type="dxa"/>
          </w:tcPr>
          <w:p w14:paraId="329747D1"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–7.8</w:t>
            </w:r>
          </w:p>
        </w:tc>
      </w:tr>
      <w:tr w:rsidR="00244C97" w:rsidRPr="00FD7E86" w14:paraId="579FF007"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shd w:val="clear" w:color="auto" w:fill="FFFFFF"/>
          </w:tcPr>
          <w:p w14:paraId="68599F6D" w14:textId="77777777" w:rsidR="00244C97" w:rsidRPr="00900A5E" w:rsidRDefault="00244C97" w:rsidP="00244C97">
            <w:pPr>
              <w:keepNext/>
              <w:keepLines/>
              <w:spacing w:before="40" w:after="40"/>
              <w:rPr>
                <w:rFonts w:cs="Arial"/>
                <w:color w:val="auto"/>
                <w:szCs w:val="18"/>
              </w:rPr>
            </w:pPr>
          </w:p>
        </w:tc>
        <w:tc>
          <w:tcPr>
            <w:tcW w:w="1061" w:type="dxa"/>
            <w:shd w:val="clear" w:color="auto" w:fill="00ADBB"/>
          </w:tcPr>
          <w:p w14:paraId="51460EE9"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c>
          <w:tcPr>
            <w:tcW w:w="1062" w:type="dxa"/>
            <w:shd w:val="clear" w:color="auto" w:fill="00ADBB"/>
          </w:tcPr>
          <w:p w14:paraId="07B6D338"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c>
          <w:tcPr>
            <w:tcW w:w="1062" w:type="dxa"/>
            <w:shd w:val="clear" w:color="auto" w:fill="00ADBB"/>
          </w:tcPr>
          <w:p w14:paraId="0BD1C544"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c>
          <w:tcPr>
            <w:tcW w:w="1062" w:type="dxa"/>
            <w:shd w:val="clear" w:color="auto" w:fill="00ADBB"/>
          </w:tcPr>
          <w:p w14:paraId="098984D8"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c>
          <w:tcPr>
            <w:tcW w:w="1062" w:type="dxa"/>
            <w:shd w:val="clear" w:color="auto" w:fill="00ADBB"/>
          </w:tcPr>
          <w:p w14:paraId="7BB9FC5A"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c>
          <w:tcPr>
            <w:tcW w:w="1063" w:type="dxa"/>
            <w:shd w:val="clear" w:color="auto" w:fill="00ADBB"/>
          </w:tcPr>
          <w:p w14:paraId="2912F724"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w:t>
            </w:r>
          </w:p>
        </w:tc>
      </w:tr>
      <w:tr w:rsidR="00244C97" w:rsidRPr="00FD7E86" w14:paraId="4C51BBE7"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2DC80F1E" w14:textId="77777777" w:rsidR="00244C97" w:rsidRPr="00900A5E" w:rsidRDefault="00244C97" w:rsidP="00244C97">
            <w:pPr>
              <w:keepNext/>
              <w:keepLines/>
              <w:spacing w:before="40" w:after="40"/>
              <w:rPr>
                <w:rFonts w:cs="Arial"/>
                <w:color w:val="auto"/>
                <w:szCs w:val="18"/>
              </w:rPr>
            </w:pPr>
            <w:r w:rsidRPr="00900A5E">
              <w:rPr>
                <w:rFonts w:cs="Arial"/>
                <w:color w:val="auto"/>
                <w:szCs w:val="18"/>
              </w:rPr>
              <w:t>Number of telephone services covered by the CSG Standard</w:t>
            </w:r>
          </w:p>
        </w:tc>
        <w:tc>
          <w:tcPr>
            <w:tcW w:w="1061" w:type="dxa"/>
          </w:tcPr>
          <w:p w14:paraId="6EF8ABD1"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7.29</w:t>
            </w:r>
          </w:p>
        </w:tc>
        <w:tc>
          <w:tcPr>
            <w:tcW w:w="1062" w:type="dxa"/>
          </w:tcPr>
          <w:p w14:paraId="54E45A6D"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7.12</w:t>
            </w:r>
          </w:p>
        </w:tc>
        <w:tc>
          <w:tcPr>
            <w:tcW w:w="1062" w:type="dxa"/>
          </w:tcPr>
          <w:p w14:paraId="576DD7D8"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6.68</w:t>
            </w:r>
          </w:p>
        </w:tc>
        <w:tc>
          <w:tcPr>
            <w:tcW w:w="1062" w:type="dxa"/>
          </w:tcPr>
          <w:p w14:paraId="2BFE67EA"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6.54</w:t>
            </w:r>
          </w:p>
        </w:tc>
        <w:tc>
          <w:tcPr>
            <w:tcW w:w="1062" w:type="dxa"/>
          </w:tcPr>
          <w:p w14:paraId="59E54BCE"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6.34</w:t>
            </w:r>
          </w:p>
        </w:tc>
        <w:tc>
          <w:tcPr>
            <w:tcW w:w="1063" w:type="dxa"/>
          </w:tcPr>
          <w:p w14:paraId="4C9A08D5"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w:t>
            </w:r>
          </w:p>
        </w:tc>
      </w:tr>
      <w:tr w:rsidR="00244C97" w:rsidRPr="00FD7E86" w14:paraId="478E27EC"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7" w:type="dxa"/>
          </w:tcPr>
          <w:p w14:paraId="76A275AA" w14:textId="77777777" w:rsidR="00244C97" w:rsidRPr="00900A5E" w:rsidRDefault="00244C97" w:rsidP="00244C97">
            <w:pPr>
              <w:keepNext/>
              <w:keepLines/>
              <w:spacing w:before="40" w:after="40"/>
              <w:rPr>
                <w:rFonts w:cs="Arial"/>
                <w:color w:val="auto"/>
                <w:szCs w:val="18"/>
              </w:rPr>
            </w:pPr>
            <w:r w:rsidRPr="00900A5E">
              <w:rPr>
                <w:rFonts w:cs="Arial"/>
                <w:color w:val="auto"/>
                <w:szCs w:val="18"/>
              </w:rPr>
              <w:t>CSP customers who have waived their rights under the CSG</w:t>
            </w:r>
          </w:p>
        </w:tc>
        <w:tc>
          <w:tcPr>
            <w:tcW w:w="1061" w:type="dxa"/>
          </w:tcPr>
          <w:p w14:paraId="5188F869" w14:textId="77777777" w:rsidR="00244C97" w:rsidRPr="00FD7E86" w:rsidRDefault="008D2A20"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r w:rsidR="00244C97" w:rsidRPr="00FD7E86">
              <w:rPr>
                <w:rFonts w:cs="Arial"/>
                <w:szCs w:val="18"/>
              </w:rPr>
              <w:t>.066</w:t>
            </w:r>
          </w:p>
        </w:tc>
        <w:tc>
          <w:tcPr>
            <w:tcW w:w="1062" w:type="dxa"/>
          </w:tcPr>
          <w:p w14:paraId="0EAEC584" w14:textId="77777777" w:rsidR="00244C97" w:rsidRPr="00FD7E86" w:rsidRDefault="008D2A20"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r w:rsidR="00244C97" w:rsidRPr="00FD7E86">
              <w:rPr>
                <w:rFonts w:cs="Arial"/>
                <w:szCs w:val="18"/>
              </w:rPr>
              <w:t>.228</w:t>
            </w:r>
          </w:p>
        </w:tc>
        <w:tc>
          <w:tcPr>
            <w:tcW w:w="1062" w:type="dxa"/>
          </w:tcPr>
          <w:p w14:paraId="61DC059C"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0.248</w:t>
            </w:r>
          </w:p>
        </w:tc>
        <w:tc>
          <w:tcPr>
            <w:tcW w:w="1062" w:type="dxa"/>
          </w:tcPr>
          <w:p w14:paraId="50D01567"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0.324</w:t>
            </w:r>
          </w:p>
        </w:tc>
        <w:tc>
          <w:tcPr>
            <w:tcW w:w="1062" w:type="dxa"/>
          </w:tcPr>
          <w:p w14:paraId="59D1E130"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0.867</w:t>
            </w:r>
          </w:p>
        </w:tc>
        <w:tc>
          <w:tcPr>
            <w:tcW w:w="1063" w:type="dxa"/>
          </w:tcPr>
          <w:p w14:paraId="63B8E74C" w14:textId="77777777" w:rsidR="00244C97" w:rsidRPr="00FD7E86" w:rsidRDefault="00244C97" w:rsidP="00244C97">
            <w:pPr>
              <w:keepNext/>
              <w:keepLines/>
              <w:spacing w:before="40" w:after="4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+168</w:t>
            </w:r>
          </w:p>
        </w:tc>
      </w:tr>
    </w:tbl>
    <w:p w14:paraId="339E765B" w14:textId="77777777" w:rsidR="00244C97" w:rsidRPr="00FD7E86" w:rsidRDefault="00244C97" w:rsidP="000664F7">
      <w:pPr>
        <w:pStyle w:val="ACMANotes"/>
      </w:pPr>
      <w:r w:rsidRPr="00FD7E86">
        <w:t>m=million.</w:t>
      </w:r>
    </w:p>
    <w:p w14:paraId="612F50EE" w14:textId="77777777" w:rsidR="00244C97" w:rsidRPr="00FD7E86" w:rsidRDefault="00244C97" w:rsidP="000664F7">
      <w:pPr>
        <w:pStyle w:val="ACMANotes"/>
      </w:pPr>
      <w:r w:rsidRPr="00FD7E86">
        <w:t>*Relates to the number and value of compensation payments made by CSPs to customers occurring during the financial year.</w:t>
      </w:r>
    </w:p>
    <w:p w14:paraId="6F40AC6D" w14:textId="77777777" w:rsidR="00244C97" w:rsidRDefault="00244C97" w:rsidP="000664F7">
      <w:pPr>
        <w:pStyle w:val="ACMANotes"/>
      </w:pPr>
      <w:r w:rsidRPr="00FD7E86">
        <w:t xml:space="preserve">Source: </w:t>
      </w:r>
      <w:r w:rsidR="009F0863" w:rsidRPr="00FD7E86">
        <w:t>S</w:t>
      </w:r>
      <w:r w:rsidRPr="00FD7E86">
        <w:t>ee Chapter 5. Further explanatory details for this data can be found in the source chapter.</w:t>
      </w:r>
    </w:p>
    <w:p w14:paraId="1F23B601" w14:textId="77777777" w:rsidR="00305E39" w:rsidRPr="00FD7E86" w:rsidRDefault="00305E39" w:rsidP="00305E39">
      <w:pPr>
        <w:pStyle w:val="ACMASpaceaftertable"/>
      </w:pPr>
    </w:p>
    <w:p w14:paraId="380A0720"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Communications network and service providers</w:t>
      </w:r>
    </w:p>
    <w:tbl>
      <w:tblPr>
        <w:tblStyle w:val="Commsreport2014-15TABLE"/>
        <w:tblW w:w="9429" w:type="dxa"/>
        <w:tblLayout w:type="fixed"/>
        <w:tblLook w:val="04A0" w:firstRow="1" w:lastRow="0" w:firstColumn="1" w:lastColumn="0" w:noHBand="0" w:noVBand="1"/>
        <w:tblCaption w:val="Telecommunications services: Communications network and service providers"/>
      </w:tblPr>
      <w:tblGrid>
        <w:gridCol w:w="3074"/>
        <w:gridCol w:w="1064"/>
        <w:gridCol w:w="1045"/>
        <w:gridCol w:w="1065"/>
        <w:gridCol w:w="1045"/>
        <w:gridCol w:w="1065"/>
        <w:gridCol w:w="1071"/>
      </w:tblGrid>
      <w:tr w:rsidR="00244C97" w:rsidRPr="00C82DEF" w14:paraId="6ADF91AA"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2" w:type="dxa"/>
            <w:shd w:val="clear" w:color="auto" w:fill="auto"/>
          </w:tcPr>
          <w:p w14:paraId="73C02A64" w14:textId="77777777" w:rsidR="00244C97" w:rsidRPr="00C82DEF" w:rsidRDefault="00244C97" w:rsidP="00C82DEF">
            <w:pPr>
              <w:pStyle w:val="TableHeading"/>
              <w:spacing w:before="20"/>
              <w:rPr>
                <w:b/>
              </w:rPr>
            </w:pPr>
          </w:p>
        </w:tc>
        <w:tc>
          <w:tcPr>
            <w:tcW w:w="1060" w:type="dxa"/>
            <w:vAlign w:val="top"/>
          </w:tcPr>
          <w:p w14:paraId="2E274161"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Jun-11</w:t>
            </w:r>
          </w:p>
        </w:tc>
        <w:tc>
          <w:tcPr>
            <w:tcW w:w="1040" w:type="dxa"/>
            <w:vAlign w:val="top"/>
          </w:tcPr>
          <w:p w14:paraId="3303F43D"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Jun-12</w:t>
            </w:r>
          </w:p>
        </w:tc>
        <w:tc>
          <w:tcPr>
            <w:tcW w:w="1060" w:type="dxa"/>
            <w:vAlign w:val="top"/>
          </w:tcPr>
          <w:p w14:paraId="39BDA55F"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Jun-13</w:t>
            </w:r>
          </w:p>
        </w:tc>
        <w:tc>
          <w:tcPr>
            <w:tcW w:w="1040" w:type="dxa"/>
            <w:vAlign w:val="top"/>
          </w:tcPr>
          <w:p w14:paraId="3B7E05DA"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Jun-14</w:t>
            </w:r>
          </w:p>
        </w:tc>
        <w:tc>
          <w:tcPr>
            <w:tcW w:w="1060" w:type="dxa"/>
            <w:vAlign w:val="top"/>
          </w:tcPr>
          <w:p w14:paraId="6CB35BF4"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Jun-15</w:t>
            </w:r>
          </w:p>
        </w:tc>
        <w:tc>
          <w:tcPr>
            <w:tcW w:w="1066" w:type="dxa"/>
          </w:tcPr>
          <w:p w14:paraId="37DB7EBA" w14:textId="77777777" w:rsidR="006823B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7A996C60" w14:textId="77777777" w:rsidR="00244C9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7EFAC258"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2" w:type="dxa"/>
          </w:tcPr>
          <w:p w14:paraId="1DE40B17"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 xml:space="preserve">Members of the TIO scheme* </w:t>
            </w:r>
          </w:p>
        </w:tc>
        <w:tc>
          <w:tcPr>
            <w:tcW w:w="1060" w:type="dxa"/>
          </w:tcPr>
          <w:p w14:paraId="508A2D39"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1,214</w:t>
            </w:r>
          </w:p>
        </w:tc>
        <w:tc>
          <w:tcPr>
            <w:tcW w:w="1040" w:type="dxa"/>
          </w:tcPr>
          <w:p w14:paraId="5FF5C291"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1,221</w:t>
            </w:r>
          </w:p>
        </w:tc>
        <w:tc>
          <w:tcPr>
            <w:tcW w:w="1060" w:type="dxa"/>
          </w:tcPr>
          <w:p w14:paraId="72360CDD"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1,360</w:t>
            </w:r>
          </w:p>
        </w:tc>
        <w:tc>
          <w:tcPr>
            <w:tcW w:w="1040" w:type="dxa"/>
          </w:tcPr>
          <w:p w14:paraId="1E987279"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1,384</w:t>
            </w:r>
          </w:p>
        </w:tc>
        <w:tc>
          <w:tcPr>
            <w:tcW w:w="1060" w:type="dxa"/>
          </w:tcPr>
          <w:p w14:paraId="596C4CEB"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1,539</w:t>
            </w:r>
          </w:p>
        </w:tc>
        <w:tc>
          <w:tcPr>
            <w:tcW w:w="1066" w:type="dxa"/>
          </w:tcPr>
          <w:p w14:paraId="2ACFBFB8"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+11.2</w:t>
            </w:r>
          </w:p>
        </w:tc>
      </w:tr>
      <w:tr w:rsidR="00244C97" w:rsidRPr="00FD7E86" w14:paraId="25A88461"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2" w:type="dxa"/>
          </w:tcPr>
          <w:p w14:paraId="74FE9543"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Licensed carriers</w:t>
            </w:r>
          </w:p>
        </w:tc>
        <w:tc>
          <w:tcPr>
            <w:tcW w:w="1060" w:type="dxa"/>
          </w:tcPr>
          <w:p w14:paraId="65B12FBC"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191</w:t>
            </w:r>
          </w:p>
        </w:tc>
        <w:tc>
          <w:tcPr>
            <w:tcW w:w="1040" w:type="dxa"/>
          </w:tcPr>
          <w:p w14:paraId="59813E00"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187</w:t>
            </w:r>
          </w:p>
        </w:tc>
        <w:tc>
          <w:tcPr>
            <w:tcW w:w="1060" w:type="dxa"/>
          </w:tcPr>
          <w:p w14:paraId="4E3465C2"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201</w:t>
            </w:r>
          </w:p>
        </w:tc>
        <w:tc>
          <w:tcPr>
            <w:tcW w:w="1040" w:type="dxa"/>
          </w:tcPr>
          <w:p w14:paraId="4B30A28F"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208</w:t>
            </w:r>
          </w:p>
        </w:tc>
        <w:tc>
          <w:tcPr>
            <w:tcW w:w="1060" w:type="dxa"/>
          </w:tcPr>
          <w:p w14:paraId="23D9350C"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229</w:t>
            </w:r>
          </w:p>
        </w:tc>
        <w:tc>
          <w:tcPr>
            <w:tcW w:w="1066" w:type="dxa"/>
          </w:tcPr>
          <w:p w14:paraId="5ED4D2D1"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+10.1</w:t>
            </w:r>
          </w:p>
        </w:tc>
      </w:tr>
      <w:tr w:rsidR="00244C97" w:rsidRPr="00FD7E86" w14:paraId="062E66D8" w14:textId="77777777" w:rsidTr="00F77192">
        <w:trPr>
          <w:trHeight w:val="454"/>
        </w:trPr>
        <w:tc>
          <w:tcPr>
            <w:cnfStyle w:val="001000000000" w:firstRow="0" w:lastRow="0" w:firstColumn="1" w:lastColumn="0" w:oddVBand="0" w:evenVBand="0" w:oddHBand="0" w:evenHBand="0" w:firstRowFirstColumn="0" w:firstRowLastColumn="0" w:lastRowFirstColumn="0" w:lastRowLastColumn="0"/>
            <w:tcW w:w="3062" w:type="dxa"/>
          </w:tcPr>
          <w:p w14:paraId="4CEB38A8"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Number of ISPs</w:t>
            </w:r>
            <w:r w:rsidRPr="00900A5E">
              <w:rPr>
                <w:rFonts w:cs="Arial"/>
                <w:color w:val="auto"/>
                <w:sz w:val="16"/>
                <w:szCs w:val="16"/>
                <w:vertAlign w:val="superscript"/>
              </w:rPr>
              <w:t>†</w:t>
            </w:r>
          </w:p>
        </w:tc>
        <w:tc>
          <w:tcPr>
            <w:tcW w:w="1060" w:type="dxa"/>
            <w:shd w:val="clear" w:color="auto" w:fill="E9FBFB" w:themeFill="accent3"/>
          </w:tcPr>
          <w:p w14:paraId="76E96071" w14:textId="77777777" w:rsidR="00244C97" w:rsidRPr="00FD7E86" w:rsidRDefault="00244C97" w:rsidP="00B646BC">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97</w:t>
            </w:r>
          </w:p>
        </w:tc>
        <w:tc>
          <w:tcPr>
            <w:tcW w:w="1040" w:type="dxa"/>
          </w:tcPr>
          <w:p w14:paraId="7225BFF7"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81</w:t>
            </w:r>
          </w:p>
        </w:tc>
        <w:tc>
          <w:tcPr>
            <w:tcW w:w="1060" w:type="dxa"/>
          </w:tcPr>
          <w:p w14:paraId="2D425CBE"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77</w:t>
            </w:r>
          </w:p>
        </w:tc>
        <w:tc>
          <w:tcPr>
            <w:tcW w:w="1040" w:type="dxa"/>
          </w:tcPr>
          <w:p w14:paraId="65ECC228"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71</w:t>
            </w:r>
          </w:p>
        </w:tc>
        <w:tc>
          <w:tcPr>
            <w:tcW w:w="1060" w:type="dxa"/>
            <w:shd w:val="clear" w:color="auto" w:fill="E9FBFB" w:themeFill="accent3"/>
          </w:tcPr>
          <w:p w14:paraId="46E17044" w14:textId="77777777" w:rsidR="00244C97" w:rsidRPr="00FD7E86" w:rsidRDefault="00F7719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69</w:t>
            </w:r>
          </w:p>
        </w:tc>
        <w:tc>
          <w:tcPr>
            <w:tcW w:w="1066" w:type="dxa"/>
            <w:shd w:val="clear" w:color="auto" w:fill="E9FBFB" w:themeFill="accent3"/>
          </w:tcPr>
          <w:p w14:paraId="519CC495" w14:textId="77777777" w:rsidR="00244C97" w:rsidRPr="00FD7E86" w:rsidRDefault="00F77192"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–2.8</w:t>
            </w:r>
          </w:p>
        </w:tc>
      </w:tr>
    </w:tbl>
    <w:p w14:paraId="3D2C105C" w14:textId="77777777" w:rsidR="00244C97" w:rsidRPr="00FD7E86" w:rsidRDefault="00244C97" w:rsidP="000664F7">
      <w:pPr>
        <w:pStyle w:val="ACMANotes"/>
        <w:rPr>
          <w:vertAlign w:val="superscript"/>
        </w:rPr>
      </w:pPr>
      <w:r w:rsidRPr="00FD7E86">
        <w:rPr>
          <w:sz w:val="18"/>
          <w:szCs w:val="18"/>
        </w:rPr>
        <w:t>*</w:t>
      </w:r>
      <w:r w:rsidRPr="00FD7E86">
        <w:t>Carriers and eligible CSPs to join the TIO scheme. Eligible CSPs are those providers who supply fixed standard telephone, mobile or internet services to residential and small-business customers.</w:t>
      </w:r>
    </w:p>
    <w:p w14:paraId="5E7C737C" w14:textId="77777777" w:rsidR="00B646BC" w:rsidRPr="00FD7E86" w:rsidRDefault="00244C97" w:rsidP="000664F7">
      <w:pPr>
        <w:pStyle w:val="ACMANotes"/>
        <w:rPr>
          <w:vertAlign w:val="superscript"/>
        </w:rPr>
      </w:pPr>
      <w:r w:rsidRPr="00FD7E86">
        <w:rPr>
          <w:vertAlign w:val="superscript"/>
        </w:rPr>
        <w:t>†</w:t>
      </w:r>
      <w:r w:rsidRPr="00FD7E86">
        <w:t>ISPs with more than 1,000 subscribers operating in Australia as reported by the ABS.</w:t>
      </w:r>
    </w:p>
    <w:p w14:paraId="6767429F" w14:textId="77777777" w:rsidR="00A73013" w:rsidRPr="00FD7E86" w:rsidRDefault="00244C97" w:rsidP="000664F7">
      <w:pPr>
        <w:pStyle w:val="ACMANotes"/>
      </w:pPr>
      <w:r w:rsidRPr="00FD7E86">
        <w:t xml:space="preserve">Source: </w:t>
      </w:r>
      <w:r w:rsidR="009F0863" w:rsidRPr="00FD7E86">
        <w:t>S</w:t>
      </w:r>
      <w:r w:rsidRPr="00FD7E86">
        <w:t>ee Chapter 1. Further explanatory details for this data can be found in the source chapter.</w:t>
      </w:r>
      <w:bookmarkStart w:id="53" w:name="_Toc399331704"/>
      <w:bookmarkStart w:id="54" w:name="_Toc399336885"/>
    </w:p>
    <w:p w14:paraId="7F73C126" w14:textId="77777777" w:rsidR="00D4754C" w:rsidRPr="00FD7E86" w:rsidRDefault="00D4754C" w:rsidP="000664F7">
      <w:pPr>
        <w:pStyle w:val="ACMASpaceaftertable"/>
      </w:pPr>
    </w:p>
    <w:p w14:paraId="16C5C485" w14:textId="77777777" w:rsidR="00244C97" w:rsidRPr="00FD7E86" w:rsidRDefault="00244C97" w:rsidP="0024643D">
      <w:pPr>
        <w:spacing w:after="0" w:line="240" w:lineRule="auto"/>
        <w:rPr>
          <w:b/>
          <w:sz w:val="32"/>
          <w:szCs w:val="32"/>
        </w:rPr>
      </w:pPr>
      <w:r w:rsidRPr="00FD7E86">
        <w:rPr>
          <w:b/>
          <w:sz w:val="32"/>
          <w:szCs w:val="32"/>
        </w:rPr>
        <w:t xml:space="preserve">Digital </w:t>
      </w:r>
      <w:bookmarkEnd w:id="53"/>
      <w:bookmarkEnd w:id="54"/>
      <w:r w:rsidR="00585F9C" w:rsidRPr="00FD7E86">
        <w:rPr>
          <w:b/>
          <w:sz w:val="32"/>
          <w:szCs w:val="32"/>
        </w:rPr>
        <w:t>services and engagement</w:t>
      </w:r>
    </w:p>
    <w:p w14:paraId="3C10E394"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4G mobile networks—Services in operation</w:t>
      </w:r>
    </w:p>
    <w:tbl>
      <w:tblPr>
        <w:tblStyle w:val="Commsreport2014-15TABLE"/>
        <w:tblW w:w="9429" w:type="dxa"/>
        <w:tblLayout w:type="fixed"/>
        <w:tblLook w:val="04A0" w:firstRow="1" w:lastRow="0" w:firstColumn="1" w:lastColumn="0" w:noHBand="0" w:noVBand="1"/>
        <w:tblCaption w:val="Digital services and engagement: 4G mobile networks—Services in operation"/>
      </w:tblPr>
      <w:tblGrid>
        <w:gridCol w:w="3463"/>
        <w:gridCol w:w="1193"/>
        <w:gridCol w:w="1193"/>
        <w:gridCol w:w="1193"/>
        <w:gridCol w:w="1193"/>
        <w:gridCol w:w="1194"/>
      </w:tblGrid>
      <w:tr w:rsidR="00244C97" w:rsidRPr="00C82DEF" w14:paraId="2DFF39FE" w14:textId="77777777" w:rsidTr="00C82DEF">
        <w:trPr>
          <w:cnfStyle w:val="100000000000" w:firstRow="1" w:lastRow="0" w:firstColumn="0" w:lastColumn="0" w:oddVBand="0" w:evenVBand="0" w:oddHBand="0" w:evenHBand="0" w:firstRowFirstColumn="0" w:firstRowLastColumn="0" w:lastRowFirstColumn="0" w:lastRowLastColumn="0"/>
          <w:trHeight w:val="456"/>
          <w:tblHeader/>
        </w:trPr>
        <w:tc>
          <w:tcPr>
            <w:cnfStyle w:val="001000000000" w:firstRow="0" w:lastRow="0" w:firstColumn="1" w:lastColumn="0" w:oddVBand="0" w:evenVBand="0" w:oddHBand="0" w:evenHBand="0" w:firstRowFirstColumn="0" w:firstRowLastColumn="0" w:lastRowFirstColumn="0" w:lastRowLastColumn="0"/>
            <w:tcW w:w="3448" w:type="dxa"/>
            <w:shd w:val="clear" w:color="auto" w:fill="auto"/>
          </w:tcPr>
          <w:p w14:paraId="6EF7869F" w14:textId="77777777" w:rsidR="00244C97" w:rsidRPr="00C82DEF" w:rsidRDefault="00244C97" w:rsidP="00C82DEF">
            <w:pPr>
              <w:pStyle w:val="TableHeading"/>
              <w:spacing w:before="20"/>
              <w:rPr>
                <w:b/>
              </w:rPr>
            </w:pPr>
          </w:p>
        </w:tc>
        <w:tc>
          <w:tcPr>
            <w:tcW w:w="1188" w:type="dxa"/>
            <w:vAlign w:val="top"/>
          </w:tcPr>
          <w:p w14:paraId="28F46425"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Jun-12</w:t>
            </w:r>
          </w:p>
          <w:p w14:paraId="42B2A5F3"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188" w:type="dxa"/>
            <w:vAlign w:val="top"/>
          </w:tcPr>
          <w:p w14:paraId="5A953231"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Jun-13</w:t>
            </w:r>
          </w:p>
          <w:p w14:paraId="28B3769E"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188" w:type="dxa"/>
            <w:vAlign w:val="top"/>
          </w:tcPr>
          <w:p w14:paraId="07DA45B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Jun-14</w:t>
            </w:r>
          </w:p>
          <w:p w14:paraId="5BB07D47"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188" w:type="dxa"/>
            <w:vAlign w:val="top"/>
          </w:tcPr>
          <w:p w14:paraId="1CC2EECD"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Jun-15</w:t>
            </w:r>
          </w:p>
          <w:p w14:paraId="7D4FF86C"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189" w:type="dxa"/>
          </w:tcPr>
          <w:p w14:paraId="7FFA5226" w14:textId="77777777" w:rsidR="006823B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412E7304" w14:textId="77777777" w:rsidR="00244C9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5F1E66DD" w14:textId="77777777" w:rsidTr="000664F7">
        <w:trPr>
          <w:trHeight w:val="456"/>
        </w:trPr>
        <w:tc>
          <w:tcPr>
            <w:cnfStyle w:val="001000000000" w:firstRow="0" w:lastRow="0" w:firstColumn="1" w:lastColumn="0" w:oddVBand="0" w:evenVBand="0" w:oddHBand="0" w:evenHBand="0" w:firstRowFirstColumn="0" w:firstRowLastColumn="0" w:lastRowFirstColumn="0" w:lastRowLastColumn="0"/>
            <w:tcW w:w="3448" w:type="dxa"/>
          </w:tcPr>
          <w:p w14:paraId="3360A170"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Telstra</w:t>
            </w:r>
          </w:p>
        </w:tc>
        <w:tc>
          <w:tcPr>
            <w:tcW w:w="1188" w:type="dxa"/>
          </w:tcPr>
          <w:p w14:paraId="1D1E0933"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0.375</w:t>
            </w:r>
          </w:p>
        </w:tc>
        <w:tc>
          <w:tcPr>
            <w:tcW w:w="1188" w:type="dxa"/>
          </w:tcPr>
          <w:p w14:paraId="2453B642"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2.8 </w:t>
            </w:r>
          </w:p>
        </w:tc>
        <w:tc>
          <w:tcPr>
            <w:tcW w:w="1188" w:type="dxa"/>
          </w:tcPr>
          <w:p w14:paraId="3A83B574"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5.2 </w:t>
            </w:r>
          </w:p>
        </w:tc>
        <w:tc>
          <w:tcPr>
            <w:tcW w:w="1188" w:type="dxa"/>
          </w:tcPr>
          <w:p w14:paraId="69D4F4CF"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7.7</w:t>
            </w:r>
          </w:p>
        </w:tc>
        <w:tc>
          <w:tcPr>
            <w:tcW w:w="1189" w:type="dxa"/>
          </w:tcPr>
          <w:p w14:paraId="29C0A8F4"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+48.1</w:t>
            </w:r>
          </w:p>
        </w:tc>
      </w:tr>
      <w:tr w:rsidR="00244C97" w:rsidRPr="00FD7E86" w14:paraId="0AC5D391" w14:textId="77777777" w:rsidTr="000664F7">
        <w:trPr>
          <w:trHeight w:val="456"/>
        </w:trPr>
        <w:tc>
          <w:tcPr>
            <w:cnfStyle w:val="001000000000" w:firstRow="0" w:lastRow="0" w:firstColumn="1" w:lastColumn="0" w:oddVBand="0" w:evenVBand="0" w:oddHBand="0" w:evenHBand="0" w:firstRowFirstColumn="0" w:firstRowLastColumn="0" w:lastRowFirstColumn="0" w:lastRowLastColumn="0"/>
            <w:tcW w:w="3448" w:type="dxa"/>
          </w:tcPr>
          <w:p w14:paraId="2C5D1E67"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Optus</w:t>
            </w:r>
          </w:p>
        </w:tc>
        <w:tc>
          <w:tcPr>
            <w:tcW w:w="1188" w:type="dxa"/>
          </w:tcPr>
          <w:p w14:paraId="0B642166"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0.001</w:t>
            </w:r>
          </w:p>
        </w:tc>
        <w:tc>
          <w:tcPr>
            <w:tcW w:w="1188" w:type="dxa"/>
          </w:tcPr>
          <w:p w14:paraId="1B620094"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1.1 </w:t>
            </w:r>
          </w:p>
        </w:tc>
        <w:tc>
          <w:tcPr>
            <w:tcW w:w="1188" w:type="dxa"/>
          </w:tcPr>
          <w:p w14:paraId="19BCDBED"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2.4 </w:t>
            </w:r>
          </w:p>
        </w:tc>
        <w:tc>
          <w:tcPr>
            <w:tcW w:w="1188" w:type="dxa"/>
          </w:tcPr>
          <w:p w14:paraId="7D4DC260"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w:t>
            </w:r>
          </w:p>
        </w:tc>
        <w:tc>
          <w:tcPr>
            <w:tcW w:w="1189" w:type="dxa"/>
          </w:tcPr>
          <w:p w14:paraId="2B26CE51"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+58.3</w:t>
            </w:r>
          </w:p>
        </w:tc>
      </w:tr>
      <w:tr w:rsidR="00244C97" w:rsidRPr="00FD7E86" w14:paraId="68E19B91" w14:textId="77777777" w:rsidTr="000664F7">
        <w:trPr>
          <w:trHeight w:val="456"/>
        </w:trPr>
        <w:tc>
          <w:tcPr>
            <w:cnfStyle w:val="001000000000" w:firstRow="0" w:lastRow="0" w:firstColumn="1" w:lastColumn="0" w:oddVBand="0" w:evenVBand="0" w:oddHBand="0" w:evenHBand="0" w:firstRowFirstColumn="0" w:firstRowLastColumn="0" w:lastRowFirstColumn="0" w:lastRowLastColumn="0"/>
            <w:tcW w:w="3448" w:type="dxa"/>
          </w:tcPr>
          <w:p w14:paraId="625228DB" w14:textId="77777777" w:rsidR="00244C97" w:rsidRPr="00900A5E" w:rsidRDefault="00244C97" w:rsidP="00244C97">
            <w:pPr>
              <w:keepNext/>
              <w:keepLines/>
              <w:spacing w:before="20" w:after="20"/>
              <w:rPr>
                <w:rFonts w:cs="Arial"/>
                <w:color w:val="auto"/>
                <w:szCs w:val="18"/>
              </w:rPr>
            </w:pPr>
            <w:r w:rsidRPr="00900A5E">
              <w:rPr>
                <w:rFonts w:cs="Arial"/>
                <w:color w:val="auto"/>
                <w:szCs w:val="18"/>
              </w:rPr>
              <w:t>VHA</w:t>
            </w:r>
          </w:p>
        </w:tc>
        <w:tc>
          <w:tcPr>
            <w:tcW w:w="1188" w:type="dxa"/>
          </w:tcPr>
          <w:p w14:paraId="04F648D5"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188" w:type="dxa"/>
          </w:tcPr>
          <w:p w14:paraId="7754BCBC"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188" w:type="dxa"/>
          </w:tcPr>
          <w:p w14:paraId="08D982B1"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w:t>
            </w:r>
          </w:p>
        </w:tc>
        <w:tc>
          <w:tcPr>
            <w:tcW w:w="1188" w:type="dxa"/>
          </w:tcPr>
          <w:p w14:paraId="1B7786A9"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189" w:type="dxa"/>
          </w:tcPr>
          <w:p w14:paraId="5375CA60" w14:textId="77777777" w:rsidR="00244C97" w:rsidRPr="00FD7E86" w:rsidRDefault="00244C97" w:rsidP="00244C9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r>
    </w:tbl>
    <w:p w14:paraId="3219E996" w14:textId="77777777" w:rsidR="00244C97" w:rsidRPr="00FD7E86" w:rsidRDefault="00244C97" w:rsidP="000664F7">
      <w:pPr>
        <w:pStyle w:val="ACMANotes"/>
      </w:pPr>
      <w:r w:rsidRPr="00FD7E86">
        <w:t>m=million.</w:t>
      </w:r>
    </w:p>
    <w:p w14:paraId="2722E627" w14:textId="77777777" w:rsidR="00244C97" w:rsidRPr="00FD7E86" w:rsidRDefault="00244C97" w:rsidP="000664F7">
      <w:pPr>
        <w:pStyle w:val="ACMANotes"/>
      </w:pPr>
      <w:r w:rsidRPr="00FD7E86">
        <w:t>n/a=not available.</w:t>
      </w:r>
    </w:p>
    <w:p w14:paraId="00E424AA" w14:textId="77777777" w:rsidR="00244C97" w:rsidRPr="00FD7E86" w:rsidRDefault="00244C97" w:rsidP="000664F7">
      <w:pPr>
        <w:pStyle w:val="ACMANotes"/>
      </w:pPr>
      <w:r w:rsidRPr="00FD7E86">
        <w:t>Note: VHA commenced 4G services on 10 July 2013.</w:t>
      </w:r>
    </w:p>
    <w:p w14:paraId="4B5F2D9A" w14:textId="77777777" w:rsidR="00244C97" w:rsidRPr="00FD7E86" w:rsidRDefault="00244C97" w:rsidP="000664F7">
      <w:pPr>
        <w:pStyle w:val="ACMANotes"/>
      </w:pPr>
      <w:r w:rsidRPr="00FD7E86">
        <w:rPr>
          <w:sz w:val="18"/>
          <w:szCs w:val="18"/>
        </w:rPr>
        <w:t>*</w:t>
      </w:r>
      <w:r w:rsidRPr="00FD7E86">
        <w:t>VHA only reported an approximate figure for June 2014.</w:t>
      </w:r>
    </w:p>
    <w:p w14:paraId="1D654E5B" w14:textId="77777777" w:rsidR="00A73013" w:rsidRPr="00FD7E86" w:rsidRDefault="00244C97" w:rsidP="00C05F4C">
      <w:pPr>
        <w:pStyle w:val="ACMANotes"/>
        <w:spacing w:after="240"/>
      </w:pPr>
      <w:r w:rsidRPr="00FD7E86">
        <w:t xml:space="preserve">Source: </w:t>
      </w:r>
      <w:r w:rsidR="009F0863" w:rsidRPr="00FD7E86">
        <w:t>S</w:t>
      </w:r>
      <w:r w:rsidRPr="00FD7E86">
        <w:t>ee Chapter 1. Further explanatory details for this data can be found in the source chapter.</w:t>
      </w:r>
    </w:p>
    <w:p w14:paraId="527BBD18"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lastRenderedPageBreak/>
        <w:t>nbn—Premises serviceable and activated</w:t>
      </w:r>
    </w:p>
    <w:tbl>
      <w:tblPr>
        <w:tblStyle w:val="Commsreport2014-15TABLE"/>
        <w:tblW w:w="9429" w:type="dxa"/>
        <w:tblLayout w:type="fixed"/>
        <w:tblLook w:val="04A0" w:firstRow="1" w:lastRow="0" w:firstColumn="1" w:lastColumn="0" w:noHBand="0" w:noVBand="1"/>
        <w:tblCaption w:val="Digital services and engagement: nbn—Premises serviceable and activated"/>
      </w:tblPr>
      <w:tblGrid>
        <w:gridCol w:w="3461"/>
        <w:gridCol w:w="1194"/>
        <w:gridCol w:w="1193"/>
        <w:gridCol w:w="1194"/>
        <w:gridCol w:w="1312"/>
        <w:gridCol w:w="1075"/>
      </w:tblGrid>
      <w:tr w:rsidR="00244C97" w:rsidRPr="00C82DEF" w14:paraId="0D494CC8" w14:textId="77777777" w:rsidTr="00C82DEF">
        <w:trPr>
          <w:cnfStyle w:val="100000000000" w:firstRow="1" w:lastRow="0" w:firstColumn="0" w:lastColumn="0" w:oddVBand="0" w:evenVBand="0" w:oddHBand="0" w:evenHBand="0" w:firstRowFirstColumn="0" w:firstRowLastColumn="0" w:lastRowFirstColumn="0" w:lastRowLastColumn="0"/>
          <w:trHeight w:val="404"/>
          <w:tblHeader/>
        </w:trPr>
        <w:tc>
          <w:tcPr>
            <w:cnfStyle w:val="001000000000" w:firstRow="0" w:lastRow="0" w:firstColumn="1" w:lastColumn="0" w:oddVBand="0" w:evenVBand="0" w:oddHBand="0" w:evenHBand="0" w:firstRowFirstColumn="0" w:firstRowLastColumn="0" w:lastRowFirstColumn="0" w:lastRowLastColumn="0"/>
            <w:tcW w:w="3072" w:type="dxa"/>
            <w:shd w:val="clear" w:color="auto" w:fill="auto"/>
          </w:tcPr>
          <w:p w14:paraId="701218DC" w14:textId="77777777" w:rsidR="00244C97" w:rsidRPr="00C82DEF" w:rsidRDefault="00244C97" w:rsidP="00C82DEF">
            <w:pPr>
              <w:pStyle w:val="TableHeading"/>
              <w:spacing w:before="20"/>
              <w:rPr>
                <w:b/>
              </w:rPr>
            </w:pPr>
          </w:p>
        </w:tc>
        <w:tc>
          <w:tcPr>
            <w:tcW w:w="1060" w:type="dxa"/>
            <w:vAlign w:val="top"/>
          </w:tcPr>
          <w:p w14:paraId="01509348"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Jun-12</w:t>
            </w:r>
          </w:p>
        </w:tc>
        <w:tc>
          <w:tcPr>
            <w:tcW w:w="1059" w:type="dxa"/>
            <w:vAlign w:val="top"/>
          </w:tcPr>
          <w:p w14:paraId="0B2EDF3E"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Jun-13</w:t>
            </w:r>
          </w:p>
        </w:tc>
        <w:tc>
          <w:tcPr>
            <w:tcW w:w="1060" w:type="dxa"/>
            <w:vAlign w:val="top"/>
          </w:tcPr>
          <w:p w14:paraId="2036F5D7"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Jun-14</w:t>
            </w:r>
          </w:p>
        </w:tc>
        <w:tc>
          <w:tcPr>
            <w:tcW w:w="1165" w:type="dxa"/>
            <w:vAlign w:val="top"/>
          </w:tcPr>
          <w:p w14:paraId="7781ED71"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Jun-15</w:t>
            </w:r>
          </w:p>
        </w:tc>
        <w:tc>
          <w:tcPr>
            <w:tcW w:w="954" w:type="dxa"/>
            <w:vAlign w:val="top"/>
          </w:tcPr>
          <w:p w14:paraId="4E7EF050" w14:textId="77777777" w:rsidR="006823B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 xml:space="preserve">2014–15 </w:t>
            </w:r>
            <w:r w:rsidR="007E694F" w:rsidRPr="00C82DEF">
              <w:rPr>
                <w:rFonts w:cs="Arial"/>
                <w:b/>
                <w:szCs w:val="18"/>
              </w:rPr>
              <w:t>c</w:t>
            </w:r>
            <w:r w:rsidRPr="00C82DEF">
              <w:rPr>
                <w:rFonts w:cs="Arial"/>
                <w:b/>
                <w:szCs w:val="18"/>
              </w:rPr>
              <w:t>hange</w:t>
            </w:r>
          </w:p>
          <w:p w14:paraId="76D610A4" w14:textId="77777777" w:rsidR="00244C9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C82DEF">
              <w:rPr>
                <w:rFonts w:cs="Arial"/>
                <w:b/>
                <w:szCs w:val="18"/>
              </w:rPr>
              <w:t>(%)</w:t>
            </w:r>
          </w:p>
        </w:tc>
      </w:tr>
      <w:tr w:rsidR="00244C97" w:rsidRPr="00FD7E86" w14:paraId="7EF3B56A"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50134908" w14:textId="77777777" w:rsidR="00244C97" w:rsidRPr="00900A5E" w:rsidRDefault="00244C97" w:rsidP="00244C97">
            <w:pPr>
              <w:spacing w:before="20" w:after="20"/>
              <w:rPr>
                <w:color w:val="auto"/>
                <w:szCs w:val="18"/>
              </w:rPr>
            </w:pPr>
            <w:r w:rsidRPr="00900A5E">
              <w:rPr>
                <w:color w:val="auto"/>
                <w:szCs w:val="18"/>
              </w:rPr>
              <w:t>Premises serviceable</w:t>
            </w:r>
          </w:p>
        </w:tc>
        <w:tc>
          <w:tcPr>
            <w:tcW w:w="1060" w:type="dxa"/>
          </w:tcPr>
          <w:p w14:paraId="0EE5907A"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59" w:type="dxa"/>
          </w:tcPr>
          <w:p w14:paraId="17E44043"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0" w:type="dxa"/>
          </w:tcPr>
          <w:p w14:paraId="2A81F6B3"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552,618</w:t>
            </w:r>
          </w:p>
        </w:tc>
        <w:tc>
          <w:tcPr>
            <w:tcW w:w="1165" w:type="dxa"/>
          </w:tcPr>
          <w:p w14:paraId="56E1F8E2"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pPr>
            <w:r w:rsidRPr="00FD7E86">
              <w:t>1,153,077</w:t>
            </w:r>
          </w:p>
        </w:tc>
        <w:tc>
          <w:tcPr>
            <w:tcW w:w="954" w:type="dxa"/>
          </w:tcPr>
          <w:p w14:paraId="3615D75C"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+109</w:t>
            </w:r>
          </w:p>
        </w:tc>
      </w:tr>
      <w:tr w:rsidR="00244C97" w:rsidRPr="00FD7E86" w14:paraId="3EEBC0FA"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6683B145" w14:textId="77777777" w:rsidR="00244C97" w:rsidRPr="00900A5E" w:rsidRDefault="00244C97" w:rsidP="00244C97">
            <w:pPr>
              <w:spacing w:before="20" w:after="20"/>
              <w:rPr>
                <w:color w:val="auto"/>
                <w:szCs w:val="18"/>
              </w:rPr>
            </w:pPr>
            <w:r w:rsidRPr="00900A5E">
              <w:rPr>
                <w:color w:val="auto"/>
                <w:szCs w:val="18"/>
              </w:rPr>
              <w:t>Premises activated</w:t>
            </w:r>
          </w:p>
        </w:tc>
        <w:tc>
          <w:tcPr>
            <w:tcW w:w="1060" w:type="dxa"/>
          </w:tcPr>
          <w:p w14:paraId="65349761"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13,536</w:t>
            </w:r>
          </w:p>
        </w:tc>
        <w:tc>
          <w:tcPr>
            <w:tcW w:w="1059" w:type="dxa"/>
          </w:tcPr>
          <w:p w14:paraId="2DA052FC"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70,100</w:t>
            </w:r>
          </w:p>
        </w:tc>
        <w:tc>
          <w:tcPr>
            <w:tcW w:w="1060" w:type="dxa"/>
          </w:tcPr>
          <w:p w14:paraId="7A9C52DA"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210,628</w:t>
            </w:r>
          </w:p>
        </w:tc>
        <w:tc>
          <w:tcPr>
            <w:tcW w:w="1165" w:type="dxa"/>
          </w:tcPr>
          <w:p w14:paraId="5A237612"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pPr>
            <w:r w:rsidRPr="00FD7E86">
              <w:t>485,615</w:t>
            </w:r>
          </w:p>
        </w:tc>
        <w:tc>
          <w:tcPr>
            <w:tcW w:w="954" w:type="dxa"/>
          </w:tcPr>
          <w:p w14:paraId="1D757A91"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+131</w:t>
            </w:r>
          </w:p>
        </w:tc>
      </w:tr>
    </w:tbl>
    <w:p w14:paraId="7557086A" w14:textId="77777777" w:rsidR="00244C97" w:rsidRPr="00FD7E86" w:rsidRDefault="00244C97" w:rsidP="000664F7">
      <w:pPr>
        <w:pStyle w:val="ACMANotes"/>
      </w:pPr>
      <w:r w:rsidRPr="00FD7E86">
        <w:t>n/a=not available.</w:t>
      </w:r>
    </w:p>
    <w:p w14:paraId="26EAC34B" w14:textId="77777777" w:rsidR="00244C97" w:rsidRPr="00FD7E86" w:rsidRDefault="00244C97" w:rsidP="000664F7">
      <w:pPr>
        <w:pStyle w:val="ACMANotes"/>
      </w:pPr>
      <w:r w:rsidRPr="00FD7E86">
        <w:t>Note: Total at 30 June for each year.</w:t>
      </w:r>
    </w:p>
    <w:p w14:paraId="1752E698" w14:textId="77777777" w:rsidR="007F5C55" w:rsidRDefault="00244C97" w:rsidP="000664F7">
      <w:pPr>
        <w:pStyle w:val="ACMANotes"/>
      </w:pPr>
      <w:r w:rsidRPr="00FD7E86">
        <w:t xml:space="preserve">Source: </w:t>
      </w:r>
      <w:r w:rsidR="009F0863" w:rsidRPr="00FD7E86">
        <w:t>S</w:t>
      </w:r>
      <w:r w:rsidRPr="00FD7E86">
        <w:t>ee Chapter 1. Further explanatory details for this data can be found in the source chapter.</w:t>
      </w:r>
    </w:p>
    <w:p w14:paraId="62652098" w14:textId="77777777" w:rsidR="00305E39" w:rsidRPr="00FD7E86" w:rsidRDefault="00305E39" w:rsidP="00305E39">
      <w:pPr>
        <w:pStyle w:val="ACMASpaceaftertable"/>
      </w:pPr>
    </w:p>
    <w:p w14:paraId="5CA05D14"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Volume of data downloaded</w:t>
      </w:r>
    </w:p>
    <w:tbl>
      <w:tblPr>
        <w:tblStyle w:val="Commsreport2014-15TABLE"/>
        <w:tblW w:w="9429" w:type="dxa"/>
        <w:tblLayout w:type="fixed"/>
        <w:tblLook w:val="04A0" w:firstRow="1" w:lastRow="0" w:firstColumn="1" w:lastColumn="0" w:noHBand="0" w:noVBand="1"/>
        <w:tblCaption w:val="Digital services and engagement: Volume of data downloaded"/>
      </w:tblPr>
      <w:tblGrid>
        <w:gridCol w:w="3072"/>
        <w:gridCol w:w="1059"/>
        <w:gridCol w:w="1060"/>
        <w:gridCol w:w="1059"/>
        <w:gridCol w:w="1091"/>
        <w:gridCol w:w="1134"/>
        <w:gridCol w:w="954"/>
      </w:tblGrid>
      <w:tr w:rsidR="00244C97" w:rsidRPr="00C82DEF" w14:paraId="74D6F607"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72" w:type="dxa"/>
            <w:shd w:val="clear" w:color="auto" w:fill="auto"/>
          </w:tcPr>
          <w:p w14:paraId="0F1FBDC2" w14:textId="77777777" w:rsidR="00244C97" w:rsidRPr="00C82DEF" w:rsidRDefault="00244C97" w:rsidP="00C82DEF">
            <w:pPr>
              <w:pStyle w:val="TableHeading"/>
              <w:spacing w:before="20"/>
              <w:rPr>
                <w:b/>
              </w:rPr>
            </w:pPr>
          </w:p>
        </w:tc>
        <w:tc>
          <w:tcPr>
            <w:tcW w:w="1059" w:type="dxa"/>
            <w:vAlign w:val="top"/>
          </w:tcPr>
          <w:p w14:paraId="4FBF67C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w:t>
            </w:r>
            <w:r w:rsidRPr="00C82DEF">
              <w:rPr>
                <w:b/>
                <w:szCs w:val="18"/>
              </w:rPr>
              <w:br/>
              <w:t>Jun-11</w:t>
            </w:r>
          </w:p>
          <w:p w14:paraId="7CFC64B9"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(TB)</w:t>
            </w:r>
          </w:p>
        </w:tc>
        <w:tc>
          <w:tcPr>
            <w:tcW w:w="1060" w:type="dxa"/>
            <w:vAlign w:val="top"/>
          </w:tcPr>
          <w:p w14:paraId="79B118F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w:t>
            </w:r>
            <w:r w:rsidRPr="00C82DEF">
              <w:rPr>
                <w:b/>
                <w:szCs w:val="18"/>
              </w:rPr>
              <w:br/>
              <w:t>Jun-12</w:t>
            </w:r>
          </w:p>
          <w:p w14:paraId="1A16F2FA"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(TB)</w:t>
            </w:r>
          </w:p>
        </w:tc>
        <w:tc>
          <w:tcPr>
            <w:tcW w:w="1059" w:type="dxa"/>
            <w:vAlign w:val="top"/>
          </w:tcPr>
          <w:p w14:paraId="7D742C6B"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w:t>
            </w:r>
            <w:r w:rsidRPr="00C82DEF">
              <w:rPr>
                <w:b/>
                <w:szCs w:val="18"/>
              </w:rPr>
              <w:br/>
              <w:t>Jun-13</w:t>
            </w:r>
          </w:p>
          <w:p w14:paraId="6CD90FA3"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(TB)</w:t>
            </w:r>
          </w:p>
        </w:tc>
        <w:tc>
          <w:tcPr>
            <w:tcW w:w="1091" w:type="dxa"/>
            <w:vAlign w:val="top"/>
          </w:tcPr>
          <w:p w14:paraId="5E39C956"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w:t>
            </w:r>
            <w:r w:rsidRPr="00C82DEF">
              <w:rPr>
                <w:b/>
                <w:szCs w:val="18"/>
              </w:rPr>
              <w:br/>
              <w:t>Jun-14</w:t>
            </w:r>
          </w:p>
          <w:p w14:paraId="69EDE273"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(TB)</w:t>
            </w:r>
          </w:p>
        </w:tc>
        <w:tc>
          <w:tcPr>
            <w:tcW w:w="1134" w:type="dxa"/>
            <w:vAlign w:val="top"/>
          </w:tcPr>
          <w:p w14:paraId="6615396E"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w:t>
            </w:r>
            <w:r w:rsidRPr="00C82DEF">
              <w:rPr>
                <w:b/>
                <w:szCs w:val="18"/>
              </w:rPr>
              <w:br/>
              <w:t>Jun-15</w:t>
            </w:r>
          </w:p>
          <w:p w14:paraId="57492121"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(TB)</w:t>
            </w:r>
          </w:p>
        </w:tc>
        <w:tc>
          <w:tcPr>
            <w:tcW w:w="954" w:type="dxa"/>
            <w:vAlign w:val="top"/>
          </w:tcPr>
          <w:p w14:paraId="2B88C59B" w14:textId="77777777" w:rsidR="00244C97" w:rsidRPr="00C82DEF" w:rsidRDefault="0069577D"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Qtr to Jun-14 to Qtr to Jun-15 c</w:t>
            </w:r>
            <w:r w:rsidR="00244C97" w:rsidRPr="00C82DEF">
              <w:rPr>
                <w:b/>
                <w:szCs w:val="18"/>
              </w:rPr>
              <w:t>hange</w:t>
            </w:r>
          </w:p>
          <w:p w14:paraId="3911A440"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0CBACCF5"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75A94F05" w14:textId="77777777" w:rsidR="00244C97" w:rsidRPr="00900A5E" w:rsidRDefault="00244C97" w:rsidP="00244C97">
            <w:pPr>
              <w:spacing w:before="20" w:after="20"/>
              <w:rPr>
                <w:rFonts w:cs="Arial"/>
                <w:color w:val="auto"/>
                <w:szCs w:val="18"/>
              </w:rPr>
            </w:pPr>
            <w:r w:rsidRPr="00900A5E">
              <w:rPr>
                <w:rFonts w:cs="Arial"/>
                <w:color w:val="auto"/>
                <w:szCs w:val="18"/>
              </w:rPr>
              <w:t>Fixed-line broadband*</w:t>
            </w:r>
          </w:p>
        </w:tc>
        <w:tc>
          <w:tcPr>
            <w:tcW w:w="1059" w:type="dxa"/>
          </w:tcPr>
          <w:p w14:paraId="7B4962FB"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254,947</w:t>
            </w:r>
          </w:p>
        </w:tc>
        <w:tc>
          <w:tcPr>
            <w:tcW w:w="1060" w:type="dxa"/>
          </w:tcPr>
          <w:p w14:paraId="4967343D"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389,130</w:t>
            </w:r>
          </w:p>
        </w:tc>
        <w:tc>
          <w:tcPr>
            <w:tcW w:w="1059" w:type="dxa"/>
          </w:tcPr>
          <w:p w14:paraId="174BE825"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629,964</w:t>
            </w:r>
          </w:p>
        </w:tc>
        <w:tc>
          <w:tcPr>
            <w:tcW w:w="1091" w:type="dxa"/>
          </w:tcPr>
          <w:p w14:paraId="5615A111"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963,429</w:t>
            </w:r>
          </w:p>
        </w:tc>
        <w:tc>
          <w:tcPr>
            <w:tcW w:w="1134" w:type="dxa"/>
            <w:shd w:val="clear" w:color="auto" w:fill="E9FBFB" w:themeFill="accent3"/>
          </w:tcPr>
          <w:p w14:paraId="16D0E9E9" w14:textId="77777777" w:rsidR="00244C97" w:rsidRPr="00FD7E86" w:rsidRDefault="001A72FF" w:rsidP="001A72FF">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1,349,975</w:t>
            </w:r>
          </w:p>
        </w:tc>
        <w:tc>
          <w:tcPr>
            <w:tcW w:w="954" w:type="dxa"/>
            <w:shd w:val="clear" w:color="auto" w:fill="E9FBFB" w:themeFill="accent3"/>
          </w:tcPr>
          <w:p w14:paraId="67AA563A" w14:textId="77777777" w:rsidR="00244C97" w:rsidRPr="00FD7E86"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40.1</w:t>
            </w:r>
          </w:p>
        </w:tc>
      </w:tr>
      <w:tr w:rsidR="00244C97" w:rsidRPr="00FD7E86" w14:paraId="68351E19"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75559D54" w14:textId="77777777" w:rsidR="00244C97" w:rsidRPr="00900A5E" w:rsidRDefault="00244C97" w:rsidP="00244C97">
            <w:pPr>
              <w:spacing w:before="20" w:after="20"/>
              <w:rPr>
                <w:rFonts w:cs="Arial"/>
                <w:color w:val="auto"/>
                <w:szCs w:val="18"/>
              </w:rPr>
            </w:pPr>
            <w:r w:rsidRPr="00900A5E">
              <w:rPr>
                <w:rFonts w:cs="Arial"/>
                <w:color w:val="auto"/>
                <w:szCs w:val="18"/>
              </w:rPr>
              <w:t>Wireless broadband</w:t>
            </w:r>
            <w:r w:rsidRPr="00900A5E">
              <w:rPr>
                <w:rFonts w:cs="Arial"/>
                <w:color w:val="auto"/>
                <w:sz w:val="16"/>
                <w:szCs w:val="16"/>
                <w:vertAlign w:val="superscript"/>
              </w:rPr>
              <w:t>†</w:t>
            </w:r>
          </w:p>
        </w:tc>
        <w:tc>
          <w:tcPr>
            <w:tcW w:w="1059" w:type="dxa"/>
          </w:tcPr>
          <w:p w14:paraId="7081A6E9"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19,149</w:t>
            </w:r>
          </w:p>
        </w:tc>
        <w:tc>
          <w:tcPr>
            <w:tcW w:w="1060" w:type="dxa"/>
          </w:tcPr>
          <w:p w14:paraId="38ED1B2D"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25,301</w:t>
            </w:r>
          </w:p>
        </w:tc>
        <w:tc>
          <w:tcPr>
            <w:tcW w:w="1059" w:type="dxa"/>
          </w:tcPr>
          <w:p w14:paraId="7B3861CA"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27,232</w:t>
            </w:r>
          </w:p>
        </w:tc>
        <w:tc>
          <w:tcPr>
            <w:tcW w:w="1091" w:type="dxa"/>
          </w:tcPr>
          <w:p w14:paraId="3D0C776C"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32,731</w:t>
            </w:r>
          </w:p>
        </w:tc>
        <w:tc>
          <w:tcPr>
            <w:tcW w:w="1134" w:type="dxa"/>
            <w:shd w:val="clear" w:color="auto" w:fill="E9FBFB" w:themeFill="accent3"/>
          </w:tcPr>
          <w:p w14:paraId="224E3996" w14:textId="77777777" w:rsidR="00244C97" w:rsidRPr="00FD7E86"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38,673</w:t>
            </w:r>
          </w:p>
        </w:tc>
        <w:tc>
          <w:tcPr>
            <w:tcW w:w="954" w:type="dxa"/>
            <w:shd w:val="clear" w:color="auto" w:fill="E9FBFB" w:themeFill="accent3"/>
          </w:tcPr>
          <w:p w14:paraId="2E03F0AE" w14:textId="77777777" w:rsidR="00244C97" w:rsidRPr="00FD7E86"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18.2</w:t>
            </w:r>
          </w:p>
        </w:tc>
      </w:tr>
      <w:tr w:rsidR="00244C97" w:rsidRPr="00FD7E86" w14:paraId="498E92C5"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58D08B95" w14:textId="77777777" w:rsidR="00244C97" w:rsidRPr="00900A5E" w:rsidRDefault="00244C97" w:rsidP="00244C97">
            <w:pPr>
              <w:spacing w:before="20" w:after="20"/>
              <w:rPr>
                <w:rFonts w:cs="Arial"/>
                <w:color w:val="auto"/>
                <w:szCs w:val="18"/>
              </w:rPr>
            </w:pPr>
            <w:r w:rsidRPr="00900A5E">
              <w:rPr>
                <w:rFonts w:cs="Arial"/>
                <w:color w:val="auto"/>
                <w:szCs w:val="18"/>
              </w:rPr>
              <w:t>Mobile handset internet</w:t>
            </w:r>
          </w:p>
        </w:tc>
        <w:tc>
          <w:tcPr>
            <w:tcW w:w="1059" w:type="dxa"/>
          </w:tcPr>
          <w:p w14:paraId="5387BF8D"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3,695</w:t>
            </w:r>
          </w:p>
        </w:tc>
        <w:tc>
          <w:tcPr>
            <w:tcW w:w="1060" w:type="dxa"/>
          </w:tcPr>
          <w:p w14:paraId="19CC57B2"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9,943</w:t>
            </w:r>
          </w:p>
        </w:tc>
        <w:tc>
          <w:tcPr>
            <w:tcW w:w="1059" w:type="dxa"/>
          </w:tcPr>
          <w:p w14:paraId="4F4D087A"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19,636</w:t>
            </w:r>
          </w:p>
        </w:tc>
        <w:tc>
          <w:tcPr>
            <w:tcW w:w="1091" w:type="dxa"/>
          </w:tcPr>
          <w:p w14:paraId="594B0EBB"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38,734</w:t>
            </w:r>
          </w:p>
        </w:tc>
        <w:tc>
          <w:tcPr>
            <w:tcW w:w="1134" w:type="dxa"/>
            <w:shd w:val="clear" w:color="auto" w:fill="E9FBFB" w:themeFill="accent3"/>
          </w:tcPr>
          <w:p w14:paraId="2F80F0AE" w14:textId="77777777" w:rsidR="00244C97" w:rsidRPr="00FD7E86"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71,572</w:t>
            </w:r>
          </w:p>
        </w:tc>
        <w:tc>
          <w:tcPr>
            <w:tcW w:w="954" w:type="dxa"/>
            <w:shd w:val="clear" w:color="auto" w:fill="E9FBFB" w:themeFill="accent3"/>
          </w:tcPr>
          <w:p w14:paraId="009E0766" w14:textId="77777777" w:rsidR="00244C97" w:rsidRPr="00FD7E86"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84.8</w:t>
            </w:r>
          </w:p>
        </w:tc>
      </w:tr>
      <w:tr w:rsidR="00244C97" w:rsidRPr="00FD7E86" w14:paraId="5F263E43"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7DA16AAD" w14:textId="77777777" w:rsidR="00244C97" w:rsidRPr="00900A5E" w:rsidRDefault="00244C97" w:rsidP="00244C97">
            <w:pPr>
              <w:spacing w:before="20" w:after="20"/>
              <w:rPr>
                <w:rFonts w:cs="Arial"/>
                <w:color w:val="auto"/>
                <w:szCs w:val="18"/>
              </w:rPr>
            </w:pPr>
            <w:r w:rsidRPr="00900A5E">
              <w:rPr>
                <w:rFonts w:cs="Arial"/>
                <w:b/>
                <w:color w:val="auto"/>
                <w:szCs w:val="18"/>
              </w:rPr>
              <w:t>Total volume of data downloaded</w:t>
            </w:r>
            <w:r w:rsidRPr="00900A5E">
              <w:rPr>
                <w:color w:val="auto"/>
                <w:sz w:val="16"/>
                <w:szCs w:val="16"/>
                <w:vertAlign w:val="superscript"/>
              </w:rPr>
              <w:t>‡</w:t>
            </w:r>
          </w:p>
        </w:tc>
        <w:tc>
          <w:tcPr>
            <w:tcW w:w="1059" w:type="dxa"/>
            <w:shd w:val="clear" w:color="auto" w:fill="65CDD5"/>
          </w:tcPr>
          <w:p w14:paraId="348675B8" w14:textId="77777777" w:rsidR="00244C97" w:rsidRPr="007E0A93"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277,897</w:t>
            </w:r>
          </w:p>
        </w:tc>
        <w:tc>
          <w:tcPr>
            <w:tcW w:w="1060" w:type="dxa"/>
            <w:shd w:val="clear" w:color="auto" w:fill="65CDD5"/>
          </w:tcPr>
          <w:p w14:paraId="255EEBE3" w14:textId="77777777" w:rsidR="00244C97" w:rsidRPr="007E0A93"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424,374</w:t>
            </w:r>
          </w:p>
        </w:tc>
        <w:tc>
          <w:tcPr>
            <w:tcW w:w="1059" w:type="dxa"/>
            <w:shd w:val="clear" w:color="auto" w:fill="65CDD5"/>
          </w:tcPr>
          <w:p w14:paraId="458C275A" w14:textId="77777777" w:rsidR="00244C97" w:rsidRPr="007E0A93"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676,898</w:t>
            </w:r>
          </w:p>
        </w:tc>
        <w:tc>
          <w:tcPr>
            <w:tcW w:w="1091" w:type="dxa"/>
            <w:shd w:val="clear" w:color="auto" w:fill="65CDD5"/>
          </w:tcPr>
          <w:p w14:paraId="2CCE70E7" w14:textId="77777777" w:rsidR="00244C97" w:rsidRPr="007E0A93"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1,034,959</w:t>
            </w:r>
          </w:p>
        </w:tc>
        <w:tc>
          <w:tcPr>
            <w:tcW w:w="1134" w:type="dxa"/>
            <w:shd w:val="clear" w:color="auto" w:fill="65CDD5" w:themeFill="accent2"/>
          </w:tcPr>
          <w:p w14:paraId="06CE1328" w14:textId="77777777" w:rsidR="00244C97" w:rsidRPr="007E0A93" w:rsidRDefault="001A72FF" w:rsidP="00244C97">
            <w:pPr>
              <w:spacing w:before="20" w:after="20"/>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1,460,269</w:t>
            </w:r>
          </w:p>
        </w:tc>
        <w:tc>
          <w:tcPr>
            <w:tcW w:w="954" w:type="dxa"/>
            <w:shd w:val="clear" w:color="auto" w:fill="65CDD5" w:themeFill="accent2"/>
          </w:tcPr>
          <w:p w14:paraId="2AC192B7" w14:textId="77777777" w:rsidR="00244C97" w:rsidRPr="007E0A93" w:rsidRDefault="001A72FF"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szCs w:val="18"/>
              </w:rPr>
            </w:pPr>
            <w:r w:rsidRPr="007E0A93">
              <w:rPr>
                <w:rFonts w:cs="Arial"/>
                <w:b/>
                <w:szCs w:val="18"/>
              </w:rPr>
              <w:t>41.1</w:t>
            </w:r>
          </w:p>
        </w:tc>
      </w:tr>
      <w:tr w:rsidR="00244C97" w:rsidRPr="00FD7E86" w14:paraId="03F622B9"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shd w:val="clear" w:color="auto" w:fill="auto"/>
          </w:tcPr>
          <w:p w14:paraId="592F6AA1" w14:textId="77777777" w:rsidR="00244C97" w:rsidRPr="00FD7E86" w:rsidRDefault="00244C97" w:rsidP="00244C97">
            <w:pPr>
              <w:spacing w:before="20" w:after="20"/>
              <w:rPr>
                <w:rFonts w:cs="Arial"/>
                <w:szCs w:val="18"/>
              </w:rPr>
            </w:pPr>
          </w:p>
        </w:tc>
        <w:tc>
          <w:tcPr>
            <w:tcW w:w="1059" w:type="dxa"/>
            <w:shd w:val="clear" w:color="auto" w:fill="00ADBB"/>
          </w:tcPr>
          <w:p w14:paraId="0B1A779C"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(GB)</w:t>
            </w:r>
          </w:p>
        </w:tc>
        <w:tc>
          <w:tcPr>
            <w:tcW w:w="1060" w:type="dxa"/>
            <w:shd w:val="clear" w:color="auto" w:fill="00ADBB"/>
          </w:tcPr>
          <w:p w14:paraId="116B5C5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(GB)</w:t>
            </w:r>
          </w:p>
        </w:tc>
        <w:tc>
          <w:tcPr>
            <w:tcW w:w="1059" w:type="dxa"/>
            <w:shd w:val="clear" w:color="auto" w:fill="00ADBB"/>
          </w:tcPr>
          <w:p w14:paraId="5EC21FB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(GB)</w:t>
            </w:r>
          </w:p>
        </w:tc>
        <w:tc>
          <w:tcPr>
            <w:tcW w:w="1091" w:type="dxa"/>
            <w:shd w:val="clear" w:color="auto" w:fill="00ADBB"/>
          </w:tcPr>
          <w:p w14:paraId="58478C7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(GB)</w:t>
            </w:r>
          </w:p>
        </w:tc>
        <w:tc>
          <w:tcPr>
            <w:tcW w:w="1134" w:type="dxa"/>
            <w:shd w:val="clear" w:color="auto" w:fill="00ADBB" w:themeFill="accent1"/>
          </w:tcPr>
          <w:p w14:paraId="4BE49B0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(GB)</w:t>
            </w:r>
          </w:p>
        </w:tc>
        <w:tc>
          <w:tcPr>
            <w:tcW w:w="954" w:type="dxa"/>
            <w:shd w:val="clear" w:color="auto" w:fill="00ADBB" w:themeFill="accent1"/>
          </w:tcPr>
          <w:p w14:paraId="1C1C47AB" w14:textId="77777777" w:rsidR="00244C97" w:rsidRPr="00FD7E86" w:rsidRDefault="00EA7E69"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w:t>
            </w:r>
          </w:p>
        </w:tc>
      </w:tr>
      <w:tr w:rsidR="00244C97" w:rsidRPr="00FD7E86" w14:paraId="7BCB7986"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149EBE25" w14:textId="77777777" w:rsidR="00244C97" w:rsidRPr="00900A5E" w:rsidRDefault="00244C97" w:rsidP="00244C97">
            <w:pPr>
              <w:spacing w:before="20" w:after="20"/>
              <w:rPr>
                <w:rFonts w:cs="Arial"/>
                <w:color w:val="auto"/>
                <w:szCs w:val="18"/>
              </w:rPr>
            </w:pPr>
            <w:r w:rsidRPr="00900A5E">
              <w:rPr>
                <w:rFonts w:cs="Arial"/>
                <w:color w:val="auto"/>
                <w:szCs w:val="18"/>
              </w:rPr>
              <w:t>Average per fixed-line broadband subscriber</w:t>
            </w:r>
          </w:p>
        </w:tc>
        <w:tc>
          <w:tcPr>
            <w:tcW w:w="1059" w:type="dxa"/>
          </w:tcPr>
          <w:p w14:paraId="28F147FE"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47.1</w:t>
            </w:r>
          </w:p>
        </w:tc>
        <w:tc>
          <w:tcPr>
            <w:tcW w:w="1060" w:type="dxa"/>
          </w:tcPr>
          <w:p w14:paraId="4B6397BD"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69.4</w:t>
            </w:r>
          </w:p>
        </w:tc>
        <w:tc>
          <w:tcPr>
            <w:tcW w:w="1059" w:type="dxa"/>
          </w:tcPr>
          <w:p w14:paraId="46C11DE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107.9</w:t>
            </w:r>
          </w:p>
        </w:tc>
        <w:tc>
          <w:tcPr>
            <w:tcW w:w="1091" w:type="dxa"/>
          </w:tcPr>
          <w:p w14:paraId="79A50480"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155.0</w:t>
            </w:r>
          </w:p>
        </w:tc>
        <w:tc>
          <w:tcPr>
            <w:tcW w:w="1134" w:type="dxa"/>
            <w:shd w:val="clear" w:color="auto" w:fill="E9FBFB" w:themeFill="accent3"/>
          </w:tcPr>
          <w:p w14:paraId="4AAA9DAF" w14:textId="77777777" w:rsidR="00244C97" w:rsidRPr="00FD7E86" w:rsidRDefault="00A17C5C"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207.0</w:t>
            </w:r>
          </w:p>
        </w:tc>
        <w:tc>
          <w:tcPr>
            <w:tcW w:w="954" w:type="dxa"/>
            <w:shd w:val="clear" w:color="auto" w:fill="E9FBFB" w:themeFill="accent3"/>
          </w:tcPr>
          <w:p w14:paraId="0E700DBB" w14:textId="77777777" w:rsidR="00244C97" w:rsidRPr="00FD7E86" w:rsidRDefault="00A17C5C"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33.5</w:t>
            </w:r>
          </w:p>
        </w:tc>
      </w:tr>
      <w:tr w:rsidR="00244C97" w:rsidRPr="00FD7E86" w14:paraId="74955768" w14:textId="77777777" w:rsidTr="00C05F4C">
        <w:trPr>
          <w:trHeight w:val="454"/>
        </w:trPr>
        <w:tc>
          <w:tcPr>
            <w:cnfStyle w:val="001000000000" w:firstRow="0" w:lastRow="0" w:firstColumn="1" w:lastColumn="0" w:oddVBand="0" w:evenVBand="0" w:oddHBand="0" w:evenHBand="0" w:firstRowFirstColumn="0" w:firstRowLastColumn="0" w:lastRowFirstColumn="0" w:lastRowLastColumn="0"/>
            <w:tcW w:w="3072" w:type="dxa"/>
          </w:tcPr>
          <w:p w14:paraId="48020B88" w14:textId="77777777" w:rsidR="00244C97" w:rsidRPr="00900A5E" w:rsidRDefault="00244C97" w:rsidP="00244C97">
            <w:pPr>
              <w:spacing w:before="20" w:after="20"/>
              <w:rPr>
                <w:rFonts w:cs="Arial"/>
                <w:color w:val="auto"/>
                <w:szCs w:val="18"/>
              </w:rPr>
            </w:pPr>
            <w:r w:rsidRPr="00900A5E">
              <w:rPr>
                <w:rFonts w:cs="Arial"/>
                <w:color w:val="auto"/>
                <w:szCs w:val="18"/>
              </w:rPr>
              <w:t>Average per mobile phone handset internet subscriber</w:t>
            </w:r>
          </w:p>
        </w:tc>
        <w:tc>
          <w:tcPr>
            <w:tcW w:w="1059" w:type="dxa"/>
          </w:tcPr>
          <w:p w14:paraId="11813202"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0.3</w:t>
            </w:r>
          </w:p>
        </w:tc>
        <w:tc>
          <w:tcPr>
            <w:tcW w:w="1060" w:type="dxa"/>
          </w:tcPr>
          <w:p w14:paraId="246822C9"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0.6</w:t>
            </w:r>
          </w:p>
        </w:tc>
        <w:tc>
          <w:tcPr>
            <w:tcW w:w="1059" w:type="dxa"/>
          </w:tcPr>
          <w:p w14:paraId="4A0B4B5E"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w:t>
            </w:r>
          </w:p>
        </w:tc>
        <w:tc>
          <w:tcPr>
            <w:tcW w:w="1091" w:type="dxa"/>
          </w:tcPr>
          <w:p w14:paraId="2E572087" w14:textId="77777777" w:rsidR="00244C97" w:rsidRPr="00FD7E86" w:rsidRDefault="00244C97"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w:t>
            </w:r>
          </w:p>
        </w:tc>
        <w:tc>
          <w:tcPr>
            <w:tcW w:w="1134" w:type="dxa"/>
            <w:shd w:val="clear" w:color="auto" w:fill="E9FBFB" w:themeFill="accent3"/>
          </w:tcPr>
          <w:p w14:paraId="5F87AA8A" w14:textId="77777777" w:rsidR="00244C97" w:rsidRPr="00FD7E86" w:rsidRDefault="00A17C5C"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3.4</w:t>
            </w:r>
          </w:p>
        </w:tc>
        <w:tc>
          <w:tcPr>
            <w:tcW w:w="954" w:type="dxa"/>
            <w:shd w:val="clear" w:color="auto" w:fill="E9FBFB" w:themeFill="accent3"/>
          </w:tcPr>
          <w:p w14:paraId="72A6659E" w14:textId="77777777" w:rsidR="00244C97" w:rsidRPr="00FD7E86" w:rsidRDefault="00A17C5C" w:rsidP="00244C97">
            <w:pPr>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78.9</w:t>
            </w:r>
          </w:p>
        </w:tc>
      </w:tr>
    </w:tbl>
    <w:p w14:paraId="2047181C" w14:textId="77777777" w:rsidR="00244C97" w:rsidRPr="00FD7E86" w:rsidRDefault="00244C97" w:rsidP="000664F7">
      <w:pPr>
        <w:pStyle w:val="ACMANotes"/>
      </w:pPr>
      <w:r w:rsidRPr="00FD7E86">
        <w:t>TB=terabyte.</w:t>
      </w:r>
    </w:p>
    <w:p w14:paraId="6274B03A" w14:textId="77777777" w:rsidR="00244C97" w:rsidRPr="00FD7E86" w:rsidRDefault="00244C97" w:rsidP="000664F7">
      <w:pPr>
        <w:pStyle w:val="ACMANotes"/>
      </w:pPr>
      <w:r w:rsidRPr="00FD7E86">
        <w:t>GB=gigabyte.</w:t>
      </w:r>
    </w:p>
    <w:p w14:paraId="31999AE8" w14:textId="77777777" w:rsidR="00244C97" w:rsidRPr="00FD7E86" w:rsidRDefault="00244C97" w:rsidP="000664F7">
      <w:pPr>
        <w:pStyle w:val="ACMANotes"/>
      </w:pPr>
      <w:r w:rsidRPr="00FD7E86">
        <w:t>*ADSL, cable, fibre and other fixed-line broadband.</w:t>
      </w:r>
    </w:p>
    <w:p w14:paraId="6CD87718" w14:textId="77777777" w:rsidR="00244C97" w:rsidRPr="00FD7E86" w:rsidRDefault="00244C97" w:rsidP="000664F7">
      <w:pPr>
        <w:pStyle w:val="ACMANotes"/>
      </w:pPr>
      <w:r w:rsidRPr="00FD7E86">
        <w:rPr>
          <w:vertAlign w:val="superscript"/>
        </w:rPr>
        <w:t>†</w:t>
      </w:r>
      <w:r w:rsidRPr="00FD7E86">
        <w:t xml:space="preserve">Includes satellite, fixed wireless, mobile wireless via a datacard, dongle or USB modem and other wireless broadband. </w:t>
      </w:r>
    </w:p>
    <w:p w14:paraId="475DB221" w14:textId="77777777" w:rsidR="00244C97" w:rsidRPr="00FD7E86" w:rsidRDefault="00244C97" w:rsidP="000664F7">
      <w:pPr>
        <w:pStyle w:val="ACMANotes"/>
        <w:rPr>
          <w:vertAlign w:val="superscript"/>
        </w:rPr>
      </w:pPr>
      <w:r w:rsidRPr="00FD7E86">
        <w:t>Excludes subscriptions via mobile handsets.</w:t>
      </w:r>
      <w:r w:rsidRPr="00FD7E86">
        <w:rPr>
          <w:vertAlign w:val="superscript"/>
        </w:rPr>
        <w:t xml:space="preserve"> </w:t>
      </w:r>
    </w:p>
    <w:p w14:paraId="708770BB" w14:textId="77777777" w:rsidR="00244C97" w:rsidRPr="00FD7E86" w:rsidRDefault="00244C97" w:rsidP="000664F7">
      <w:pPr>
        <w:pStyle w:val="ACMANotes"/>
      </w:pPr>
      <w:r w:rsidRPr="00FD7E86">
        <w:rPr>
          <w:vertAlign w:val="superscript"/>
        </w:rPr>
        <w:t>‡</w:t>
      </w:r>
      <w:r w:rsidRPr="00FD7E86">
        <w:t>Total includes dial</w:t>
      </w:r>
      <w:r w:rsidR="00014B4D" w:rsidRPr="00FD7E86">
        <w:t>-</w:t>
      </w:r>
      <w:r w:rsidRPr="00FD7E86">
        <w:t>up volume.</w:t>
      </w:r>
    </w:p>
    <w:p w14:paraId="16FCA07C" w14:textId="77777777" w:rsidR="00244C97" w:rsidRPr="00FD7E86" w:rsidRDefault="00244C97" w:rsidP="000664F7">
      <w:pPr>
        <w:pStyle w:val="ACMANotes"/>
      </w:pPr>
      <w:r w:rsidRPr="00FD7E86">
        <w:t xml:space="preserve">Source: </w:t>
      </w:r>
      <w:r w:rsidR="009F0863" w:rsidRPr="00FD7E86">
        <w:t>S</w:t>
      </w:r>
      <w:r w:rsidRPr="00FD7E86">
        <w:t>ee Chapter 2. Further explanatory details for this data can be found in the source chapter.</w:t>
      </w:r>
    </w:p>
    <w:p w14:paraId="74A573E9" w14:textId="77777777" w:rsidR="00D4754C" w:rsidRPr="00FD7E86" w:rsidRDefault="00D4754C" w:rsidP="000664F7">
      <w:pPr>
        <w:pStyle w:val="ACMASpaceaftertable"/>
      </w:pPr>
    </w:p>
    <w:p w14:paraId="0A5C9AB3" w14:textId="77777777" w:rsidR="00244C97" w:rsidRPr="00FD7E86" w:rsidRDefault="00244C97" w:rsidP="00C82DEF">
      <w:pPr>
        <w:keepNext/>
        <w:keepLines/>
        <w:spacing w:before="240" w:after="120"/>
        <w:rPr>
          <w:b/>
          <w:color w:val="00ADBB" w:themeColor="accent1"/>
          <w:sz w:val="26"/>
          <w:szCs w:val="26"/>
        </w:rPr>
      </w:pPr>
      <w:r w:rsidRPr="00FD7E86">
        <w:rPr>
          <w:b/>
          <w:color w:val="00ADBB" w:themeColor="accent1"/>
          <w:sz w:val="26"/>
          <w:szCs w:val="26"/>
        </w:rPr>
        <w:lastRenderedPageBreak/>
        <w:t>Professionally produced online content services</w:t>
      </w:r>
    </w:p>
    <w:tbl>
      <w:tblPr>
        <w:tblStyle w:val="Commsreport2014-15TABLE"/>
        <w:tblW w:w="9429" w:type="dxa"/>
        <w:tblLayout w:type="fixed"/>
        <w:tblLook w:val="04A0" w:firstRow="1" w:lastRow="0" w:firstColumn="1" w:lastColumn="0" w:noHBand="0" w:noVBand="1"/>
        <w:tblCaption w:val="Digital services and engagement: Professionally produced online content services"/>
      </w:tblPr>
      <w:tblGrid>
        <w:gridCol w:w="3443"/>
        <w:gridCol w:w="1197"/>
        <w:gridCol w:w="1197"/>
        <w:gridCol w:w="1197"/>
        <w:gridCol w:w="1197"/>
        <w:gridCol w:w="1198"/>
      </w:tblGrid>
      <w:tr w:rsidR="00244C97" w:rsidRPr="00FD7E86" w14:paraId="78338850"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56" w:type="dxa"/>
            <w:shd w:val="clear" w:color="auto" w:fill="auto"/>
          </w:tcPr>
          <w:p w14:paraId="1DA76B9E" w14:textId="77777777" w:rsidR="00244C97" w:rsidRPr="00FD7E86" w:rsidRDefault="00244C97" w:rsidP="00C82DEF">
            <w:pPr>
              <w:pStyle w:val="TableHeading"/>
              <w:keepNext/>
              <w:keepLines/>
            </w:pPr>
          </w:p>
        </w:tc>
        <w:tc>
          <w:tcPr>
            <w:tcW w:w="1062" w:type="dxa"/>
            <w:vAlign w:val="top"/>
          </w:tcPr>
          <w:p w14:paraId="3AD854C8"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May-12</w:t>
            </w:r>
          </w:p>
          <w:p w14:paraId="183941F8"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2" w:type="dxa"/>
            <w:vAlign w:val="top"/>
          </w:tcPr>
          <w:p w14:paraId="67A47B3E"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May-13</w:t>
            </w:r>
          </w:p>
          <w:p w14:paraId="2C18E38C"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2" w:type="dxa"/>
            <w:vAlign w:val="top"/>
          </w:tcPr>
          <w:p w14:paraId="51DE4C86"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May-14</w:t>
            </w:r>
          </w:p>
          <w:p w14:paraId="582A8247"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2" w:type="dxa"/>
            <w:vAlign w:val="top"/>
          </w:tcPr>
          <w:p w14:paraId="71D4B036" w14:textId="77777777" w:rsidR="00244C97" w:rsidRPr="00C82DEF" w:rsidRDefault="006823B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May</w:t>
            </w:r>
            <w:r w:rsidR="00244C97" w:rsidRPr="00C82DEF">
              <w:rPr>
                <w:b/>
                <w:szCs w:val="18"/>
              </w:rPr>
              <w:t>-15</w:t>
            </w:r>
          </w:p>
          <w:p w14:paraId="07790055" w14:textId="77777777" w:rsidR="00244C97" w:rsidRPr="00C82DEF" w:rsidRDefault="00244C9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3" w:type="dxa"/>
            <w:vAlign w:val="top"/>
          </w:tcPr>
          <w:p w14:paraId="480E61F8" w14:textId="77777777" w:rsidR="006823B7" w:rsidRPr="00C82DEF" w:rsidRDefault="006823B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6AD13D8F" w14:textId="77777777" w:rsidR="00244C97" w:rsidRPr="00C82DEF" w:rsidRDefault="006823B7" w:rsidP="00C82DEF">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304F9822"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56" w:type="dxa"/>
          </w:tcPr>
          <w:p w14:paraId="6C015E85" w14:textId="77777777" w:rsidR="00244C97" w:rsidRPr="00900A5E" w:rsidRDefault="00244C97" w:rsidP="00C82DEF">
            <w:pPr>
              <w:keepNext/>
              <w:keepLines/>
              <w:spacing w:before="20" w:after="20"/>
              <w:rPr>
                <w:rFonts w:cs="Arial"/>
                <w:color w:val="auto"/>
                <w:szCs w:val="18"/>
              </w:rPr>
            </w:pPr>
            <w:r w:rsidRPr="00900A5E">
              <w:rPr>
                <w:rFonts w:cs="Arial"/>
                <w:color w:val="auto"/>
                <w:szCs w:val="18"/>
              </w:rPr>
              <w:t>Accessed professionally produced online video content</w:t>
            </w:r>
          </w:p>
        </w:tc>
        <w:tc>
          <w:tcPr>
            <w:tcW w:w="1062" w:type="dxa"/>
          </w:tcPr>
          <w:p w14:paraId="0B93FF18"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5.16</w:t>
            </w:r>
          </w:p>
        </w:tc>
        <w:tc>
          <w:tcPr>
            <w:tcW w:w="1062" w:type="dxa"/>
          </w:tcPr>
          <w:p w14:paraId="47ADE90D"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7.86 </w:t>
            </w:r>
          </w:p>
        </w:tc>
        <w:tc>
          <w:tcPr>
            <w:tcW w:w="1062" w:type="dxa"/>
          </w:tcPr>
          <w:p w14:paraId="75D26D70"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8.22 </w:t>
            </w:r>
          </w:p>
        </w:tc>
        <w:tc>
          <w:tcPr>
            <w:tcW w:w="1062" w:type="dxa"/>
          </w:tcPr>
          <w:p w14:paraId="24BD5A19" w14:textId="77777777" w:rsidR="00244C97" w:rsidRPr="00FD7E86" w:rsidRDefault="00277D56"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9.62</w:t>
            </w:r>
            <w:r w:rsidR="005C411A" w:rsidRPr="00FD7E86">
              <w:rPr>
                <w:rFonts w:cs="Arial"/>
                <w:szCs w:val="18"/>
              </w:rPr>
              <w:t>*</w:t>
            </w:r>
          </w:p>
        </w:tc>
        <w:tc>
          <w:tcPr>
            <w:tcW w:w="1063" w:type="dxa"/>
          </w:tcPr>
          <w:p w14:paraId="0F364707" w14:textId="77777777" w:rsidR="00244C97" w:rsidRPr="00FD7E86" w:rsidRDefault="005C411A"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vertAlign w:val="superscript"/>
              </w:rPr>
              <w:t>†</w:t>
            </w:r>
          </w:p>
        </w:tc>
      </w:tr>
      <w:tr w:rsidR="00244C97" w:rsidRPr="00FD7E86" w14:paraId="58240903"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56" w:type="dxa"/>
          </w:tcPr>
          <w:p w14:paraId="788C19DA" w14:textId="77777777" w:rsidR="00244C97" w:rsidRPr="00900A5E" w:rsidRDefault="00244C97" w:rsidP="00C82DEF">
            <w:pPr>
              <w:keepNext/>
              <w:keepLines/>
              <w:spacing w:before="20" w:after="20"/>
              <w:rPr>
                <w:rFonts w:cs="Arial"/>
                <w:color w:val="auto"/>
                <w:szCs w:val="18"/>
              </w:rPr>
            </w:pPr>
            <w:r w:rsidRPr="00900A5E">
              <w:rPr>
                <w:rFonts w:cs="Arial"/>
                <w:color w:val="auto"/>
                <w:szCs w:val="18"/>
              </w:rPr>
              <w:t>Accessed online news sites</w:t>
            </w:r>
          </w:p>
        </w:tc>
        <w:tc>
          <w:tcPr>
            <w:tcW w:w="1062" w:type="dxa"/>
          </w:tcPr>
          <w:p w14:paraId="31C8C7AB"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2" w:type="dxa"/>
          </w:tcPr>
          <w:p w14:paraId="7EA0AE2E"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11.39 </w:t>
            </w:r>
          </w:p>
        </w:tc>
        <w:tc>
          <w:tcPr>
            <w:tcW w:w="1062" w:type="dxa"/>
          </w:tcPr>
          <w:p w14:paraId="75470A5A"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10.79 </w:t>
            </w:r>
          </w:p>
        </w:tc>
        <w:tc>
          <w:tcPr>
            <w:tcW w:w="1062" w:type="dxa"/>
          </w:tcPr>
          <w:p w14:paraId="41651169"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10.28</w:t>
            </w:r>
          </w:p>
        </w:tc>
        <w:tc>
          <w:tcPr>
            <w:tcW w:w="1063" w:type="dxa"/>
          </w:tcPr>
          <w:p w14:paraId="5D59C694"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w:t>
            </w:r>
          </w:p>
        </w:tc>
      </w:tr>
      <w:tr w:rsidR="00244C97" w:rsidRPr="00FD7E86" w14:paraId="42566B68"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56" w:type="dxa"/>
          </w:tcPr>
          <w:p w14:paraId="797A8B7B" w14:textId="77777777" w:rsidR="00244C97" w:rsidRPr="00900A5E" w:rsidRDefault="00244C97" w:rsidP="00C82DEF">
            <w:pPr>
              <w:keepNext/>
              <w:keepLines/>
              <w:spacing w:before="20" w:after="20"/>
              <w:rPr>
                <w:rFonts w:cs="Arial"/>
                <w:color w:val="auto"/>
                <w:szCs w:val="18"/>
              </w:rPr>
            </w:pPr>
            <w:r w:rsidRPr="00900A5E">
              <w:rPr>
                <w:rFonts w:cs="Arial"/>
                <w:color w:val="auto"/>
                <w:szCs w:val="18"/>
              </w:rPr>
              <w:t>Paid for an online news subscription</w:t>
            </w:r>
          </w:p>
        </w:tc>
        <w:tc>
          <w:tcPr>
            <w:tcW w:w="1062" w:type="dxa"/>
          </w:tcPr>
          <w:p w14:paraId="6D45F441"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2" w:type="dxa"/>
          </w:tcPr>
          <w:p w14:paraId="2FB84425"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1.08 </w:t>
            </w:r>
          </w:p>
        </w:tc>
        <w:tc>
          <w:tcPr>
            <w:tcW w:w="1062" w:type="dxa"/>
          </w:tcPr>
          <w:p w14:paraId="4B1B13E3"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1.18 </w:t>
            </w:r>
          </w:p>
        </w:tc>
        <w:tc>
          <w:tcPr>
            <w:tcW w:w="1062" w:type="dxa"/>
          </w:tcPr>
          <w:p w14:paraId="68D6BA23"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1.24</w:t>
            </w:r>
          </w:p>
        </w:tc>
        <w:tc>
          <w:tcPr>
            <w:tcW w:w="1063" w:type="dxa"/>
          </w:tcPr>
          <w:p w14:paraId="10AFC648" w14:textId="77777777" w:rsidR="00244C97" w:rsidRPr="00FD7E86" w:rsidRDefault="00244C97" w:rsidP="00C82DEF">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+5.1</w:t>
            </w:r>
          </w:p>
        </w:tc>
      </w:tr>
    </w:tbl>
    <w:p w14:paraId="086357EA" w14:textId="77777777" w:rsidR="00244C97" w:rsidRPr="00FD7E86" w:rsidRDefault="00244C97" w:rsidP="000664F7">
      <w:pPr>
        <w:pStyle w:val="ACMANotes"/>
      </w:pPr>
      <w:r w:rsidRPr="00FD7E86">
        <w:t>m=million.</w:t>
      </w:r>
    </w:p>
    <w:p w14:paraId="66306B65" w14:textId="77777777" w:rsidR="007E694F" w:rsidRPr="00FD7E86" w:rsidRDefault="007E694F" w:rsidP="000664F7">
      <w:pPr>
        <w:pStyle w:val="ACMANotes"/>
      </w:pPr>
      <w:r w:rsidRPr="00FD7E86">
        <w:t>n/a=not available.</w:t>
      </w:r>
    </w:p>
    <w:p w14:paraId="6A94F527" w14:textId="77777777" w:rsidR="00244C97" w:rsidRPr="00FD7E86" w:rsidRDefault="005C411A" w:rsidP="000664F7">
      <w:pPr>
        <w:pStyle w:val="ACMANotes"/>
      </w:pPr>
      <w:r w:rsidRPr="00FD7E86">
        <w:t>*</w:t>
      </w:r>
      <w:r w:rsidR="00244C97" w:rsidRPr="00FD7E86">
        <w:t>Calculated on changed basis in 2015.</w:t>
      </w:r>
      <w:r w:rsidR="006823B7" w:rsidRPr="00FD7E86">
        <w:t xml:space="preserve"> Data is at June-15.</w:t>
      </w:r>
    </w:p>
    <w:p w14:paraId="6F8DD5D9" w14:textId="77777777" w:rsidR="00CC7A92" w:rsidRPr="00FD7E86" w:rsidRDefault="005C411A" w:rsidP="000664F7">
      <w:pPr>
        <w:pStyle w:val="ACMANotes"/>
      </w:pPr>
      <w:r w:rsidRPr="00FD7E86">
        <w:rPr>
          <w:vertAlign w:val="superscript"/>
        </w:rPr>
        <w:t>†</w:t>
      </w:r>
      <w:r w:rsidR="00CC7A92" w:rsidRPr="00FD7E86">
        <w:t>2015 data is not comparable with previous years due to a change in methodology</w:t>
      </w:r>
      <w:r w:rsidRPr="00FD7E86">
        <w:t>.</w:t>
      </w:r>
    </w:p>
    <w:p w14:paraId="2F51C943" w14:textId="77777777" w:rsidR="005C411A" w:rsidRPr="00FD7E86" w:rsidRDefault="00726D0A" w:rsidP="000664F7">
      <w:pPr>
        <w:pStyle w:val="ACMANotes"/>
      </w:pPr>
      <w:r w:rsidRPr="00FD7E86">
        <w:t>N</w:t>
      </w:r>
      <w:r w:rsidR="00244C97" w:rsidRPr="00FD7E86">
        <w:t xml:space="preserve">ote: </w:t>
      </w:r>
      <w:r w:rsidR="005C411A" w:rsidRPr="00FD7E86">
        <w:t>Content accessed in the six months to each date.</w:t>
      </w:r>
    </w:p>
    <w:p w14:paraId="6FA2EAAD" w14:textId="77777777" w:rsidR="00244C97" w:rsidRPr="00FD7E86" w:rsidRDefault="005C411A" w:rsidP="000664F7">
      <w:pPr>
        <w:pStyle w:val="ACMANotes"/>
      </w:pPr>
      <w:r w:rsidRPr="00FD7E86">
        <w:t xml:space="preserve">Base: Australians </w:t>
      </w:r>
      <w:r w:rsidR="00244C97" w:rsidRPr="00FD7E86">
        <w:t>aged 18 years and over.</w:t>
      </w:r>
      <w:r w:rsidR="00B51AAF" w:rsidRPr="00FD7E86">
        <w:t xml:space="preserve"> </w:t>
      </w:r>
    </w:p>
    <w:p w14:paraId="5811D8CC" w14:textId="77777777" w:rsidR="00244C97" w:rsidRPr="00FD7E86" w:rsidRDefault="00244C97" w:rsidP="000664F7">
      <w:pPr>
        <w:pStyle w:val="ACMANotes"/>
      </w:pPr>
      <w:r w:rsidRPr="00FD7E86">
        <w:t xml:space="preserve">Source: </w:t>
      </w:r>
      <w:r w:rsidR="009F0863" w:rsidRPr="00FD7E86">
        <w:t>S</w:t>
      </w:r>
      <w:r w:rsidRPr="00FD7E86">
        <w:t>ee Chapter 3. Further explanatory details for this data can be found in the source chapter.</w:t>
      </w:r>
    </w:p>
    <w:p w14:paraId="3FB6DDF4"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Online participation by Australians</w:t>
      </w:r>
    </w:p>
    <w:tbl>
      <w:tblPr>
        <w:tblStyle w:val="Commsreport2014-15TABLE"/>
        <w:tblW w:w="9429" w:type="dxa"/>
        <w:tblLayout w:type="fixed"/>
        <w:tblLook w:val="04A0" w:firstRow="1" w:lastRow="0" w:firstColumn="1" w:lastColumn="0" w:noHBand="0" w:noVBand="1"/>
        <w:tblCaption w:val="Digital services and engagement: Online participation by Australians"/>
      </w:tblPr>
      <w:tblGrid>
        <w:gridCol w:w="3063"/>
        <w:gridCol w:w="1061"/>
        <w:gridCol w:w="1061"/>
        <w:gridCol w:w="1061"/>
        <w:gridCol w:w="1061"/>
        <w:gridCol w:w="1061"/>
        <w:gridCol w:w="1061"/>
      </w:tblGrid>
      <w:tr w:rsidR="00244C97" w:rsidRPr="00C82DEF" w14:paraId="1505677B"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3" w:type="dxa"/>
            <w:shd w:val="clear" w:color="auto" w:fill="auto"/>
          </w:tcPr>
          <w:p w14:paraId="656DBD4B" w14:textId="77777777" w:rsidR="00244C97" w:rsidRPr="00C82DEF" w:rsidRDefault="00244C97" w:rsidP="00C82DEF">
            <w:pPr>
              <w:pStyle w:val="TableHeading"/>
              <w:spacing w:before="20"/>
              <w:rPr>
                <w:b/>
              </w:rPr>
            </w:pPr>
          </w:p>
        </w:tc>
        <w:tc>
          <w:tcPr>
            <w:tcW w:w="1061" w:type="dxa"/>
            <w:vAlign w:val="top"/>
          </w:tcPr>
          <w:p w14:paraId="3E03D66A"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Jun-11</w:t>
            </w:r>
          </w:p>
          <w:p w14:paraId="34457720"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1" w:type="dxa"/>
            <w:vAlign w:val="top"/>
          </w:tcPr>
          <w:p w14:paraId="67F7DF90"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Jun-12</w:t>
            </w:r>
          </w:p>
          <w:p w14:paraId="2B488875"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1" w:type="dxa"/>
            <w:vAlign w:val="top"/>
          </w:tcPr>
          <w:p w14:paraId="18A7AE9F"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Jun-13</w:t>
            </w:r>
          </w:p>
          <w:p w14:paraId="73E2D37D"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1" w:type="dxa"/>
            <w:vAlign w:val="top"/>
          </w:tcPr>
          <w:p w14:paraId="5FD8586C"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Jun-14</w:t>
            </w:r>
          </w:p>
          <w:p w14:paraId="09C50460"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1" w:type="dxa"/>
            <w:vAlign w:val="top"/>
          </w:tcPr>
          <w:p w14:paraId="664581E2"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Jun-15</w:t>
            </w:r>
          </w:p>
          <w:p w14:paraId="13949EFC"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(m)</w:t>
            </w:r>
          </w:p>
        </w:tc>
        <w:tc>
          <w:tcPr>
            <w:tcW w:w="1061" w:type="dxa"/>
            <w:vAlign w:val="top"/>
          </w:tcPr>
          <w:p w14:paraId="47A3E1E5" w14:textId="77777777" w:rsidR="006823B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751DD871" w14:textId="77777777" w:rsidR="00244C9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5FFF6F0F"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0B5F9A0D" w14:textId="77777777" w:rsidR="00244C97" w:rsidRPr="00012F52" w:rsidRDefault="00244C97" w:rsidP="00244C97">
            <w:pPr>
              <w:spacing w:before="20" w:after="20"/>
              <w:rPr>
                <w:rFonts w:cs="Arial"/>
                <w:szCs w:val="18"/>
              </w:rPr>
            </w:pPr>
            <w:r w:rsidRPr="00900A5E">
              <w:rPr>
                <w:rFonts w:cs="Arial"/>
                <w:color w:val="auto"/>
                <w:szCs w:val="18"/>
              </w:rPr>
              <w:t>Have an internet connection at home</w:t>
            </w:r>
          </w:p>
        </w:tc>
        <w:tc>
          <w:tcPr>
            <w:tcW w:w="1061" w:type="dxa"/>
          </w:tcPr>
          <w:p w14:paraId="6DA59952"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13.62</w:t>
            </w:r>
          </w:p>
        </w:tc>
        <w:tc>
          <w:tcPr>
            <w:tcW w:w="1061" w:type="dxa"/>
          </w:tcPr>
          <w:p w14:paraId="04F7CC43"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13.97</w:t>
            </w:r>
          </w:p>
        </w:tc>
        <w:tc>
          <w:tcPr>
            <w:tcW w:w="1061" w:type="dxa"/>
          </w:tcPr>
          <w:p w14:paraId="3163E85A"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14.24</w:t>
            </w:r>
          </w:p>
        </w:tc>
        <w:tc>
          <w:tcPr>
            <w:tcW w:w="1061" w:type="dxa"/>
          </w:tcPr>
          <w:p w14:paraId="60D59F82"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14.72</w:t>
            </w:r>
          </w:p>
        </w:tc>
        <w:tc>
          <w:tcPr>
            <w:tcW w:w="1061" w:type="dxa"/>
          </w:tcPr>
          <w:p w14:paraId="7E551DC2"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15.80</w:t>
            </w:r>
          </w:p>
        </w:tc>
        <w:tc>
          <w:tcPr>
            <w:tcW w:w="1061" w:type="dxa"/>
          </w:tcPr>
          <w:p w14:paraId="22638C05"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+7.3</w:t>
            </w:r>
          </w:p>
        </w:tc>
      </w:tr>
      <w:tr w:rsidR="00244C97" w:rsidRPr="00FD7E86" w14:paraId="2087CE25"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65548B15" w14:textId="77777777" w:rsidR="00244C97" w:rsidRPr="00900A5E" w:rsidRDefault="00244C97" w:rsidP="00244C97">
            <w:pPr>
              <w:spacing w:before="20" w:after="20"/>
              <w:rPr>
                <w:rFonts w:cs="Arial"/>
                <w:color w:val="auto"/>
                <w:szCs w:val="18"/>
              </w:rPr>
            </w:pPr>
            <w:r w:rsidRPr="00900A5E">
              <w:rPr>
                <w:rFonts w:cs="Arial"/>
                <w:color w:val="auto"/>
                <w:szCs w:val="18"/>
              </w:rPr>
              <w:t xml:space="preserve">Have a broadband connection at home </w:t>
            </w:r>
          </w:p>
        </w:tc>
        <w:tc>
          <w:tcPr>
            <w:tcW w:w="1061" w:type="dxa"/>
          </w:tcPr>
          <w:p w14:paraId="77688F66"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11.88</w:t>
            </w:r>
          </w:p>
        </w:tc>
        <w:tc>
          <w:tcPr>
            <w:tcW w:w="1061" w:type="dxa"/>
          </w:tcPr>
          <w:p w14:paraId="0152360B"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12.25</w:t>
            </w:r>
          </w:p>
        </w:tc>
        <w:tc>
          <w:tcPr>
            <w:tcW w:w="1061" w:type="dxa"/>
          </w:tcPr>
          <w:p w14:paraId="49EFEC62"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13.15</w:t>
            </w:r>
          </w:p>
        </w:tc>
        <w:tc>
          <w:tcPr>
            <w:tcW w:w="1061" w:type="dxa"/>
          </w:tcPr>
          <w:p w14:paraId="144C41C6"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14.64</w:t>
            </w:r>
          </w:p>
        </w:tc>
        <w:tc>
          <w:tcPr>
            <w:tcW w:w="1061" w:type="dxa"/>
          </w:tcPr>
          <w:p w14:paraId="4C840386"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15.76</w:t>
            </w:r>
          </w:p>
        </w:tc>
        <w:tc>
          <w:tcPr>
            <w:tcW w:w="1061" w:type="dxa"/>
          </w:tcPr>
          <w:p w14:paraId="7F88072A"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+7.7</w:t>
            </w:r>
          </w:p>
        </w:tc>
      </w:tr>
      <w:tr w:rsidR="00244C97" w:rsidRPr="00FD7E86" w14:paraId="492A9113"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14FC2CE6" w14:textId="77777777" w:rsidR="00244C97" w:rsidRPr="00900A5E" w:rsidRDefault="00244C97" w:rsidP="00244C97">
            <w:pPr>
              <w:spacing w:before="20" w:after="20"/>
              <w:rPr>
                <w:rFonts w:cs="Arial"/>
                <w:color w:val="auto"/>
                <w:szCs w:val="18"/>
              </w:rPr>
            </w:pPr>
            <w:r w:rsidRPr="00900A5E">
              <w:rPr>
                <w:rFonts w:cs="Arial"/>
                <w:color w:val="auto"/>
                <w:szCs w:val="18"/>
              </w:rPr>
              <w:t>Accessed internet via mobile phone during last 6 months*</w:t>
            </w:r>
          </w:p>
        </w:tc>
        <w:tc>
          <w:tcPr>
            <w:tcW w:w="1061" w:type="dxa"/>
          </w:tcPr>
          <w:p w14:paraId="295323A9"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1" w:type="dxa"/>
          </w:tcPr>
          <w:p w14:paraId="758BD565"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5.62</w:t>
            </w:r>
          </w:p>
        </w:tc>
        <w:tc>
          <w:tcPr>
            <w:tcW w:w="1061" w:type="dxa"/>
          </w:tcPr>
          <w:p w14:paraId="10867D14"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10.91</w:t>
            </w:r>
          </w:p>
        </w:tc>
        <w:tc>
          <w:tcPr>
            <w:tcW w:w="1061" w:type="dxa"/>
          </w:tcPr>
          <w:p w14:paraId="127925A3"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12.50</w:t>
            </w:r>
          </w:p>
        </w:tc>
        <w:tc>
          <w:tcPr>
            <w:tcW w:w="1061" w:type="dxa"/>
          </w:tcPr>
          <w:p w14:paraId="4CA588A0"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13.21</w:t>
            </w:r>
          </w:p>
        </w:tc>
        <w:tc>
          <w:tcPr>
            <w:tcW w:w="1061" w:type="dxa"/>
          </w:tcPr>
          <w:p w14:paraId="057734A0"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+5.7</w:t>
            </w:r>
          </w:p>
        </w:tc>
      </w:tr>
      <w:tr w:rsidR="00244C97" w:rsidRPr="00FD7E86" w14:paraId="6CCD9504"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010C7387" w14:textId="77777777" w:rsidR="00244C97" w:rsidRPr="00900A5E" w:rsidRDefault="00244C97" w:rsidP="00244C97">
            <w:pPr>
              <w:spacing w:before="20" w:after="20"/>
              <w:rPr>
                <w:rFonts w:cs="Arial"/>
                <w:color w:val="auto"/>
                <w:szCs w:val="18"/>
              </w:rPr>
            </w:pPr>
            <w:r w:rsidRPr="00900A5E">
              <w:rPr>
                <w:rFonts w:cs="Arial"/>
                <w:color w:val="auto"/>
                <w:szCs w:val="18"/>
              </w:rPr>
              <w:t>Number of ‘.au’ domain name registrations</w:t>
            </w:r>
            <w:r w:rsidRPr="00900A5E">
              <w:rPr>
                <w:rFonts w:cs="Arial"/>
                <w:color w:val="auto"/>
                <w:szCs w:val="18"/>
                <w:vertAlign w:val="superscript"/>
              </w:rPr>
              <w:t>†</w:t>
            </w:r>
          </w:p>
        </w:tc>
        <w:tc>
          <w:tcPr>
            <w:tcW w:w="1061" w:type="dxa"/>
          </w:tcPr>
          <w:p w14:paraId="55B8AB8D"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2.12</w:t>
            </w:r>
          </w:p>
        </w:tc>
        <w:tc>
          <w:tcPr>
            <w:tcW w:w="1061" w:type="dxa"/>
          </w:tcPr>
          <w:p w14:paraId="289A3231"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2.44</w:t>
            </w:r>
          </w:p>
        </w:tc>
        <w:tc>
          <w:tcPr>
            <w:tcW w:w="1061" w:type="dxa"/>
          </w:tcPr>
          <w:p w14:paraId="3E844B4E"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2.67</w:t>
            </w:r>
          </w:p>
        </w:tc>
        <w:tc>
          <w:tcPr>
            <w:tcW w:w="1061" w:type="dxa"/>
          </w:tcPr>
          <w:p w14:paraId="7449D071"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2.86</w:t>
            </w:r>
          </w:p>
        </w:tc>
        <w:tc>
          <w:tcPr>
            <w:tcW w:w="1061" w:type="dxa"/>
          </w:tcPr>
          <w:p w14:paraId="4ECE6879"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2.97</w:t>
            </w:r>
          </w:p>
        </w:tc>
        <w:tc>
          <w:tcPr>
            <w:tcW w:w="1061" w:type="dxa"/>
          </w:tcPr>
          <w:p w14:paraId="5F8AD9AC"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w:t>
            </w:r>
          </w:p>
        </w:tc>
      </w:tr>
      <w:tr w:rsidR="009762C4" w:rsidRPr="00FD7E86" w14:paraId="10A00EEE"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63" w:type="dxa"/>
            <w:shd w:val="clear" w:color="auto" w:fill="auto"/>
          </w:tcPr>
          <w:p w14:paraId="25DAAC1F" w14:textId="77777777" w:rsidR="009762C4" w:rsidRPr="00900A5E" w:rsidRDefault="009762C4" w:rsidP="009762C4">
            <w:pPr>
              <w:spacing w:before="20" w:after="20"/>
              <w:rPr>
                <w:rFonts w:cs="Arial"/>
                <w:color w:val="auto"/>
                <w:sz w:val="16"/>
                <w:szCs w:val="16"/>
              </w:rPr>
            </w:pPr>
          </w:p>
        </w:tc>
        <w:tc>
          <w:tcPr>
            <w:tcW w:w="1061" w:type="dxa"/>
            <w:shd w:val="clear" w:color="auto" w:fill="00ADBB"/>
            <w:vAlign w:val="top"/>
          </w:tcPr>
          <w:p w14:paraId="5109E9DE"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FD7E86">
              <w:rPr>
                <w:rFonts w:cs="Arial"/>
                <w:b/>
                <w:color w:val="FFFFFF" w:themeColor="background1"/>
              </w:rPr>
              <w:t>2010–11</w:t>
            </w:r>
          </w:p>
          <w:p w14:paraId="045DC3DE"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rPr>
              <w:t>(b)</w:t>
            </w:r>
          </w:p>
        </w:tc>
        <w:tc>
          <w:tcPr>
            <w:tcW w:w="1061" w:type="dxa"/>
            <w:shd w:val="clear" w:color="auto" w:fill="00ADBB"/>
            <w:vAlign w:val="top"/>
          </w:tcPr>
          <w:p w14:paraId="1C2FC370"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FD7E86">
              <w:rPr>
                <w:rFonts w:cs="Arial"/>
                <w:b/>
                <w:color w:val="FFFFFF" w:themeColor="background1"/>
              </w:rPr>
              <w:t>2011–12</w:t>
            </w:r>
          </w:p>
          <w:p w14:paraId="6F696478"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rPr>
              <w:t>(b)</w:t>
            </w:r>
          </w:p>
        </w:tc>
        <w:tc>
          <w:tcPr>
            <w:tcW w:w="1061" w:type="dxa"/>
            <w:shd w:val="clear" w:color="auto" w:fill="00ADBB"/>
            <w:vAlign w:val="top"/>
          </w:tcPr>
          <w:p w14:paraId="3940460E"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FD7E86">
              <w:rPr>
                <w:rFonts w:cs="Arial"/>
                <w:b/>
                <w:color w:val="FFFFFF" w:themeColor="background1"/>
              </w:rPr>
              <w:t>2012–13</w:t>
            </w:r>
          </w:p>
          <w:p w14:paraId="71CC67AA"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rPr>
              <w:t>(b)</w:t>
            </w:r>
          </w:p>
        </w:tc>
        <w:tc>
          <w:tcPr>
            <w:tcW w:w="1061" w:type="dxa"/>
            <w:shd w:val="clear" w:color="auto" w:fill="00ADBB"/>
            <w:vAlign w:val="top"/>
          </w:tcPr>
          <w:p w14:paraId="49B1EA21"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FD7E86">
              <w:rPr>
                <w:rFonts w:cs="Arial"/>
                <w:b/>
                <w:color w:val="FFFFFF" w:themeColor="background1"/>
              </w:rPr>
              <w:t>2013–14</w:t>
            </w:r>
          </w:p>
          <w:p w14:paraId="496FDA1E" w14:textId="77777777" w:rsidR="009762C4"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rPr>
              <w:t>(b)</w:t>
            </w:r>
          </w:p>
        </w:tc>
        <w:tc>
          <w:tcPr>
            <w:tcW w:w="1061" w:type="dxa"/>
            <w:shd w:val="clear" w:color="auto" w:fill="00ADBB"/>
            <w:vAlign w:val="top"/>
          </w:tcPr>
          <w:p w14:paraId="630F7A7A" w14:textId="77777777" w:rsidR="006823B7" w:rsidRPr="00FD7E86" w:rsidRDefault="009762C4">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rPr>
            </w:pPr>
            <w:r w:rsidRPr="00FD7E86">
              <w:rPr>
                <w:rFonts w:cs="Arial"/>
                <w:b/>
                <w:color w:val="FFFFFF" w:themeColor="background1"/>
              </w:rPr>
              <w:t>2014–15</w:t>
            </w:r>
          </w:p>
          <w:p w14:paraId="63DA8265" w14:textId="77777777" w:rsidR="009762C4" w:rsidRPr="00FD7E86" w:rsidRDefault="006823B7">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rPr>
              <w:t>(b)</w:t>
            </w:r>
          </w:p>
        </w:tc>
        <w:tc>
          <w:tcPr>
            <w:tcW w:w="1061" w:type="dxa"/>
            <w:shd w:val="clear" w:color="auto" w:fill="00ADBB"/>
            <w:vAlign w:val="top"/>
          </w:tcPr>
          <w:p w14:paraId="50C941FE" w14:textId="77777777" w:rsidR="006B52C0" w:rsidRPr="00FD7E86" w:rsidRDefault="006B52C0" w:rsidP="000A7AE7">
            <w:pPr>
              <w:keepNext/>
              <w:keepLines/>
              <w:spacing w:before="20" w:after="20"/>
              <w:ind w:right="5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20</w:t>
            </w:r>
            <w:r w:rsidR="007F055E" w:rsidRPr="00FD7E86">
              <w:rPr>
                <w:rFonts w:cs="Arial"/>
                <w:b/>
                <w:color w:val="FFFFFF"/>
                <w:szCs w:val="18"/>
              </w:rPr>
              <w:t xml:space="preserve">12–13 to </w:t>
            </w:r>
            <w:r w:rsidR="00980627" w:rsidRPr="00FD7E86">
              <w:rPr>
                <w:rFonts w:cs="Arial"/>
                <w:b/>
                <w:color w:val="FFFFFF"/>
                <w:szCs w:val="18"/>
              </w:rPr>
              <w:br/>
            </w:r>
            <w:r w:rsidR="007F055E" w:rsidRPr="00FD7E86">
              <w:rPr>
                <w:rFonts w:cs="Arial"/>
                <w:b/>
                <w:color w:val="FFFFFF"/>
                <w:szCs w:val="18"/>
              </w:rPr>
              <w:t>20</w:t>
            </w:r>
            <w:r w:rsidRPr="00FD7E86">
              <w:rPr>
                <w:rFonts w:cs="Arial"/>
                <w:b/>
                <w:color w:val="FFFFFF"/>
                <w:szCs w:val="18"/>
              </w:rPr>
              <w:t xml:space="preserve">13–14 </w:t>
            </w:r>
            <w:r w:rsidR="007E694F" w:rsidRPr="00FD7E86">
              <w:rPr>
                <w:rFonts w:cs="Arial"/>
                <w:b/>
                <w:color w:val="FFFFFF"/>
                <w:szCs w:val="18"/>
              </w:rPr>
              <w:t>c</w:t>
            </w:r>
            <w:r w:rsidRPr="00FD7E86">
              <w:rPr>
                <w:rFonts w:cs="Arial"/>
                <w:b/>
                <w:color w:val="FFFFFF"/>
                <w:szCs w:val="18"/>
              </w:rPr>
              <w:t>hange</w:t>
            </w:r>
          </w:p>
          <w:p w14:paraId="53F59D4A" w14:textId="77777777" w:rsidR="009762C4" w:rsidRPr="00FD7E86" w:rsidRDefault="006B52C0" w:rsidP="007E694F">
            <w:pPr>
              <w:spacing w:before="20" w:after="20"/>
              <w:ind w:right="77"/>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w:t>
            </w:r>
          </w:p>
        </w:tc>
      </w:tr>
      <w:tr w:rsidR="00244C97" w:rsidRPr="00FD7E86" w14:paraId="045DF2A3"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67697B47" w14:textId="77777777" w:rsidR="00244C97" w:rsidRPr="00900A5E" w:rsidRDefault="00244C97" w:rsidP="00244C97">
            <w:pPr>
              <w:spacing w:before="20" w:after="20"/>
              <w:rPr>
                <w:rFonts w:cs="Arial"/>
                <w:color w:val="auto"/>
                <w:szCs w:val="18"/>
              </w:rPr>
            </w:pPr>
            <w:r w:rsidRPr="00900A5E">
              <w:rPr>
                <w:rFonts w:cs="Arial"/>
                <w:color w:val="auto"/>
                <w:szCs w:val="18"/>
              </w:rPr>
              <w:t>Value of internet commerce ($A)</w:t>
            </w:r>
            <w:r w:rsidRPr="00900A5E">
              <w:rPr>
                <w:color w:val="auto"/>
                <w:sz w:val="16"/>
                <w:szCs w:val="16"/>
                <w:vertAlign w:val="superscript"/>
              </w:rPr>
              <w:t xml:space="preserve"> </w:t>
            </w:r>
            <w:r w:rsidRPr="00900A5E">
              <w:rPr>
                <w:color w:val="auto"/>
                <w:szCs w:val="18"/>
                <w:vertAlign w:val="superscript"/>
              </w:rPr>
              <w:t>‡</w:t>
            </w:r>
            <w:r w:rsidRPr="00900A5E">
              <w:rPr>
                <w:rFonts w:cs="Arial"/>
                <w:color w:val="auto"/>
                <w:szCs w:val="18"/>
              </w:rPr>
              <w:t xml:space="preserve"> </w:t>
            </w:r>
          </w:p>
        </w:tc>
        <w:tc>
          <w:tcPr>
            <w:tcW w:w="1061" w:type="dxa"/>
          </w:tcPr>
          <w:p w14:paraId="54AB432F"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$189</w:t>
            </w:r>
          </w:p>
        </w:tc>
        <w:tc>
          <w:tcPr>
            <w:tcW w:w="1061" w:type="dxa"/>
          </w:tcPr>
          <w:p w14:paraId="493D4D99"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1" w:type="dxa"/>
          </w:tcPr>
          <w:p w14:paraId="4FD6B328" w14:textId="77777777" w:rsidR="00244C97" w:rsidRPr="00FD7E86" w:rsidRDefault="00244C97" w:rsidP="00311858">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w:t>
            </w:r>
            <w:r w:rsidR="00311858" w:rsidRPr="00FD7E86">
              <w:rPr>
                <w:rFonts w:cs="Arial"/>
                <w:szCs w:val="18"/>
              </w:rPr>
              <w:t>246</w:t>
            </w:r>
          </w:p>
        </w:tc>
        <w:tc>
          <w:tcPr>
            <w:tcW w:w="1061" w:type="dxa"/>
          </w:tcPr>
          <w:p w14:paraId="7AA3F7CB" w14:textId="77777777" w:rsidR="00244C97" w:rsidRPr="00FD7E86" w:rsidRDefault="00311858" w:rsidP="00311858">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$267</w:t>
            </w:r>
          </w:p>
        </w:tc>
        <w:tc>
          <w:tcPr>
            <w:tcW w:w="1061" w:type="dxa"/>
          </w:tcPr>
          <w:p w14:paraId="7F662705" w14:textId="77777777" w:rsidR="00244C97" w:rsidRPr="00FD7E86" w:rsidRDefault="00244C97"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061" w:type="dxa"/>
          </w:tcPr>
          <w:p w14:paraId="0CF3E9D3" w14:textId="77777777" w:rsidR="00244C97" w:rsidRPr="00FD7E86" w:rsidRDefault="00920A1E" w:rsidP="00244C97">
            <w:pPr>
              <w:spacing w:before="20" w:after="20"/>
              <w:ind w:right="7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w:t>
            </w:r>
            <w:r w:rsidR="00CD17E6" w:rsidRPr="00FD7E86">
              <w:rPr>
                <w:rFonts w:cs="Arial"/>
                <w:szCs w:val="18"/>
              </w:rPr>
              <w:t>8.5</w:t>
            </w:r>
          </w:p>
        </w:tc>
      </w:tr>
    </w:tbl>
    <w:p w14:paraId="2332066C" w14:textId="77777777" w:rsidR="00244C97" w:rsidRPr="00FD7E86" w:rsidRDefault="00244C97" w:rsidP="000664F7">
      <w:pPr>
        <w:pStyle w:val="ACMANotes"/>
      </w:pPr>
      <w:r w:rsidRPr="00FD7E86">
        <w:t>m=million.</w:t>
      </w:r>
    </w:p>
    <w:p w14:paraId="512D2158" w14:textId="77777777" w:rsidR="00244C97" w:rsidRPr="00FD7E86" w:rsidRDefault="00244C97" w:rsidP="000664F7">
      <w:pPr>
        <w:pStyle w:val="ACMANotes"/>
      </w:pPr>
      <w:r w:rsidRPr="00FD7E86">
        <w:t>b=billion.</w:t>
      </w:r>
    </w:p>
    <w:p w14:paraId="4B650B14" w14:textId="77777777" w:rsidR="009762C4" w:rsidRPr="00FD7E86" w:rsidRDefault="009762C4" w:rsidP="000664F7">
      <w:pPr>
        <w:pStyle w:val="ACMANotes"/>
      </w:pPr>
      <w:r w:rsidRPr="00FD7E86">
        <w:t>n/a=not available.</w:t>
      </w:r>
    </w:p>
    <w:p w14:paraId="7E66DD7F" w14:textId="77777777" w:rsidR="00244C97" w:rsidRPr="00FD7E86" w:rsidRDefault="00244C97" w:rsidP="000664F7">
      <w:pPr>
        <w:pStyle w:val="ACMANotes"/>
      </w:pPr>
      <w:r w:rsidRPr="00FD7E86">
        <w:t>*In six months to May 2013 and May 2014.</w:t>
      </w:r>
    </w:p>
    <w:p w14:paraId="4B4C4C2B" w14:textId="77777777" w:rsidR="00244C97" w:rsidRPr="00FD7E86" w:rsidRDefault="00244C97" w:rsidP="000664F7">
      <w:pPr>
        <w:pStyle w:val="ACMANotes"/>
      </w:pPr>
      <w:r w:rsidRPr="00FD7E86">
        <w:rPr>
          <w:vertAlign w:val="superscript"/>
        </w:rPr>
        <w:t>†</w:t>
      </w:r>
      <w:r w:rsidRPr="00FD7E86">
        <w:t>Excludes domain names registered under .gov.au.</w:t>
      </w:r>
    </w:p>
    <w:p w14:paraId="4912F15A" w14:textId="77777777" w:rsidR="00244C97" w:rsidRPr="00FD7E86" w:rsidRDefault="00244C97" w:rsidP="000664F7">
      <w:pPr>
        <w:pStyle w:val="ACMANotes"/>
      </w:pPr>
      <w:r w:rsidRPr="00FD7E86">
        <w:rPr>
          <w:vertAlign w:val="superscript"/>
        </w:rPr>
        <w:t>‡</w:t>
      </w:r>
      <w:r w:rsidRPr="00FD7E86">
        <w:t xml:space="preserve">The ABS defines internet e-commerce as the purchase/order of goods and services online regardless of whether or not the purchases were paid for online. </w:t>
      </w:r>
    </w:p>
    <w:p w14:paraId="76C1DA77" w14:textId="77777777" w:rsidR="00D4754C" w:rsidRPr="00FD7E86" w:rsidRDefault="00244C97" w:rsidP="000664F7">
      <w:pPr>
        <w:pStyle w:val="ACMANotes"/>
      </w:pPr>
      <w:r w:rsidRPr="00FD7E86">
        <w:t>Note: Data relates to people aged 18 years and over.</w:t>
      </w:r>
    </w:p>
    <w:p w14:paraId="05E70018" w14:textId="77777777" w:rsidR="00244C97" w:rsidRPr="00FD7E86" w:rsidRDefault="00244C97" w:rsidP="000664F7">
      <w:pPr>
        <w:pStyle w:val="ACMANotes"/>
      </w:pPr>
      <w:r w:rsidRPr="00FD7E86">
        <w:t xml:space="preserve">Source: </w:t>
      </w:r>
      <w:r w:rsidR="009F0863" w:rsidRPr="00FD7E86">
        <w:t>S</w:t>
      </w:r>
      <w:r w:rsidRPr="00FD7E86">
        <w:t>ee Chapter 2. Further explanatory details for this data can be found in the source chapter.</w:t>
      </w:r>
    </w:p>
    <w:p w14:paraId="09FB4BC0" w14:textId="77777777" w:rsidR="00D4754C" w:rsidRPr="00FD7E86" w:rsidRDefault="00D4754C" w:rsidP="000664F7">
      <w:pPr>
        <w:pStyle w:val="ACMASpaceaftertable"/>
      </w:pPr>
    </w:p>
    <w:p w14:paraId="0895AC9E" w14:textId="77777777" w:rsidR="00CB2A47" w:rsidRDefault="00244C97" w:rsidP="00C05F4C">
      <w:pPr>
        <w:keepNext/>
        <w:spacing w:line="240" w:lineRule="auto"/>
        <w:rPr>
          <w:b/>
          <w:sz w:val="32"/>
          <w:szCs w:val="32"/>
        </w:rPr>
      </w:pPr>
      <w:bookmarkStart w:id="55" w:name="_Toc399331705"/>
      <w:bookmarkStart w:id="56" w:name="_Toc399336886"/>
      <w:r w:rsidRPr="00FD7E86">
        <w:rPr>
          <w:b/>
          <w:sz w:val="32"/>
          <w:szCs w:val="32"/>
        </w:rPr>
        <w:lastRenderedPageBreak/>
        <w:t>Broadcasting l</w:t>
      </w:r>
      <w:bookmarkEnd w:id="55"/>
      <w:bookmarkEnd w:id="56"/>
      <w:r w:rsidR="00853B5E" w:rsidRPr="00FD7E86">
        <w:rPr>
          <w:b/>
          <w:sz w:val="32"/>
          <w:szCs w:val="32"/>
        </w:rPr>
        <w:t>icences</w:t>
      </w:r>
    </w:p>
    <w:p w14:paraId="710BCEC9" w14:textId="77777777" w:rsidR="00244C97" w:rsidRPr="00FD7E86" w:rsidRDefault="00CB2A47" w:rsidP="00C05F4C">
      <w:pPr>
        <w:keepNext/>
        <w:spacing w:line="240" w:lineRule="auto"/>
        <w:rPr>
          <w:b/>
          <w:sz w:val="32"/>
          <w:szCs w:val="32"/>
        </w:rPr>
      </w:pPr>
      <w:r w:rsidRPr="00C05F4C">
        <w:rPr>
          <w:b/>
          <w:color w:val="00ADBB" w:themeColor="accent1"/>
          <w:sz w:val="26"/>
          <w:szCs w:val="26"/>
        </w:rPr>
        <w:t>Commercial</w:t>
      </w:r>
      <w:r>
        <w:rPr>
          <w:b/>
          <w:color w:val="00ADBB" w:themeColor="accent1"/>
          <w:sz w:val="26"/>
          <w:szCs w:val="26"/>
        </w:rPr>
        <w:t xml:space="preserve"> broadcasting and subscription television</w:t>
      </w:r>
    </w:p>
    <w:tbl>
      <w:tblPr>
        <w:tblStyle w:val="Commsreport2014-15TABLE"/>
        <w:tblW w:w="9429" w:type="dxa"/>
        <w:tblLayout w:type="fixed"/>
        <w:tblLook w:val="04A0" w:firstRow="1" w:lastRow="0" w:firstColumn="1" w:lastColumn="0" w:noHBand="0" w:noVBand="1"/>
        <w:tblCaption w:val="Broadcasting licences: Commercial broadcasting and subscription television"/>
      </w:tblPr>
      <w:tblGrid>
        <w:gridCol w:w="3058"/>
        <w:gridCol w:w="1061"/>
        <w:gridCol w:w="1062"/>
        <w:gridCol w:w="1062"/>
        <w:gridCol w:w="1062"/>
        <w:gridCol w:w="1062"/>
        <w:gridCol w:w="1062"/>
      </w:tblGrid>
      <w:tr w:rsidR="00244C97" w:rsidRPr="00C82DEF" w14:paraId="3AB9CD6A" w14:textId="77777777" w:rsidTr="00C82DEF">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58" w:type="dxa"/>
            <w:shd w:val="clear" w:color="auto" w:fill="auto"/>
          </w:tcPr>
          <w:p w14:paraId="6D08E75C" w14:textId="77777777" w:rsidR="00244C97" w:rsidRPr="00C82DEF" w:rsidRDefault="00244C97" w:rsidP="00C82DEF">
            <w:pPr>
              <w:pStyle w:val="TableHeading"/>
              <w:spacing w:before="20"/>
              <w:rPr>
                <w:b/>
              </w:rPr>
            </w:pPr>
          </w:p>
        </w:tc>
        <w:tc>
          <w:tcPr>
            <w:tcW w:w="1061" w:type="dxa"/>
            <w:vAlign w:val="top"/>
          </w:tcPr>
          <w:p w14:paraId="09A09575"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30 June 2011</w:t>
            </w:r>
          </w:p>
        </w:tc>
        <w:tc>
          <w:tcPr>
            <w:tcW w:w="1062" w:type="dxa"/>
            <w:vAlign w:val="top"/>
          </w:tcPr>
          <w:p w14:paraId="709265AB"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30 June 2012</w:t>
            </w:r>
          </w:p>
        </w:tc>
        <w:tc>
          <w:tcPr>
            <w:tcW w:w="1062" w:type="dxa"/>
            <w:vAlign w:val="top"/>
          </w:tcPr>
          <w:p w14:paraId="3B534BDB"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30 June 2013</w:t>
            </w:r>
          </w:p>
        </w:tc>
        <w:tc>
          <w:tcPr>
            <w:tcW w:w="1062" w:type="dxa"/>
            <w:vAlign w:val="top"/>
          </w:tcPr>
          <w:p w14:paraId="0591D86B"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30 June 2014</w:t>
            </w:r>
          </w:p>
        </w:tc>
        <w:tc>
          <w:tcPr>
            <w:tcW w:w="1062" w:type="dxa"/>
            <w:vAlign w:val="top"/>
          </w:tcPr>
          <w:p w14:paraId="47283BC4" w14:textId="77777777" w:rsidR="00244C97" w:rsidRPr="00C82DEF" w:rsidRDefault="00244C9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30 June 2015</w:t>
            </w:r>
          </w:p>
        </w:tc>
        <w:tc>
          <w:tcPr>
            <w:tcW w:w="1062" w:type="dxa"/>
            <w:vAlign w:val="top"/>
          </w:tcPr>
          <w:p w14:paraId="6D899F33" w14:textId="77777777" w:rsidR="006823B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 xml:space="preserve">2014–15 </w:t>
            </w:r>
            <w:r w:rsidR="007E694F" w:rsidRPr="00C82DEF">
              <w:rPr>
                <w:b/>
                <w:szCs w:val="18"/>
              </w:rPr>
              <w:t>c</w:t>
            </w:r>
            <w:r w:rsidRPr="00C82DEF">
              <w:rPr>
                <w:b/>
                <w:szCs w:val="18"/>
              </w:rPr>
              <w:t>hange</w:t>
            </w:r>
          </w:p>
          <w:p w14:paraId="53AD4EED" w14:textId="77777777" w:rsidR="00244C97" w:rsidRPr="00C82DEF" w:rsidRDefault="006823B7" w:rsidP="00C82DEF">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C82DEF">
              <w:rPr>
                <w:b/>
                <w:szCs w:val="18"/>
              </w:rPr>
              <w:t>(%)</w:t>
            </w:r>
          </w:p>
        </w:tc>
      </w:tr>
      <w:tr w:rsidR="00244C97" w:rsidRPr="00FD7E86" w14:paraId="25B12E44"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8" w:type="dxa"/>
          </w:tcPr>
          <w:p w14:paraId="050A23E4" w14:textId="77777777" w:rsidR="00244C97" w:rsidRPr="00900A5E" w:rsidRDefault="00244C97" w:rsidP="00244C97">
            <w:pPr>
              <w:keepNext/>
              <w:keepLines/>
              <w:spacing w:before="40" w:after="40"/>
              <w:rPr>
                <w:rFonts w:cs="Arial"/>
                <w:color w:val="auto"/>
                <w:szCs w:val="18"/>
              </w:rPr>
            </w:pPr>
            <w:r w:rsidRPr="00900A5E">
              <w:rPr>
                <w:rFonts w:cs="Arial"/>
                <w:color w:val="auto"/>
                <w:szCs w:val="18"/>
              </w:rPr>
              <w:t>Commercial radio</w:t>
            </w:r>
          </w:p>
        </w:tc>
        <w:tc>
          <w:tcPr>
            <w:tcW w:w="1061" w:type="dxa"/>
          </w:tcPr>
          <w:p w14:paraId="710FA722"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273</w:t>
            </w:r>
          </w:p>
        </w:tc>
        <w:tc>
          <w:tcPr>
            <w:tcW w:w="1062" w:type="dxa"/>
          </w:tcPr>
          <w:p w14:paraId="008BC43B"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273</w:t>
            </w:r>
          </w:p>
        </w:tc>
        <w:tc>
          <w:tcPr>
            <w:tcW w:w="1062" w:type="dxa"/>
          </w:tcPr>
          <w:p w14:paraId="0CF3CF19"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273</w:t>
            </w:r>
          </w:p>
        </w:tc>
        <w:tc>
          <w:tcPr>
            <w:tcW w:w="1062" w:type="dxa"/>
          </w:tcPr>
          <w:p w14:paraId="005CA663"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273</w:t>
            </w:r>
          </w:p>
        </w:tc>
        <w:tc>
          <w:tcPr>
            <w:tcW w:w="1062" w:type="dxa"/>
          </w:tcPr>
          <w:p w14:paraId="7D67DAB2"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273</w:t>
            </w:r>
          </w:p>
        </w:tc>
        <w:tc>
          <w:tcPr>
            <w:tcW w:w="1062" w:type="dxa"/>
          </w:tcPr>
          <w:p w14:paraId="143DE61A"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0.0</w:t>
            </w:r>
          </w:p>
        </w:tc>
      </w:tr>
      <w:tr w:rsidR="00244C97" w:rsidRPr="00FD7E86" w14:paraId="0AEA36E8"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8" w:type="dxa"/>
          </w:tcPr>
          <w:p w14:paraId="1948B0BC" w14:textId="77777777" w:rsidR="00244C97" w:rsidRPr="00900A5E" w:rsidRDefault="00244C97" w:rsidP="00244C97">
            <w:pPr>
              <w:keepNext/>
              <w:keepLines/>
              <w:spacing w:before="40" w:after="40"/>
              <w:rPr>
                <w:rFonts w:cs="Arial"/>
                <w:color w:val="auto"/>
                <w:szCs w:val="18"/>
              </w:rPr>
            </w:pPr>
            <w:r w:rsidRPr="00900A5E">
              <w:rPr>
                <w:rFonts w:cs="Arial"/>
                <w:color w:val="auto"/>
              </w:rPr>
              <w:t>Commercial television</w:t>
            </w:r>
          </w:p>
        </w:tc>
        <w:tc>
          <w:tcPr>
            <w:tcW w:w="1061" w:type="dxa"/>
          </w:tcPr>
          <w:p w14:paraId="14B0E175"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69</w:t>
            </w:r>
          </w:p>
        </w:tc>
        <w:tc>
          <w:tcPr>
            <w:tcW w:w="1062" w:type="dxa"/>
          </w:tcPr>
          <w:p w14:paraId="60C61214"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69</w:t>
            </w:r>
          </w:p>
        </w:tc>
        <w:tc>
          <w:tcPr>
            <w:tcW w:w="1062" w:type="dxa"/>
          </w:tcPr>
          <w:p w14:paraId="29B07B88" w14:textId="77777777" w:rsidR="00244C97" w:rsidRPr="00FD7E86" w:rsidRDefault="00586A5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69</w:t>
            </w:r>
          </w:p>
        </w:tc>
        <w:tc>
          <w:tcPr>
            <w:tcW w:w="1062" w:type="dxa"/>
          </w:tcPr>
          <w:p w14:paraId="727FEA51"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69</w:t>
            </w:r>
          </w:p>
        </w:tc>
        <w:tc>
          <w:tcPr>
            <w:tcW w:w="1062" w:type="dxa"/>
          </w:tcPr>
          <w:p w14:paraId="304D246E" w14:textId="77777777" w:rsidR="00244C97" w:rsidRPr="00FD7E86" w:rsidRDefault="00586A5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69</w:t>
            </w:r>
          </w:p>
        </w:tc>
        <w:tc>
          <w:tcPr>
            <w:tcW w:w="1062" w:type="dxa"/>
          </w:tcPr>
          <w:p w14:paraId="1A7B654F" w14:textId="77777777" w:rsidR="00244C97" w:rsidRPr="00FD7E86" w:rsidRDefault="00586A5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0.0</w:t>
            </w:r>
          </w:p>
        </w:tc>
      </w:tr>
      <w:tr w:rsidR="00244C97" w:rsidRPr="00FD7E86" w14:paraId="09B0138B"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58" w:type="dxa"/>
          </w:tcPr>
          <w:p w14:paraId="56492664" w14:textId="77777777" w:rsidR="00244C97" w:rsidRPr="00900A5E" w:rsidRDefault="00244C97" w:rsidP="00244C97">
            <w:pPr>
              <w:keepNext/>
              <w:keepLines/>
              <w:spacing w:before="40" w:after="40"/>
              <w:rPr>
                <w:rFonts w:cs="Arial"/>
                <w:color w:val="auto"/>
                <w:szCs w:val="18"/>
              </w:rPr>
            </w:pPr>
            <w:r w:rsidRPr="00900A5E">
              <w:rPr>
                <w:rFonts w:cs="Arial"/>
                <w:color w:val="auto"/>
              </w:rPr>
              <w:t>Subscription television*</w:t>
            </w:r>
          </w:p>
        </w:tc>
        <w:tc>
          <w:tcPr>
            <w:tcW w:w="1061" w:type="dxa"/>
          </w:tcPr>
          <w:p w14:paraId="4F52A870"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2,728</w:t>
            </w:r>
          </w:p>
        </w:tc>
        <w:tc>
          <w:tcPr>
            <w:tcW w:w="1062" w:type="dxa"/>
          </w:tcPr>
          <w:p w14:paraId="3114AFEC"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2,719</w:t>
            </w:r>
          </w:p>
        </w:tc>
        <w:tc>
          <w:tcPr>
            <w:tcW w:w="1062" w:type="dxa"/>
          </w:tcPr>
          <w:p w14:paraId="01ADC568"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2,735</w:t>
            </w:r>
          </w:p>
        </w:tc>
        <w:tc>
          <w:tcPr>
            <w:tcW w:w="1062" w:type="dxa"/>
          </w:tcPr>
          <w:p w14:paraId="027AE400"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2,735</w:t>
            </w:r>
          </w:p>
        </w:tc>
        <w:tc>
          <w:tcPr>
            <w:tcW w:w="1062" w:type="dxa"/>
          </w:tcPr>
          <w:p w14:paraId="3F8996D7"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2,735</w:t>
            </w:r>
          </w:p>
        </w:tc>
        <w:tc>
          <w:tcPr>
            <w:tcW w:w="1062" w:type="dxa"/>
          </w:tcPr>
          <w:p w14:paraId="1C6C817B" w14:textId="77777777" w:rsidR="00244C97" w:rsidRPr="00FD7E86" w:rsidRDefault="00244C97" w:rsidP="00244C97">
            <w:pPr>
              <w:keepNext/>
              <w:keepLines/>
              <w:spacing w:before="40" w:after="40"/>
              <w:ind w:right="7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0.0</w:t>
            </w:r>
          </w:p>
        </w:tc>
      </w:tr>
    </w:tbl>
    <w:p w14:paraId="42EA7664" w14:textId="77777777" w:rsidR="00586A57" w:rsidRPr="00FD7E86" w:rsidRDefault="00244C97" w:rsidP="000664F7">
      <w:pPr>
        <w:pStyle w:val="ACMANotes"/>
      </w:pPr>
      <w:r w:rsidRPr="00FD7E86">
        <w:t>*Each subscription service is licensed separately.</w:t>
      </w:r>
    </w:p>
    <w:p w14:paraId="37CCAB54" w14:textId="77777777" w:rsidR="00305E39" w:rsidRDefault="00244C97" w:rsidP="000664F7">
      <w:pPr>
        <w:pStyle w:val="ACMANotes"/>
      </w:pPr>
      <w:r w:rsidRPr="00FD7E86" w:rsidDel="002E7F7F">
        <w:rPr>
          <w:vertAlign w:val="superscript"/>
        </w:rPr>
        <w:t>†</w:t>
      </w:r>
      <w:r w:rsidRPr="00FD7E86">
        <w:t xml:space="preserve">Source: </w:t>
      </w:r>
      <w:r w:rsidR="009F0863" w:rsidRPr="00FD7E86">
        <w:t>S</w:t>
      </w:r>
      <w:r w:rsidRPr="00FD7E86">
        <w:t>ee Chapter 1. Further explanatory details for this data can be found in the source chapter.</w:t>
      </w:r>
      <w:bookmarkStart w:id="57" w:name="_Toc308517086"/>
      <w:bookmarkStart w:id="58" w:name="_Toc308523546"/>
      <w:bookmarkStart w:id="59" w:name="_Toc310326773"/>
      <w:bookmarkStart w:id="60" w:name="_Toc341428274"/>
      <w:bookmarkStart w:id="61" w:name="_Toc370381855"/>
      <w:bookmarkStart w:id="62" w:name="_Toc371588969"/>
      <w:bookmarkStart w:id="63" w:name="_Toc373149031"/>
      <w:bookmarkStart w:id="64" w:name="_Toc399331706"/>
      <w:bookmarkStart w:id="65" w:name="_Toc399336887"/>
    </w:p>
    <w:p w14:paraId="41D5768E" w14:textId="77777777" w:rsidR="00305E39" w:rsidRDefault="00305E39" w:rsidP="00305E39">
      <w:pPr>
        <w:pStyle w:val="ACMASpaceaftertable"/>
      </w:pPr>
    </w:p>
    <w:p w14:paraId="3531F28A" w14:textId="77777777" w:rsidR="00244C97" w:rsidRPr="00FD7E86" w:rsidRDefault="00244C97" w:rsidP="0024643D">
      <w:pPr>
        <w:spacing w:after="0" w:line="240" w:lineRule="auto"/>
        <w:rPr>
          <w:b/>
          <w:sz w:val="32"/>
          <w:szCs w:val="32"/>
        </w:rPr>
      </w:pPr>
      <w:r w:rsidRPr="00FD7E86">
        <w:rPr>
          <w:b/>
          <w:sz w:val="32"/>
          <w:szCs w:val="32"/>
        </w:rPr>
        <w:t xml:space="preserve">Number portability </w:t>
      </w:r>
      <w:bookmarkEnd w:id="57"/>
      <w:bookmarkEnd w:id="58"/>
      <w:bookmarkEnd w:id="59"/>
      <w:bookmarkEnd w:id="60"/>
      <w:bookmarkEnd w:id="61"/>
      <w:bookmarkEnd w:id="62"/>
      <w:bookmarkEnd w:id="63"/>
      <w:bookmarkEnd w:id="64"/>
      <w:bookmarkEnd w:id="65"/>
    </w:p>
    <w:p w14:paraId="58326083"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Local and mobile numbers ported</w:t>
      </w:r>
    </w:p>
    <w:tbl>
      <w:tblPr>
        <w:tblStyle w:val="Commsreport2014-15TABLE"/>
        <w:tblW w:w="9429" w:type="dxa"/>
        <w:tblLayout w:type="fixed"/>
        <w:tblLook w:val="04A0" w:firstRow="1" w:lastRow="0" w:firstColumn="1" w:lastColumn="0" w:noHBand="0" w:noVBand="1"/>
        <w:tblCaption w:val="Number portability: Local and mobile numbers ported"/>
      </w:tblPr>
      <w:tblGrid>
        <w:gridCol w:w="3063"/>
        <w:gridCol w:w="1060"/>
        <w:gridCol w:w="1060"/>
        <w:gridCol w:w="1060"/>
        <w:gridCol w:w="1060"/>
        <w:gridCol w:w="1060"/>
        <w:gridCol w:w="1066"/>
      </w:tblGrid>
      <w:tr w:rsidR="00244C97" w:rsidRPr="000F1A43" w14:paraId="641E08B0"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3" w:type="dxa"/>
            <w:shd w:val="clear" w:color="auto" w:fill="auto"/>
          </w:tcPr>
          <w:p w14:paraId="1FAD6D44" w14:textId="77777777" w:rsidR="00244C97" w:rsidRPr="000F1A43" w:rsidRDefault="00244C97" w:rsidP="000F1A43">
            <w:pPr>
              <w:pStyle w:val="TableHeading"/>
              <w:spacing w:before="20"/>
              <w:rPr>
                <w:b/>
              </w:rPr>
            </w:pPr>
          </w:p>
        </w:tc>
        <w:tc>
          <w:tcPr>
            <w:tcW w:w="1060" w:type="dxa"/>
            <w:vAlign w:val="top"/>
          </w:tcPr>
          <w:p w14:paraId="5B457DDA"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Jun-11</w:t>
            </w:r>
          </w:p>
        </w:tc>
        <w:tc>
          <w:tcPr>
            <w:tcW w:w="1060" w:type="dxa"/>
            <w:vAlign w:val="top"/>
          </w:tcPr>
          <w:p w14:paraId="13F9FE39"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Jun-12</w:t>
            </w:r>
          </w:p>
        </w:tc>
        <w:tc>
          <w:tcPr>
            <w:tcW w:w="1060" w:type="dxa"/>
            <w:vAlign w:val="top"/>
          </w:tcPr>
          <w:p w14:paraId="789A8501"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Jun-13</w:t>
            </w:r>
          </w:p>
        </w:tc>
        <w:tc>
          <w:tcPr>
            <w:tcW w:w="1060" w:type="dxa"/>
            <w:vAlign w:val="top"/>
          </w:tcPr>
          <w:p w14:paraId="5AED6F52"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Jun-14</w:t>
            </w:r>
          </w:p>
        </w:tc>
        <w:tc>
          <w:tcPr>
            <w:tcW w:w="1060" w:type="dxa"/>
            <w:vAlign w:val="top"/>
          </w:tcPr>
          <w:p w14:paraId="61D495A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Jun-15</w:t>
            </w:r>
          </w:p>
        </w:tc>
        <w:tc>
          <w:tcPr>
            <w:tcW w:w="1066" w:type="dxa"/>
            <w:vAlign w:val="top"/>
          </w:tcPr>
          <w:p w14:paraId="337DDA9F" w14:textId="77777777" w:rsidR="006823B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 xml:space="preserve">2014–15 </w:t>
            </w:r>
            <w:r w:rsidR="007E694F" w:rsidRPr="000F1A43">
              <w:rPr>
                <w:b/>
                <w:szCs w:val="18"/>
              </w:rPr>
              <w:t>c</w:t>
            </w:r>
            <w:r w:rsidRPr="000F1A43">
              <w:rPr>
                <w:b/>
                <w:szCs w:val="18"/>
              </w:rPr>
              <w:t>hange</w:t>
            </w:r>
          </w:p>
          <w:p w14:paraId="7E38CD04" w14:textId="77777777" w:rsidR="00244C9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w:t>
            </w:r>
          </w:p>
        </w:tc>
      </w:tr>
      <w:tr w:rsidR="00244C97" w:rsidRPr="00FD7E86" w14:paraId="06092686"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6F403A0D" w14:textId="77777777" w:rsidR="00244C97" w:rsidRPr="00900A5E" w:rsidRDefault="00244C97" w:rsidP="00244C97">
            <w:pPr>
              <w:spacing w:before="20" w:after="20"/>
              <w:rPr>
                <w:rFonts w:cs="Arial"/>
                <w:i/>
                <w:color w:val="auto"/>
                <w:szCs w:val="18"/>
              </w:rPr>
            </w:pPr>
            <w:r w:rsidRPr="00900A5E">
              <w:rPr>
                <w:rFonts w:cs="Arial"/>
                <w:color w:val="auto"/>
              </w:rPr>
              <w:t>Local geographic numbers</w:t>
            </w:r>
          </w:p>
        </w:tc>
        <w:tc>
          <w:tcPr>
            <w:tcW w:w="1060" w:type="dxa"/>
          </w:tcPr>
          <w:p w14:paraId="0DFFF711"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702,369</w:t>
            </w:r>
          </w:p>
        </w:tc>
        <w:tc>
          <w:tcPr>
            <w:tcW w:w="1060" w:type="dxa"/>
          </w:tcPr>
          <w:p w14:paraId="2FB601D9"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627,160</w:t>
            </w:r>
          </w:p>
        </w:tc>
        <w:tc>
          <w:tcPr>
            <w:tcW w:w="1060" w:type="dxa"/>
          </w:tcPr>
          <w:p w14:paraId="74719DEC"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763,422</w:t>
            </w:r>
          </w:p>
        </w:tc>
        <w:tc>
          <w:tcPr>
            <w:tcW w:w="1060" w:type="dxa"/>
          </w:tcPr>
          <w:p w14:paraId="45C45A80"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865,522</w:t>
            </w:r>
          </w:p>
        </w:tc>
        <w:tc>
          <w:tcPr>
            <w:tcW w:w="1060" w:type="dxa"/>
          </w:tcPr>
          <w:p w14:paraId="18D0AC68"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1,223,599</w:t>
            </w:r>
          </w:p>
        </w:tc>
        <w:tc>
          <w:tcPr>
            <w:tcW w:w="1066" w:type="dxa"/>
          </w:tcPr>
          <w:p w14:paraId="1872C556"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+41.4</w:t>
            </w:r>
          </w:p>
        </w:tc>
      </w:tr>
      <w:tr w:rsidR="00244C97" w:rsidRPr="00FD7E86" w14:paraId="0479A262"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28179196" w14:textId="77777777" w:rsidR="00244C97" w:rsidRPr="00900A5E" w:rsidRDefault="00244C97" w:rsidP="00244C97">
            <w:pPr>
              <w:spacing w:before="20" w:after="20"/>
              <w:rPr>
                <w:rFonts w:cs="Arial"/>
                <w:b/>
                <w:color w:val="auto"/>
                <w:szCs w:val="18"/>
              </w:rPr>
            </w:pPr>
            <w:r w:rsidRPr="00900A5E">
              <w:rPr>
                <w:rFonts w:cs="Arial"/>
                <w:color w:val="auto"/>
              </w:rPr>
              <w:t>Mobile numbers</w:t>
            </w:r>
          </w:p>
        </w:tc>
        <w:tc>
          <w:tcPr>
            <w:tcW w:w="1060" w:type="dxa"/>
          </w:tcPr>
          <w:p w14:paraId="2B38F618"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1,896,016</w:t>
            </w:r>
          </w:p>
        </w:tc>
        <w:tc>
          <w:tcPr>
            <w:tcW w:w="1060" w:type="dxa"/>
          </w:tcPr>
          <w:p w14:paraId="4345BEF3"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2,627,350</w:t>
            </w:r>
          </w:p>
        </w:tc>
        <w:tc>
          <w:tcPr>
            <w:tcW w:w="1060" w:type="dxa"/>
          </w:tcPr>
          <w:p w14:paraId="65BB4E03"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20"/>
              </w:rPr>
              <w:t>1,743,485</w:t>
            </w:r>
          </w:p>
        </w:tc>
        <w:tc>
          <w:tcPr>
            <w:tcW w:w="1060" w:type="dxa"/>
          </w:tcPr>
          <w:p w14:paraId="5DACABD8"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1,668,163</w:t>
            </w:r>
          </w:p>
        </w:tc>
        <w:tc>
          <w:tcPr>
            <w:tcW w:w="1060" w:type="dxa"/>
          </w:tcPr>
          <w:p w14:paraId="444966BE"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1,721,284</w:t>
            </w:r>
          </w:p>
        </w:tc>
        <w:tc>
          <w:tcPr>
            <w:tcW w:w="1066" w:type="dxa"/>
          </w:tcPr>
          <w:p w14:paraId="4EF768BB"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w:t>
            </w:r>
          </w:p>
        </w:tc>
      </w:tr>
      <w:tr w:rsidR="00244C97" w:rsidRPr="00FD7E86" w14:paraId="57D1B681"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495731EA" w14:textId="77777777" w:rsidR="00244C97" w:rsidRPr="00900A5E" w:rsidRDefault="00244C97" w:rsidP="00244C97">
            <w:pPr>
              <w:spacing w:before="20" w:after="20"/>
              <w:rPr>
                <w:rFonts w:cs="Arial"/>
                <w:color w:val="auto"/>
              </w:rPr>
            </w:pPr>
            <w:r w:rsidRPr="00900A5E">
              <w:rPr>
                <w:rFonts w:cs="Arial"/>
                <w:color w:val="auto"/>
              </w:rPr>
              <w:t>Freephone and local rate</w:t>
            </w:r>
          </w:p>
        </w:tc>
        <w:tc>
          <w:tcPr>
            <w:tcW w:w="1060" w:type="dxa"/>
          </w:tcPr>
          <w:p w14:paraId="3122AD35"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20"/>
              </w:rPr>
            </w:pPr>
            <w:r w:rsidRPr="00FD7E86">
              <w:rPr>
                <w:rFonts w:cs="Arial"/>
                <w:szCs w:val="20"/>
              </w:rPr>
              <w:t>18,830</w:t>
            </w:r>
          </w:p>
        </w:tc>
        <w:tc>
          <w:tcPr>
            <w:tcW w:w="1060" w:type="dxa"/>
          </w:tcPr>
          <w:p w14:paraId="1A5BA3DF"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12,814</w:t>
            </w:r>
          </w:p>
        </w:tc>
        <w:tc>
          <w:tcPr>
            <w:tcW w:w="1060" w:type="dxa"/>
          </w:tcPr>
          <w:p w14:paraId="48AA5EC7"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20"/>
              </w:rPr>
              <w:t>13,096</w:t>
            </w:r>
          </w:p>
        </w:tc>
        <w:tc>
          <w:tcPr>
            <w:tcW w:w="1060" w:type="dxa"/>
          </w:tcPr>
          <w:p w14:paraId="4B02DE0C"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11,088</w:t>
            </w:r>
          </w:p>
        </w:tc>
        <w:tc>
          <w:tcPr>
            <w:tcW w:w="1060" w:type="dxa"/>
          </w:tcPr>
          <w:p w14:paraId="480D3F76"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12,495</w:t>
            </w:r>
          </w:p>
        </w:tc>
        <w:tc>
          <w:tcPr>
            <w:tcW w:w="1066" w:type="dxa"/>
          </w:tcPr>
          <w:p w14:paraId="3F48682F" w14:textId="77777777" w:rsidR="00244C97" w:rsidRPr="00FD7E86" w:rsidRDefault="00244C97" w:rsidP="00244C97">
            <w:pPr>
              <w:tabs>
                <w:tab w:val="left" w:pos="771"/>
              </w:tabs>
              <w:spacing w:before="20" w:after="2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+12.7</w:t>
            </w:r>
          </w:p>
        </w:tc>
      </w:tr>
    </w:tbl>
    <w:p w14:paraId="23534E21" w14:textId="77777777" w:rsidR="00244C97" w:rsidRPr="00FD7E86" w:rsidRDefault="00244C97" w:rsidP="000664F7">
      <w:pPr>
        <w:pStyle w:val="ACMANotes"/>
      </w:pPr>
      <w:r w:rsidRPr="00FD7E86">
        <w:t xml:space="preserve">Source: </w:t>
      </w:r>
      <w:r w:rsidR="009F0863" w:rsidRPr="00FD7E86">
        <w:t>S</w:t>
      </w:r>
      <w:r w:rsidRPr="00FD7E86">
        <w:t>ee Chapter 5. Further explanatory details for this data can be found in the source chapter.</w:t>
      </w:r>
    </w:p>
    <w:p w14:paraId="4DE9049B" w14:textId="77777777" w:rsidR="00D4754C" w:rsidRPr="00FD7E86" w:rsidRDefault="00D4754C" w:rsidP="000664F7">
      <w:pPr>
        <w:pStyle w:val="ACMASpaceaftertable"/>
      </w:pPr>
    </w:p>
    <w:p w14:paraId="7F62861F" w14:textId="77777777" w:rsidR="00244C97" w:rsidRPr="00FD7E86" w:rsidRDefault="00244C97" w:rsidP="0024643D">
      <w:pPr>
        <w:spacing w:after="0" w:line="240" w:lineRule="auto"/>
        <w:rPr>
          <w:b/>
          <w:sz w:val="32"/>
          <w:szCs w:val="32"/>
        </w:rPr>
      </w:pPr>
      <w:bookmarkStart w:id="66" w:name="_Toc308517087"/>
      <w:bookmarkStart w:id="67" w:name="_Toc308523547"/>
      <w:bookmarkStart w:id="68" w:name="_Toc310326774"/>
      <w:bookmarkStart w:id="69" w:name="_Toc341428275"/>
      <w:bookmarkStart w:id="70" w:name="_Toc370381856"/>
      <w:bookmarkStart w:id="71" w:name="_Toc371588970"/>
      <w:bookmarkStart w:id="72" w:name="_Toc373149032"/>
      <w:bookmarkStart w:id="73" w:name="_Toc399331707"/>
      <w:bookmarkStart w:id="74" w:name="_Toc399336888"/>
      <w:r w:rsidRPr="00FD7E86">
        <w:rPr>
          <w:b/>
          <w:sz w:val="32"/>
          <w:szCs w:val="32"/>
        </w:rPr>
        <w:t>National interest matters</w:t>
      </w:r>
      <w:bookmarkEnd w:id="66"/>
      <w:bookmarkEnd w:id="67"/>
      <w:bookmarkEnd w:id="68"/>
      <w:bookmarkEnd w:id="69"/>
      <w:bookmarkEnd w:id="70"/>
      <w:bookmarkEnd w:id="71"/>
      <w:bookmarkEnd w:id="72"/>
      <w:bookmarkEnd w:id="73"/>
      <w:bookmarkEnd w:id="74"/>
    </w:p>
    <w:p w14:paraId="01C04EF9"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Call volumes to emergency call service numbers Triple Zero and 112</w:t>
      </w:r>
    </w:p>
    <w:tbl>
      <w:tblPr>
        <w:tblStyle w:val="Commsreport2014-15TABLE"/>
        <w:tblW w:w="9429" w:type="dxa"/>
        <w:tblLayout w:type="fixed"/>
        <w:tblLook w:val="04A0" w:firstRow="1" w:lastRow="0" w:firstColumn="1" w:lastColumn="0" w:noHBand="0" w:noVBand="1"/>
        <w:tblCaption w:val="National interest matters: Call volumes to emergency call service numbers Triple Zero and 112"/>
      </w:tblPr>
      <w:tblGrid>
        <w:gridCol w:w="3063"/>
        <w:gridCol w:w="1061"/>
        <w:gridCol w:w="1061"/>
        <w:gridCol w:w="1061"/>
        <w:gridCol w:w="1061"/>
        <w:gridCol w:w="1061"/>
        <w:gridCol w:w="1061"/>
      </w:tblGrid>
      <w:tr w:rsidR="00244C97" w:rsidRPr="000F1A43" w14:paraId="21F4905E" w14:textId="77777777" w:rsidTr="000F1A43">
        <w:trPr>
          <w:cnfStyle w:val="100000000000" w:firstRow="1" w:lastRow="0" w:firstColumn="0" w:lastColumn="0" w:oddVBand="0" w:evenVBand="0" w:oddHBand="0" w:evenHBand="0" w:firstRowFirstColumn="0" w:firstRowLastColumn="0" w:lastRowFirstColumn="0" w:lastRowLastColumn="0"/>
          <w:trHeight w:val="500"/>
          <w:tblHeader/>
        </w:trPr>
        <w:tc>
          <w:tcPr>
            <w:cnfStyle w:val="001000000000" w:firstRow="0" w:lastRow="0" w:firstColumn="1" w:lastColumn="0" w:oddVBand="0" w:evenVBand="0" w:oddHBand="0" w:evenHBand="0" w:firstRowFirstColumn="0" w:firstRowLastColumn="0" w:lastRowFirstColumn="0" w:lastRowLastColumn="0"/>
            <w:tcW w:w="3062" w:type="dxa"/>
            <w:shd w:val="clear" w:color="auto" w:fill="auto"/>
          </w:tcPr>
          <w:p w14:paraId="49A255BD" w14:textId="77777777" w:rsidR="00244C97" w:rsidRPr="000F1A43" w:rsidRDefault="00244C97" w:rsidP="000F1A43">
            <w:pPr>
              <w:pStyle w:val="TableHeading"/>
              <w:spacing w:before="20"/>
              <w:rPr>
                <w:b/>
              </w:rPr>
            </w:pPr>
          </w:p>
        </w:tc>
        <w:tc>
          <w:tcPr>
            <w:tcW w:w="1060" w:type="dxa"/>
            <w:vAlign w:val="top"/>
          </w:tcPr>
          <w:p w14:paraId="73BFFEBD"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2010–11</w:t>
            </w:r>
          </w:p>
        </w:tc>
        <w:tc>
          <w:tcPr>
            <w:tcW w:w="1060" w:type="dxa"/>
            <w:vAlign w:val="top"/>
          </w:tcPr>
          <w:p w14:paraId="279C89A7"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2011–12</w:t>
            </w:r>
          </w:p>
        </w:tc>
        <w:tc>
          <w:tcPr>
            <w:tcW w:w="1060" w:type="dxa"/>
            <w:vAlign w:val="top"/>
          </w:tcPr>
          <w:p w14:paraId="3B59A23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2012–13</w:t>
            </w:r>
          </w:p>
        </w:tc>
        <w:tc>
          <w:tcPr>
            <w:tcW w:w="1060" w:type="dxa"/>
            <w:vAlign w:val="top"/>
          </w:tcPr>
          <w:p w14:paraId="78B0C39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2013–14</w:t>
            </w:r>
          </w:p>
        </w:tc>
        <w:tc>
          <w:tcPr>
            <w:tcW w:w="1060" w:type="dxa"/>
            <w:vAlign w:val="top"/>
          </w:tcPr>
          <w:p w14:paraId="304C46C2"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rPr>
            </w:pPr>
            <w:r w:rsidRPr="000F1A43">
              <w:rPr>
                <w:rFonts w:cs="Arial"/>
                <w:b/>
              </w:rPr>
              <w:t>2014–15</w:t>
            </w:r>
          </w:p>
        </w:tc>
        <w:tc>
          <w:tcPr>
            <w:tcW w:w="1060" w:type="dxa"/>
            <w:vAlign w:val="top"/>
          </w:tcPr>
          <w:p w14:paraId="79433E4A" w14:textId="77777777" w:rsidR="006823B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0F1A43">
              <w:rPr>
                <w:rFonts w:cs="Arial"/>
                <w:b/>
                <w:szCs w:val="18"/>
              </w:rPr>
              <w:t>20</w:t>
            </w:r>
            <w:r w:rsidR="007F055E" w:rsidRPr="000F1A43">
              <w:rPr>
                <w:rFonts w:cs="Arial"/>
                <w:b/>
                <w:szCs w:val="18"/>
              </w:rPr>
              <w:t xml:space="preserve">13–14 to </w:t>
            </w:r>
            <w:r w:rsidR="007F055E" w:rsidRPr="000F1A43">
              <w:rPr>
                <w:rFonts w:cs="Arial"/>
                <w:b/>
                <w:szCs w:val="18"/>
              </w:rPr>
              <w:br/>
              <w:t>20</w:t>
            </w:r>
            <w:r w:rsidRPr="000F1A43">
              <w:rPr>
                <w:rFonts w:cs="Arial"/>
                <w:b/>
                <w:szCs w:val="18"/>
              </w:rPr>
              <w:t xml:space="preserve">14–15 </w:t>
            </w:r>
            <w:r w:rsidR="007E694F" w:rsidRPr="000F1A43">
              <w:rPr>
                <w:rFonts w:cs="Arial"/>
                <w:b/>
                <w:szCs w:val="18"/>
              </w:rPr>
              <w:t>c</w:t>
            </w:r>
            <w:r w:rsidRPr="000F1A43">
              <w:rPr>
                <w:rFonts w:cs="Arial"/>
                <w:b/>
                <w:szCs w:val="18"/>
              </w:rPr>
              <w:t>hange</w:t>
            </w:r>
          </w:p>
          <w:p w14:paraId="23B99778" w14:textId="77777777" w:rsidR="00244C9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0F1A43">
              <w:rPr>
                <w:rFonts w:cs="Arial"/>
                <w:b/>
                <w:szCs w:val="18"/>
              </w:rPr>
              <w:t>(%)</w:t>
            </w:r>
          </w:p>
        </w:tc>
      </w:tr>
      <w:tr w:rsidR="00244C97" w:rsidRPr="00FD7E86" w14:paraId="4A1230C3" w14:textId="77777777" w:rsidTr="00244C97">
        <w:trPr>
          <w:trHeight w:val="508"/>
        </w:trPr>
        <w:tc>
          <w:tcPr>
            <w:cnfStyle w:val="001000000000" w:firstRow="0" w:lastRow="0" w:firstColumn="1" w:lastColumn="0" w:oddVBand="0" w:evenVBand="0" w:oddHBand="0" w:evenHBand="0" w:firstRowFirstColumn="0" w:firstRowLastColumn="0" w:lastRowFirstColumn="0" w:lastRowLastColumn="0"/>
            <w:tcW w:w="3062" w:type="dxa"/>
          </w:tcPr>
          <w:p w14:paraId="3E531B59" w14:textId="77777777" w:rsidR="00244C97" w:rsidRPr="00900A5E" w:rsidRDefault="00244C97" w:rsidP="00244C97">
            <w:pPr>
              <w:spacing w:before="20" w:after="20"/>
              <w:rPr>
                <w:rFonts w:cs="Arial"/>
                <w:color w:val="auto"/>
              </w:rPr>
            </w:pPr>
            <w:r w:rsidRPr="00900A5E">
              <w:rPr>
                <w:rFonts w:cs="Arial"/>
                <w:color w:val="auto"/>
              </w:rPr>
              <w:t>Total number of calls offered</w:t>
            </w:r>
          </w:p>
        </w:tc>
        <w:tc>
          <w:tcPr>
            <w:tcW w:w="1060" w:type="dxa"/>
          </w:tcPr>
          <w:p w14:paraId="154CFDD3"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8,867,191</w:t>
            </w:r>
          </w:p>
        </w:tc>
        <w:tc>
          <w:tcPr>
            <w:tcW w:w="1060" w:type="dxa"/>
          </w:tcPr>
          <w:p w14:paraId="45B24EFC"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9,429,595</w:t>
            </w:r>
          </w:p>
        </w:tc>
        <w:tc>
          <w:tcPr>
            <w:tcW w:w="1060" w:type="dxa"/>
          </w:tcPr>
          <w:p w14:paraId="648CF063"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8,854,728</w:t>
            </w:r>
          </w:p>
        </w:tc>
        <w:tc>
          <w:tcPr>
            <w:tcW w:w="1060" w:type="dxa"/>
          </w:tcPr>
          <w:p w14:paraId="0DEEF3D0"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8,481,470</w:t>
            </w:r>
          </w:p>
        </w:tc>
        <w:tc>
          <w:tcPr>
            <w:tcW w:w="1060" w:type="dxa"/>
          </w:tcPr>
          <w:p w14:paraId="230C30FB"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8,377,394</w:t>
            </w:r>
          </w:p>
        </w:tc>
        <w:tc>
          <w:tcPr>
            <w:tcW w:w="1060" w:type="dxa"/>
          </w:tcPr>
          <w:p w14:paraId="25BFCC6D"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–1.2</w:t>
            </w:r>
          </w:p>
        </w:tc>
      </w:tr>
      <w:tr w:rsidR="00244C97" w:rsidRPr="00FD7E86" w14:paraId="5BF325D5" w14:textId="77777777" w:rsidTr="00244C97">
        <w:trPr>
          <w:trHeight w:val="516"/>
        </w:trPr>
        <w:tc>
          <w:tcPr>
            <w:cnfStyle w:val="001000000000" w:firstRow="0" w:lastRow="0" w:firstColumn="1" w:lastColumn="0" w:oddVBand="0" w:evenVBand="0" w:oddHBand="0" w:evenHBand="0" w:firstRowFirstColumn="0" w:firstRowLastColumn="0" w:lastRowFirstColumn="0" w:lastRowLastColumn="0"/>
            <w:tcW w:w="3062" w:type="dxa"/>
          </w:tcPr>
          <w:p w14:paraId="36E58766" w14:textId="77777777" w:rsidR="00244C97" w:rsidRPr="00900A5E" w:rsidRDefault="00244C97" w:rsidP="00244C97">
            <w:pPr>
              <w:spacing w:before="20" w:after="20"/>
              <w:rPr>
                <w:rFonts w:cs="Arial"/>
                <w:color w:val="auto"/>
              </w:rPr>
            </w:pPr>
            <w:r w:rsidRPr="00900A5E">
              <w:rPr>
                <w:rFonts w:cs="Arial"/>
                <w:color w:val="auto"/>
              </w:rPr>
              <w:t>Total percentage of calls answered</w:t>
            </w:r>
          </w:p>
        </w:tc>
        <w:tc>
          <w:tcPr>
            <w:tcW w:w="1060" w:type="dxa"/>
          </w:tcPr>
          <w:p w14:paraId="1E8836BD"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95.8%</w:t>
            </w:r>
          </w:p>
        </w:tc>
        <w:tc>
          <w:tcPr>
            <w:tcW w:w="1060" w:type="dxa"/>
          </w:tcPr>
          <w:p w14:paraId="6AA8AC9A"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96.0%</w:t>
            </w:r>
          </w:p>
        </w:tc>
        <w:tc>
          <w:tcPr>
            <w:tcW w:w="1060" w:type="dxa"/>
          </w:tcPr>
          <w:p w14:paraId="63F275C5"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96.0%</w:t>
            </w:r>
          </w:p>
        </w:tc>
        <w:tc>
          <w:tcPr>
            <w:tcW w:w="1060" w:type="dxa"/>
          </w:tcPr>
          <w:p w14:paraId="679D00FF"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rPr>
                <w:rFonts w:cs="Arial"/>
              </w:rPr>
              <w:t>96.0%</w:t>
            </w:r>
          </w:p>
        </w:tc>
        <w:tc>
          <w:tcPr>
            <w:tcW w:w="1060" w:type="dxa"/>
          </w:tcPr>
          <w:p w14:paraId="0D3C2F33"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96.0%</w:t>
            </w:r>
          </w:p>
        </w:tc>
        <w:tc>
          <w:tcPr>
            <w:tcW w:w="1060" w:type="dxa"/>
          </w:tcPr>
          <w:p w14:paraId="58EB74F8"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0.0</w:t>
            </w:r>
          </w:p>
        </w:tc>
      </w:tr>
    </w:tbl>
    <w:p w14:paraId="19FF511F" w14:textId="77777777" w:rsidR="00244C97" w:rsidRPr="00FD7E86" w:rsidRDefault="00244C97" w:rsidP="000664F7">
      <w:pPr>
        <w:pStyle w:val="ACMANotes"/>
      </w:pPr>
      <w:r w:rsidRPr="00FD7E86">
        <w:t>Note: Calls offered refers to the number of calls waiting (at time zero) at the instant the four-second recorded voice announcement finished.</w:t>
      </w:r>
    </w:p>
    <w:p w14:paraId="72D7C596" w14:textId="77777777" w:rsidR="00244C97" w:rsidRPr="00FD7E86" w:rsidRDefault="00244C97" w:rsidP="000664F7">
      <w:pPr>
        <w:pStyle w:val="ACMANotes"/>
      </w:pPr>
      <w:r w:rsidRPr="00FD7E86">
        <w:t xml:space="preserve">Source: </w:t>
      </w:r>
      <w:r w:rsidR="009F0863" w:rsidRPr="00FD7E86">
        <w:t>S</w:t>
      </w:r>
      <w:r w:rsidRPr="00FD7E86">
        <w:t>ee Chapter 4. Further explanatory details for this data can be found in the source chapter.</w:t>
      </w:r>
    </w:p>
    <w:p w14:paraId="5AC3F597" w14:textId="77777777" w:rsidR="00244C97" w:rsidRPr="00FD7E86" w:rsidRDefault="00244C97" w:rsidP="000664F7">
      <w:pPr>
        <w:pStyle w:val="ACMASpaceaftertable"/>
      </w:pPr>
    </w:p>
    <w:p w14:paraId="2AB1837D" w14:textId="77777777" w:rsidR="00244C97" w:rsidRPr="00FD7E86" w:rsidRDefault="00244C97" w:rsidP="00C05F4C">
      <w:pPr>
        <w:keepNext/>
        <w:spacing w:before="240" w:after="120"/>
        <w:rPr>
          <w:b/>
          <w:color w:val="00ADBB" w:themeColor="accent1"/>
          <w:sz w:val="26"/>
          <w:szCs w:val="26"/>
        </w:rPr>
      </w:pPr>
      <w:r w:rsidRPr="00FD7E86">
        <w:rPr>
          <w:b/>
          <w:color w:val="00ADBB" w:themeColor="accent1"/>
          <w:sz w:val="26"/>
          <w:szCs w:val="26"/>
        </w:rPr>
        <w:lastRenderedPageBreak/>
        <w:t>Disclosures of customer information by carriers and CSPs to support law enforcement and national security agencies</w:t>
      </w:r>
    </w:p>
    <w:tbl>
      <w:tblPr>
        <w:tblStyle w:val="Commsreport2014-15TABLE"/>
        <w:tblW w:w="9429" w:type="dxa"/>
        <w:tblLayout w:type="fixed"/>
        <w:tblLook w:val="04A0" w:firstRow="1" w:lastRow="0" w:firstColumn="1" w:lastColumn="0" w:noHBand="0" w:noVBand="1"/>
        <w:tblCaption w:val="National interest matters: Disclosures of customer information by carriers and CSPs to support law enforcement and national security agencies"/>
      </w:tblPr>
      <w:tblGrid>
        <w:gridCol w:w="3063"/>
        <w:gridCol w:w="1060"/>
        <w:gridCol w:w="1060"/>
        <w:gridCol w:w="1060"/>
        <w:gridCol w:w="1060"/>
        <w:gridCol w:w="1060"/>
        <w:gridCol w:w="1066"/>
      </w:tblGrid>
      <w:tr w:rsidR="00244C97" w:rsidRPr="000F1A43" w14:paraId="7BC6569C"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3" w:type="dxa"/>
            <w:shd w:val="clear" w:color="auto" w:fill="auto"/>
          </w:tcPr>
          <w:p w14:paraId="770E1FE2" w14:textId="77777777" w:rsidR="00244C97" w:rsidRPr="000F1A43" w:rsidRDefault="00244C97" w:rsidP="000F1A43">
            <w:pPr>
              <w:pStyle w:val="TableHeading"/>
              <w:spacing w:before="20"/>
              <w:rPr>
                <w:b/>
              </w:rPr>
            </w:pPr>
          </w:p>
        </w:tc>
        <w:tc>
          <w:tcPr>
            <w:tcW w:w="1060" w:type="dxa"/>
            <w:vAlign w:val="top"/>
          </w:tcPr>
          <w:p w14:paraId="73EA1A42"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2010–11</w:t>
            </w:r>
          </w:p>
        </w:tc>
        <w:tc>
          <w:tcPr>
            <w:tcW w:w="1060" w:type="dxa"/>
            <w:vAlign w:val="top"/>
          </w:tcPr>
          <w:p w14:paraId="76FE4B3C"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rFonts w:cs="Arial"/>
                <w:b/>
              </w:rPr>
              <w:t>2011–12</w:t>
            </w:r>
          </w:p>
        </w:tc>
        <w:tc>
          <w:tcPr>
            <w:tcW w:w="1060" w:type="dxa"/>
            <w:vAlign w:val="top"/>
          </w:tcPr>
          <w:p w14:paraId="14994758"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rPr>
            </w:pPr>
            <w:r w:rsidRPr="000F1A43">
              <w:rPr>
                <w:rFonts w:cs="Arial"/>
                <w:b/>
              </w:rPr>
              <w:t>2012–13</w:t>
            </w:r>
          </w:p>
        </w:tc>
        <w:tc>
          <w:tcPr>
            <w:tcW w:w="1060" w:type="dxa"/>
            <w:vAlign w:val="top"/>
          </w:tcPr>
          <w:p w14:paraId="5752A8E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rPr>
            </w:pPr>
            <w:r w:rsidRPr="000F1A43">
              <w:rPr>
                <w:rFonts w:cs="Arial"/>
                <w:b/>
              </w:rPr>
              <w:t>2013–14</w:t>
            </w:r>
          </w:p>
        </w:tc>
        <w:tc>
          <w:tcPr>
            <w:tcW w:w="1060" w:type="dxa"/>
            <w:vAlign w:val="top"/>
          </w:tcPr>
          <w:p w14:paraId="192666A9"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rPr>
            </w:pPr>
            <w:r w:rsidRPr="000F1A43">
              <w:rPr>
                <w:rFonts w:cs="Arial"/>
                <w:b/>
              </w:rPr>
              <w:t>2014–15</w:t>
            </w:r>
          </w:p>
        </w:tc>
        <w:tc>
          <w:tcPr>
            <w:tcW w:w="1066" w:type="dxa"/>
            <w:vAlign w:val="top"/>
          </w:tcPr>
          <w:p w14:paraId="713D1278" w14:textId="77777777" w:rsidR="006823B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0F1A43">
              <w:rPr>
                <w:rFonts w:cs="Arial"/>
                <w:b/>
                <w:szCs w:val="18"/>
              </w:rPr>
              <w:t>20</w:t>
            </w:r>
            <w:r w:rsidR="007F055E" w:rsidRPr="000F1A43">
              <w:rPr>
                <w:rFonts w:cs="Arial"/>
                <w:b/>
                <w:szCs w:val="18"/>
              </w:rPr>
              <w:t xml:space="preserve">13–14 to </w:t>
            </w:r>
            <w:r w:rsidR="007F055E" w:rsidRPr="000F1A43">
              <w:rPr>
                <w:rFonts w:cs="Arial"/>
                <w:b/>
                <w:szCs w:val="18"/>
              </w:rPr>
              <w:br/>
              <w:t>20</w:t>
            </w:r>
            <w:r w:rsidRPr="000F1A43">
              <w:rPr>
                <w:rFonts w:cs="Arial"/>
                <w:b/>
                <w:szCs w:val="18"/>
              </w:rPr>
              <w:t xml:space="preserve">14–15 </w:t>
            </w:r>
            <w:r w:rsidR="007E694F" w:rsidRPr="000F1A43">
              <w:rPr>
                <w:rFonts w:cs="Arial"/>
                <w:b/>
                <w:szCs w:val="18"/>
              </w:rPr>
              <w:t>c</w:t>
            </w:r>
            <w:r w:rsidRPr="000F1A43">
              <w:rPr>
                <w:rFonts w:cs="Arial"/>
                <w:b/>
                <w:szCs w:val="18"/>
              </w:rPr>
              <w:t>hange</w:t>
            </w:r>
          </w:p>
          <w:p w14:paraId="4EFA84D2" w14:textId="77777777" w:rsidR="00244C9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rFonts w:cs="Arial"/>
                <w:b/>
                <w:szCs w:val="18"/>
              </w:rPr>
            </w:pPr>
            <w:r w:rsidRPr="000F1A43">
              <w:rPr>
                <w:rFonts w:cs="Arial"/>
                <w:b/>
                <w:szCs w:val="18"/>
              </w:rPr>
              <w:t>(%)</w:t>
            </w:r>
          </w:p>
        </w:tc>
      </w:tr>
      <w:tr w:rsidR="00244C97" w:rsidRPr="00FD7E86" w14:paraId="3889632F" w14:textId="77777777" w:rsidTr="007932FF">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02F59536" w14:textId="77777777" w:rsidR="00244C97" w:rsidRPr="00FD7E86" w:rsidRDefault="00244C97" w:rsidP="00244C97">
            <w:pPr>
              <w:spacing w:before="20" w:after="20"/>
            </w:pPr>
            <w:r w:rsidRPr="00900A5E">
              <w:rPr>
                <w:color w:val="auto"/>
                <w:szCs w:val="18"/>
              </w:rPr>
              <w:t>Total number of disclosures</w:t>
            </w:r>
          </w:p>
        </w:tc>
        <w:tc>
          <w:tcPr>
            <w:tcW w:w="1060" w:type="dxa"/>
          </w:tcPr>
          <w:p w14:paraId="2269F9E2"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729,422</w:t>
            </w:r>
          </w:p>
        </w:tc>
        <w:tc>
          <w:tcPr>
            <w:tcW w:w="1060" w:type="dxa"/>
          </w:tcPr>
          <w:p w14:paraId="56A40E99"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697,431</w:t>
            </w:r>
          </w:p>
        </w:tc>
        <w:tc>
          <w:tcPr>
            <w:tcW w:w="1060" w:type="dxa"/>
          </w:tcPr>
          <w:p w14:paraId="6ED0D69A"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685,757</w:t>
            </w:r>
          </w:p>
        </w:tc>
        <w:tc>
          <w:tcPr>
            <w:tcW w:w="1060" w:type="dxa"/>
          </w:tcPr>
          <w:p w14:paraId="5CC5B5AC"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748,079</w:t>
            </w:r>
          </w:p>
        </w:tc>
        <w:tc>
          <w:tcPr>
            <w:tcW w:w="1060" w:type="dxa"/>
          </w:tcPr>
          <w:p w14:paraId="27D77EB2" w14:textId="77777777" w:rsidR="00244C97" w:rsidRPr="00FD7E86" w:rsidRDefault="00244C97" w:rsidP="00244C97">
            <w:pPr>
              <w:spacing w:before="20" w:after="2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824,841</w:t>
            </w:r>
          </w:p>
        </w:tc>
        <w:tc>
          <w:tcPr>
            <w:tcW w:w="1066" w:type="dxa"/>
          </w:tcPr>
          <w:p w14:paraId="11244C22" w14:textId="77777777" w:rsidR="00244C97" w:rsidRPr="00FD7E86" w:rsidRDefault="008D2A20" w:rsidP="00244C97">
            <w:pPr>
              <w:spacing w:before="20" w:after="20"/>
              <w:cnfStyle w:val="000000000000" w:firstRow="0" w:lastRow="0" w:firstColumn="0" w:lastColumn="0" w:oddVBand="0" w:evenVBand="0" w:oddHBand="0" w:evenHBand="0" w:firstRowFirstColumn="0" w:firstRowLastColumn="0" w:lastRowFirstColumn="0" w:lastRowLastColumn="0"/>
            </w:pPr>
            <w:r w:rsidRPr="00FD7E86">
              <w:t>+</w:t>
            </w:r>
            <w:r w:rsidR="00244C97" w:rsidRPr="00FD7E86">
              <w:t>10.3</w:t>
            </w:r>
          </w:p>
        </w:tc>
      </w:tr>
    </w:tbl>
    <w:p w14:paraId="09AEC9B6" w14:textId="77777777" w:rsidR="00244C97" w:rsidRPr="00FD7E86" w:rsidRDefault="00244C97" w:rsidP="000664F7">
      <w:pPr>
        <w:pStyle w:val="ACMANotes"/>
      </w:pPr>
      <w:r w:rsidRPr="00FD7E86">
        <w:rPr>
          <w:rStyle w:val="EndnoteTextChar"/>
        </w:rPr>
        <w:t xml:space="preserve">Source: </w:t>
      </w:r>
      <w:r w:rsidR="009F0863" w:rsidRPr="00FD7E86">
        <w:rPr>
          <w:rStyle w:val="EndnoteTextChar"/>
        </w:rPr>
        <w:t>S</w:t>
      </w:r>
      <w:r w:rsidRPr="00FD7E86">
        <w:rPr>
          <w:rStyle w:val="EndnoteTextChar"/>
        </w:rPr>
        <w:t>ee Chapter 4. Further explanatory details for this data can be found in the source chapter</w:t>
      </w:r>
      <w:r w:rsidRPr="00FD7E86">
        <w:t>.</w:t>
      </w:r>
    </w:p>
    <w:p w14:paraId="117CF11C" w14:textId="77777777" w:rsidR="009F0863" w:rsidRPr="00FD7E86" w:rsidRDefault="009F0863" w:rsidP="000664F7">
      <w:pPr>
        <w:pStyle w:val="ACMASpaceaftertable"/>
      </w:pPr>
    </w:p>
    <w:p w14:paraId="013A762C" w14:textId="77777777" w:rsidR="00244C97" w:rsidRPr="00FD7E86" w:rsidRDefault="00244C97" w:rsidP="0024643D">
      <w:pPr>
        <w:spacing w:after="0" w:line="240" w:lineRule="auto"/>
        <w:rPr>
          <w:b/>
          <w:sz w:val="32"/>
          <w:szCs w:val="32"/>
        </w:rPr>
      </w:pPr>
      <w:bookmarkStart w:id="75" w:name="_Toc399331708"/>
      <w:bookmarkStart w:id="76" w:name="_Toc399336889"/>
      <w:r w:rsidRPr="00FD7E86">
        <w:rPr>
          <w:b/>
          <w:sz w:val="32"/>
          <w:szCs w:val="32"/>
        </w:rPr>
        <w:t>C</w:t>
      </w:r>
      <w:bookmarkStart w:id="77" w:name="_Toc287540088"/>
      <w:bookmarkStart w:id="78" w:name="_Toc308517088"/>
      <w:bookmarkStart w:id="79" w:name="_Toc308523548"/>
      <w:bookmarkStart w:id="80" w:name="_Toc310326775"/>
      <w:bookmarkStart w:id="81" w:name="_Toc341428276"/>
      <w:bookmarkStart w:id="82" w:name="_Toc370381857"/>
      <w:bookmarkStart w:id="83" w:name="_Toc371588971"/>
      <w:bookmarkStart w:id="84" w:name="_Toc373149033"/>
      <w:r w:rsidRPr="00FD7E86">
        <w:rPr>
          <w:b/>
          <w:sz w:val="32"/>
          <w:szCs w:val="32"/>
        </w:rPr>
        <w:t>omplaints and investigations</w:t>
      </w:r>
      <w:bookmarkEnd w:id="75"/>
      <w:bookmarkEnd w:id="76"/>
      <w:bookmarkEnd w:id="77"/>
      <w:bookmarkEnd w:id="78"/>
      <w:bookmarkEnd w:id="79"/>
      <w:bookmarkEnd w:id="80"/>
      <w:bookmarkEnd w:id="81"/>
      <w:bookmarkEnd w:id="82"/>
      <w:bookmarkEnd w:id="83"/>
      <w:bookmarkEnd w:id="84"/>
    </w:p>
    <w:p w14:paraId="3AD435E6"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TIO, telemarketing and spam complaints/reports/enquiries</w:t>
      </w:r>
    </w:p>
    <w:tbl>
      <w:tblPr>
        <w:tblStyle w:val="Commsreport2014-15TABLE"/>
        <w:tblW w:w="9429" w:type="dxa"/>
        <w:tblLayout w:type="fixed"/>
        <w:tblLook w:val="01E0" w:firstRow="1" w:lastRow="1" w:firstColumn="1" w:lastColumn="1" w:noHBand="0" w:noVBand="0"/>
        <w:tblCaption w:val="Complaints and investigations: TIO, telemarketing and spam complaints/reports/enquiries"/>
      </w:tblPr>
      <w:tblGrid>
        <w:gridCol w:w="3063"/>
        <w:gridCol w:w="1060"/>
        <w:gridCol w:w="1060"/>
        <w:gridCol w:w="1060"/>
        <w:gridCol w:w="1060"/>
        <w:gridCol w:w="1060"/>
        <w:gridCol w:w="1066"/>
      </w:tblGrid>
      <w:tr w:rsidR="00244C97" w:rsidRPr="000F1A43" w14:paraId="23CB9373"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3" w:type="dxa"/>
            <w:shd w:val="clear" w:color="auto" w:fill="auto"/>
          </w:tcPr>
          <w:p w14:paraId="7A249012" w14:textId="77777777" w:rsidR="00244C97" w:rsidRPr="000F1A43" w:rsidRDefault="00244C97" w:rsidP="000F1A43">
            <w:pPr>
              <w:pStyle w:val="TableHeading"/>
              <w:spacing w:before="20"/>
              <w:rPr>
                <w:b/>
              </w:rPr>
            </w:pPr>
          </w:p>
        </w:tc>
        <w:tc>
          <w:tcPr>
            <w:tcW w:w="1060" w:type="dxa"/>
            <w:vAlign w:val="top"/>
          </w:tcPr>
          <w:p w14:paraId="67B7EDD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2010–11</w:t>
            </w:r>
          </w:p>
        </w:tc>
        <w:tc>
          <w:tcPr>
            <w:tcW w:w="1060" w:type="dxa"/>
            <w:vAlign w:val="top"/>
          </w:tcPr>
          <w:p w14:paraId="162C08C8"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2011–12</w:t>
            </w:r>
          </w:p>
        </w:tc>
        <w:tc>
          <w:tcPr>
            <w:tcW w:w="1060" w:type="dxa"/>
            <w:vAlign w:val="top"/>
          </w:tcPr>
          <w:p w14:paraId="3259928F"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2012–13</w:t>
            </w:r>
          </w:p>
        </w:tc>
        <w:tc>
          <w:tcPr>
            <w:tcW w:w="1060" w:type="dxa"/>
            <w:vAlign w:val="top"/>
          </w:tcPr>
          <w:p w14:paraId="315850BE"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2013–14</w:t>
            </w:r>
          </w:p>
        </w:tc>
        <w:tc>
          <w:tcPr>
            <w:tcW w:w="1060" w:type="dxa"/>
            <w:vAlign w:val="top"/>
          </w:tcPr>
          <w:p w14:paraId="241E45DE"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2014–15</w:t>
            </w:r>
          </w:p>
        </w:tc>
        <w:tc>
          <w:tcPr>
            <w:tcW w:w="1066" w:type="dxa"/>
            <w:vAlign w:val="top"/>
          </w:tcPr>
          <w:p w14:paraId="386B1C02" w14:textId="77777777" w:rsidR="006823B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20</w:t>
            </w:r>
            <w:r w:rsidR="007F055E" w:rsidRPr="000F1A43">
              <w:rPr>
                <w:b/>
                <w:szCs w:val="18"/>
              </w:rPr>
              <w:t xml:space="preserve">13–14 to </w:t>
            </w:r>
            <w:r w:rsidR="007F055E" w:rsidRPr="000F1A43">
              <w:rPr>
                <w:b/>
                <w:szCs w:val="18"/>
              </w:rPr>
              <w:br/>
              <w:t>20</w:t>
            </w:r>
            <w:r w:rsidRPr="000F1A43">
              <w:rPr>
                <w:b/>
                <w:szCs w:val="18"/>
              </w:rPr>
              <w:t xml:space="preserve">14–15 </w:t>
            </w:r>
            <w:r w:rsidR="00132332" w:rsidRPr="000F1A43">
              <w:rPr>
                <w:b/>
                <w:szCs w:val="18"/>
              </w:rPr>
              <w:t>c</w:t>
            </w:r>
            <w:r w:rsidRPr="000F1A43">
              <w:rPr>
                <w:b/>
                <w:szCs w:val="18"/>
              </w:rPr>
              <w:t>hange</w:t>
            </w:r>
          </w:p>
          <w:p w14:paraId="001E41B6" w14:textId="77777777" w:rsidR="00244C9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w:t>
            </w:r>
          </w:p>
        </w:tc>
      </w:tr>
      <w:tr w:rsidR="00244C97" w:rsidRPr="00FD7E86" w14:paraId="5890D2E7" w14:textId="77777777" w:rsidTr="000664F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53E45C53" w14:textId="77777777" w:rsidR="00244C97" w:rsidRPr="00C05F4C" w:rsidRDefault="00244C97" w:rsidP="00211DC5">
            <w:pPr>
              <w:spacing w:before="20" w:after="20"/>
              <w:rPr>
                <w:color w:val="auto"/>
                <w:szCs w:val="26"/>
              </w:rPr>
            </w:pPr>
            <w:r w:rsidRPr="00C05F4C">
              <w:rPr>
                <w:color w:val="auto"/>
                <w:szCs w:val="26"/>
              </w:rPr>
              <w:t>TIO new complaints</w:t>
            </w:r>
          </w:p>
        </w:tc>
        <w:tc>
          <w:tcPr>
            <w:tcW w:w="1060" w:type="dxa"/>
          </w:tcPr>
          <w:p w14:paraId="7AB6B131"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pPr>
            <w:r w:rsidRPr="00FD7E86">
              <w:rPr>
                <w:rFonts w:cs="Arial"/>
              </w:rPr>
              <w:t>197</w:t>
            </w:r>
            <w:r w:rsidRPr="00FD7E86">
              <w:t>,681</w:t>
            </w:r>
          </w:p>
        </w:tc>
        <w:tc>
          <w:tcPr>
            <w:tcW w:w="1060" w:type="dxa"/>
          </w:tcPr>
          <w:p w14:paraId="4DB8AB39"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193,702</w:t>
            </w:r>
          </w:p>
        </w:tc>
        <w:tc>
          <w:tcPr>
            <w:tcW w:w="1060" w:type="dxa"/>
          </w:tcPr>
          <w:p w14:paraId="408D7E74"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158,652</w:t>
            </w:r>
          </w:p>
        </w:tc>
        <w:tc>
          <w:tcPr>
            <w:tcW w:w="1060" w:type="dxa"/>
          </w:tcPr>
          <w:p w14:paraId="0F38EC54"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138,946</w:t>
            </w:r>
          </w:p>
        </w:tc>
        <w:tc>
          <w:tcPr>
            <w:tcW w:w="1060" w:type="dxa"/>
          </w:tcPr>
          <w:p w14:paraId="15CF113C"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124,417</w:t>
            </w:r>
          </w:p>
        </w:tc>
        <w:tc>
          <w:tcPr>
            <w:tcW w:w="1066" w:type="dxa"/>
          </w:tcPr>
          <w:p w14:paraId="43D4DF8C" w14:textId="77777777" w:rsidR="00244C97" w:rsidRPr="00FD7E86" w:rsidRDefault="00244C97" w:rsidP="000664F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–10.5</w:t>
            </w:r>
          </w:p>
        </w:tc>
      </w:tr>
      <w:tr w:rsidR="00244C97" w:rsidRPr="00FD7E86" w14:paraId="6A2300EF"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46F7C7FA" w14:textId="77777777" w:rsidR="00244C97" w:rsidRPr="00900A5E" w:rsidRDefault="00244C97" w:rsidP="00244C97">
            <w:pPr>
              <w:spacing w:before="20" w:after="20"/>
              <w:rPr>
                <w:color w:val="auto"/>
                <w:szCs w:val="18"/>
              </w:rPr>
            </w:pPr>
            <w:r w:rsidRPr="00900A5E">
              <w:rPr>
                <w:color w:val="auto"/>
                <w:szCs w:val="18"/>
              </w:rPr>
              <w:t>Telemarketing complaints and enquiries</w:t>
            </w:r>
          </w:p>
        </w:tc>
        <w:tc>
          <w:tcPr>
            <w:tcW w:w="1060" w:type="dxa"/>
          </w:tcPr>
          <w:p w14:paraId="2ABF966A"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n/a</w:t>
            </w:r>
          </w:p>
        </w:tc>
        <w:tc>
          <w:tcPr>
            <w:tcW w:w="1060" w:type="dxa"/>
          </w:tcPr>
          <w:p w14:paraId="12FA3D1F" w14:textId="77777777" w:rsidR="00244C97" w:rsidRPr="00FD7E86" w:rsidDel="00346CD0"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n/a</w:t>
            </w:r>
          </w:p>
        </w:tc>
        <w:tc>
          <w:tcPr>
            <w:tcW w:w="1060" w:type="dxa"/>
          </w:tcPr>
          <w:p w14:paraId="25079539"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30,604</w:t>
            </w:r>
          </w:p>
        </w:tc>
        <w:tc>
          <w:tcPr>
            <w:tcW w:w="1060" w:type="dxa"/>
          </w:tcPr>
          <w:p w14:paraId="2EF45FB5"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31,797</w:t>
            </w:r>
          </w:p>
        </w:tc>
        <w:tc>
          <w:tcPr>
            <w:tcW w:w="1060" w:type="dxa"/>
          </w:tcPr>
          <w:p w14:paraId="70087ED7"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30,293</w:t>
            </w:r>
          </w:p>
        </w:tc>
        <w:tc>
          <w:tcPr>
            <w:tcW w:w="1066" w:type="dxa"/>
          </w:tcPr>
          <w:p w14:paraId="10F6E104" w14:textId="77777777" w:rsidR="00244C97" w:rsidRPr="00FD7E86" w:rsidDel="00346CD0"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w:t>
            </w:r>
          </w:p>
        </w:tc>
      </w:tr>
      <w:tr w:rsidR="00244C97" w:rsidRPr="00FD7E86" w14:paraId="18A71B5E"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5BE7D0A7" w14:textId="77777777" w:rsidR="00244C97" w:rsidRPr="00900A5E" w:rsidRDefault="00244C97" w:rsidP="00244C97">
            <w:pPr>
              <w:spacing w:before="20" w:after="20"/>
              <w:rPr>
                <w:color w:val="auto"/>
                <w:szCs w:val="18"/>
              </w:rPr>
            </w:pPr>
            <w:r w:rsidRPr="00900A5E">
              <w:rPr>
                <w:color w:val="auto"/>
                <w:szCs w:val="18"/>
              </w:rPr>
              <w:t>Spam complaints, reports and enquiries</w:t>
            </w:r>
          </w:p>
        </w:tc>
        <w:tc>
          <w:tcPr>
            <w:tcW w:w="1060" w:type="dxa"/>
          </w:tcPr>
          <w:p w14:paraId="673C6BDC"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n/a</w:t>
            </w:r>
          </w:p>
        </w:tc>
        <w:tc>
          <w:tcPr>
            <w:tcW w:w="1060" w:type="dxa"/>
          </w:tcPr>
          <w:p w14:paraId="1402C4EB"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226,816</w:t>
            </w:r>
          </w:p>
        </w:tc>
        <w:tc>
          <w:tcPr>
            <w:tcW w:w="1060" w:type="dxa"/>
          </w:tcPr>
          <w:p w14:paraId="494937B9"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412,725</w:t>
            </w:r>
          </w:p>
        </w:tc>
        <w:tc>
          <w:tcPr>
            <w:tcW w:w="1060" w:type="dxa"/>
          </w:tcPr>
          <w:p w14:paraId="18EB9192"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rPr>
              <w:t>349,319</w:t>
            </w:r>
          </w:p>
        </w:tc>
        <w:tc>
          <w:tcPr>
            <w:tcW w:w="1060" w:type="dxa"/>
          </w:tcPr>
          <w:p w14:paraId="203C4DF5"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352,362</w:t>
            </w:r>
          </w:p>
        </w:tc>
        <w:tc>
          <w:tcPr>
            <w:tcW w:w="1066" w:type="dxa"/>
          </w:tcPr>
          <w:p w14:paraId="44876128" w14:textId="77777777" w:rsidR="00244C97" w:rsidRPr="00FD7E86" w:rsidRDefault="00244C97" w:rsidP="00244C97">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+0.9</w:t>
            </w:r>
          </w:p>
        </w:tc>
      </w:tr>
    </w:tbl>
    <w:p w14:paraId="5DD1A4D6" w14:textId="77777777" w:rsidR="00244C97" w:rsidRPr="00FD7E86" w:rsidRDefault="00244C97" w:rsidP="000664F7">
      <w:pPr>
        <w:pStyle w:val="ACMANotes"/>
      </w:pPr>
      <w:r w:rsidRPr="00FD7E86">
        <w:t>n/a=not available.</w:t>
      </w:r>
    </w:p>
    <w:p w14:paraId="4EAD8EB7" w14:textId="77777777" w:rsidR="00244C97" w:rsidRPr="00FD7E86" w:rsidRDefault="00244C97" w:rsidP="000664F7">
      <w:pPr>
        <w:pStyle w:val="ACMANotes"/>
      </w:pPr>
      <w:r w:rsidRPr="00FD7E86">
        <w:t>Source: ACMA and TIO. See Chapter 5. Further explanatory details for this data can be found in the source chapter.</w:t>
      </w:r>
    </w:p>
    <w:p w14:paraId="7348EEAD" w14:textId="77777777" w:rsidR="00D4754C" w:rsidRPr="00FD7E86" w:rsidRDefault="00D4754C" w:rsidP="000664F7">
      <w:pPr>
        <w:pStyle w:val="ACMASpaceaftertable"/>
      </w:pPr>
    </w:p>
    <w:p w14:paraId="4FF947C7" w14:textId="77777777" w:rsidR="00244C97" w:rsidRPr="00FD7E86" w:rsidRDefault="00244C97" w:rsidP="00C05F4C">
      <w:pPr>
        <w:spacing w:before="240" w:after="120"/>
        <w:rPr>
          <w:b/>
          <w:color w:val="00ADBB" w:themeColor="accent1"/>
          <w:sz w:val="26"/>
          <w:szCs w:val="26"/>
        </w:rPr>
      </w:pPr>
      <w:r w:rsidRPr="00FD7E86">
        <w:rPr>
          <w:b/>
          <w:color w:val="00ADBB" w:themeColor="accent1"/>
          <w:sz w:val="26"/>
          <w:szCs w:val="26"/>
        </w:rPr>
        <w:t>Broadcasting and internet content complaints</w:t>
      </w:r>
    </w:p>
    <w:tbl>
      <w:tblPr>
        <w:tblStyle w:val="Commsreport2014-15TABLE"/>
        <w:tblW w:w="9429" w:type="dxa"/>
        <w:tblLayout w:type="fixed"/>
        <w:tblLook w:val="01E0" w:firstRow="1" w:lastRow="1" w:firstColumn="1" w:lastColumn="1" w:noHBand="0" w:noVBand="0"/>
        <w:tblCaption w:val="Complaints and investigations: Broadcasting and internet content complaints"/>
      </w:tblPr>
      <w:tblGrid>
        <w:gridCol w:w="3063"/>
        <w:gridCol w:w="1060"/>
        <w:gridCol w:w="1060"/>
        <w:gridCol w:w="1060"/>
        <w:gridCol w:w="1060"/>
        <w:gridCol w:w="1060"/>
        <w:gridCol w:w="1066"/>
      </w:tblGrid>
      <w:tr w:rsidR="00244C97" w:rsidRPr="000F1A43" w14:paraId="5D24E2F9"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2" w:type="dxa"/>
            <w:shd w:val="clear" w:color="auto" w:fill="auto"/>
          </w:tcPr>
          <w:p w14:paraId="29436A8C" w14:textId="77777777" w:rsidR="00244C97" w:rsidRPr="000F1A43" w:rsidRDefault="00244C97" w:rsidP="000F1A43">
            <w:pPr>
              <w:pStyle w:val="TableHeading"/>
              <w:spacing w:before="20"/>
              <w:rPr>
                <w:b/>
              </w:rPr>
            </w:pPr>
          </w:p>
        </w:tc>
        <w:tc>
          <w:tcPr>
            <w:tcW w:w="1060" w:type="dxa"/>
            <w:vAlign w:val="top"/>
          </w:tcPr>
          <w:p w14:paraId="1A5B3AC1"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2010–11</w:t>
            </w:r>
          </w:p>
        </w:tc>
        <w:tc>
          <w:tcPr>
            <w:tcW w:w="1060" w:type="dxa"/>
            <w:vAlign w:val="top"/>
          </w:tcPr>
          <w:p w14:paraId="38E9B2F0"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2011–12</w:t>
            </w:r>
          </w:p>
        </w:tc>
        <w:tc>
          <w:tcPr>
            <w:tcW w:w="1060" w:type="dxa"/>
            <w:vAlign w:val="top"/>
          </w:tcPr>
          <w:p w14:paraId="78827D32"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2012–13</w:t>
            </w:r>
          </w:p>
        </w:tc>
        <w:tc>
          <w:tcPr>
            <w:tcW w:w="1060" w:type="dxa"/>
            <w:vAlign w:val="top"/>
          </w:tcPr>
          <w:p w14:paraId="4109E977"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2013–14</w:t>
            </w:r>
          </w:p>
        </w:tc>
        <w:tc>
          <w:tcPr>
            <w:tcW w:w="1060" w:type="dxa"/>
            <w:vAlign w:val="top"/>
          </w:tcPr>
          <w:p w14:paraId="344E4F46" w14:textId="77777777" w:rsidR="00244C97" w:rsidRPr="000F1A43" w:rsidRDefault="00244C9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2014–15</w:t>
            </w:r>
          </w:p>
        </w:tc>
        <w:tc>
          <w:tcPr>
            <w:tcW w:w="1066" w:type="dxa"/>
            <w:vAlign w:val="top"/>
          </w:tcPr>
          <w:p w14:paraId="3B44107D" w14:textId="77777777" w:rsidR="006823B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20</w:t>
            </w:r>
            <w:r w:rsidR="007F055E" w:rsidRPr="000F1A43">
              <w:rPr>
                <w:b/>
                <w:szCs w:val="18"/>
              </w:rPr>
              <w:t>13–14 t</w:t>
            </w:r>
            <w:r w:rsidR="000A7AE7" w:rsidRPr="000F1A43">
              <w:rPr>
                <w:b/>
                <w:szCs w:val="18"/>
              </w:rPr>
              <w:t>o</w:t>
            </w:r>
            <w:r w:rsidR="007F055E" w:rsidRPr="000F1A43">
              <w:rPr>
                <w:b/>
                <w:szCs w:val="18"/>
              </w:rPr>
              <w:t xml:space="preserve"> </w:t>
            </w:r>
            <w:r w:rsidR="007F055E" w:rsidRPr="000F1A43">
              <w:rPr>
                <w:b/>
                <w:szCs w:val="18"/>
              </w:rPr>
              <w:br/>
              <w:t>20</w:t>
            </w:r>
            <w:r w:rsidRPr="000F1A43">
              <w:rPr>
                <w:b/>
                <w:szCs w:val="18"/>
              </w:rPr>
              <w:t xml:space="preserve">14–15 </w:t>
            </w:r>
            <w:r w:rsidR="00132332" w:rsidRPr="000F1A43">
              <w:rPr>
                <w:b/>
                <w:szCs w:val="18"/>
              </w:rPr>
              <w:t>c</w:t>
            </w:r>
            <w:r w:rsidRPr="000F1A43">
              <w:rPr>
                <w:b/>
                <w:szCs w:val="18"/>
              </w:rPr>
              <w:t>hange</w:t>
            </w:r>
          </w:p>
          <w:p w14:paraId="3D396001" w14:textId="77777777" w:rsidR="00244C97" w:rsidRPr="000F1A43" w:rsidRDefault="006823B7" w:rsidP="000F1A43">
            <w:pPr>
              <w:pStyle w:val="TableHeading"/>
              <w:spacing w:before="20"/>
              <w:cnfStyle w:val="100000000000" w:firstRow="1" w:lastRow="0" w:firstColumn="0" w:lastColumn="0" w:oddVBand="0" w:evenVBand="0" w:oddHBand="0" w:evenHBand="0" w:firstRowFirstColumn="0" w:firstRowLastColumn="0" w:lastRowFirstColumn="0" w:lastRowLastColumn="0"/>
              <w:rPr>
                <w:b/>
                <w:szCs w:val="18"/>
              </w:rPr>
            </w:pPr>
            <w:r w:rsidRPr="000F1A43">
              <w:rPr>
                <w:b/>
                <w:szCs w:val="18"/>
              </w:rPr>
              <w:t>(%)</w:t>
            </w:r>
          </w:p>
        </w:tc>
      </w:tr>
      <w:tr w:rsidR="00244C97" w:rsidRPr="00FD7E86" w14:paraId="56E30C9C"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2" w:type="dxa"/>
            <w:hideMark/>
          </w:tcPr>
          <w:p w14:paraId="6B2457C6" w14:textId="77777777" w:rsidR="00244C97" w:rsidRPr="00900A5E" w:rsidRDefault="00244C97" w:rsidP="00244C97">
            <w:pPr>
              <w:spacing w:after="0"/>
              <w:ind w:right="57"/>
              <w:rPr>
                <w:rFonts w:cs="Arial"/>
                <w:color w:val="auto"/>
              </w:rPr>
            </w:pPr>
            <w:r w:rsidRPr="00900A5E">
              <w:rPr>
                <w:rFonts w:cs="Arial"/>
                <w:color w:val="auto"/>
              </w:rPr>
              <w:t>Broadcasting written enquiries and complaints</w:t>
            </w:r>
          </w:p>
        </w:tc>
        <w:tc>
          <w:tcPr>
            <w:tcW w:w="1060" w:type="dxa"/>
          </w:tcPr>
          <w:p w14:paraId="6C4847A7"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1,512</w:t>
            </w:r>
          </w:p>
        </w:tc>
        <w:tc>
          <w:tcPr>
            <w:tcW w:w="1060" w:type="dxa"/>
          </w:tcPr>
          <w:p w14:paraId="2BF1D445"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2,273</w:t>
            </w:r>
          </w:p>
        </w:tc>
        <w:tc>
          <w:tcPr>
            <w:tcW w:w="1060" w:type="dxa"/>
          </w:tcPr>
          <w:p w14:paraId="7769259E" w14:textId="77777777" w:rsidR="00244C97" w:rsidRPr="00FD7E86" w:rsidRDefault="00244C97" w:rsidP="00D1384B">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2,178</w:t>
            </w:r>
            <w:r w:rsidR="00D1384B" w:rsidRPr="00FD7E86">
              <w:rPr>
                <w:rFonts w:cs="Arial"/>
                <w:vertAlign w:val="superscript"/>
              </w:rPr>
              <w:t>*</w:t>
            </w:r>
          </w:p>
        </w:tc>
        <w:tc>
          <w:tcPr>
            <w:tcW w:w="1060" w:type="dxa"/>
          </w:tcPr>
          <w:p w14:paraId="17D51457"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1,593</w:t>
            </w:r>
          </w:p>
        </w:tc>
        <w:tc>
          <w:tcPr>
            <w:tcW w:w="1060" w:type="dxa"/>
          </w:tcPr>
          <w:p w14:paraId="6479FD7C"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1,012</w:t>
            </w:r>
          </w:p>
        </w:tc>
        <w:tc>
          <w:tcPr>
            <w:tcW w:w="1066" w:type="dxa"/>
          </w:tcPr>
          <w:p w14:paraId="36FE5A82"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–36.5</w:t>
            </w:r>
          </w:p>
        </w:tc>
      </w:tr>
      <w:tr w:rsidR="00244C97" w:rsidRPr="00FD7E86" w14:paraId="32D84B5C" w14:textId="77777777" w:rsidTr="00244C97">
        <w:trPr>
          <w:trHeight w:val="454"/>
        </w:trPr>
        <w:tc>
          <w:tcPr>
            <w:cnfStyle w:val="001000000000" w:firstRow="0" w:lastRow="0" w:firstColumn="1" w:lastColumn="0" w:oddVBand="0" w:evenVBand="0" w:oddHBand="0" w:evenHBand="0" w:firstRowFirstColumn="0" w:firstRowLastColumn="0" w:lastRowFirstColumn="0" w:lastRowLastColumn="0"/>
            <w:tcW w:w="3062" w:type="dxa"/>
          </w:tcPr>
          <w:p w14:paraId="5F679F47" w14:textId="77777777" w:rsidR="00244C97" w:rsidRPr="00900A5E" w:rsidRDefault="00244C97" w:rsidP="00244C97">
            <w:pPr>
              <w:spacing w:after="0"/>
              <w:ind w:right="57"/>
              <w:rPr>
                <w:rFonts w:cs="Arial"/>
                <w:color w:val="auto"/>
              </w:rPr>
            </w:pPr>
            <w:r w:rsidRPr="00900A5E">
              <w:rPr>
                <w:rFonts w:cs="Arial"/>
                <w:color w:val="auto"/>
              </w:rPr>
              <w:t>Internet content complaints received</w:t>
            </w:r>
          </w:p>
        </w:tc>
        <w:tc>
          <w:tcPr>
            <w:tcW w:w="1060" w:type="dxa"/>
          </w:tcPr>
          <w:p w14:paraId="25564222"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4,865</w:t>
            </w:r>
          </w:p>
        </w:tc>
        <w:tc>
          <w:tcPr>
            <w:tcW w:w="1060" w:type="dxa"/>
          </w:tcPr>
          <w:p w14:paraId="7933D5EF"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5,026</w:t>
            </w:r>
          </w:p>
        </w:tc>
        <w:tc>
          <w:tcPr>
            <w:tcW w:w="1060" w:type="dxa"/>
          </w:tcPr>
          <w:p w14:paraId="54A32BE2"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4,633</w:t>
            </w:r>
          </w:p>
        </w:tc>
        <w:tc>
          <w:tcPr>
            <w:tcW w:w="1060" w:type="dxa"/>
          </w:tcPr>
          <w:p w14:paraId="12D752E6"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4,051</w:t>
            </w:r>
          </w:p>
        </w:tc>
        <w:tc>
          <w:tcPr>
            <w:tcW w:w="1060" w:type="dxa"/>
          </w:tcPr>
          <w:p w14:paraId="6993F434"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4,801</w:t>
            </w:r>
          </w:p>
        </w:tc>
        <w:tc>
          <w:tcPr>
            <w:tcW w:w="1066" w:type="dxa"/>
          </w:tcPr>
          <w:p w14:paraId="6C0C6700" w14:textId="77777777" w:rsidR="00244C97" w:rsidRPr="00FD7E86" w:rsidRDefault="00244C97" w:rsidP="00244C97">
            <w:pPr>
              <w:tabs>
                <w:tab w:val="left" w:pos="649"/>
              </w:tabs>
              <w:spacing w:after="0"/>
              <w:ind w:right="57"/>
              <w:cnfStyle w:val="000000000000" w:firstRow="0" w:lastRow="0" w:firstColumn="0" w:lastColumn="0" w:oddVBand="0" w:evenVBand="0" w:oddHBand="0" w:evenHBand="0" w:firstRowFirstColumn="0" w:firstRowLastColumn="0" w:lastRowFirstColumn="0" w:lastRowLastColumn="0"/>
              <w:rPr>
                <w:rFonts w:cs="Arial"/>
              </w:rPr>
            </w:pPr>
            <w:r w:rsidRPr="00FD7E86">
              <w:rPr>
                <w:rFonts w:cs="Arial"/>
              </w:rPr>
              <w:t>+18.5</w:t>
            </w:r>
          </w:p>
        </w:tc>
      </w:tr>
    </w:tbl>
    <w:p w14:paraId="2ECFD2AD" w14:textId="77777777" w:rsidR="00244C97" w:rsidRPr="00FD7E86" w:rsidRDefault="00244C97" w:rsidP="000664F7">
      <w:pPr>
        <w:pStyle w:val="ACMANotes"/>
      </w:pPr>
      <w:r w:rsidRPr="00FD7E86">
        <w:t xml:space="preserve">*This does not include 2,680 complaints and enquiries received about 2DAY’s </w:t>
      </w:r>
      <w:r w:rsidRPr="00FD7E86">
        <w:rPr>
          <w:i w:val="0"/>
        </w:rPr>
        <w:t>Summer 30</w:t>
      </w:r>
      <w:r w:rsidRPr="00FD7E86">
        <w:t xml:space="preserve"> program broadcast on 4 December 2012.</w:t>
      </w:r>
    </w:p>
    <w:p w14:paraId="75D210E9" w14:textId="77777777" w:rsidR="00D1384B" w:rsidRPr="00FD7E86" w:rsidRDefault="00D1384B" w:rsidP="000664F7">
      <w:pPr>
        <w:pStyle w:val="ACMANotes"/>
      </w:pPr>
      <w:r w:rsidRPr="00FD7E86">
        <w:t xml:space="preserve">Note: </w:t>
      </w:r>
      <w:r w:rsidRPr="00FD7E86">
        <w:rPr>
          <w:sz w:val="18"/>
          <w:szCs w:val="18"/>
        </w:rPr>
        <w:t>I</w:t>
      </w:r>
      <w:r w:rsidRPr="00FD7E86">
        <w:t xml:space="preserve">nvestigations against a code of practice, licence condition, standard and/or provision of the </w:t>
      </w:r>
      <w:r w:rsidRPr="00FD7E86">
        <w:rPr>
          <w:i w:val="0"/>
        </w:rPr>
        <w:t>Broadcasting Services Act 1992</w:t>
      </w:r>
      <w:r w:rsidRPr="00FD7E86">
        <w:t>. Sum of categories does not equal total number of investigations completed due to exclusion of completed investigations with no finding; for example, where the complaint is withdrawn.</w:t>
      </w:r>
    </w:p>
    <w:p w14:paraId="16DFA139" w14:textId="77777777" w:rsidR="00244C97" w:rsidRPr="00FD7E86" w:rsidRDefault="00244C97" w:rsidP="000664F7">
      <w:pPr>
        <w:pStyle w:val="ACMANotes"/>
      </w:pPr>
      <w:r w:rsidRPr="00FD7E86">
        <w:t xml:space="preserve">Source: </w:t>
      </w:r>
      <w:r w:rsidR="009F0863" w:rsidRPr="00FD7E86">
        <w:t>S</w:t>
      </w:r>
      <w:r w:rsidRPr="00FD7E86">
        <w:t>ee Chapter 3. Further explanatory details for this data can be found in the source chapter.</w:t>
      </w:r>
    </w:p>
    <w:p w14:paraId="1C38D4D0" w14:textId="77777777" w:rsidR="00A42E26" w:rsidRPr="00821847" w:rsidRDefault="006805F4" w:rsidP="00821847">
      <w:pPr>
        <w:pStyle w:val="Heading1"/>
      </w:pPr>
      <w:bookmarkStart w:id="85" w:name="_Toc433790287"/>
      <w:bookmarkStart w:id="86" w:name="_Toc402337490"/>
      <w:r w:rsidRPr="00821847">
        <w:lastRenderedPageBreak/>
        <w:t xml:space="preserve">Chapter 1: </w:t>
      </w:r>
      <w:r w:rsidR="00DF0CD7" w:rsidRPr="00821847">
        <w:t>Industry supply of communications services</w:t>
      </w:r>
      <w:bookmarkEnd w:id="85"/>
    </w:p>
    <w:p w14:paraId="4B48DF84" w14:textId="77777777" w:rsidR="00A42E26" w:rsidRPr="002B6F51" w:rsidRDefault="00A42E26" w:rsidP="007E0A93">
      <w:pPr>
        <w:pStyle w:val="ACMAHeading1"/>
        <w:numPr>
          <w:ilvl w:val="1"/>
          <w:numId w:val="24"/>
        </w:numPr>
        <w:ind w:left="851" w:hanging="851"/>
      </w:pPr>
      <w:bookmarkStart w:id="87" w:name="_Toc308517103"/>
      <w:bookmarkStart w:id="88" w:name="_Toc308523563"/>
      <w:bookmarkStart w:id="89" w:name="_Toc312157076"/>
      <w:bookmarkStart w:id="90" w:name="_Toc371588975"/>
      <w:bookmarkStart w:id="91" w:name="_Toc373149037"/>
      <w:bookmarkStart w:id="92" w:name="_Toc399331710"/>
      <w:bookmarkStart w:id="93" w:name="_Toc399336891"/>
      <w:bookmarkStart w:id="94" w:name="_Toc402337489"/>
      <w:bookmarkStart w:id="95" w:name="_Toc433790288"/>
      <w:r w:rsidRPr="00FD7E86">
        <w:t>Overview</w:t>
      </w:r>
      <w:bookmarkEnd w:id="87"/>
      <w:bookmarkEnd w:id="88"/>
      <w:bookmarkEnd w:id="89"/>
      <w:bookmarkEnd w:id="90"/>
      <w:bookmarkEnd w:id="91"/>
      <w:bookmarkEnd w:id="92"/>
      <w:bookmarkEnd w:id="93"/>
      <w:bookmarkEnd w:id="94"/>
      <w:bookmarkEnd w:id="95"/>
    </w:p>
    <w:p w14:paraId="45B3AE62" w14:textId="77777777" w:rsidR="00A42E26" w:rsidRPr="00FD7E86" w:rsidRDefault="00A42E26" w:rsidP="00A42E26">
      <w:pPr>
        <w:spacing w:line="240" w:lineRule="auto"/>
        <w:rPr>
          <w:rFonts w:cs="Arial"/>
        </w:rPr>
      </w:pPr>
      <w:r w:rsidRPr="00FD7E86">
        <w:rPr>
          <w:rFonts w:cs="Arial"/>
        </w:rPr>
        <w:t>This chapter addresses regulatory requirements to report on the efficiency of the supply and adequacy of communications services by examining the major developments that have occurred in the availability and use of communications and media services in Australia. This includes service provider offerings, provision and take-up of services, and communications infrastructure developments.</w:t>
      </w:r>
    </w:p>
    <w:p w14:paraId="1935C0DE" w14:textId="77777777" w:rsidR="00A42E26" w:rsidRPr="00FD7E86" w:rsidRDefault="00A42E26" w:rsidP="00A42E26">
      <w:pPr>
        <w:spacing w:line="240" w:lineRule="auto"/>
        <w:rPr>
          <w:rFonts w:cs="Arial"/>
        </w:rPr>
      </w:pPr>
      <w:r w:rsidRPr="00FD7E86">
        <w:rPr>
          <w:rFonts w:cs="Arial"/>
        </w:rPr>
        <w:t xml:space="preserve">The number of fixed-line telephone services in operation continued to decline in 2014–15 while the supply of broadband services has increased. Mobile services in operation also increased, with </w:t>
      </w:r>
      <w:r w:rsidR="007608A9" w:rsidRPr="00FD7E86">
        <w:rPr>
          <w:rFonts w:cs="Arial"/>
        </w:rPr>
        <w:t xml:space="preserve">growth </w:t>
      </w:r>
      <w:r w:rsidRPr="00FD7E86">
        <w:rPr>
          <w:rFonts w:cs="Arial"/>
        </w:rPr>
        <w:t>occurring in the area of machine-to-machine (M2M) communication</w:t>
      </w:r>
      <w:r w:rsidR="00B447BE" w:rsidRPr="00FD7E86">
        <w:rPr>
          <w:rFonts w:cs="Arial"/>
        </w:rPr>
        <w:t>s</w:t>
      </w:r>
      <w:r w:rsidRPr="00FD7E86">
        <w:rPr>
          <w:rFonts w:cs="Arial"/>
        </w:rPr>
        <w:t xml:space="preserve"> services.</w:t>
      </w:r>
    </w:p>
    <w:p w14:paraId="3E34C144" w14:textId="77777777" w:rsidR="00A42E26" w:rsidRPr="00FD7E86" w:rsidRDefault="00A42E26" w:rsidP="00A42E26">
      <w:pPr>
        <w:spacing w:line="240" w:lineRule="auto"/>
      </w:pPr>
      <w:r w:rsidRPr="00FD7E86">
        <w:rPr>
          <w:rFonts w:cs="Arial"/>
        </w:rPr>
        <w:t xml:space="preserve">A number of key infrastructure changes were announced in 2014–15, with service providers revealing that in 2016, 2G mobile networks will close and dial-up internet services will no longer be available from Telstra or TPG. </w:t>
      </w:r>
    </w:p>
    <w:p w14:paraId="08E72586" w14:textId="77777777" w:rsidR="00A42E26" w:rsidRPr="00FD7E86" w:rsidRDefault="00A42E26" w:rsidP="00A42E26">
      <w:pPr>
        <w:spacing w:after="80" w:line="240" w:lineRule="auto"/>
        <w:rPr>
          <w:rFonts w:cs="Arial"/>
        </w:rPr>
      </w:pPr>
      <w:r w:rsidRPr="00FD7E86">
        <w:rPr>
          <w:rFonts w:cs="Arial"/>
        </w:rPr>
        <w:t xml:space="preserve">In summary: </w:t>
      </w:r>
    </w:p>
    <w:p w14:paraId="269734A9" w14:textId="77777777" w:rsidR="00A42E26" w:rsidRPr="00FD7E86" w:rsidRDefault="00A42E26" w:rsidP="00DF0CD7">
      <w:pPr>
        <w:pStyle w:val="ListBullet"/>
        <w:rPr>
          <w:rFonts w:cs="Arial"/>
        </w:rPr>
      </w:pPr>
      <w:r w:rsidRPr="00FD7E86">
        <w:rPr>
          <w:rFonts w:cs="Arial"/>
        </w:rPr>
        <w:t xml:space="preserve">smartphone use </w:t>
      </w:r>
      <w:r w:rsidR="00B04DC0" w:rsidRPr="00FD7E86">
        <w:rPr>
          <w:rFonts w:cs="Arial"/>
        </w:rPr>
        <w:t xml:space="preserve">continued to increase </w:t>
      </w:r>
      <w:r w:rsidRPr="00FD7E86">
        <w:rPr>
          <w:rFonts w:cs="Arial"/>
        </w:rPr>
        <w:t xml:space="preserve">with </w:t>
      </w:r>
      <w:r w:rsidRPr="00FD7E86">
        <w:t>13.41 million Australian adults (74 per cent) estimated to be using a smartphone at May 2015 compared to</w:t>
      </w:r>
      <w:r w:rsidRPr="00FD7E86">
        <w:rPr>
          <w:rFonts w:cs="Arial"/>
        </w:rPr>
        <w:t xml:space="preserve"> 12.07 million (67 per cent) at May 2014</w:t>
      </w:r>
    </w:p>
    <w:p w14:paraId="11CC0CF7" w14:textId="77777777" w:rsidR="00A42E26" w:rsidRPr="00FD7E86" w:rsidRDefault="00A42E26" w:rsidP="00DF0CD7">
      <w:pPr>
        <w:pStyle w:val="ListBullet"/>
        <w:rPr>
          <w:rFonts w:cs="Arial"/>
        </w:rPr>
      </w:pPr>
      <w:r w:rsidRPr="00FD7E86">
        <w:rPr>
          <w:rFonts w:cs="Arial"/>
        </w:rPr>
        <w:t>use of mobile phones to make calls and send text messages has remained steady at 94 per cent since May 2013</w:t>
      </w:r>
    </w:p>
    <w:p w14:paraId="5C1A23D7" w14:textId="77777777" w:rsidR="00A42E26" w:rsidRPr="00FD7E86" w:rsidRDefault="004A1D90" w:rsidP="00DF0CD7">
      <w:pPr>
        <w:pStyle w:val="ListBullet"/>
        <w:rPr>
          <w:rFonts w:cs="Arial"/>
        </w:rPr>
      </w:pPr>
      <w:r w:rsidRPr="00FD7E86">
        <w:rPr>
          <w:rFonts w:cs="Arial"/>
        </w:rPr>
        <w:t xml:space="preserve">there was </w:t>
      </w:r>
      <w:r w:rsidR="00A42E26" w:rsidRPr="00FD7E86">
        <w:rPr>
          <w:rFonts w:cs="Arial"/>
        </w:rPr>
        <w:t xml:space="preserve">increased growth in the number of mobile handset internet services in operation, reaching </w:t>
      </w:r>
      <w:r w:rsidR="00BD2D21" w:rsidRPr="00FD7E86">
        <w:rPr>
          <w:rFonts w:cs="Arial"/>
        </w:rPr>
        <w:t>20.99</w:t>
      </w:r>
      <w:r w:rsidR="00A42E26" w:rsidRPr="00FD7E86">
        <w:rPr>
          <w:rFonts w:cs="Arial"/>
        </w:rPr>
        <w:t xml:space="preserve"> million at </w:t>
      </w:r>
      <w:r w:rsidR="00BD2D21" w:rsidRPr="00FD7E86">
        <w:rPr>
          <w:rFonts w:cs="Arial"/>
        </w:rPr>
        <w:t>June 2015</w:t>
      </w:r>
      <w:r w:rsidR="00A42E26" w:rsidRPr="00FD7E86">
        <w:rPr>
          <w:rFonts w:cs="Arial"/>
        </w:rPr>
        <w:t>, up from 20.57 million in June 2014</w:t>
      </w:r>
    </w:p>
    <w:p w14:paraId="71DDCD36" w14:textId="77777777" w:rsidR="00CD2FA4" w:rsidRPr="00FD7E86" w:rsidRDefault="00CD2FA4" w:rsidP="00DF0CD7">
      <w:pPr>
        <w:pStyle w:val="ListBullet"/>
      </w:pPr>
      <w:r w:rsidRPr="00FD7E86">
        <w:t>internet subscriber growth has slowed over the last four years with 33.</w:t>
      </w:r>
      <w:r w:rsidR="00CF4407" w:rsidRPr="00FD7E86">
        <w:t>76</w:t>
      </w:r>
      <w:r w:rsidRPr="00FD7E86">
        <w:t xml:space="preserve"> million internet subscribers at June 2015, an increase of two per cent </w:t>
      </w:r>
      <w:r w:rsidR="00E05C92" w:rsidRPr="00FD7E86">
        <w:t xml:space="preserve">since </w:t>
      </w:r>
      <w:r w:rsidRPr="00FD7E86">
        <w:t>June 2014</w:t>
      </w:r>
    </w:p>
    <w:p w14:paraId="65169636" w14:textId="77777777" w:rsidR="00585F9C" w:rsidRPr="00FD7E86" w:rsidRDefault="00585F9C" w:rsidP="00585F9C">
      <w:pPr>
        <w:pStyle w:val="ListBullet"/>
      </w:pPr>
      <w:r w:rsidRPr="00FD7E86">
        <w:t xml:space="preserve">the number of Australian adults </w:t>
      </w:r>
      <w:r w:rsidR="00B04DC0" w:rsidRPr="00FD7E86">
        <w:t xml:space="preserve">with a mobile phone but </w:t>
      </w:r>
      <w:r w:rsidRPr="00FD7E86">
        <w:rPr>
          <w:rFonts w:cs="Arial"/>
        </w:rPr>
        <w:t>without a fixed-line telephone service in the home</w:t>
      </w:r>
      <w:r w:rsidR="00B04DC0" w:rsidRPr="00FD7E86">
        <w:rPr>
          <w:rFonts w:cs="Arial"/>
        </w:rPr>
        <w:t xml:space="preserve"> continued to increase</w:t>
      </w:r>
      <w:r w:rsidRPr="00FD7E86">
        <w:rPr>
          <w:rFonts w:cs="Arial"/>
        </w:rPr>
        <w:t xml:space="preserve">, reaching </w:t>
      </w:r>
      <w:r w:rsidRPr="00FD7E86">
        <w:t>5.4 million adult Australians (29 per cent) at June 2015, an increase of two percentage points since June 2014</w:t>
      </w:r>
    </w:p>
    <w:p w14:paraId="2E8D90BA" w14:textId="77777777" w:rsidR="00A42E26" w:rsidRPr="00FD7E86" w:rsidRDefault="00ED1A8C" w:rsidP="00DF0CD7">
      <w:pPr>
        <w:pStyle w:val="ListBullet"/>
        <w:rPr>
          <w:rFonts w:cs="Arial"/>
        </w:rPr>
      </w:pPr>
      <w:r w:rsidRPr="00FD7E86">
        <w:rPr>
          <w:rFonts w:cs="Arial"/>
        </w:rPr>
        <w:t xml:space="preserve">the </w:t>
      </w:r>
      <w:r w:rsidR="00A42E26" w:rsidRPr="00FD7E86">
        <w:rPr>
          <w:rFonts w:cs="Arial"/>
        </w:rPr>
        <w:t>Mobile Blackspot Programme</w:t>
      </w:r>
      <w:r w:rsidR="00617962" w:rsidRPr="00FD7E86">
        <w:rPr>
          <w:rFonts w:cs="Arial"/>
        </w:rPr>
        <w:t>—</w:t>
      </w:r>
      <w:r w:rsidR="00A42E26" w:rsidRPr="00FD7E86">
        <w:rPr>
          <w:rFonts w:cs="Arial"/>
        </w:rPr>
        <w:t>an Australian Government-led initiative that will see a major upgrade of mobile network coverage in regional areas and along major transport routes</w:t>
      </w:r>
      <w:r w:rsidR="00617962" w:rsidRPr="00FD7E86">
        <w:rPr>
          <w:rFonts w:cs="Arial"/>
        </w:rPr>
        <w:t>—was launched</w:t>
      </w:r>
      <w:r w:rsidRPr="00FD7E86">
        <w:rPr>
          <w:rFonts w:cs="Arial"/>
        </w:rPr>
        <w:t xml:space="preserve"> in 2014–15</w:t>
      </w:r>
    </w:p>
    <w:p w14:paraId="07F5F3C2" w14:textId="77777777" w:rsidR="00B04DC0" w:rsidRPr="00FD7E86" w:rsidRDefault="00A42E26" w:rsidP="00DF0CD7">
      <w:pPr>
        <w:pStyle w:val="ListBullet"/>
        <w:rPr>
          <w:rFonts w:cs="Arial"/>
        </w:rPr>
      </w:pPr>
      <w:r w:rsidRPr="00FD7E86">
        <w:rPr>
          <w:rFonts w:cs="Arial"/>
        </w:rPr>
        <w:t xml:space="preserve">key communications infrastructure </w:t>
      </w:r>
      <w:r w:rsidR="004A1D90" w:rsidRPr="00FD7E86">
        <w:rPr>
          <w:rFonts w:cs="Arial"/>
        </w:rPr>
        <w:t xml:space="preserve">continued </w:t>
      </w:r>
      <w:r w:rsidR="00617962" w:rsidRPr="00FD7E86">
        <w:rPr>
          <w:rFonts w:cs="Arial"/>
        </w:rPr>
        <w:t xml:space="preserve">to expand </w:t>
      </w:r>
      <w:r w:rsidRPr="00FD7E86">
        <w:rPr>
          <w:rFonts w:cs="Arial"/>
        </w:rPr>
        <w:t>with</w:t>
      </w:r>
      <w:r w:rsidR="00B04DC0" w:rsidRPr="00FD7E86">
        <w:rPr>
          <w:rFonts w:cs="Arial"/>
        </w:rPr>
        <w:t>:</w:t>
      </w:r>
    </w:p>
    <w:p w14:paraId="01951832" w14:textId="77777777" w:rsidR="00A42E26" w:rsidRPr="00FD7E86" w:rsidRDefault="00A42E26" w:rsidP="00FD7E86">
      <w:pPr>
        <w:pStyle w:val="ListBullet2"/>
      </w:pPr>
      <w:r w:rsidRPr="00FD7E86">
        <w:t xml:space="preserve">operators of 4G mobile networks </w:t>
      </w:r>
      <w:r w:rsidR="00B04DC0" w:rsidRPr="00FD7E86">
        <w:t xml:space="preserve">now </w:t>
      </w:r>
      <w:r w:rsidR="0004185D" w:rsidRPr="00FD7E86">
        <w:t xml:space="preserve">covering up to 94 per cent </w:t>
      </w:r>
      <w:r w:rsidRPr="00FD7E86">
        <w:t>of the population</w:t>
      </w:r>
    </w:p>
    <w:p w14:paraId="4FCDEAEA" w14:textId="77777777" w:rsidR="00A42E26" w:rsidRPr="00FD7E86" w:rsidRDefault="00A42E26" w:rsidP="00FD7E86">
      <w:pPr>
        <w:pStyle w:val="ListBullet2"/>
      </w:pPr>
      <w:r w:rsidRPr="00FD7E86">
        <w:t>continued rollout of</w:t>
      </w:r>
      <w:r w:rsidR="00585F9C" w:rsidRPr="00FD7E86">
        <w:t xml:space="preserve"> the</w:t>
      </w:r>
      <w:r w:rsidRPr="00FD7E86">
        <w:t xml:space="preserve"> </w:t>
      </w:r>
      <w:r w:rsidR="009C633A" w:rsidRPr="00FD7E86">
        <w:t>national broadband network</w:t>
      </w:r>
      <w:r w:rsidRPr="00FD7E86">
        <w:t>, with almost half a million premises now connected</w:t>
      </w:r>
    </w:p>
    <w:p w14:paraId="29B9E80E" w14:textId="77777777" w:rsidR="00A42E26" w:rsidRPr="00FD7E86" w:rsidRDefault="00A42E26" w:rsidP="00DF0CD7">
      <w:pPr>
        <w:pStyle w:val="ListBullet"/>
        <w:rPr>
          <w:rFonts w:cs="Arial"/>
        </w:rPr>
      </w:pPr>
      <w:r w:rsidRPr="00FD7E86">
        <w:t>the top five ISPs by number of subscribers in the Australian market all report</w:t>
      </w:r>
      <w:r w:rsidR="004A1D90" w:rsidRPr="00FD7E86">
        <w:t>ed</w:t>
      </w:r>
      <w:r w:rsidRPr="00FD7E86">
        <w:t xml:space="preserve"> growth in the total number of broadband subscribers</w:t>
      </w:r>
      <w:r w:rsidRPr="00FD7E86" w:rsidDel="00931D94">
        <w:rPr>
          <w:rFonts w:cs="Arial"/>
        </w:rPr>
        <w:t xml:space="preserve"> </w:t>
      </w:r>
    </w:p>
    <w:p w14:paraId="5C08263E" w14:textId="77777777" w:rsidR="00A42E26" w:rsidRPr="00FD7E86" w:rsidRDefault="00A42E26" w:rsidP="00DF0CD7">
      <w:pPr>
        <w:pStyle w:val="ListBullet"/>
        <w:rPr>
          <w:rFonts w:cs="Arial"/>
        </w:rPr>
      </w:pPr>
      <w:r w:rsidRPr="00FD7E86">
        <w:rPr>
          <w:rFonts w:cs="Arial"/>
        </w:rPr>
        <w:t>Australian cloud providers expand</w:t>
      </w:r>
      <w:r w:rsidR="004A1D90" w:rsidRPr="00FD7E86">
        <w:rPr>
          <w:rFonts w:cs="Arial"/>
        </w:rPr>
        <w:t>ed</w:t>
      </w:r>
      <w:r w:rsidRPr="00FD7E86">
        <w:rPr>
          <w:rFonts w:cs="Arial"/>
        </w:rPr>
        <w:t xml:space="preserve"> their data storage capacity, with </w:t>
      </w:r>
      <w:r w:rsidRPr="00FD7E86">
        <w:t>revenues from the data service market increasing by 18.3 per cent</w:t>
      </w:r>
      <w:r w:rsidRPr="00FD7E86">
        <w:rPr>
          <w:rFonts w:cs="Arial"/>
        </w:rPr>
        <w:t xml:space="preserve"> </w:t>
      </w:r>
      <w:r w:rsidRPr="00FD7E86">
        <w:t>in Australia</w:t>
      </w:r>
      <w:r w:rsidRPr="00FD7E86">
        <w:rPr>
          <w:rFonts w:cs="Arial"/>
        </w:rPr>
        <w:t xml:space="preserve"> </w:t>
      </w:r>
    </w:p>
    <w:p w14:paraId="3FB00B77" w14:textId="77777777" w:rsidR="00A42E26" w:rsidRPr="00FD7E86" w:rsidRDefault="00617962" w:rsidP="003C19A2">
      <w:pPr>
        <w:pStyle w:val="ListBullet"/>
        <w:rPr>
          <w:rFonts w:cs="Arial"/>
        </w:rPr>
      </w:pPr>
      <w:r w:rsidRPr="00FD7E86">
        <w:t>during</w:t>
      </w:r>
      <w:r w:rsidR="004A1D90" w:rsidRPr="00FD7E86">
        <w:t xml:space="preserve"> 2014–15, the </w:t>
      </w:r>
      <w:r w:rsidR="00A42E26" w:rsidRPr="00FD7E86">
        <w:t>number of registered .au domain names</w:t>
      </w:r>
      <w:r w:rsidR="004A1D90" w:rsidRPr="00FD7E86">
        <w:t xml:space="preserve"> rose</w:t>
      </w:r>
      <w:r w:rsidR="00A42E26" w:rsidRPr="00FD7E86">
        <w:t xml:space="preserve"> by four per cent to 2.97 million. The ‘.com.au’ domain now accounts for 86 per cent of second-level domains</w:t>
      </w:r>
    </w:p>
    <w:p w14:paraId="5FB4A022" w14:textId="77777777" w:rsidR="00A42E26" w:rsidRPr="00FD7E86" w:rsidRDefault="004A1D90" w:rsidP="007F055E">
      <w:pPr>
        <w:pStyle w:val="ListBulletLast"/>
      </w:pPr>
      <w:r w:rsidRPr="00FD7E86">
        <w:t>o</w:t>
      </w:r>
      <w:r w:rsidR="00A42E26" w:rsidRPr="00FD7E86">
        <w:t xml:space="preserve">nline advertising expenditure </w:t>
      </w:r>
      <w:r w:rsidRPr="00FD7E86">
        <w:t>increased by</w:t>
      </w:r>
      <w:r w:rsidR="00585F9C" w:rsidRPr="00FD7E86">
        <w:t xml:space="preserve"> 16.2 per cent to $4.63 billion over the 2014 calendar year but </w:t>
      </w:r>
      <w:r w:rsidR="00A42E26" w:rsidRPr="00FD7E86">
        <w:t xml:space="preserve">a decrease in total advertising expenditure across the main media categories—print, television, radio, online, outdoor and cinema—down by 4.5 per cent in 2014 to $12.8 billion. Advertising expenditure for </w:t>
      </w:r>
      <w:r w:rsidR="00C011BD" w:rsidRPr="00FD7E86">
        <w:t xml:space="preserve">television </w:t>
      </w:r>
      <w:r w:rsidR="00A42E26" w:rsidRPr="00FD7E86">
        <w:t>and radio revenue remains generally stable.</w:t>
      </w:r>
    </w:p>
    <w:p w14:paraId="2F701244" w14:textId="77777777" w:rsidR="00A42E26" w:rsidRPr="00FD7E86" w:rsidRDefault="00EB02EF" w:rsidP="00EB02EF">
      <w:pPr>
        <w:pStyle w:val="ACMAHeading1"/>
      </w:pPr>
      <w:bookmarkStart w:id="96" w:name="_Toc399331711"/>
      <w:bookmarkStart w:id="97" w:name="_Toc399336892"/>
      <w:bookmarkStart w:id="98" w:name="_Toc402337491"/>
      <w:bookmarkStart w:id="99" w:name="_Toc433790289"/>
      <w:bookmarkEnd w:id="86"/>
      <w:r w:rsidRPr="00FD7E86">
        <w:lastRenderedPageBreak/>
        <w:t>1.2</w:t>
      </w:r>
      <w:r w:rsidRPr="00FD7E86">
        <w:tab/>
      </w:r>
      <w:r w:rsidRPr="00FD7E86">
        <w:tab/>
      </w:r>
      <w:r w:rsidR="00A42E26" w:rsidRPr="00FD7E86">
        <w:t>Fixed-line service availability</w:t>
      </w:r>
      <w:bookmarkEnd w:id="96"/>
      <w:bookmarkEnd w:id="97"/>
      <w:bookmarkEnd w:id="98"/>
      <w:bookmarkEnd w:id="99"/>
      <w:r w:rsidR="00A42E26" w:rsidRPr="00FD7E86">
        <w:t xml:space="preserve"> </w:t>
      </w:r>
    </w:p>
    <w:p w14:paraId="79799357" w14:textId="77777777" w:rsidR="00A42E26" w:rsidRPr="00FD7E86" w:rsidRDefault="00A42E26" w:rsidP="001F6BFE">
      <w:pPr>
        <w:pStyle w:val="ACMAHeading2"/>
      </w:pPr>
      <w:bookmarkStart w:id="100" w:name="_Toc399331712"/>
      <w:bookmarkStart w:id="101" w:name="_Toc399336893"/>
      <w:bookmarkStart w:id="102" w:name="_Toc402337492"/>
      <w:bookmarkStart w:id="103" w:name="_Toc433790290"/>
      <w:r w:rsidRPr="00FD7E86">
        <w:t>Number of services in operation</w:t>
      </w:r>
      <w:bookmarkEnd w:id="100"/>
      <w:bookmarkEnd w:id="101"/>
      <w:bookmarkEnd w:id="102"/>
      <w:bookmarkEnd w:id="103"/>
    </w:p>
    <w:p w14:paraId="48166C3D" w14:textId="77777777" w:rsidR="00A42E26" w:rsidRPr="00FD7E86" w:rsidRDefault="00A42E26" w:rsidP="00A42E26">
      <w:r w:rsidRPr="00FD7E86">
        <w:rPr>
          <w:rFonts w:cs="Arial"/>
        </w:rPr>
        <w:t>There were 9.</w:t>
      </w:r>
      <w:r w:rsidR="00306835" w:rsidRPr="00FD7E86">
        <w:rPr>
          <w:rFonts w:cs="Arial"/>
        </w:rPr>
        <w:t>08</w:t>
      </w:r>
      <w:r w:rsidRPr="00FD7E86">
        <w:rPr>
          <w:rFonts w:cs="Arial"/>
        </w:rPr>
        <w:t xml:space="preserve"> million retail and resale fixed-line telephone services in operation at June 2015 compared to 9.19 million services at June 2014 (Table 1.1), a net decline of </w:t>
      </w:r>
      <w:r w:rsidR="00306835" w:rsidRPr="00FD7E86">
        <w:rPr>
          <w:rFonts w:cs="Arial"/>
        </w:rPr>
        <w:t>one</w:t>
      </w:r>
      <w:r w:rsidRPr="00FD7E86">
        <w:rPr>
          <w:rFonts w:cs="Arial"/>
        </w:rPr>
        <w:t xml:space="preserve"> per cent. This decline is also reflected in </w:t>
      </w:r>
      <w:r w:rsidR="007608A9" w:rsidRPr="00FD7E86">
        <w:rPr>
          <w:rFonts w:cs="Arial"/>
        </w:rPr>
        <w:t xml:space="preserve">a </w:t>
      </w:r>
      <w:r w:rsidRPr="00FD7E86">
        <w:rPr>
          <w:rFonts w:cs="Arial"/>
        </w:rPr>
        <w:t>reduction in the number of fixed-</w:t>
      </w:r>
      <w:r w:rsidRPr="00FD7E86">
        <w:t xml:space="preserve">line services covered by the </w:t>
      </w:r>
      <w:r w:rsidR="00192039" w:rsidRPr="00FD7E86">
        <w:t>Telecommunications (Customer Service Guarantee) Standard 2011</w:t>
      </w:r>
      <w:r w:rsidRPr="00FD7E86">
        <w:t xml:space="preserve"> (see Chapter 5 for more details). Telstra</w:t>
      </w:r>
      <w:r w:rsidR="00306835" w:rsidRPr="00FD7E86">
        <w:t xml:space="preserve"> retail services</w:t>
      </w:r>
      <w:r w:rsidRPr="00FD7E86">
        <w:t xml:space="preserve"> accounted for </w:t>
      </w:r>
      <w:r w:rsidR="00D2710C" w:rsidRPr="00FD7E86">
        <w:t>65 per cent of fixed-line telephone services at June 2015</w:t>
      </w:r>
      <w:r w:rsidRPr="00FD7E86">
        <w:t>.</w:t>
      </w:r>
    </w:p>
    <w:p w14:paraId="1F432EEA" w14:textId="77777777" w:rsidR="00A42E26" w:rsidRPr="00FD7E86" w:rsidRDefault="00A42E26" w:rsidP="00A42E26">
      <w:r w:rsidRPr="00FD7E86">
        <w:t>In 2015, Telstra’s wholesale services increased by four per cent (53,000 services) to 1.34 million services at June 2015. However, this increase had a minimal impact on total fixed-line services in operation. Telstra experienced a decline of over four per cent in the number of retail fixed-line telephone services in operation during 2014–15 (264,000 services), similar to the rate of decline seen during 2013–14 (Table</w:t>
      </w:r>
      <w:r w:rsidR="00305E39">
        <w:t> </w:t>
      </w:r>
      <w:r w:rsidRPr="00FD7E86">
        <w:t xml:space="preserve">1.1). </w:t>
      </w:r>
    </w:p>
    <w:p w14:paraId="6F6B76CF" w14:textId="77777777" w:rsidR="00A42E26" w:rsidRPr="00FD7E86" w:rsidRDefault="00A42E26" w:rsidP="00A42E26">
      <w:pPr>
        <w:rPr>
          <w:rFonts w:cs="Arial"/>
        </w:rPr>
      </w:pPr>
      <w:r w:rsidRPr="00FD7E86">
        <w:t>Telstra also reported a 7.1 per cent decline ($266 million) in its fixed-voice product</w:t>
      </w:r>
      <w:r w:rsidRPr="00FD7E86">
        <w:rPr>
          <w:rFonts w:cs="Arial"/>
        </w:rPr>
        <w:t xml:space="preserve"> revenue during 2014–15, a marginally slower reduction compared to the 7.5 per cent revenue decline of $325 million during 2013–14.</w:t>
      </w:r>
      <w:r w:rsidRPr="00FD7E86">
        <w:rPr>
          <w:vertAlign w:val="superscript"/>
        </w:rPr>
        <w:endnoteReference w:id="2"/>
      </w:r>
      <w:r w:rsidRPr="00FD7E86">
        <w:rPr>
          <w:rFonts w:cs="Arial"/>
        </w:rPr>
        <w:t xml:space="preserve"> </w:t>
      </w:r>
    </w:p>
    <w:p w14:paraId="08B9DF0F" w14:textId="025496D1" w:rsidR="00A42E26" w:rsidRPr="00FD7E86" w:rsidRDefault="0069406A" w:rsidP="0069406A">
      <w:pPr>
        <w:pStyle w:val="ACMATableHeader"/>
        <w:numPr>
          <w:ilvl w:val="0"/>
          <w:numId w:val="0"/>
        </w:numPr>
      </w:pPr>
      <w:r w:rsidRPr="0021106E">
        <w:t xml:space="preserve">Table 1.1 </w:t>
      </w:r>
      <w:r w:rsidR="00A42E26" w:rsidRPr="0021106E">
        <w:t>Number of fixed-line telephone services in operation</w:t>
      </w:r>
    </w:p>
    <w:tbl>
      <w:tblPr>
        <w:tblStyle w:val="Commsreport2014-15TABLE1"/>
        <w:tblW w:w="9193" w:type="dxa"/>
        <w:tblLayout w:type="fixed"/>
        <w:tblLook w:val="01E0" w:firstRow="1" w:lastRow="1" w:firstColumn="1" w:lastColumn="1" w:noHBand="0" w:noVBand="0"/>
        <w:tblCaption w:val="Table 1.1 Number of fixed-line telephone services in operation"/>
      </w:tblPr>
      <w:tblGrid>
        <w:gridCol w:w="1839"/>
        <w:gridCol w:w="1210"/>
        <w:gridCol w:w="1210"/>
        <w:gridCol w:w="1210"/>
        <w:gridCol w:w="1210"/>
        <w:gridCol w:w="1210"/>
        <w:gridCol w:w="1304"/>
      </w:tblGrid>
      <w:tr w:rsidR="00A42E26" w:rsidRPr="00FD7E86" w14:paraId="10A44CDB" w14:textId="77777777" w:rsidTr="0021106E">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839" w:type="dxa"/>
            <w:shd w:val="clear" w:color="auto" w:fill="auto"/>
          </w:tcPr>
          <w:p w14:paraId="5DAEFFAA" w14:textId="77777777" w:rsidR="00A42E26" w:rsidRPr="00FD7E86" w:rsidRDefault="00A42E26" w:rsidP="0021106E">
            <w:pPr>
              <w:keepLines/>
              <w:rPr>
                <w:color w:val="37897E"/>
                <w:szCs w:val="18"/>
              </w:rPr>
            </w:pPr>
          </w:p>
        </w:tc>
        <w:tc>
          <w:tcPr>
            <w:tcW w:w="1210" w:type="dxa"/>
            <w:vAlign w:val="top"/>
          </w:tcPr>
          <w:p w14:paraId="1D9305F6" w14:textId="77777777" w:rsidR="00A42E26" w:rsidRPr="00305E39" w:rsidRDefault="00A42E26" w:rsidP="0021106E">
            <w:pPr>
              <w:pStyle w:val="TableHeading"/>
              <w:cnfStyle w:val="100000000000" w:firstRow="1" w:lastRow="0" w:firstColumn="0" w:lastColumn="0" w:oddVBand="0" w:evenVBand="0" w:oddHBand="0" w:evenHBand="0" w:firstRowFirstColumn="0" w:firstRowLastColumn="0" w:lastRowFirstColumn="0" w:lastRowLastColumn="0"/>
              <w:rPr>
                <w:b/>
              </w:rPr>
            </w:pPr>
            <w:r w:rsidRPr="00305E39">
              <w:rPr>
                <w:b/>
              </w:rPr>
              <w:t>Jun-11</w:t>
            </w:r>
          </w:p>
        </w:tc>
        <w:tc>
          <w:tcPr>
            <w:tcW w:w="1210" w:type="dxa"/>
            <w:vAlign w:val="top"/>
          </w:tcPr>
          <w:p w14:paraId="2C5862BE" w14:textId="77777777" w:rsidR="00A42E26" w:rsidRPr="00305E39" w:rsidRDefault="00A42E26" w:rsidP="0021106E">
            <w:pPr>
              <w:pStyle w:val="TableHeading"/>
              <w:cnfStyle w:val="100000000000" w:firstRow="1" w:lastRow="0" w:firstColumn="0" w:lastColumn="0" w:oddVBand="0" w:evenVBand="0" w:oddHBand="0" w:evenHBand="0" w:firstRowFirstColumn="0" w:firstRowLastColumn="0" w:lastRowFirstColumn="0" w:lastRowLastColumn="0"/>
              <w:rPr>
                <w:b/>
              </w:rPr>
            </w:pPr>
            <w:r w:rsidRPr="00305E39">
              <w:rPr>
                <w:b/>
              </w:rPr>
              <w:t>Jun-12</w:t>
            </w:r>
          </w:p>
        </w:tc>
        <w:tc>
          <w:tcPr>
            <w:tcW w:w="1210" w:type="dxa"/>
            <w:vAlign w:val="top"/>
          </w:tcPr>
          <w:p w14:paraId="55D0EB96" w14:textId="77777777" w:rsidR="00A42E26" w:rsidRPr="00305E39" w:rsidRDefault="00A42E26" w:rsidP="0021106E">
            <w:pPr>
              <w:pStyle w:val="TableHeading"/>
              <w:cnfStyle w:val="100000000000" w:firstRow="1" w:lastRow="0" w:firstColumn="0" w:lastColumn="0" w:oddVBand="0" w:evenVBand="0" w:oddHBand="0" w:evenHBand="0" w:firstRowFirstColumn="0" w:firstRowLastColumn="0" w:lastRowFirstColumn="0" w:lastRowLastColumn="0"/>
              <w:rPr>
                <w:b/>
              </w:rPr>
            </w:pPr>
            <w:r w:rsidRPr="00305E39">
              <w:rPr>
                <w:b/>
              </w:rPr>
              <w:t>Jun-13</w:t>
            </w:r>
          </w:p>
        </w:tc>
        <w:tc>
          <w:tcPr>
            <w:tcW w:w="1210" w:type="dxa"/>
            <w:vAlign w:val="top"/>
          </w:tcPr>
          <w:p w14:paraId="4AEACE28" w14:textId="77777777" w:rsidR="00A42E26" w:rsidRPr="00305E39" w:rsidRDefault="00A42E26" w:rsidP="0021106E">
            <w:pPr>
              <w:pStyle w:val="TableHeading"/>
              <w:cnfStyle w:val="100000000000" w:firstRow="1" w:lastRow="0" w:firstColumn="0" w:lastColumn="0" w:oddVBand="0" w:evenVBand="0" w:oddHBand="0" w:evenHBand="0" w:firstRowFirstColumn="0" w:firstRowLastColumn="0" w:lastRowFirstColumn="0" w:lastRowLastColumn="0"/>
              <w:rPr>
                <w:b/>
                <w:spacing w:val="-28"/>
              </w:rPr>
            </w:pPr>
            <w:r w:rsidRPr="00305E39">
              <w:rPr>
                <w:b/>
              </w:rPr>
              <w:t>Jun-14</w:t>
            </w:r>
          </w:p>
        </w:tc>
        <w:tc>
          <w:tcPr>
            <w:tcW w:w="1210" w:type="dxa"/>
            <w:vAlign w:val="top"/>
          </w:tcPr>
          <w:p w14:paraId="2CF3A741" w14:textId="77777777" w:rsidR="00A42E26" w:rsidRPr="00305E39" w:rsidRDefault="00A42E26" w:rsidP="0021106E">
            <w:pPr>
              <w:pStyle w:val="TableHeading"/>
              <w:cnfStyle w:val="100000000000" w:firstRow="1" w:lastRow="0" w:firstColumn="0" w:lastColumn="0" w:oddVBand="0" w:evenVBand="0" w:oddHBand="0" w:evenHBand="0" w:firstRowFirstColumn="0" w:firstRowLastColumn="0" w:lastRowFirstColumn="0" w:lastRowLastColumn="0"/>
              <w:rPr>
                <w:b/>
              </w:rPr>
            </w:pPr>
            <w:r w:rsidRPr="00305E39">
              <w:rPr>
                <w:b/>
              </w:rPr>
              <w:t>Jun-15</w:t>
            </w:r>
          </w:p>
        </w:tc>
        <w:tc>
          <w:tcPr>
            <w:tcW w:w="1304" w:type="dxa"/>
            <w:vAlign w:val="top"/>
            <w:hideMark/>
          </w:tcPr>
          <w:p w14:paraId="1A643079" w14:textId="77777777" w:rsidR="00A42E26" w:rsidRPr="00305E39" w:rsidRDefault="00A1796A" w:rsidP="0021106E">
            <w:pPr>
              <w:pStyle w:val="TableHeading"/>
              <w:cnfStyle w:val="100000000000" w:firstRow="1" w:lastRow="0" w:firstColumn="0" w:lastColumn="0" w:oddVBand="0" w:evenVBand="0" w:oddHBand="0" w:evenHBand="0" w:firstRowFirstColumn="0" w:firstRowLastColumn="0" w:lastRowFirstColumn="0" w:lastRowLastColumn="0"/>
              <w:rPr>
                <w:b/>
              </w:rPr>
            </w:pPr>
            <w:r>
              <w:rPr>
                <w:b/>
              </w:rPr>
              <w:t>2014–15</w:t>
            </w:r>
            <w:r w:rsidR="00A42E26" w:rsidRPr="00305E39">
              <w:rPr>
                <w:b/>
              </w:rPr>
              <w:t xml:space="preserve"> change </w:t>
            </w:r>
            <w:r w:rsidR="007F055E" w:rsidRPr="00305E39">
              <w:rPr>
                <w:b/>
              </w:rPr>
              <w:t>(%)</w:t>
            </w:r>
          </w:p>
        </w:tc>
      </w:tr>
      <w:tr w:rsidR="00A42E26" w:rsidRPr="00FD7E86" w14:paraId="0073F539" w14:textId="77777777" w:rsidTr="0021106E">
        <w:trPr>
          <w:trHeight w:val="454"/>
        </w:trPr>
        <w:tc>
          <w:tcPr>
            <w:cnfStyle w:val="001000000000" w:firstRow="0" w:lastRow="0" w:firstColumn="1" w:lastColumn="0" w:oddVBand="0" w:evenVBand="0" w:oddHBand="0" w:evenHBand="0" w:firstRowFirstColumn="0" w:firstRowLastColumn="0" w:lastRowFirstColumn="0" w:lastRowLastColumn="0"/>
            <w:tcW w:w="1839" w:type="dxa"/>
          </w:tcPr>
          <w:p w14:paraId="0A251832" w14:textId="77777777" w:rsidR="00A42E26" w:rsidRPr="00DB5EF2" w:rsidRDefault="00A42E26" w:rsidP="0021106E">
            <w:pPr>
              <w:keepLines/>
              <w:spacing w:before="40" w:after="40"/>
              <w:ind w:right="141"/>
              <w:rPr>
                <w:color w:val="auto"/>
                <w:szCs w:val="18"/>
                <w:lang w:eastAsia="en-US"/>
              </w:rPr>
            </w:pPr>
            <w:r w:rsidRPr="00DB5EF2">
              <w:rPr>
                <w:color w:val="auto"/>
                <w:szCs w:val="18"/>
                <w:lang w:eastAsia="en-US"/>
              </w:rPr>
              <w:t xml:space="preserve">Total retail </w:t>
            </w:r>
            <w:r w:rsidRPr="00DB5EF2">
              <w:rPr>
                <w:color w:val="auto"/>
                <w:szCs w:val="18"/>
                <w:lang w:eastAsia="en-US"/>
              </w:rPr>
              <w:br/>
              <w:t>and resale</w:t>
            </w:r>
          </w:p>
        </w:tc>
        <w:tc>
          <w:tcPr>
            <w:tcW w:w="1210" w:type="dxa"/>
          </w:tcPr>
          <w:p w14:paraId="4C1DF734"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20"/>
                <w:lang w:eastAsia="en-US"/>
              </w:rPr>
              <w:t>9.97 m</w:t>
            </w:r>
          </w:p>
        </w:tc>
        <w:tc>
          <w:tcPr>
            <w:tcW w:w="1210" w:type="dxa"/>
          </w:tcPr>
          <w:p w14:paraId="34A152D8"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20"/>
                <w:lang w:eastAsia="en-US"/>
              </w:rPr>
              <w:t>9.67 m</w:t>
            </w:r>
          </w:p>
        </w:tc>
        <w:tc>
          <w:tcPr>
            <w:tcW w:w="1210" w:type="dxa"/>
          </w:tcPr>
          <w:p w14:paraId="2BF3F0DA"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20"/>
                <w:lang w:eastAsia="en-US"/>
              </w:rPr>
              <w:t>9.42 m</w:t>
            </w:r>
          </w:p>
        </w:tc>
        <w:tc>
          <w:tcPr>
            <w:tcW w:w="1210" w:type="dxa"/>
          </w:tcPr>
          <w:p w14:paraId="486BA081"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20"/>
                <w:lang w:eastAsia="en-US"/>
              </w:rPr>
            </w:pPr>
            <w:r w:rsidRPr="00FD7E86">
              <w:rPr>
                <w:szCs w:val="20"/>
                <w:lang w:eastAsia="en-US"/>
              </w:rPr>
              <w:t>9.19 m</w:t>
            </w:r>
          </w:p>
        </w:tc>
        <w:tc>
          <w:tcPr>
            <w:tcW w:w="1210" w:type="dxa"/>
            <w:shd w:val="clear" w:color="auto" w:fill="E9FBFB" w:themeFill="accent3"/>
          </w:tcPr>
          <w:p w14:paraId="63F94F60" w14:textId="77777777" w:rsidR="00A42E26" w:rsidRPr="00FD7E86" w:rsidRDefault="00306835"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9.08 m</w:t>
            </w:r>
          </w:p>
        </w:tc>
        <w:tc>
          <w:tcPr>
            <w:tcW w:w="1304" w:type="dxa"/>
            <w:shd w:val="clear" w:color="auto" w:fill="E9FBFB" w:themeFill="accent3"/>
          </w:tcPr>
          <w:p w14:paraId="6E66FFE5" w14:textId="77777777" w:rsidR="00A42E26" w:rsidRPr="00FD7E86" w:rsidRDefault="00306835"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–1.1</w:t>
            </w:r>
          </w:p>
        </w:tc>
      </w:tr>
      <w:tr w:rsidR="00A42E26" w:rsidRPr="00FD7E86" w14:paraId="6EEB2928" w14:textId="77777777" w:rsidTr="0021106E">
        <w:trPr>
          <w:trHeight w:val="454"/>
        </w:trPr>
        <w:tc>
          <w:tcPr>
            <w:cnfStyle w:val="001000000000" w:firstRow="0" w:lastRow="0" w:firstColumn="1" w:lastColumn="0" w:oddVBand="0" w:evenVBand="0" w:oddHBand="0" w:evenHBand="0" w:firstRowFirstColumn="0" w:firstRowLastColumn="0" w:lastRowFirstColumn="0" w:lastRowLastColumn="0"/>
            <w:tcW w:w="1839" w:type="dxa"/>
          </w:tcPr>
          <w:p w14:paraId="7B933716" w14:textId="77777777" w:rsidR="00A42E26" w:rsidRPr="00DB5EF2" w:rsidRDefault="00A42E26" w:rsidP="0021106E">
            <w:pPr>
              <w:keepLines/>
              <w:spacing w:before="40" w:after="40"/>
              <w:ind w:right="141"/>
              <w:rPr>
                <w:color w:val="auto"/>
                <w:szCs w:val="18"/>
                <w:lang w:eastAsia="en-US"/>
              </w:rPr>
            </w:pPr>
            <w:r w:rsidRPr="00DB5EF2">
              <w:rPr>
                <w:color w:val="auto"/>
                <w:szCs w:val="18"/>
                <w:lang w:eastAsia="en-US"/>
              </w:rPr>
              <w:t xml:space="preserve">Total Telstra </w:t>
            </w:r>
            <w:r w:rsidRPr="00DB5EF2">
              <w:rPr>
                <w:color w:val="auto"/>
                <w:szCs w:val="18"/>
                <w:lang w:eastAsia="en-US"/>
              </w:rPr>
              <w:br/>
              <w:t>(retail only)</w:t>
            </w:r>
          </w:p>
        </w:tc>
        <w:tc>
          <w:tcPr>
            <w:tcW w:w="1210" w:type="dxa"/>
          </w:tcPr>
          <w:p w14:paraId="59B54DB7"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7.16 m</w:t>
            </w:r>
          </w:p>
        </w:tc>
        <w:tc>
          <w:tcPr>
            <w:tcW w:w="1210" w:type="dxa"/>
          </w:tcPr>
          <w:p w14:paraId="1B733B20"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6.88 m</w:t>
            </w:r>
          </w:p>
        </w:tc>
        <w:tc>
          <w:tcPr>
            <w:tcW w:w="1210" w:type="dxa"/>
          </w:tcPr>
          <w:p w14:paraId="2EB005B4"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6.53 m</w:t>
            </w:r>
          </w:p>
        </w:tc>
        <w:tc>
          <w:tcPr>
            <w:tcW w:w="1210" w:type="dxa"/>
          </w:tcPr>
          <w:p w14:paraId="31D7A461"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6.25 m</w:t>
            </w:r>
          </w:p>
        </w:tc>
        <w:tc>
          <w:tcPr>
            <w:tcW w:w="1210" w:type="dxa"/>
          </w:tcPr>
          <w:p w14:paraId="38C9FCD9" w14:textId="77777777" w:rsidR="00A42E26" w:rsidRPr="00FD7E86" w:rsidRDefault="00306835"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5.98</w:t>
            </w:r>
            <w:r w:rsidR="00A42E26" w:rsidRPr="00FD7E86">
              <w:rPr>
                <w:szCs w:val="18"/>
                <w:lang w:eastAsia="en-US"/>
              </w:rPr>
              <w:t xml:space="preserve"> m</w:t>
            </w:r>
          </w:p>
        </w:tc>
        <w:tc>
          <w:tcPr>
            <w:tcW w:w="1304" w:type="dxa"/>
          </w:tcPr>
          <w:p w14:paraId="37F5E1FB" w14:textId="77777777" w:rsidR="00A42E26" w:rsidRPr="00FD7E86" w:rsidRDefault="00A42E26" w:rsidP="0021106E">
            <w:pPr>
              <w:keepLines/>
              <w:spacing w:before="40" w:after="40"/>
              <w:cnfStyle w:val="000000000000" w:firstRow="0" w:lastRow="0" w:firstColumn="0" w:lastColumn="0" w:oddVBand="0" w:evenVBand="0" w:oddHBand="0" w:evenHBand="0" w:firstRowFirstColumn="0" w:firstRowLastColumn="0" w:lastRowFirstColumn="0" w:lastRowLastColumn="0"/>
              <w:rPr>
                <w:szCs w:val="18"/>
                <w:lang w:eastAsia="en-US"/>
              </w:rPr>
            </w:pPr>
            <w:r w:rsidRPr="00FD7E86">
              <w:rPr>
                <w:szCs w:val="18"/>
                <w:lang w:eastAsia="en-US"/>
              </w:rPr>
              <w:t>–4</w:t>
            </w:r>
            <w:r w:rsidR="00306835" w:rsidRPr="00FD7E86">
              <w:rPr>
                <w:szCs w:val="18"/>
                <w:lang w:eastAsia="en-US"/>
              </w:rPr>
              <w:t>.2</w:t>
            </w:r>
          </w:p>
        </w:tc>
      </w:tr>
    </w:tbl>
    <w:p w14:paraId="4E96CE9A" w14:textId="77777777" w:rsidR="007F055E" w:rsidRPr="00FD7E86" w:rsidRDefault="007F055E" w:rsidP="008804A6">
      <w:pPr>
        <w:pStyle w:val="ACMANotes"/>
      </w:pPr>
      <w:r w:rsidRPr="00FD7E86">
        <w:t>m=million</w:t>
      </w:r>
      <w:r w:rsidR="008804A6" w:rsidRPr="00FD7E86">
        <w:t>.</w:t>
      </w:r>
    </w:p>
    <w:p w14:paraId="0A80D984" w14:textId="77777777" w:rsidR="00306835" w:rsidRPr="00FD7E86" w:rsidRDefault="00306835" w:rsidP="008804A6">
      <w:pPr>
        <w:pStyle w:val="ACMANotes"/>
      </w:pPr>
      <w:r w:rsidRPr="00FD7E86">
        <w:t>Note: Percentage changes are calculated on non-rounded data.</w:t>
      </w:r>
    </w:p>
    <w:p w14:paraId="0C256231" w14:textId="77777777" w:rsidR="00A42E26" w:rsidRPr="00FD7E86" w:rsidRDefault="00A42E26" w:rsidP="000664F7">
      <w:pPr>
        <w:pStyle w:val="ACMANotes"/>
      </w:pPr>
      <w:r w:rsidRPr="00FD7E86">
        <w:t>Source: 2014 and 2015 figures are ACCC and ACMA retail and resale data collected from the top six services providers. 2011 to 2013 figures are ACMA retail and resale data collecte</w:t>
      </w:r>
      <w:bookmarkStart w:id="104" w:name="_Toc371588978"/>
      <w:bookmarkStart w:id="105" w:name="_Toc373149040"/>
      <w:bookmarkStart w:id="106" w:name="_Toc399331713"/>
      <w:bookmarkStart w:id="107" w:name="_Toc399336894"/>
      <w:r w:rsidR="001F6BFE" w:rsidRPr="00FD7E86">
        <w:t>d from these service providers.</w:t>
      </w:r>
    </w:p>
    <w:p w14:paraId="11349EFC" w14:textId="77777777" w:rsidR="004E6AB0" w:rsidRPr="00FD7E86" w:rsidRDefault="004E6AB0" w:rsidP="004E6AB0">
      <w:pPr>
        <w:pStyle w:val="ACMASpaceaftertable"/>
      </w:pPr>
    </w:p>
    <w:p w14:paraId="2AC3F154" w14:textId="77777777" w:rsidR="00A42E26" w:rsidRPr="00FD7E86" w:rsidRDefault="00A42E26" w:rsidP="001F6BFE">
      <w:pPr>
        <w:pStyle w:val="ACMAHeading2"/>
      </w:pPr>
      <w:bookmarkStart w:id="108" w:name="_Toc433790291"/>
      <w:r w:rsidRPr="00FD7E86">
        <w:t>The continued shift from fixed-line telephony</w:t>
      </w:r>
      <w:bookmarkEnd w:id="104"/>
      <w:bookmarkEnd w:id="105"/>
      <w:bookmarkEnd w:id="106"/>
      <w:bookmarkEnd w:id="107"/>
      <w:bookmarkEnd w:id="108"/>
    </w:p>
    <w:p w14:paraId="3A0DFDCE" w14:textId="77777777" w:rsidR="00A42E26" w:rsidRPr="00FD7E86" w:rsidRDefault="00A42E26" w:rsidP="00A42E26">
      <w:r w:rsidRPr="00FD7E86">
        <w:t>Consumer communications usage continues to change, reflected in the ongoing decline in the number of fixed-line voice services in operation and related revenue.</w:t>
      </w:r>
    </w:p>
    <w:p w14:paraId="45CE9CF4" w14:textId="77777777" w:rsidR="00A42E26" w:rsidRPr="00FD7E86" w:rsidRDefault="00A42E26" w:rsidP="004F6BD1">
      <w:pPr>
        <w:pStyle w:val="Heading3"/>
      </w:pPr>
      <w:r w:rsidRPr="00FD7E86">
        <w:t>Growth in mobile phone</w:t>
      </w:r>
      <w:r w:rsidR="00C011BD" w:rsidRPr="00FD7E86">
        <w:t>-</w:t>
      </w:r>
      <w:r w:rsidRPr="00FD7E86">
        <w:t>only consumers</w:t>
      </w:r>
    </w:p>
    <w:p w14:paraId="226823AB" w14:textId="77777777" w:rsidR="00A42E26" w:rsidRPr="00FD7E86" w:rsidRDefault="00A42E26" w:rsidP="00A42E26">
      <w:pPr>
        <w:rPr>
          <w:rFonts w:cs="Arial"/>
        </w:rPr>
      </w:pPr>
      <w:r w:rsidRPr="00FD7E86">
        <w:rPr>
          <w:rFonts w:cs="Arial"/>
        </w:rPr>
        <w:t>At June 2015, 29 per cent of the total adult population—5.4 million Australians aged 18 years and over—were estimated to be without a fixed-line telephone service in the home, an increase of two percentage points since June 2014 (</w:t>
      </w:r>
      <w:r w:rsidR="006842FC" w:rsidRPr="00FD7E86">
        <w:rPr>
          <w:rFonts w:cs="Arial"/>
        </w:rPr>
        <w:t>Figure 1.1</w:t>
      </w:r>
      <w:r w:rsidRPr="00FD7E86">
        <w:rPr>
          <w:rFonts w:cs="Arial"/>
        </w:rPr>
        <w:t xml:space="preserve">). </w:t>
      </w:r>
      <w:bookmarkStart w:id="109" w:name="_Ref398119410"/>
    </w:p>
    <w:p w14:paraId="102D2799" w14:textId="77777777" w:rsidR="00A42E26" w:rsidRPr="007B185A" w:rsidRDefault="00A42E26" w:rsidP="007B185A">
      <w:pPr>
        <w:pStyle w:val="ACMAFigureHeader"/>
        <w:keepNext/>
        <w:numPr>
          <w:ilvl w:val="0"/>
          <w:numId w:val="0"/>
        </w:numPr>
      </w:pPr>
      <w:r w:rsidRPr="00540533">
        <w:lastRenderedPageBreak/>
        <w:t>Figure 1.</w:t>
      </w:r>
      <w:fldSimple w:instr=" SEQ Figure \* ARABIC ">
        <w:r w:rsidR="007A7220" w:rsidRPr="00540533">
          <w:t>1</w:t>
        </w:r>
      </w:fldSimple>
      <w:bookmarkEnd w:id="109"/>
      <w:r w:rsidRPr="00540533">
        <w:t xml:space="preserve"> Growth in population with a mobile phone and no fixed-line telephone (‘000)</w:t>
      </w:r>
    </w:p>
    <w:p w14:paraId="2F54CF35" w14:textId="77777777" w:rsidR="00A42E26" w:rsidRPr="00FD7E86" w:rsidRDefault="006C469C" w:rsidP="00C05F4C">
      <w:pPr>
        <w:spacing w:after="0"/>
        <w:rPr>
          <w:rFonts w:cs="Arial"/>
          <w:b/>
        </w:rPr>
      </w:pPr>
      <w:r>
        <w:rPr>
          <w:rFonts w:cs="Arial"/>
          <w:b/>
          <w:noProof/>
        </w:rPr>
        <w:drawing>
          <wp:inline distT="0" distB="0" distL="0" distR="0" wp14:anchorId="1AF3C2D1" wp14:editId="3200C2D8">
            <wp:extent cx="5939790" cy="2639060"/>
            <wp:effectExtent l="0" t="0" r="0" b="0"/>
            <wp:docPr id="32" name="Picture 32" descr="A .csv file of Figure 1.1 is available on the landing page ‘Communications report 2014–15’, available from the ACMA website. " title="Figure 1.1 Growth in population with a mobile phone and no fixed-line telephone (‘0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Chapter 1_Figure 1.1.png"/>
                    <pic:cNvPicPr/>
                  </pic:nvPicPr>
                  <pic:blipFill>
                    <a:blip r:embed="rId33">
                      <a:extLst>
                        <a:ext uri="{28A0092B-C50C-407E-A947-70E740481C1C}">
                          <a14:useLocalDpi xmlns:a14="http://schemas.microsoft.com/office/drawing/2010/main" val="0"/>
                        </a:ext>
                      </a:extLst>
                    </a:blip>
                    <a:stretch>
                      <a:fillRect/>
                    </a:stretch>
                  </pic:blipFill>
                  <pic:spPr>
                    <a:xfrm>
                      <a:off x="0" y="0"/>
                      <a:ext cx="5939790" cy="2639060"/>
                    </a:xfrm>
                    <a:prstGeom prst="rect">
                      <a:avLst/>
                    </a:prstGeom>
                  </pic:spPr>
                </pic:pic>
              </a:graphicData>
            </a:graphic>
          </wp:inline>
        </w:drawing>
      </w:r>
    </w:p>
    <w:p w14:paraId="639DE7B0" w14:textId="77777777" w:rsidR="00A42E26" w:rsidRPr="00FD7E86" w:rsidRDefault="00A42E26" w:rsidP="000664F7">
      <w:pPr>
        <w:pStyle w:val="ACMANotes"/>
      </w:pPr>
      <w:r w:rsidRPr="00FD7E86">
        <w:t xml:space="preserve">Base: Data relates to people aged 18 years and over (‘000s), in the 12 months to June of each year. </w:t>
      </w:r>
    </w:p>
    <w:p w14:paraId="3BCE370F" w14:textId="77777777" w:rsidR="00A42E26" w:rsidRPr="00FD7E86" w:rsidRDefault="00A42E26" w:rsidP="000664F7">
      <w:pPr>
        <w:pStyle w:val="ACMANotes"/>
      </w:pPr>
      <w:r w:rsidRPr="00FD7E86">
        <w:t>Note: Data has been revised from previously published figure due to changes in methodology of Roy Morgan Single Source.</w:t>
      </w:r>
      <w:r w:rsidR="009C67F4" w:rsidRPr="00FD7E86">
        <w:t xml:space="preserve"> ‘Don’t know/can’t say’ responses are included from June 2014 onwards. </w:t>
      </w:r>
    </w:p>
    <w:p w14:paraId="71231868" w14:textId="77777777" w:rsidR="00A42E26" w:rsidRPr="00FD7E86" w:rsidRDefault="00A42E26" w:rsidP="000664F7">
      <w:pPr>
        <w:pStyle w:val="ACMANotes"/>
        <w:rPr>
          <w:szCs w:val="16"/>
        </w:rPr>
      </w:pPr>
      <w:r w:rsidRPr="00FD7E86">
        <w:rPr>
          <w:szCs w:val="16"/>
        </w:rPr>
        <w:t>Source: Roy Morgan Single Source.</w:t>
      </w:r>
    </w:p>
    <w:p w14:paraId="6A6C4571" w14:textId="77777777" w:rsidR="009E26DA" w:rsidRPr="00FD7E86" w:rsidRDefault="009E26DA" w:rsidP="00DA497A">
      <w:pPr>
        <w:pStyle w:val="ACMASpaceaftertable"/>
      </w:pPr>
    </w:p>
    <w:p w14:paraId="56B0DD09" w14:textId="77777777" w:rsidR="00A42E26" w:rsidRPr="00FD7E86" w:rsidRDefault="00563AA1" w:rsidP="006842FC">
      <w:pPr>
        <w:pStyle w:val="ACMAHeading2"/>
      </w:pPr>
      <w:bookmarkStart w:id="110" w:name="_Toc433790292"/>
      <w:r>
        <w:t>Fixed</w:t>
      </w:r>
      <w:r w:rsidR="00DC53B7">
        <w:t>-</w:t>
      </w:r>
      <w:r>
        <w:t>line telephone and</w:t>
      </w:r>
      <w:r w:rsidR="00A42E26" w:rsidRPr="00FD7E86">
        <w:t xml:space="preserve"> OTT VoIP services</w:t>
      </w:r>
      <w:bookmarkEnd w:id="110"/>
    </w:p>
    <w:p w14:paraId="5A1C8C11" w14:textId="77777777" w:rsidR="00563AA1" w:rsidRDefault="00563AA1" w:rsidP="002B6F51">
      <w:r>
        <w:t>Seventy per cent of adults had a fixed-line telephone at June 2015 (Figure 1.2).</w:t>
      </w:r>
    </w:p>
    <w:p w14:paraId="1436544D" w14:textId="77777777" w:rsidR="00A42E26" w:rsidRPr="00FD7E86" w:rsidRDefault="00A42E26" w:rsidP="002B6F51">
      <w:pPr>
        <w:rPr>
          <w:lang w:val="en-US"/>
        </w:rPr>
      </w:pPr>
      <w:r w:rsidRPr="00FD7E86">
        <w:t>Over-the-top (OTT) communications are those delivered by an application that is run over the top of another carriage service, and can be accessed using any compatible internet access device. With their low cost and one</w:t>
      </w:r>
      <w:r w:rsidR="00415041" w:rsidRPr="00FD7E86">
        <w:t>-</w:t>
      </w:r>
      <w:r w:rsidRPr="00FD7E86">
        <w:t xml:space="preserve">click access, OTT voice over internet protocol (VoIP) services are increasingly affecting traditional communications revenues, with the impact felt </w:t>
      </w:r>
      <w:r w:rsidR="006710CC" w:rsidRPr="00FD7E86">
        <w:t xml:space="preserve">more and more </w:t>
      </w:r>
      <w:r w:rsidRPr="00FD7E86">
        <w:t>by both mobile and fixed-voice service providers. Global voice traffic via OTT VoIP applications is predicted to reach 1.4 trillion minutes by 2018, translating to $63 billion in lost revenue for traditional service providers.</w:t>
      </w:r>
      <w:r w:rsidRPr="00FD7E86">
        <w:rPr>
          <w:vertAlign w:val="superscript"/>
          <w:lang w:val="en-US"/>
        </w:rPr>
        <w:endnoteReference w:id="3"/>
      </w:r>
    </w:p>
    <w:p w14:paraId="034CC593" w14:textId="77777777" w:rsidR="00A42E26" w:rsidRPr="00FD7E86" w:rsidRDefault="00A42E26" w:rsidP="002B6F51">
      <w:r w:rsidRPr="00FD7E86">
        <w:t>OTT VoIP can be distinguished from managed VoIP services—services that operate in a similar fashion to the fixed-line telephone.</w:t>
      </w:r>
      <w:r w:rsidRPr="00FD7E86">
        <w:rPr>
          <w:vertAlign w:val="superscript"/>
        </w:rPr>
        <w:endnoteReference w:id="4"/>
      </w:r>
    </w:p>
    <w:p w14:paraId="33444356" w14:textId="77777777" w:rsidR="00A42E26" w:rsidRPr="00FD7E86" w:rsidRDefault="00A42E26" w:rsidP="002B6F51">
      <w:r w:rsidRPr="00FD7E86">
        <w:t>In Australia, 4.9 million (27 per cent) of people aged 18 years and over used a VoIP service at June 2015</w:t>
      </w:r>
      <w:r w:rsidR="00415041" w:rsidRPr="00FD7E86">
        <w:t>,</w:t>
      </w:r>
      <w:r w:rsidRPr="00FD7E86">
        <w:t xml:space="preserve"> including OTT and managed VoIP services. Twenty-four per cent of adults reported using some OTT VoIP (Figure 1.2). </w:t>
      </w:r>
    </w:p>
    <w:p w14:paraId="5CD81727" w14:textId="77777777" w:rsidR="00A42E26" w:rsidRPr="00FD7E86" w:rsidRDefault="00A42E26" w:rsidP="004F6BD1">
      <w:pPr>
        <w:pStyle w:val="ACMAFigureHeader"/>
        <w:keepNext/>
        <w:numPr>
          <w:ilvl w:val="0"/>
          <w:numId w:val="0"/>
        </w:numPr>
      </w:pPr>
      <w:r w:rsidRPr="00FD7E86">
        <w:lastRenderedPageBreak/>
        <w:t>Figure 1.</w:t>
      </w:r>
      <w:fldSimple w:instr=" SEQ Figure \* ARABIC ">
        <w:r w:rsidR="007A7220">
          <w:rPr>
            <w:noProof/>
          </w:rPr>
          <w:t>2</w:t>
        </w:r>
      </w:fldSimple>
      <w:r w:rsidRPr="00FD7E86">
        <w:t xml:space="preserve"> Use of fixed-line telephone and VoIP services (percentage)</w:t>
      </w:r>
    </w:p>
    <w:p w14:paraId="68FD2D00" w14:textId="77777777" w:rsidR="005227C6" w:rsidRPr="00FD7E86" w:rsidRDefault="006C469C" w:rsidP="005227C6">
      <w:pPr>
        <w:spacing w:before="240" w:after="0" w:line="240" w:lineRule="auto"/>
        <w:rPr>
          <w:rFonts w:cs="Arial"/>
          <w:i/>
          <w:sz w:val="16"/>
        </w:rPr>
      </w:pPr>
      <w:r>
        <w:rPr>
          <w:rFonts w:cs="Arial"/>
          <w:i/>
          <w:noProof/>
          <w:sz w:val="16"/>
        </w:rPr>
        <w:drawing>
          <wp:inline distT="0" distB="0" distL="0" distR="0" wp14:anchorId="618397EE" wp14:editId="6F417B50">
            <wp:extent cx="5939790" cy="2639060"/>
            <wp:effectExtent l="0" t="0" r="3810" b="0"/>
            <wp:docPr id="36" name="Picture 36" descr="A .csv file of Figure 1.2 is available on the landing page ‘Communications report 2014–15’, available from the ACMA website. " title="Figure 1.2 Use of fixed-line telephone and VoIP service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hapter 1_Figure 1.2.png"/>
                    <pic:cNvPicPr/>
                  </pic:nvPicPr>
                  <pic:blipFill>
                    <a:blip r:embed="rId34">
                      <a:extLst>
                        <a:ext uri="{28A0092B-C50C-407E-A947-70E740481C1C}">
                          <a14:useLocalDpi xmlns:a14="http://schemas.microsoft.com/office/drawing/2010/main" val="0"/>
                        </a:ext>
                      </a:extLst>
                    </a:blip>
                    <a:stretch>
                      <a:fillRect/>
                    </a:stretch>
                  </pic:blipFill>
                  <pic:spPr>
                    <a:xfrm>
                      <a:off x="0" y="0"/>
                      <a:ext cx="5939790" cy="2639060"/>
                    </a:xfrm>
                    <a:prstGeom prst="rect">
                      <a:avLst/>
                    </a:prstGeom>
                  </pic:spPr>
                </pic:pic>
              </a:graphicData>
            </a:graphic>
          </wp:inline>
        </w:drawing>
      </w:r>
    </w:p>
    <w:p w14:paraId="53B4402D" w14:textId="77777777" w:rsidR="00A42E26" w:rsidRPr="00FD7E86" w:rsidRDefault="00A42E26" w:rsidP="000664F7">
      <w:pPr>
        <w:pStyle w:val="ACMANotes"/>
      </w:pPr>
      <w:r w:rsidRPr="00FD7E86">
        <w:t>Base: Data relates to people aged 18 years and over, in the 12 months to June of each year.</w:t>
      </w:r>
    </w:p>
    <w:p w14:paraId="450EDCC2" w14:textId="77777777" w:rsidR="00A42E26" w:rsidRPr="00FD7E86" w:rsidRDefault="00A42E26" w:rsidP="000664F7">
      <w:pPr>
        <w:pStyle w:val="ACMANotes"/>
      </w:pPr>
      <w:r w:rsidRPr="00FD7E86">
        <w:t>Note: Fixed-line telephone services include managed VoIP services. Those who report using a home fixed-line telephone to access VoIP are understood to be using a managed VoIP service, while those using PC/laptop, tablet computer and mobile phone to access VoIP are understood to be using an OTT VoIP service.</w:t>
      </w:r>
    </w:p>
    <w:p w14:paraId="6637D338" w14:textId="77777777" w:rsidR="009E26DA" w:rsidRPr="00FD7E86" w:rsidRDefault="00A42E26" w:rsidP="000E4F20">
      <w:pPr>
        <w:pStyle w:val="ACMANotes"/>
      </w:pPr>
      <w:r w:rsidRPr="00FD7E86">
        <w:t>Source: Roy Morgan Single Source.</w:t>
      </w:r>
    </w:p>
    <w:p w14:paraId="06AEF5E5" w14:textId="77777777" w:rsidR="00980627" w:rsidRPr="00FD7E86" w:rsidRDefault="00980627" w:rsidP="001B105C">
      <w:pPr>
        <w:pStyle w:val="ACMASpaceaftertable"/>
        <w:rPr>
          <w:i/>
          <w:sz w:val="16"/>
          <w:szCs w:val="16"/>
        </w:rPr>
      </w:pPr>
    </w:p>
    <w:p w14:paraId="011C10E9" w14:textId="77777777" w:rsidR="00A42E26" w:rsidRPr="00FD7E86" w:rsidRDefault="00A42E26" w:rsidP="00A42E26">
      <w:r w:rsidRPr="00FD7E86">
        <w:t>Looking at the types of devices used to access OTT VoIP services, tablets have become a more popular OTT VoIP access device than mobile phones for the first time (Figure 1.3).</w:t>
      </w:r>
    </w:p>
    <w:p w14:paraId="2CC16F65" w14:textId="77777777" w:rsidR="00A42E26" w:rsidRPr="00FD7E86" w:rsidRDefault="00A42E26" w:rsidP="00A42E26">
      <w:pPr>
        <w:spacing w:line="240" w:lineRule="auto"/>
      </w:pPr>
      <w:r w:rsidRPr="00FD7E86">
        <w:t xml:space="preserve">The growth in the use of tablets for VoIP calls may be a reflection of the take-up of video calling—which is enhanced by the larger screen—and the availability of easy-to-use OTT VoIP applications such as Skype, FaceTime and Viber. In addition, the take-up of instant messaging services has increased. See Chapter 2 of this report for more detailed analysis of use of communications applications. </w:t>
      </w:r>
    </w:p>
    <w:p w14:paraId="13DB4ABD" w14:textId="77777777" w:rsidR="00A42E26" w:rsidRPr="00FD7E86" w:rsidRDefault="00A42E26" w:rsidP="004F6BD1">
      <w:pPr>
        <w:pStyle w:val="ACMAFigureHeader"/>
        <w:keepNext/>
        <w:numPr>
          <w:ilvl w:val="0"/>
          <w:numId w:val="0"/>
        </w:numPr>
      </w:pPr>
      <w:r w:rsidRPr="00FD7E86">
        <w:lastRenderedPageBreak/>
        <w:t>Figure 1.3 Use of OTT VoIP (percentage)</w:t>
      </w:r>
    </w:p>
    <w:p w14:paraId="5ECEF9DB" w14:textId="77777777" w:rsidR="00A42E26" w:rsidRPr="00FD7E86" w:rsidRDefault="007D6F52" w:rsidP="00C05F4C">
      <w:pPr>
        <w:spacing w:after="0"/>
      </w:pPr>
      <w:r>
        <w:rPr>
          <w:noProof/>
        </w:rPr>
        <w:drawing>
          <wp:inline distT="0" distB="0" distL="0" distR="0" wp14:anchorId="143BA3AD" wp14:editId="658947FE">
            <wp:extent cx="5939790" cy="3382010"/>
            <wp:effectExtent l="0" t="0" r="3810" b="8890"/>
            <wp:docPr id="38" name="Picture 38" descr="A .csv file of Figure 1.3 is available on the landing page ‘Communications report 2014–15’, available from the ACMA website. " title="Figure 1.3 Use of OTT VoIP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Chapter 1_Figure 1.3.png"/>
                    <pic:cNvPicPr/>
                  </pic:nvPicPr>
                  <pic:blipFill>
                    <a:blip r:embed="rId35">
                      <a:extLst>
                        <a:ext uri="{28A0092B-C50C-407E-A947-70E740481C1C}">
                          <a14:useLocalDpi xmlns:a14="http://schemas.microsoft.com/office/drawing/2010/main" val="0"/>
                        </a:ext>
                      </a:extLst>
                    </a:blip>
                    <a:stretch>
                      <a:fillRect/>
                    </a:stretch>
                  </pic:blipFill>
                  <pic:spPr>
                    <a:xfrm>
                      <a:off x="0" y="0"/>
                      <a:ext cx="5939790" cy="3382010"/>
                    </a:xfrm>
                    <a:prstGeom prst="rect">
                      <a:avLst/>
                    </a:prstGeom>
                  </pic:spPr>
                </pic:pic>
              </a:graphicData>
            </a:graphic>
          </wp:inline>
        </w:drawing>
      </w:r>
    </w:p>
    <w:p w14:paraId="455429CD" w14:textId="77777777" w:rsidR="00A42E26" w:rsidRPr="00FD7E86" w:rsidRDefault="00A42E26" w:rsidP="000664F7">
      <w:pPr>
        <w:pStyle w:val="ACMANotes"/>
      </w:pPr>
      <w:r w:rsidRPr="00FD7E86">
        <w:t>Base: Data relates to people aged 18 years and over, in the 12 months to June of each year.</w:t>
      </w:r>
    </w:p>
    <w:p w14:paraId="48D47A89" w14:textId="77777777" w:rsidR="00A42E26" w:rsidRPr="00FD7E86" w:rsidRDefault="00A42E26" w:rsidP="000664F7">
      <w:pPr>
        <w:pStyle w:val="ACMANotes"/>
      </w:pPr>
      <w:r w:rsidRPr="00FD7E86">
        <w:t xml:space="preserve">Note: Fixed-line telephone services included managed VoIP services. </w:t>
      </w:r>
    </w:p>
    <w:p w14:paraId="1A6DA42D" w14:textId="77777777" w:rsidR="00A42E26" w:rsidRPr="00FD7E86" w:rsidRDefault="00A42E26" w:rsidP="000E4F20">
      <w:pPr>
        <w:pStyle w:val="ACMANotes"/>
      </w:pPr>
      <w:r w:rsidRPr="00FD7E86">
        <w:t>Source: Roy Morgan Single Source</w:t>
      </w:r>
      <w:r w:rsidR="0062394A" w:rsidRPr="00FD7E86">
        <w:t>.</w:t>
      </w:r>
    </w:p>
    <w:p w14:paraId="7B4013FB" w14:textId="77777777" w:rsidR="00980627" w:rsidRPr="00FD7E86" w:rsidRDefault="00980627" w:rsidP="00CB3041">
      <w:pPr>
        <w:pStyle w:val="ACMASpaceaftertable"/>
        <w:rPr>
          <w:i/>
          <w:sz w:val="16"/>
          <w:szCs w:val="16"/>
        </w:rPr>
      </w:pPr>
    </w:p>
    <w:p w14:paraId="644B88E1" w14:textId="77777777" w:rsidR="00A42E26" w:rsidRPr="00FD7E86" w:rsidRDefault="00EB02EF" w:rsidP="0063301E">
      <w:pPr>
        <w:pStyle w:val="ACMAHeading1"/>
      </w:pPr>
      <w:bookmarkStart w:id="111" w:name="_Toc433790293"/>
      <w:r w:rsidRPr="00FD7E86">
        <w:t>1.3</w:t>
      </w:r>
      <w:r w:rsidRPr="00FD7E86">
        <w:tab/>
      </w:r>
      <w:r w:rsidRPr="00FD7E86">
        <w:tab/>
      </w:r>
      <w:r w:rsidR="00A42E26" w:rsidRPr="00FD7E86">
        <w:t>Mobile service availability</w:t>
      </w:r>
      <w:bookmarkEnd w:id="111"/>
    </w:p>
    <w:p w14:paraId="40CF13F4" w14:textId="77777777" w:rsidR="00A42E26" w:rsidRPr="00FD7E86" w:rsidRDefault="00A42E26" w:rsidP="004F6BD1">
      <w:pPr>
        <w:pStyle w:val="ACMAHeading2"/>
        <w:keepNext w:val="0"/>
      </w:pPr>
      <w:bookmarkStart w:id="112" w:name="_Toc433790294"/>
      <w:r w:rsidRPr="00FD7E86">
        <w:t>Number of services in operation and market share</w:t>
      </w:r>
      <w:bookmarkEnd w:id="112"/>
    </w:p>
    <w:p w14:paraId="633D46EA" w14:textId="77777777" w:rsidR="004F6BD1" w:rsidRPr="00FD7E86" w:rsidRDefault="00A42E26" w:rsidP="004F6BD1">
      <w:pPr>
        <w:rPr>
          <w:rFonts w:cs="Arial"/>
        </w:rPr>
      </w:pPr>
      <w:r w:rsidRPr="00FD7E86">
        <w:rPr>
          <w:rFonts w:cs="Arial"/>
        </w:rPr>
        <w:t xml:space="preserve">At June 2015, there were an estimated 31.77 million mobile voice and data services in operation in Australia (Figure 1.4). This total figure comprises all voice and data services available over 2G, 3G and 4G services including mobile wireless internet services provided via data cards, dongles or USB modems. This is an increase of 2.5 per cent from June 2014 to June 2015, with some providers reporting that </w:t>
      </w:r>
      <w:r w:rsidRPr="00FD7E86" w:rsidDel="005C479E">
        <w:rPr>
          <w:rFonts w:cs="Arial"/>
        </w:rPr>
        <w:t xml:space="preserve">substantial </w:t>
      </w:r>
      <w:r w:rsidRPr="00FD7E86">
        <w:rPr>
          <w:rFonts w:cs="Arial"/>
        </w:rPr>
        <w:t xml:space="preserve">increases in M2M communications services and wholesale services contributed to the </w:t>
      </w:r>
      <w:r w:rsidR="005A110E" w:rsidRPr="00FD7E86">
        <w:rPr>
          <w:rFonts w:cs="Arial"/>
        </w:rPr>
        <w:t>growth</w:t>
      </w:r>
      <w:r w:rsidRPr="00FD7E86">
        <w:rPr>
          <w:rFonts w:cs="Arial"/>
        </w:rPr>
        <w:t>.</w:t>
      </w:r>
      <w:r w:rsidRPr="00FD7E86">
        <w:rPr>
          <w:rFonts w:cs="Arial"/>
          <w:vertAlign w:val="superscript"/>
        </w:rPr>
        <w:endnoteReference w:id="5"/>
      </w:r>
    </w:p>
    <w:p w14:paraId="40D65F97" w14:textId="77777777" w:rsidR="00A42E26" w:rsidRPr="00FD7E86" w:rsidRDefault="00A42E26" w:rsidP="00C05F4C">
      <w:pPr>
        <w:pStyle w:val="ACMAFigureHeader"/>
        <w:keepNext/>
        <w:keepLines/>
        <w:numPr>
          <w:ilvl w:val="0"/>
          <w:numId w:val="0"/>
        </w:numPr>
      </w:pPr>
      <w:bookmarkStart w:id="113" w:name="_Ref398814651"/>
      <w:r w:rsidRPr="00FD7E86">
        <w:lastRenderedPageBreak/>
        <w:t>Figure 1.</w:t>
      </w:r>
      <w:bookmarkEnd w:id="113"/>
      <w:r w:rsidRPr="00FD7E86">
        <w:t>4 Mobile services in operation</w:t>
      </w:r>
      <w:r w:rsidR="00722C0B" w:rsidRPr="00FD7E86">
        <w:t xml:space="preserve"> (millions)</w:t>
      </w:r>
    </w:p>
    <w:p w14:paraId="7B1E02DC" w14:textId="77777777" w:rsidR="00A42E26" w:rsidRPr="00FD7E86" w:rsidRDefault="003F41B4" w:rsidP="00C05F4C">
      <w:pPr>
        <w:keepNext/>
        <w:keepLines/>
        <w:spacing w:after="0"/>
        <w:rPr>
          <w:rFonts w:cs="Arial"/>
        </w:rPr>
      </w:pPr>
      <w:r>
        <w:rPr>
          <w:rFonts w:cs="Arial"/>
          <w:noProof/>
        </w:rPr>
        <w:drawing>
          <wp:inline distT="0" distB="0" distL="0" distR="0" wp14:anchorId="3B111C91" wp14:editId="1B55084F">
            <wp:extent cx="5939790" cy="2036445"/>
            <wp:effectExtent l="0" t="0" r="0" b="1905"/>
            <wp:docPr id="49" name="Picture 49" descr="A .csv file of Figure 1.4 is available on the landing page ‘Communications report 2014–15’, available from the ACMA website. " title="Figure 1.4 Mobile services in operation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Chapter 1_FIgure 1.4.png"/>
                    <pic:cNvPicPr/>
                  </pic:nvPicPr>
                  <pic:blipFill>
                    <a:blip r:embed="rId36">
                      <a:extLst>
                        <a:ext uri="{28A0092B-C50C-407E-A947-70E740481C1C}">
                          <a14:useLocalDpi xmlns:a14="http://schemas.microsoft.com/office/drawing/2010/main" val="0"/>
                        </a:ext>
                      </a:extLst>
                    </a:blip>
                    <a:stretch>
                      <a:fillRect/>
                    </a:stretch>
                  </pic:blipFill>
                  <pic:spPr>
                    <a:xfrm>
                      <a:off x="0" y="0"/>
                      <a:ext cx="5939790" cy="2036445"/>
                    </a:xfrm>
                    <a:prstGeom prst="rect">
                      <a:avLst/>
                    </a:prstGeom>
                  </pic:spPr>
                </pic:pic>
              </a:graphicData>
            </a:graphic>
          </wp:inline>
        </w:drawing>
      </w:r>
    </w:p>
    <w:p w14:paraId="4960BE6A" w14:textId="77777777" w:rsidR="00A42E26" w:rsidRPr="00FD7E86" w:rsidRDefault="00A42E26" w:rsidP="00C05F4C">
      <w:pPr>
        <w:pStyle w:val="ACMANotes"/>
        <w:keepNext/>
        <w:keepLines/>
      </w:pPr>
      <w:r w:rsidRPr="00FD7E86">
        <w:t>m=million.</w:t>
      </w:r>
    </w:p>
    <w:p w14:paraId="1F75B22A" w14:textId="77777777" w:rsidR="00A42E26" w:rsidRPr="00FD7E86" w:rsidRDefault="00A42E26" w:rsidP="00C05F4C">
      <w:pPr>
        <w:pStyle w:val="ACMANotes"/>
        <w:keepNext/>
        <w:keepLines/>
      </w:pPr>
      <w:r w:rsidRPr="00FD7E86">
        <w:t xml:space="preserve">Note: Figures include wholesale and retail services and mobile wireless internet services provided via data cards, dongles or USB modems. </w:t>
      </w:r>
    </w:p>
    <w:p w14:paraId="0140BDF1" w14:textId="77777777" w:rsidR="00A42E26" w:rsidRPr="00FD7E86" w:rsidRDefault="00A42E26" w:rsidP="00C05F4C">
      <w:pPr>
        <w:pStyle w:val="ACMANotes"/>
        <w:keepNext/>
        <w:keepLines/>
      </w:pPr>
      <w:r w:rsidRPr="00FD7E86">
        <w:t>Source: Prior to 2013–14, data was sourced from an ACMA annual industry data request. From 2013–14, this data was sourced from company annual reports and press releases.</w:t>
      </w:r>
    </w:p>
    <w:p w14:paraId="2BC3815F" w14:textId="77777777" w:rsidR="00980627" w:rsidRPr="00FD7E86" w:rsidRDefault="00980627" w:rsidP="00C967A2">
      <w:pPr>
        <w:pStyle w:val="ACMASpaceaftertable"/>
        <w:rPr>
          <w:i/>
          <w:sz w:val="16"/>
          <w:szCs w:val="16"/>
        </w:rPr>
      </w:pPr>
    </w:p>
    <w:p w14:paraId="0646E38C" w14:textId="77777777" w:rsidR="00A42E26" w:rsidRPr="00FD7E86" w:rsidRDefault="00A42E26" w:rsidP="00A42E26">
      <w:r w:rsidRPr="00FD7E86">
        <w:t>During 2014–15, mobile network operators continued to face intense competition, especially for data traffic</w:t>
      </w:r>
      <w:r w:rsidR="005A110E" w:rsidRPr="00FD7E86">
        <w:t>,</w:t>
      </w:r>
      <w:r w:rsidRPr="00FD7E86">
        <w:t xml:space="preserve"> amid the rollout of 4G.</w:t>
      </w:r>
      <w:r w:rsidRPr="00FD7E86">
        <w:rPr>
          <w:vertAlign w:val="superscript"/>
        </w:rPr>
        <w:endnoteReference w:id="6"/>
      </w:r>
      <w:r w:rsidRPr="00FD7E86">
        <w:t xml:space="preserve"> Nevertheless, market share for the three mobile carriers remained largely stable. </w:t>
      </w:r>
    </w:p>
    <w:p w14:paraId="68941C27" w14:textId="77777777" w:rsidR="00A42E26" w:rsidRPr="00FD7E86" w:rsidRDefault="00A42E26" w:rsidP="00F31A0F">
      <w:r w:rsidRPr="00FD7E86">
        <w:t>Telstra had 53.9 per cent of mobile services in operation, while Optus had 29.5 per cent and VHA accounted f</w:t>
      </w:r>
      <w:r w:rsidR="006A0D9C" w:rsidRPr="00FD7E86">
        <w:t xml:space="preserve">or 16.5 per cent (Figure 1.5). </w:t>
      </w:r>
    </w:p>
    <w:p w14:paraId="150905C2" w14:textId="77777777" w:rsidR="00A42E26" w:rsidRPr="00FD7E86" w:rsidRDefault="00A42E26" w:rsidP="00F31A0F">
      <w:r w:rsidRPr="00FD7E86">
        <w:t>The 2014–15 financial year saw VHA reverse the decline of its customer base, with a 2.1 per cent increase in the 12 months to June 2015, in contrast to a 14 per cent decline during the previous year.</w:t>
      </w:r>
      <w:r w:rsidRPr="00FD7E86">
        <w:rPr>
          <w:vertAlign w:val="superscript"/>
        </w:rPr>
        <w:endnoteReference w:id="7"/>
      </w:r>
      <w:r w:rsidRPr="00FD7E86">
        <w:t xml:space="preserve"> This increase has been driven by growth in the take-up and use of post-paid and SIM</w:t>
      </w:r>
      <w:r w:rsidR="005A110E" w:rsidRPr="00FD7E86">
        <w:t>-</w:t>
      </w:r>
      <w:r w:rsidRPr="00FD7E86">
        <w:t xml:space="preserve">only plans, while VHA’s pre-paid customer base achieved more modest growth. </w:t>
      </w:r>
    </w:p>
    <w:p w14:paraId="162EAFC2" w14:textId="77777777" w:rsidR="00A42E26" w:rsidRPr="00FD7E86" w:rsidRDefault="00A42E26" w:rsidP="00B14C1E">
      <w:pPr>
        <w:pStyle w:val="ACMAFigureHeader"/>
        <w:numPr>
          <w:ilvl w:val="0"/>
          <w:numId w:val="0"/>
        </w:numPr>
      </w:pPr>
      <w:bookmarkStart w:id="114" w:name="_Ref398650928"/>
      <w:r w:rsidRPr="00FD7E86">
        <w:t>Figure 1.</w:t>
      </w:r>
      <w:bookmarkEnd w:id="114"/>
      <w:r w:rsidRPr="00FD7E86">
        <w:t>5 Mobile services in operation—carrier share and customer base</w:t>
      </w:r>
    </w:p>
    <w:p w14:paraId="18195582" w14:textId="77777777" w:rsidR="00A42E26" w:rsidRPr="00FD7E86" w:rsidRDefault="003934E7" w:rsidP="00C05F4C">
      <w:pPr>
        <w:spacing w:after="0"/>
        <w:ind w:right="-1685"/>
        <w:rPr>
          <w:rFonts w:cs="Arial"/>
        </w:rPr>
      </w:pPr>
      <w:r>
        <w:rPr>
          <w:rFonts w:cs="Arial"/>
          <w:noProof/>
        </w:rPr>
        <w:drawing>
          <wp:inline distT="0" distB="0" distL="0" distR="0" wp14:anchorId="7D75E8A0" wp14:editId="0DD61884">
            <wp:extent cx="5939790" cy="1363980"/>
            <wp:effectExtent l="0" t="0" r="3810" b="7620"/>
            <wp:docPr id="51" name="Picture 51" descr="A .csv file of Figure 1.5 is available on the landing page ‘Communications report 2014–15’, available from the ACMA website. " title="Figure 1.5 Mobile services in operation—carrier share and customer b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hapter 1_Figure 1.5.png"/>
                    <pic:cNvPicPr/>
                  </pic:nvPicPr>
                  <pic:blipFill>
                    <a:blip r:embed="rId37">
                      <a:extLst>
                        <a:ext uri="{28A0092B-C50C-407E-A947-70E740481C1C}">
                          <a14:useLocalDpi xmlns:a14="http://schemas.microsoft.com/office/drawing/2010/main" val="0"/>
                        </a:ext>
                      </a:extLst>
                    </a:blip>
                    <a:stretch>
                      <a:fillRect/>
                    </a:stretch>
                  </pic:blipFill>
                  <pic:spPr>
                    <a:xfrm>
                      <a:off x="0" y="0"/>
                      <a:ext cx="5939790" cy="1363980"/>
                    </a:xfrm>
                    <a:prstGeom prst="rect">
                      <a:avLst/>
                    </a:prstGeom>
                  </pic:spPr>
                </pic:pic>
              </a:graphicData>
            </a:graphic>
          </wp:inline>
        </w:drawing>
      </w:r>
    </w:p>
    <w:p w14:paraId="1EF22044" w14:textId="77777777" w:rsidR="00A42E26" w:rsidRPr="00FD7E86" w:rsidRDefault="00A42E26" w:rsidP="00C107F3">
      <w:pPr>
        <w:pStyle w:val="ACMANotes"/>
      </w:pPr>
      <w:r w:rsidRPr="00FD7E86">
        <w:t>m=million</w:t>
      </w:r>
      <w:r w:rsidRPr="00FD7E86" w:rsidDel="00B83256">
        <w:t>.</w:t>
      </w:r>
    </w:p>
    <w:p w14:paraId="49CC817B" w14:textId="77777777" w:rsidR="00A42E26" w:rsidRPr="00FD7E86" w:rsidRDefault="00A42E26" w:rsidP="00C107F3">
      <w:pPr>
        <w:pStyle w:val="ACMANotes"/>
      </w:pPr>
      <w:r w:rsidRPr="00FD7E86">
        <w:t xml:space="preserve">Figures include retail services and wireless broadband data services provided via mobile handset, data cards, dongles or USB modems. </w:t>
      </w:r>
    </w:p>
    <w:p w14:paraId="45902F0A" w14:textId="77777777" w:rsidR="00A42E26" w:rsidRPr="00FD7E86" w:rsidRDefault="00A42E26" w:rsidP="00C107F3">
      <w:pPr>
        <w:pStyle w:val="ACMANotes"/>
      </w:pPr>
      <w:r w:rsidRPr="00FD7E86">
        <w:t>Note: Numbers may not add up due to rounding.</w:t>
      </w:r>
    </w:p>
    <w:p w14:paraId="476966ED" w14:textId="77777777" w:rsidR="00A42E26" w:rsidRPr="00FD7E86" w:rsidRDefault="00A42E26" w:rsidP="000E4F20">
      <w:pPr>
        <w:pStyle w:val="ACMANotes"/>
      </w:pPr>
      <w:r w:rsidRPr="00FD7E86">
        <w:t>Source: Company annual reports and press releases</w:t>
      </w:r>
      <w:r w:rsidR="00B14C1E" w:rsidRPr="00FD7E86">
        <w:t>.</w:t>
      </w:r>
    </w:p>
    <w:p w14:paraId="319E7933" w14:textId="77777777" w:rsidR="00980627" w:rsidRPr="00C107F3" w:rsidRDefault="00980627" w:rsidP="00C107F3">
      <w:pPr>
        <w:pStyle w:val="ACMASpaceaftertable"/>
      </w:pPr>
    </w:p>
    <w:p w14:paraId="279C70F8" w14:textId="77777777" w:rsidR="00A42E26" w:rsidRPr="00FD7E86" w:rsidRDefault="00A42E26" w:rsidP="00C107F3">
      <w:pPr>
        <w:pStyle w:val="ACMAHeading2"/>
      </w:pPr>
      <w:bookmarkStart w:id="115" w:name="_Toc433790295"/>
      <w:r w:rsidRPr="00FD7E86">
        <w:lastRenderedPageBreak/>
        <w:t>Mobile network infrastructure</w:t>
      </w:r>
      <w:bookmarkEnd w:id="115"/>
    </w:p>
    <w:p w14:paraId="37A6B2F6" w14:textId="77777777" w:rsidR="00A42E26" w:rsidRPr="00FD7E86" w:rsidRDefault="00A42E26" w:rsidP="00C107F3">
      <w:pPr>
        <w:keepNext/>
        <w:spacing w:after="80"/>
        <w:rPr>
          <w:rFonts w:cs="Arial"/>
        </w:rPr>
      </w:pPr>
      <w:r w:rsidRPr="00FD7E86">
        <w:rPr>
          <w:rFonts w:cs="Arial"/>
        </w:rPr>
        <w:t>All mobile network operators continued to expand their 4G networks, increasing coverage. At June 2015, network operators reported that:</w:t>
      </w:r>
    </w:p>
    <w:p w14:paraId="112C4B2E" w14:textId="77777777" w:rsidR="00A42E26" w:rsidRPr="00FD7E86" w:rsidRDefault="00A42E26" w:rsidP="00C107F3">
      <w:pPr>
        <w:pStyle w:val="ListBullet"/>
        <w:keepNext/>
      </w:pPr>
      <w:r w:rsidRPr="00FD7E86">
        <w:t xml:space="preserve">Telstra’s 4G network covered 94 per cent of the population, up from 87 per cent </w:t>
      </w:r>
      <w:r w:rsidR="005A110E" w:rsidRPr="00FD7E86">
        <w:t xml:space="preserve">over </w:t>
      </w:r>
      <w:r w:rsidRPr="00FD7E86">
        <w:t>the previous year</w:t>
      </w:r>
      <w:r w:rsidRPr="00FD7E86">
        <w:rPr>
          <w:vertAlign w:val="superscript"/>
        </w:rPr>
        <w:endnoteReference w:id="8"/>
      </w:r>
    </w:p>
    <w:p w14:paraId="6B4CE5F2" w14:textId="77777777" w:rsidR="00A42E26" w:rsidRPr="00FD7E86" w:rsidRDefault="00A42E26" w:rsidP="00C107F3">
      <w:pPr>
        <w:pStyle w:val="ListBullet"/>
        <w:keepNext/>
      </w:pPr>
      <w:r w:rsidRPr="00FD7E86">
        <w:t>Optus expanded its 4G metro</w:t>
      </w:r>
      <w:r w:rsidR="005A110E" w:rsidRPr="00FD7E86">
        <w:t>politan</w:t>
      </w:r>
      <w:r w:rsidRPr="00FD7E86">
        <w:t xml:space="preserve"> population coverage to just below 90 per cent of the Australian population, with 3,787 sites of which 2,400 were upgraded to 700 MHz spectrum 4G</w:t>
      </w:r>
      <w:r w:rsidRPr="00FD7E86">
        <w:rPr>
          <w:vertAlign w:val="superscript"/>
        </w:rPr>
        <w:endnoteReference w:id="9"/>
      </w:r>
    </w:p>
    <w:p w14:paraId="001E64A3" w14:textId="77777777" w:rsidR="00A42E26" w:rsidRPr="00FD7E86" w:rsidRDefault="00A42E26" w:rsidP="00C05F4C">
      <w:pPr>
        <w:pStyle w:val="ListBulletLast"/>
      </w:pPr>
      <w:r w:rsidRPr="00FD7E86">
        <w:t>VHA’s network (including 3G and 4G) reached 96 per cent of the Australian population, with further growth expected. VHA’s 4G network now reaches 95 per cent of the metropolitan population.</w:t>
      </w:r>
      <w:r w:rsidRPr="00FD7E86">
        <w:rPr>
          <w:vertAlign w:val="superscript"/>
        </w:rPr>
        <w:endnoteReference w:id="10"/>
      </w:r>
      <w:r w:rsidRPr="00FD7E86">
        <w:t xml:space="preserve"> </w:t>
      </w:r>
    </w:p>
    <w:p w14:paraId="29076E19" w14:textId="77777777" w:rsidR="00A42E26" w:rsidRPr="00FD7E86" w:rsidRDefault="00A42E26" w:rsidP="00C05F4C">
      <w:pPr>
        <w:spacing w:after="80"/>
      </w:pPr>
      <w:r w:rsidRPr="00FD7E86">
        <w:t>The take-up of 4G mobile services continued to increase over 2014</w:t>
      </w:r>
      <w:r w:rsidR="00963106">
        <w:t>–</w:t>
      </w:r>
      <w:r w:rsidRPr="00FD7E86">
        <w:t>15:</w:t>
      </w:r>
    </w:p>
    <w:p w14:paraId="1D17875B" w14:textId="77777777" w:rsidR="00A42E26" w:rsidRPr="00FD7E86" w:rsidRDefault="00A42E26" w:rsidP="00EB02EF">
      <w:pPr>
        <w:pStyle w:val="ListBullet"/>
      </w:pPr>
      <w:r w:rsidRPr="00FD7E86">
        <w:t xml:space="preserve">Telstra reported a 48 per cent increase in 4G services, with 7.7 million 4G devices on its network at June 2015 compared to 5.2 million at June 2014 </w:t>
      </w:r>
    </w:p>
    <w:p w14:paraId="2AB080DB" w14:textId="77777777" w:rsidR="00A42E26" w:rsidRPr="00FD7E86" w:rsidRDefault="00A42E26" w:rsidP="00C107F3">
      <w:pPr>
        <w:pStyle w:val="ListBulletLast"/>
      </w:pPr>
      <w:r w:rsidRPr="00FD7E86">
        <w:t xml:space="preserve">Optus reported 290,000 new 4G subscribers, with 3.8 million 4G subscribers at 30 June 2015, compared </w:t>
      </w:r>
      <w:r w:rsidR="008867E0" w:rsidRPr="00FD7E86">
        <w:t xml:space="preserve">to </w:t>
      </w:r>
      <w:r w:rsidRPr="00FD7E86">
        <w:t>2.4 million subscribers in June 2014.</w:t>
      </w:r>
      <w:r w:rsidRPr="00FD7E86">
        <w:rPr>
          <w:vertAlign w:val="superscript"/>
        </w:rPr>
        <w:endnoteReference w:id="11"/>
      </w:r>
      <w:r w:rsidRPr="00FD7E86">
        <w:t xml:space="preserve"> </w:t>
      </w:r>
    </w:p>
    <w:p w14:paraId="504C2062" w14:textId="77777777" w:rsidR="00A42E26" w:rsidRPr="00FD7E86" w:rsidRDefault="00A42E26" w:rsidP="00A42E26">
      <w:r w:rsidRPr="00FD7E86">
        <w:t>Telstra announced that its 2G (GSM) 900 MHz network will be decommissioned on 1 December 2016.</w:t>
      </w:r>
      <w:r w:rsidRPr="00FD7E86">
        <w:rPr>
          <w:vertAlign w:val="superscript"/>
        </w:rPr>
        <w:endnoteReference w:id="12"/>
      </w:r>
      <w:r w:rsidRPr="00FD7E86">
        <w:t xml:space="preserve"> Optus announced that its 2G network will cease to operate in April 2017.</w:t>
      </w:r>
      <w:r w:rsidRPr="00FD7E86">
        <w:rPr>
          <w:vertAlign w:val="superscript"/>
        </w:rPr>
        <w:endnoteReference w:id="13"/>
      </w:r>
      <w:r w:rsidRPr="00FD7E86">
        <w:t xml:space="preserve"> </w:t>
      </w:r>
    </w:p>
    <w:p w14:paraId="13832CBE" w14:textId="77777777" w:rsidR="00A42E26" w:rsidRPr="00FD7E86" w:rsidRDefault="00A42E26" w:rsidP="0063301E">
      <w:pPr>
        <w:pStyle w:val="ACMAHeading2"/>
      </w:pPr>
      <w:bookmarkStart w:id="116" w:name="_Toc433790296"/>
      <w:bookmarkStart w:id="117" w:name="_Toc371588982"/>
      <w:bookmarkStart w:id="118" w:name="_Toc373149044"/>
      <w:bookmarkStart w:id="119" w:name="_Toc399331716"/>
      <w:bookmarkStart w:id="120" w:name="_Toc399336897"/>
      <w:bookmarkStart w:id="121" w:name="_Toc402337496"/>
      <w:r w:rsidRPr="00FD7E86">
        <w:t>Mobile Black Spot Programme</w:t>
      </w:r>
      <w:bookmarkEnd w:id="116"/>
    </w:p>
    <w:p w14:paraId="2A582009" w14:textId="77777777" w:rsidR="00A42E26" w:rsidRPr="00FD7E86" w:rsidRDefault="00A42E26" w:rsidP="00C107F3">
      <w:pPr>
        <w:spacing w:after="80"/>
      </w:pPr>
      <w:r w:rsidRPr="00FD7E86">
        <w:t xml:space="preserve">In June 2015, the Australian </w:t>
      </w:r>
      <w:r w:rsidR="006F07F5" w:rsidRPr="00FD7E86">
        <w:t>G</w:t>
      </w:r>
      <w:r w:rsidRPr="00FD7E86">
        <w:t xml:space="preserve">overnment announced the launch of its Mobile Black Spot Programme, which aims to improve mobile phone coverage and competition in regional and remote Australia. The government committed $100 million to the first round of the </w:t>
      </w:r>
      <w:r w:rsidR="008867E0" w:rsidRPr="00FD7E86">
        <w:t>p</w:t>
      </w:r>
      <w:r w:rsidRPr="00FD7E86">
        <w:t>rogramme, with private sector investment also pledged—$165 million from Telstra and $20 million from Vodafone. Additional funding will come from state and local governments, businesses and community organisations.</w:t>
      </w:r>
      <w:r w:rsidRPr="00FD7E86">
        <w:rPr>
          <w:vertAlign w:val="superscript"/>
        </w:rPr>
        <w:endnoteReference w:id="14"/>
      </w:r>
      <w:r w:rsidRPr="00FD7E86">
        <w:t xml:space="preserve"> Round 1 of the </w:t>
      </w:r>
      <w:r w:rsidR="008867E0" w:rsidRPr="00FD7E86">
        <w:t>p</w:t>
      </w:r>
      <w:r w:rsidRPr="00FD7E86">
        <w:t>rogramme will see:</w:t>
      </w:r>
    </w:p>
    <w:p w14:paraId="11D1B6CA" w14:textId="77777777" w:rsidR="00A42E26" w:rsidRPr="00FD7E86" w:rsidRDefault="00A42E26" w:rsidP="0084230F">
      <w:pPr>
        <w:pStyle w:val="ListBullet"/>
      </w:pPr>
      <w:r w:rsidRPr="00FD7E86">
        <w:t>499 mobile base stations</w:t>
      </w:r>
      <w:r w:rsidRPr="00FD7E86">
        <w:rPr>
          <w:vertAlign w:val="superscript"/>
        </w:rPr>
        <w:endnoteReference w:id="15"/>
      </w:r>
      <w:r w:rsidRPr="00FD7E86">
        <w:t xml:space="preserve"> constructed or upgraded providing handheld coverage to 68,600 square ki</w:t>
      </w:r>
      <w:r w:rsidR="006A0D9C" w:rsidRPr="00FD7E86">
        <w:t xml:space="preserve">lometres of regional Australia </w:t>
      </w:r>
    </w:p>
    <w:p w14:paraId="355E1BBB" w14:textId="77777777" w:rsidR="00A42E26" w:rsidRPr="00FD7E86" w:rsidRDefault="00A42E26" w:rsidP="0084230F">
      <w:pPr>
        <w:pStyle w:val="ListBullet"/>
      </w:pPr>
      <w:r w:rsidRPr="00FD7E86">
        <w:t>over 150,000 square kilometres of regional Australia receiving new external antenna coverage</w:t>
      </w:r>
      <w:r w:rsidR="006A0D9C" w:rsidRPr="00FD7E86">
        <w:t xml:space="preserve"> </w:t>
      </w:r>
    </w:p>
    <w:p w14:paraId="765A9F2F" w14:textId="77777777" w:rsidR="00A42E26" w:rsidRPr="00FD7E86" w:rsidRDefault="008867E0" w:rsidP="0084230F">
      <w:pPr>
        <w:pStyle w:val="ListBulletLast"/>
      </w:pPr>
      <w:r w:rsidRPr="00FD7E86">
        <w:t xml:space="preserve">more than </w:t>
      </w:r>
      <w:r w:rsidR="00A42E26" w:rsidRPr="00FD7E86">
        <w:t>5,700 kilometres of major transport routes receiving either new external</w:t>
      </w:r>
      <w:r w:rsidR="006A0D9C" w:rsidRPr="00FD7E86">
        <w:t xml:space="preserve"> antenna or handheld coverage.</w:t>
      </w:r>
    </w:p>
    <w:p w14:paraId="0D99CE81" w14:textId="77777777" w:rsidR="00A42E26" w:rsidRPr="00FD7E86" w:rsidRDefault="00BF1566" w:rsidP="00A42E26">
      <w:pPr>
        <w:spacing w:after="80"/>
      </w:pPr>
      <w:r w:rsidRPr="00FD7E86">
        <w:t xml:space="preserve">The </w:t>
      </w:r>
      <w:r w:rsidR="00371E1E" w:rsidRPr="00FD7E86">
        <w:t>g</w:t>
      </w:r>
      <w:r w:rsidRPr="00FD7E86">
        <w:t xml:space="preserve">overnment has announced that it will commit $60 million for Round 2 of the </w:t>
      </w:r>
      <w:r w:rsidR="004C48A8" w:rsidRPr="00FD7E86">
        <w:t>p</w:t>
      </w:r>
      <w:r w:rsidRPr="00FD7E86">
        <w:t>rogramme, with funding to be available over two years from July 2016.</w:t>
      </w:r>
    </w:p>
    <w:p w14:paraId="6093EB3A" w14:textId="77777777" w:rsidR="00A42E26" w:rsidRPr="00FD7E86" w:rsidRDefault="00A42E26" w:rsidP="0063301E">
      <w:pPr>
        <w:pStyle w:val="ACMAHeading2"/>
      </w:pPr>
      <w:bookmarkStart w:id="122" w:name="_Toc433790297"/>
      <w:r w:rsidRPr="00FD7E86">
        <w:t>Emerging mobile technologies—Voice over LTE and Voice over Wi-Fi</w:t>
      </w:r>
      <w:bookmarkEnd w:id="122"/>
    </w:p>
    <w:p w14:paraId="25B3EB09" w14:textId="77777777" w:rsidR="00A42E26" w:rsidRPr="00FD7E86" w:rsidRDefault="00A42E26" w:rsidP="00A42E26">
      <w:pPr>
        <w:keepLines/>
        <w:rPr>
          <w:i/>
        </w:rPr>
      </w:pPr>
      <w:r w:rsidRPr="00FD7E86">
        <w:t>With the expansion of 4G networks across Australia, providers have been exploring the use of new technologies such as Voice over LTE (VoLTE). VoLTE phone and video calls are made over the 4G LTE network. At present in Australia, 4G services carry data only, with calls from 4G-enabled phones reverting to the 2G and 3G networks.</w:t>
      </w:r>
      <w:r w:rsidRPr="00FD7E86">
        <w:rPr>
          <w:vertAlign w:val="superscript"/>
        </w:rPr>
        <w:endnoteReference w:id="16"/>
      </w:r>
      <w:r w:rsidRPr="00FD7E86">
        <w:rPr>
          <w:i/>
        </w:rPr>
        <w:t xml:space="preserve"> </w:t>
      </w:r>
    </w:p>
    <w:p w14:paraId="024C7F61" w14:textId="77777777" w:rsidR="00A42E26" w:rsidRPr="00FD7E86" w:rsidRDefault="00A42E26" w:rsidP="00A42E26">
      <w:pPr>
        <w:spacing w:after="80"/>
      </w:pPr>
      <w:r w:rsidRPr="00FD7E86">
        <w:t xml:space="preserve">VoLTE is being tested by a number of service providers in Australia, </w:t>
      </w:r>
      <w:r w:rsidR="007975DC" w:rsidRPr="00FD7E86">
        <w:t xml:space="preserve">with </w:t>
      </w:r>
      <w:r w:rsidRPr="00FD7E86">
        <w:t>all three Australian mobile phone network operators advancing plans for VoLTE services:</w:t>
      </w:r>
    </w:p>
    <w:p w14:paraId="4BBF6E2D" w14:textId="77777777" w:rsidR="00A42E26" w:rsidRPr="00FD7E86" w:rsidRDefault="00F31A0F" w:rsidP="0084230F">
      <w:pPr>
        <w:pStyle w:val="ListBullet"/>
      </w:pPr>
      <w:r>
        <w:t>i</w:t>
      </w:r>
      <w:r w:rsidR="00A42E26" w:rsidRPr="00FD7E86">
        <w:t xml:space="preserve">n March 2015, Telstra announced plans to enable VoLTE across its 4G network coverage area, with a full commercial launch planned </w:t>
      </w:r>
      <w:r w:rsidR="007975DC" w:rsidRPr="00FD7E86">
        <w:t xml:space="preserve">for </w:t>
      </w:r>
      <w:r w:rsidR="00A42E26" w:rsidRPr="00FD7E86">
        <w:t>June 2016</w:t>
      </w:r>
      <w:r w:rsidR="00A42E26" w:rsidRPr="00FD7E86">
        <w:rPr>
          <w:vertAlign w:val="superscript"/>
        </w:rPr>
        <w:endnoteReference w:id="17"/>
      </w:r>
    </w:p>
    <w:p w14:paraId="09F28833" w14:textId="77777777" w:rsidR="00A42E26" w:rsidRPr="00FD7E86" w:rsidRDefault="00A42E26" w:rsidP="0084230F">
      <w:pPr>
        <w:pStyle w:val="ListBullet"/>
      </w:pPr>
      <w:r w:rsidRPr="00FD7E86">
        <w:t>Vodafone announced successful trials of VoLTE in February 2015, with plans to make this service available to customers later in 2015</w:t>
      </w:r>
      <w:r w:rsidRPr="00FD7E86">
        <w:rPr>
          <w:vertAlign w:val="superscript"/>
        </w:rPr>
        <w:endnoteReference w:id="18"/>
      </w:r>
    </w:p>
    <w:p w14:paraId="385FBA76" w14:textId="77777777" w:rsidR="00A42E26" w:rsidRPr="00FD7E86" w:rsidRDefault="00A42E26" w:rsidP="0084230F">
      <w:pPr>
        <w:pStyle w:val="ListBulletLast"/>
      </w:pPr>
      <w:r w:rsidRPr="00FD7E86">
        <w:t>Optus ran trials of VoLTE in November 2013 over its 4G LTE network</w:t>
      </w:r>
      <w:r w:rsidRPr="00FD7E86">
        <w:rPr>
          <w:vertAlign w:val="superscript"/>
        </w:rPr>
        <w:endnoteReference w:id="19"/>
      </w:r>
      <w:r w:rsidR="007975DC" w:rsidRPr="00FD7E86">
        <w:t>,</w:t>
      </w:r>
      <w:r w:rsidRPr="00FD7E86">
        <w:t xml:space="preserve"> but has yet to make any announcement about enabling commercial VoLTE capabilities on its 4G network. </w:t>
      </w:r>
    </w:p>
    <w:p w14:paraId="4B81019B" w14:textId="77777777" w:rsidR="00A42E26" w:rsidRPr="00FD7E86" w:rsidRDefault="00A42E26" w:rsidP="00A42E26">
      <w:pPr>
        <w:spacing w:after="80"/>
      </w:pPr>
      <w:r w:rsidRPr="00FD7E86">
        <w:t xml:space="preserve">Wi-Fi calling services are carried over a Wi-Fi connection rather than the mobile phone network, offering a solution to mobile handset users who have Wi-Fi access but no mobile phone coverage. In the reporting </w:t>
      </w:r>
      <w:r w:rsidRPr="00FD7E86">
        <w:lastRenderedPageBreak/>
        <w:t>year, both Vodafone and Optus announced that Wi-Fi calling would be made available to customers in 2015.</w:t>
      </w:r>
      <w:r w:rsidRPr="00FD7E86">
        <w:rPr>
          <w:vertAlign w:val="superscript"/>
        </w:rPr>
        <w:endnoteReference w:id="20"/>
      </w:r>
    </w:p>
    <w:p w14:paraId="2F276EC0" w14:textId="77777777" w:rsidR="00A42E26" w:rsidRPr="00FD7E86" w:rsidRDefault="00EB02EF" w:rsidP="0063301E">
      <w:pPr>
        <w:pStyle w:val="ACMAHeading1"/>
      </w:pPr>
      <w:bookmarkStart w:id="123" w:name="_Toc433790298"/>
      <w:r w:rsidRPr="00FD7E86">
        <w:t>1.4</w:t>
      </w:r>
      <w:r w:rsidRPr="00FD7E86">
        <w:tab/>
      </w:r>
      <w:r w:rsidRPr="00FD7E86">
        <w:tab/>
      </w:r>
      <w:r w:rsidR="00A42E26" w:rsidRPr="00FD7E86">
        <w:t>Internet service availability</w:t>
      </w:r>
      <w:bookmarkEnd w:id="123"/>
    </w:p>
    <w:p w14:paraId="16D0949E" w14:textId="77777777" w:rsidR="00A42E26" w:rsidRPr="00FD7E86" w:rsidRDefault="00A42E26" w:rsidP="0063301E">
      <w:pPr>
        <w:pStyle w:val="ACMAHeading2"/>
      </w:pPr>
      <w:bookmarkStart w:id="124" w:name="_Toc433790299"/>
      <w:r w:rsidRPr="00FD7E86">
        <w:t>Number of internet subscribers</w:t>
      </w:r>
      <w:bookmarkEnd w:id="124"/>
    </w:p>
    <w:p w14:paraId="5AE23535" w14:textId="77777777" w:rsidR="00A42E26" w:rsidRPr="00FD7E86" w:rsidRDefault="00A42E26" w:rsidP="00A42E26">
      <w:r w:rsidRPr="00FD7E86">
        <w:t>There were 33</w:t>
      </w:r>
      <w:r w:rsidR="00E654A7" w:rsidRPr="00FD7E86">
        <w:t xml:space="preserve"> </w:t>
      </w:r>
      <w:r w:rsidR="00431CF7" w:rsidRPr="00FD7E86">
        <w:t>76</w:t>
      </w:r>
      <w:r w:rsidR="004E652A" w:rsidRPr="00FD7E86">
        <w:t xml:space="preserve"> </w:t>
      </w:r>
      <w:r w:rsidRPr="00FD7E86">
        <w:t xml:space="preserve">million internet subscribers in Australia at </w:t>
      </w:r>
      <w:r w:rsidR="004E652A" w:rsidRPr="00FD7E86">
        <w:t>June 2014</w:t>
      </w:r>
      <w:r w:rsidRPr="00FD7E86">
        <w:t xml:space="preserve">, an increase of </w:t>
      </w:r>
      <w:r w:rsidR="004E652A" w:rsidRPr="00FD7E86">
        <w:t xml:space="preserve">two </w:t>
      </w:r>
      <w:r w:rsidRPr="00FD7E86">
        <w:t xml:space="preserve">per cent </w:t>
      </w:r>
      <w:r w:rsidR="00E05C92" w:rsidRPr="00FD7E86">
        <w:t xml:space="preserve">since </w:t>
      </w:r>
      <w:r w:rsidRPr="00FD7E86">
        <w:t>June 2014 (</w:t>
      </w:r>
      <w:r w:rsidR="00E32C00" w:rsidRPr="00FD7E86">
        <w:t>Table 1.2</w:t>
      </w:r>
      <w:r w:rsidRPr="00FD7E86">
        <w:t xml:space="preserve">). The increase reflects continued growth in nbn-related services and mobile-internet services. </w:t>
      </w:r>
      <w:bookmarkStart w:id="125" w:name="_Toc371588983"/>
      <w:bookmarkStart w:id="126" w:name="_Toc373149045"/>
      <w:bookmarkEnd w:id="117"/>
      <w:bookmarkEnd w:id="118"/>
      <w:bookmarkEnd w:id="119"/>
      <w:bookmarkEnd w:id="120"/>
      <w:bookmarkEnd w:id="121"/>
    </w:p>
    <w:p w14:paraId="33201ADB" w14:textId="77777777" w:rsidR="00A42E26" w:rsidRPr="00FD7E86" w:rsidRDefault="00A42E26" w:rsidP="0063301E">
      <w:pPr>
        <w:pStyle w:val="ACMATableHeader"/>
        <w:numPr>
          <w:ilvl w:val="0"/>
          <w:numId w:val="0"/>
        </w:numPr>
      </w:pPr>
      <w:bookmarkStart w:id="127" w:name="_Ref398848025"/>
      <w:r w:rsidRPr="00FD7E86">
        <w:t>Table 1</w:t>
      </w:r>
      <w:r w:rsidRPr="00FD7E86">
        <w:rPr>
          <w:rFonts w:cs="Arial"/>
        </w:rPr>
        <w:t>.</w:t>
      </w:r>
      <w:bookmarkEnd w:id="127"/>
      <w:r w:rsidR="00E32C00" w:rsidRPr="00FD7E86">
        <w:rPr>
          <w:rFonts w:cs="Arial"/>
        </w:rPr>
        <w:t>2</w:t>
      </w:r>
      <w:r w:rsidR="0063301E" w:rsidRPr="00FD7E86">
        <w:t xml:space="preserve"> </w:t>
      </w:r>
      <w:r w:rsidRPr="00FD7E86">
        <w:t>Internet subscribers by technology type</w:t>
      </w:r>
    </w:p>
    <w:tbl>
      <w:tblPr>
        <w:tblStyle w:val="Commsreport2014-15TABLE1"/>
        <w:tblW w:w="9570" w:type="dxa"/>
        <w:tblLayout w:type="fixed"/>
        <w:tblLook w:val="01E0" w:firstRow="1" w:lastRow="1" w:firstColumn="1" w:lastColumn="1" w:noHBand="0" w:noVBand="0"/>
        <w:tblCaption w:val="Table 1.2 Internet subscribers by technology type"/>
      </w:tblPr>
      <w:tblGrid>
        <w:gridCol w:w="2805"/>
        <w:gridCol w:w="1353"/>
        <w:gridCol w:w="1353"/>
        <w:gridCol w:w="1353"/>
        <w:gridCol w:w="1353"/>
        <w:gridCol w:w="1353"/>
      </w:tblGrid>
      <w:tr w:rsidR="00A42E26" w:rsidRPr="000F1A43" w14:paraId="14888F17"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805" w:type="dxa"/>
            <w:shd w:val="clear" w:color="auto" w:fill="auto"/>
          </w:tcPr>
          <w:p w14:paraId="71B30CE9" w14:textId="77777777" w:rsidR="00A42E26" w:rsidRPr="000F1A43" w:rsidRDefault="00C9393A" w:rsidP="000F1A43">
            <w:pPr>
              <w:pStyle w:val="TableHeading"/>
              <w:spacing w:before="20"/>
              <w:rPr>
                <w:b/>
              </w:rPr>
            </w:pPr>
            <w:r w:rsidRPr="000F1A43">
              <w:rPr>
                <w:noProof/>
              </w:rPr>
              <w:drawing>
                <wp:inline distT="0" distB="0" distL="0" distR="0" wp14:anchorId="1754C6BC" wp14:editId="33E668DD">
                  <wp:extent cx="403906" cy="505638"/>
                  <wp:effectExtent l="0" t="0" r="0" b="8890"/>
                  <wp:docPr id="34" name="Picture 34"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Chapter 1_Table 1.1.png"/>
                          <pic:cNvPicPr/>
                        </pic:nvPicPr>
                        <pic:blipFill>
                          <a:blip r:embed="rId38">
                            <a:extLst>
                              <a:ext uri="{28A0092B-C50C-407E-A947-70E740481C1C}">
                                <a14:useLocalDpi xmlns:a14="http://schemas.microsoft.com/office/drawing/2010/main" val="0"/>
                              </a:ext>
                            </a:extLst>
                          </a:blip>
                          <a:stretch>
                            <a:fillRect/>
                          </a:stretch>
                        </pic:blipFill>
                        <pic:spPr>
                          <a:xfrm>
                            <a:off x="0" y="0"/>
                            <a:ext cx="453568" cy="567808"/>
                          </a:xfrm>
                          <a:prstGeom prst="rect">
                            <a:avLst/>
                          </a:prstGeom>
                        </pic:spPr>
                      </pic:pic>
                    </a:graphicData>
                  </a:graphic>
                </wp:inline>
              </w:drawing>
            </w:r>
          </w:p>
        </w:tc>
        <w:tc>
          <w:tcPr>
            <w:tcW w:w="1353" w:type="dxa"/>
            <w:vAlign w:val="top"/>
          </w:tcPr>
          <w:p w14:paraId="7D03402D"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Jun-12</w:t>
            </w:r>
          </w:p>
          <w:p w14:paraId="00C1F02B"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(‘000)</w:t>
            </w:r>
          </w:p>
        </w:tc>
        <w:tc>
          <w:tcPr>
            <w:tcW w:w="1353" w:type="dxa"/>
            <w:vAlign w:val="top"/>
          </w:tcPr>
          <w:p w14:paraId="2B2751CD"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Jun-13</w:t>
            </w:r>
          </w:p>
          <w:p w14:paraId="1E79F773"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(‘000)</w:t>
            </w:r>
          </w:p>
        </w:tc>
        <w:tc>
          <w:tcPr>
            <w:tcW w:w="1353" w:type="dxa"/>
            <w:vAlign w:val="top"/>
          </w:tcPr>
          <w:p w14:paraId="4816AAD1"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Jun-14</w:t>
            </w:r>
          </w:p>
          <w:p w14:paraId="28A3E051"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(‘000)</w:t>
            </w:r>
          </w:p>
        </w:tc>
        <w:tc>
          <w:tcPr>
            <w:tcW w:w="1353" w:type="dxa"/>
            <w:vAlign w:val="top"/>
          </w:tcPr>
          <w:p w14:paraId="31E1510D" w14:textId="77777777" w:rsidR="00A42E26" w:rsidRPr="000F1A43" w:rsidRDefault="004E652A"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Jun-15</w:t>
            </w:r>
            <w:r w:rsidR="00A42E26" w:rsidRPr="000F1A43">
              <w:rPr>
                <w:b/>
                <w:color w:val="FFFFFF" w:themeColor="background1"/>
              </w:rPr>
              <w:br/>
              <w:t>(‘000)</w:t>
            </w:r>
          </w:p>
        </w:tc>
        <w:tc>
          <w:tcPr>
            <w:tcW w:w="1353" w:type="dxa"/>
            <w:vAlign w:val="top"/>
          </w:tcPr>
          <w:p w14:paraId="2BEF4075" w14:textId="77777777" w:rsidR="00A42E26" w:rsidRPr="000F1A43" w:rsidRDefault="00A91779" w:rsidP="000F1A43">
            <w:pPr>
              <w:pStyle w:val="TableHeading"/>
              <w:spacing w:before="20"/>
              <w:cnfStyle w:val="100000000000" w:firstRow="1" w:lastRow="0" w:firstColumn="0" w:lastColumn="0" w:oddVBand="0" w:evenVBand="0" w:oddHBand="0" w:evenHBand="0" w:firstRowFirstColumn="0" w:firstRowLastColumn="0" w:lastRowFirstColumn="0" w:lastRowLastColumn="0"/>
              <w:rPr>
                <w:b/>
                <w:color w:val="FFFFFF" w:themeColor="background1"/>
              </w:rPr>
            </w:pPr>
            <w:r w:rsidRPr="000F1A43">
              <w:rPr>
                <w:b/>
                <w:color w:val="FFFFFF" w:themeColor="background1"/>
              </w:rPr>
              <w:t>Jun-14 to Jun-15</w:t>
            </w:r>
            <w:r w:rsidR="00980627" w:rsidRPr="000F1A43">
              <w:rPr>
                <w:b/>
                <w:color w:val="FFFFFF" w:themeColor="background1"/>
              </w:rPr>
              <w:br/>
            </w:r>
            <w:r w:rsidR="00A42E26" w:rsidRPr="000F1A43">
              <w:rPr>
                <w:b/>
                <w:color w:val="FFFFFF" w:themeColor="background1"/>
              </w:rPr>
              <w:t xml:space="preserve">change </w:t>
            </w:r>
            <w:r w:rsidRPr="000F1A43">
              <w:rPr>
                <w:b/>
                <w:color w:val="FFFFFF" w:themeColor="background1"/>
              </w:rPr>
              <w:t>(%)</w:t>
            </w:r>
          </w:p>
        </w:tc>
      </w:tr>
      <w:tr w:rsidR="004E652A" w:rsidRPr="00FD7E86" w14:paraId="1FD41D5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55E61CE0" w14:textId="77777777" w:rsidR="004E652A" w:rsidRPr="00C05F4C" w:rsidRDefault="004E652A" w:rsidP="000E4F20">
            <w:pPr>
              <w:keepLines/>
              <w:spacing w:before="40" w:after="40"/>
              <w:ind w:right="124"/>
              <w:rPr>
                <w:color w:val="auto"/>
                <w:spacing w:val="-28"/>
                <w:szCs w:val="18"/>
              </w:rPr>
            </w:pPr>
            <w:r w:rsidRPr="00C05F4C">
              <w:rPr>
                <w:color w:val="auto"/>
                <w:szCs w:val="18"/>
              </w:rPr>
              <w:t>Mobile wireless (dongle, data card, USB modem</w:t>
            </w:r>
            <w:r w:rsidR="00980627" w:rsidRPr="00C05F4C">
              <w:rPr>
                <w:color w:val="auto"/>
                <w:szCs w:val="18"/>
              </w:rPr>
              <w:t xml:space="preserve"> </w:t>
            </w:r>
            <w:r w:rsidRPr="00C05F4C">
              <w:rPr>
                <w:color w:val="auto"/>
                <w:szCs w:val="18"/>
              </w:rPr>
              <w:t>services)</w:t>
            </w:r>
          </w:p>
        </w:tc>
        <w:tc>
          <w:tcPr>
            <w:tcW w:w="1353" w:type="dxa"/>
          </w:tcPr>
          <w:p w14:paraId="77EEAE10"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5,862</w:t>
            </w:r>
          </w:p>
        </w:tc>
        <w:tc>
          <w:tcPr>
            <w:tcW w:w="1353" w:type="dxa"/>
          </w:tcPr>
          <w:p w14:paraId="1A98A33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6,150</w:t>
            </w:r>
          </w:p>
        </w:tc>
        <w:tc>
          <w:tcPr>
            <w:tcW w:w="1353" w:type="dxa"/>
          </w:tcPr>
          <w:p w14:paraId="6CBA0AC8"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5,954</w:t>
            </w:r>
          </w:p>
        </w:tc>
        <w:tc>
          <w:tcPr>
            <w:tcW w:w="1353" w:type="dxa"/>
          </w:tcPr>
          <w:p w14:paraId="383C9564"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6,004</w:t>
            </w:r>
          </w:p>
        </w:tc>
        <w:tc>
          <w:tcPr>
            <w:tcW w:w="1353" w:type="dxa"/>
          </w:tcPr>
          <w:p w14:paraId="073BE530"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+0.8</w:t>
            </w:r>
          </w:p>
        </w:tc>
      </w:tr>
      <w:tr w:rsidR="004E652A" w:rsidRPr="00FD7E86" w14:paraId="50BBC91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277616E1" w14:textId="77777777" w:rsidR="004E652A" w:rsidRPr="00C05F4C" w:rsidRDefault="004E652A" w:rsidP="000E4F20">
            <w:pPr>
              <w:keepLines/>
              <w:spacing w:before="40" w:after="40"/>
              <w:ind w:right="124"/>
              <w:rPr>
                <w:color w:val="auto"/>
                <w:spacing w:val="-28"/>
                <w:szCs w:val="18"/>
              </w:rPr>
            </w:pPr>
            <w:r w:rsidRPr="00C05F4C">
              <w:rPr>
                <w:color w:val="auto"/>
                <w:szCs w:val="18"/>
              </w:rPr>
              <w:t>ADSL</w:t>
            </w:r>
          </w:p>
        </w:tc>
        <w:tc>
          <w:tcPr>
            <w:tcW w:w="1353" w:type="dxa"/>
          </w:tcPr>
          <w:p w14:paraId="785876C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4,632</w:t>
            </w:r>
          </w:p>
        </w:tc>
        <w:tc>
          <w:tcPr>
            <w:tcW w:w="1353" w:type="dxa"/>
          </w:tcPr>
          <w:p w14:paraId="74D17D3E"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4,787</w:t>
            </w:r>
          </w:p>
        </w:tc>
        <w:tc>
          <w:tcPr>
            <w:tcW w:w="1353" w:type="dxa"/>
          </w:tcPr>
          <w:p w14:paraId="23BEA258"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5,065</w:t>
            </w:r>
          </w:p>
        </w:tc>
        <w:tc>
          <w:tcPr>
            <w:tcW w:w="1353" w:type="dxa"/>
          </w:tcPr>
          <w:p w14:paraId="6366D652"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5,106</w:t>
            </w:r>
          </w:p>
        </w:tc>
        <w:tc>
          <w:tcPr>
            <w:tcW w:w="1353" w:type="dxa"/>
          </w:tcPr>
          <w:p w14:paraId="7B38E525"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+0.8</w:t>
            </w:r>
          </w:p>
        </w:tc>
      </w:tr>
      <w:tr w:rsidR="004E652A" w:rsidRPr="00FD7E86" w14:paraId="4F4C7354"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4F1E0238" w14:textId="77777777" w:rsidR="004E652A" w:rsidRPr="00C05F4C" w:rsidRDefault="004E652A" w:rsidP="000E4F20">
            <w:pPr>
              <w:keepLines/>
              <w:spacing w:before="40" w:after="40"/>
              <w:ind w:right="124"/>
              <w:rPr>
                <w:color w:val="auto"/>
                <w:spacing w:val="-28"/>
                <w:szCs w:val="18"/>
              </w:rPr>
            </w:pPr>
            <w:r w:rsidRPr="00C05F4C">
              <w:rPr>
                <w:color w:val="auto"/>
                <w:szCs w:val="18"/>
              </w:rPr>
              <w:t xml:space="preserve">Cable </w:t>
            </w:r>
          </w:p>
        </w:tc>
        <w:tc>
          <w:tcPr>
            <w:tcW w:w="1353" w:type="dxa"/>
          </w:tcPr>
          <w:p w14:paraId="4D480525"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917</w:t>
            </w:r>
          </w:p>
        </w:tc>
        <w:tc>
          <w:tcPr>
            <w:tcW w:w="1353" w:type="dxa"/>
          </w:tcPr>
          <w:p w14:paraId="5EFA3E5F"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934</w:t>
            </w:r>
          </w:p>
        </w:tc>
        <w:tc>
          <w:tcPr>
            <w:tcW w:w="1353" w:type="dxa"/>
          </w:tcPr>
          <w:p w14:paraId="4137ABDC"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946</w:t>
            </w:r>
          </w:p>
        </w:tc>
        <w:tc>
          <w:tcPr>
            <w:tcW w:w="1353" w:type="dxa"/>
          </w:tcPr>
          <w:p w14:paraId="0FC8FF9A"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996</w:t>
            </w:r>
          </w:p>
        </w:tc>
        <w:tc>
          <w:tcPr>
            <w:tcW w:w="1353" w:type="dxa"/>
          </w:tcPr>
          <w:p w14:paraId="2D0260E8"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+5.3</w:t>
            </w:r>
          </w:p>
        </w:tc>
      </w:tr>
      <w:tr w:rsidR="004E652A" w:rsidRPr="00FD7E86" w14:paraId="43D0D20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42F14F8E" w14:textId="77777777" w:rsidR="004E652A" w:rsidRPr="00C05F4C" w:rsidRDefault="004E652A" w:rsidP="000E4F20">
            <w:pPr>
              <w:keepLines/>
              <w:spacing w:before="40" w:after="40"/>
              <w:ind w:right="124"/>
              <w:rPr>
                <w:color w:val="auto"/>
                <w:spacing w:val="-28"/>
                <w:szCs w:val="18"/>
              </w:rPr>
            </w:pPr>
            <w:r w:rsidRPr="00C05F4C">
              <w:rPr>
                <w:color w:val="auto"/>
                <w:szCs w:val="18"/>
              </w:rPr>
              <w:t>Dial-up</w:t>
            </w:r>
          </w:p>
        </w:tc>
        <w:tc>
          <w:tcPr>
            <w:tcW w:w="1353" w:type="dxa"/>
          </w:tcPr>
          <w:p w14:paraId="3E85E5F5"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439</w:t>
            </w:r>
          </w:p>
        </w:tc>
        <w:tc>
          <w:tcPr>
            <w:tcW w:w="1353" w:type="dxa"/>
          </w:tcPr>
          <w:p w14:paraId="31D3CD02"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227</w:t>
            </w:r>
          </w:p>
        </w:tc>
        <w:tc>
          <w:tcPr>
            <w:tcW w:w="1353" w:type="dxa"/>
          </w:tcPr>
          <w:p w14:paraId="256C99DF"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182</w:t>
            </w:r>
          </w:p>
        </w:tc>
        <w:tc>
          <w:tcPr>
            <w:tcW w:w="1353" w:type="dxa"/>
          </w:tcPr>
          <w:p w14:paraId="5257D92D"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95</w:t>
            </w:r>
          </w:p>
        </w:tc>
        <w:tc>
          <w:tcPr>
            <w:tcW w:w="1353" w:type="dxa"/>
          </w:tcPr>
          <w:p w14:paraId="0F337309"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–47.8</w:t>
            </w:r>
          </w:p>
        </w:tc>
      </w:tr>
      <w:tr w:rsidR="004E652A" w:rsidRPr="00FD7E86" w14:paraId="1380F3F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3D15FB09" w14:textId="77777777" w:rsidR="004E652A" w:rsidRPr="00C05F4C" w:rsidRDefault="004E652A" w:rsidP="000E4F20">
            <w:pPr>
              <w:keepLines/>
              <w:spacing w:before="40" w:after="40"/>
              <w:ind w:right="124"/>
              <w:rPr>
                <w:color w:val="auto"/>
                <w:spacing w:val="-28"/>
                <w:szCs w:val="18"/>
              </w:rPr>
            </w:pPr>
            <w:r w:rsidRPr="00C05F4C">
              <w:rPr>
                <w:color w:val="auto"/>
                <w:szCs w:val="18"/>
              </w:rPr>
              <w:t>Satellite</w:t>
            </w:r>
          </w:p>
        </w:tc>
        <w:tc>
          <w:tcPr>
            <w:tcW w:w="1353" w:type="dxa"/>
          </w:tcPr>
          <w:p w14:paraId="0F4C4D5B"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94</w:t>
            </w:r>
          </w:p>
        </w:tc>
        <w:tc>
          <w:tcPr>
            <w:tcW w:w="1353" w:type="dxa"/>
          </w:tcPr>
          <w:p w14:paraId="7D4061AA"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93</w:t>
            </w:r>
          </w:p>
        </w:tc>
        <w:tc>
          <w:tcPr>
            <w:tcW w:w="1353" w:type="dxa"/>
          </w:tcPr>
          <w:p w14:paraId="29EFAD25"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80</w:t>
            </w:r>
          </w:p>
        </w:tc>
        <w:tc>
          <w:tcPr>
            <w:tcW w:w="1353" w:type="dxa"/>
          </w:tcPr>
          <w:p w14:paraId="6AD23DFA"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69</w:t>
            </w:r>
          </w:p>
        </w:tc>
        <w:tc>
          <w:tcPr>
            <w:tcW w:w="1353" w:type="dxa"/>
          </w:tcPr>
          <w:p w14:paraId="1EA0A259"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–13.8</w:t>
            </w:r>
          </w:p>
        </w:tc>
      </w:tr>
      <w:tr w:rsidR="004E652A" w:rsidRPr="00FD7E86" w14:paraId="1D89A5C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551D31F0" w14:textId="77777777" w:rsidR="004E652A" w:rsidRPr="00C05F4C" w:rsidRDefault="004E652A" w:rsidP="000E4F20">
            <w:pPr>
              <w:keepLines/>
              <w:spacing w:before="40" w:after="40"/>
              <w:ind w:right="124"/>
              <w:rPr>
                <w:color w:val="auto"/>
                <w:spacing w:val="-28"/>
                <w:szCs w:val="18"/>
              </w:rPr>
            </w:pPr>
            <w:r w:rsidRPr="00C05F4C">
              <w:rPr>
                <w:color w:val="auto"/>
                <w:szCs w:val="18"/>
              </w:rPr>
              <w:t>Fixed wireless*</w:t>
            </w:r>
          </w:p>
        </w:tc>
        <w:tc>
          <w:tcPr>
            <w:tcW w:w="1353" w:type="dxa"/>
          </w:tcPr>
          <w:p w14:paraId="5C1195C8"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30</w:t>
            </w:r>
          </w:p>
        </w:tc>
        <w:tc>
          <w:tcPr>
            <w:tcW w:w="1353" w:type="dxa"/>
          </w:tcPr>
          <w:p w14:paraId="29AC1271"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49</w:t>
            </w:r>
          </w:p>
        </w:tc>
        <w:tc>
          <w:tcPr>
            <w:tcW w:w="1353" w:type="dxa"/>
          </w:tcPr>
          <w:p w14:paraId="494C4B6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50</w:t>
            </w:r>
          </w:p>
        </w:tc>
        <w:tc>
          <w:tcPr>
            <w:tcW w:w="1353" w:type="dxa"/>
          </w:tcPr>
          <w:p w14:paraId="0EF55370"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n/a</w:t>
            </w:r>
          </w:p>
        </w:tc>
        <w:tc>
          <w:tcPr>
            <w:tcW w:w="1353" w:type="dxa"/>
          </w:tcPr>
          <w:p w14:paraId="748E98D2"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n/a</w:t>
            </w:r>
          </w:p>
        </w:tc>
      </w:tr>
      <w:tr w:rsidR="004E652A" w:rsidRPr="00FD7E86" w14:paraId="42F0F1B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44A995F0" w14:textId="77777777" w:rsidR="004E652A" w:rsidRPr="00C05F4C" w:rsidRDefault="004E652A" w:rsidP="000E4F20">
            <w:pPr>
              <w:keepLines/>
              <w:spacing w:before="40" w:after="40"/>
              <w:ind w:right="124"/>
              <w:rPr>
                <w:color w:val="auto"/>
                <w:spacing w:val="-28"/>
                <w:szCs w:val="18"/>
              </w:rPr>
            </w:pPr>
            <w:r w:rsidRPr="00C05F4C">
              <w:rPr>
                <w:color w:val="auto"/>
                <w:szCs w:val="18"/>
              </w:rPr>
              <w:t>Fibre</w:t>
            </w:r>
          </w:p>
        </w:tc>
        <w:tc>
          <w:tcPr>
            <w:tcW w:w="1353" w:type="dxa"/>
          </w:tcPr>
          <w:p w14:paraId="38E9FF70"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52</w:t>
            </w:r>
          </w:p>
        </w:tc>
        <w:tc>
          <w:tcPr>
            <w:tcW w:w="1353" w:type="dxa"/>
          </w:tcPr>
          <w:p w14:paraId="03F95112"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115</w:t>
            </w:r>
          </w:p>
        </w:tc>
        <w:tc>
          <w:tcPr>
            <w:tcW w:w="1353" w:type="dxa"/>
          </w:tcPr>
          <w:p w14:paraId="0EA7C9CD"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203</w:t>
            </w:r>
          </w:p>
        </w:tc>
        <w:tc>
          <w:tcPr>
            <w:tcW w:w="1353" w:type="dxa"/>
          </w:tcPr>
          <w:p w14:paraId="55F58208"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420</w:t>
            </w:r>
          </w:p>
        </w:tc>
        <w:tc>
          <w:tcPr>
            <w:tcW w:w="1353" w:type="dxa"/>
          </w:tcPr>
          <w:p w14:paraId="468A4E7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+106.9</w:t>
            </w:r>
          </w:p>
        </w:tc>
      </w:tr>
      <w:tr w:rsidR="004E652A" w:rsidRPr="00FD7E86" w14:paraId="7D79DFB8"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3076B694" w14:textId="77777777" w:rsidR="004E652A" w:rsidRPr="00C05F4C" w:rsidRDefault="004E652A" w:rsidP="000E4F20">
            <w:pPr>
              <w:keepLines/>
              <w:spacing w:before="40" w:after="40"/>
              <w:ind w:right="124"/>
              <w:rPr>
                <w:color w:val="auto"/>
                <w:spacing w:val="-28"/>
                <w:szCs w:val="18"/>
              </w:rPr>
            </w:pPr>
            <w:r w:rsidRPr="00C05F4C">
              <w:rPr>
                <w:color w:val="auto"/>
                <w:szCs w:val="18"/>
              </w:rPr>
              <w:t>Other</w:t>
            </w:r>
          </w:p>
        </w:tc>
        <w:tc>
          <w:tcPr>
            <w:tcW w:w="1353" w:type="dxa"/>
          </w:tcPr>
          <w:p w14:paraId="55471A37"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10</w:t>
            </w:r>
          </w:p>
        </w:tc>
        <w:tc>
          <w:tcPr>
            <w:tcW w:w="1353" w:type="dxa"/>
          </w:tcPr>
          <w:p w14:paraId="23C590A4"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3</w:t>
            </w:r>
          </w:p>
        </w:tc>
        <w:tc>
          <w:tcPr>
            <w:tcW w:w="1353" w:type="dxa"/>
          </w:tcPr>
          <w:p w14:paraId="6D4AA331"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w:t>
            </w:r>
          </w:p>
        </w:tc>
        <w:tc>
          <w:tcPr>
            <w:tcW w:w="1353" w:type="dxa"/>
          </w:tcPr>
          <w:p w14:paraId="636370CE"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n/a</w:t>
            </w:r>
          </w:p>
        </w:tc>
        <w:tc>
          <w:tcPr>
            <w:tcW w:w="1353" w:type="dxa"/>
          </w:tcPr>
          <w:p w14:paraId="78EB7F2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n/a</w:t>
            </w:r>
          </w:p>
        </w:tc>
      </w:tr>
      <w:tr w:rsidR="004E652A" w:rsidRPr="00FD7E86" w14:paraId="3CFB9FCA" w14:textId="77777777" w:rsidTr="00CD6DFE">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47888D0E" w14:textId="77777777" w:rsidR="004E652A" w:rsidRPr="00C05F4C" w:rsidRDefault="004E652A" w:rsidP="000E4F20">
            <w:pPr>
              <w:keepLines/>
              <w:spacing w:before="40" w:after="40"/>
              <w:ind w:right="124"/>
              <w:rPr>
                <w:b/>
                <w:color w:val="auto"/>
                <w:spacing w:val="-28"/>
                <w:szCs w:val="18"/>
              </w:rPr>
            </w:pPr>
            <w:r w:rsidRPr="00C05F4C">
              <w:rPr>
                <w:b/>
                <w:color w:val="auto"/>
                <w:szCs w:val="18"/>
              </w:rPr>
              <w:t xml:space="preserve">Total (excluding mobile </w:t>
            </w:r>
            <w:r w:rsidRPr="00C05F4C">
              <w:rPr>
                <w:b/>
                <w:color w:val="auto"/>
                <w:szCs w:val="18"/>
              </w:rPr>
              <w:br/>
              <w:t>handset subscribers)</w:t>
            </w:r>
          </w:p>
        </w:tc>
        <w:tc>
          <w:tcPr>
            <w:tcW w:w="1353" w:type="dxa"/>
            <w:shd w:val="clear" w:color="auto" w:fill="65CDD5" w:themeFill="accent2"/>
          </w:tcPr>
          <w:p w14:paraId="5C982BA0" w14:textId="77777777" w:rsidR="004E652A" w:rsidRPr="00C05F4C"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pacing w:val="-28"/>
                <w:szCs w:val="18"/>
              </w:rPr>
            </w:pPr>
            <w:r w:rsidRPr="00C05F4C">
              <w:rPr>
                <w:b/>
                <w:szCs w:val="18"/>
              </w:rPr>
              <w:t>12,036</w:t>
            </w:r>
          </w:p>
        </w:tc>
        <w:tc>
          <w:tcPr>
            <w:tcW w:w="1353" w:type="dxa"/>
            <w:shd w:val="clear" w:color="auto" w:fill="65CDD5" w:themeFill="accent2"/>
          </w:tcPr>
          <w:p w14:paraId="54CE7549" w14:textId="77777777" w:rsidR="004E652A" w:rsidRPr="00C05F4C"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pacing w:val="-28"/>
                <w:szCs w:val="18"/>
              </w:rPr>
            </w:pPr>
            <w:r w:rsidRPr="00C05F4C">
              <w:rPr>
                <w:b/>
                <w:szCs w:val="18"/>
              </w:rPr>
              <w:t>12,358</w:t>
            </w:r>
          </w:p>
        </w:tc>
        <w:tc>
          <w:tcPr>
            <w:tcW w:w="1353" w:type="dxa"/>
            <w:shd w:val="clear" w:color="auto" w:fill="65CDD5" w:themeFill="accent2"/>
          </w:tcPr>
          <w:p w14:paraId="0F765B66" w14:textId="77777777" w:rsidR="004E652A" w:rsidRPr="00C05F4C"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12,483</w:t>
            </w:r>
          </w:p>
        </w:tc>
        <w:tc>
          <w:tcPr>
            <w:tcW w:w="1353" w:type="dxa"/>
            <w:shd w:val="clear" w:color="auto" w:fill="65CDD5" w:themeFill="accent2"/>
          </w:tcPr>
          <w:p w14:paraId="4A9CFE6B" w14:textId="77777777" w:rsidR="004E652A" w:rsidRPr="00C05F4C"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12,762</w:t>
            </w:r>
          </w:p>
        </w:tc>
        <w:tc>
          <w:tcPr>
            <w:tcW w:w="1353" w:type="dxa"/>
            <w:shd w:val="clear" w:color="auto" w:fill="65CDD5" w:themeFill="accent2"/>
          </w:tcPr>
          <w:p w14:paraId="03D928B7" w14:textId="77777777" w:rsidR="004E652A" w:rsidRPr="00924AB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zCs w:val="18"/>
              </w:rPr>
            </w:pPr>
            <w:r w:rsidRPr="00924AB6">
              <w:rPr>
                <w:b/>
                <w:szCs w:val="18"/>
              </w:rPr>
              <w:t>+2.2</w:t>
            </w:r>
          </w:p>
        </w:tc>
      </w:tr>
      <w:tr w:rsidR="004E652A" w:rsidRPr="00FD7E86" w14:paraId="453CEEE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1C2DE1C6" w14:textId="77777777" w:rsidR="004E652A" w:rsidRPr="00C05F4C" w:rsidRDefault="004E652A" w:rsidP="000E4F20">
            <w:pPr>
              <w:keepLines/>
              <w:spacing w:before="40" w:after="40"/>
              <w:ind w:right="124"/>
              <w:rPr>
                <w:color w:val="auto"/>
                <w:spacing w:val="-28"/>
                <w:szCs w:val="18"/>
              </w:rPr>
            </w:pPr>
            <w:r w:rsidRPr="00C05F4C">
              <w:rPr>
                <w:color w:val="auto"/>
                <w:szCs w:val="18"/>
              </w:rPr>
              <w:t xml:space="preserve">Mobile handset </w:t>
            </w:r>
          </w:p>
        </w:tc>
        <w:tc>
          <w:tcPr>
            <w:tcW w:w="1353" w:type="dxa"/>
          </w:tcPr>
          <w:p w14:paraId="273B3728" w14:textId="77777777" w:rsidR="004E652A" w:rsidRPr="00FD7E86" w:rsidRDefault="005D3D2B"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16,192</w:t>
            </w:r>
          </w:p>
        </w:tc>
        <w:tc>
          <w:tcPr>
            <w:tcW w:w="1353" w:type="dxa"/>
          </w:tcPr>
          <w:p w14:paraId="25BFC549"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pacing w:val="-28"/>
                <w:szCs w:val="18"/>
              </w:rPr>
            </w:pPr>
            <w:r w:rsidRPr="00FD7E86">
              <w:rPr>
                <w:szCs w:val="18"/>
              </w:rPr>
              <w:t>19,645</w:t>
            </w:r>
          </w:p>
        </w:tc>
        <w:tc>
          <w:tcPr>
            <w:tcW w:w="1353" w:type="dxa"/>
          </w:tcPr>
          <w:p w14:paraId="49004D7F"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20,567</w:t>
            </w:r>
          </w:p>
        </w:tc>
        <w:tc>
          <w:tcPr>
            <w:tcW w:w="1353" w:type="dxa"/>
          </w:tcPr>
          <w:p w14:paraId="2BA9E205" w14:textId="77777777" w:rsidR="004E652A" w:rsidRPr="00FD7E86" w:rsidRDefault="004E652A" w:rsidP="004E652A">
            <w:pPr>
              <w:keepLines/>
              <w:spacing w:before="40" w:after="40"/>
              <w:ind w:right="189"/>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20,993</w:t>
            </w:r>
          </w:p>
        </w:tc>
        <w:tc>
          <w:tcPr>
            <w:tcW w:w="1353" w:type="dxa"/>
          </w:tcPr>
          <w:p w14:paraId="2F50AE56" w14:textId="77777777" w:rsidR="004E652A" w:rsidRPr="00FD7E86"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+2.1</w:t>
            </w:r>
          </w:p>
        </w:tc>
      </w:tr>
      <w:tr w:rsidR="004E652A" w:rsidRPr="00FD7E86" w14:paraId="414C2F7A" w14:textId="77777777" w:rsidTr="00CD6DFE">
        <w:trPr>
          <w:trHeight w:val="454"/>
        </w:trPr>
        <w:tc>
          <w:tcPr>
            <w:cnfStyle w:val="001000000000" w:firstRow="0" w:lastRow="0" w:firstColumn="1" w:lastColumn="0" w:oddVBand="0" w:evenVBand="0" w:oddHBand="0" w:evenHBand="0" w:firstRowFirstColumn="0" w:firstRowLastColumn="0" w:lastRowFirstColumn="0" w:lastRowLastColumn="0"/>
            <w:tcW w:w="2805" w:type="dxa"/>
          </w:tcPr>
          <w:p w14:paraId="4DA5458B" w14:textId="77777777" w:rsidR="004E652A" w:rsidRPr="00C05F4C" w:rsidRDefault="004E652A" w:rsidP="000E4F20">
            <w:pPr>
              <w:keepLines/>
              <w:spacing w:before="40" w:after="40"/>
              <w:ind w:right="124"/>
              <w:rPr>
                <w:b/>
                <w:color w:val="auto"/>
                <w:spacing w:val="-28"/>
                <w:szCs w:val="18"/>
              </w:rPr>
            </w:pPr>
            <w:r w:rsidRPr="00C05F4C">
              <w:rPr>
                <w:b/>
                <w:color w:val="auto"/>
                <w:szCs w:val="18"/>
              </w:rPr>
              <w:t>Total (including mobile handsets)</w:t>
            </w:r>
          </w:p>
        </w:tc>
        <w:tc>
          <w:tcPr>
            <w:tcW w:w="1353" w:type="dxa"/>
            <w:shd w:val="clear" w:color="auto" w:fill="65CDD5" w:themeFill="accent2"/>
          </w:tcPr>
          <w:p w14:paraId="5869BF7C" w14:textId="77777777" w:rsidR="004E652A" w:rsidRPr="00C05F4C" w:rsidRDefault="005D3D2B"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pacing w:val="-28"/>
                <w:szCs w:val="18"/>
              </w:rPr>
            </w:pPr>
            <w:r w:rsidRPr="00C05F4C">
              <w:rPr>
                <w:b/>
                <w:szCs w:val="18"/>
              </w:rPr>
              <w:t>28,228</w:t>
            </w:r>
          </w:p>
        </w:tc>
        <w:tc>
          <w:tcPr>
            <w:tcW w:w="1353" w:type="dxa"/>
            <w:shd w:val="clear" w:color="auto" w:fill="65CDD5" w:themeFill="accent2"/>
          </w:tcPr>
          <w:p w14:paraId="6BE3D7A7" w14:textId="77777777" w:rsidR="004E652A" w:rsidRPr="00C05F4C" w:rsidRDefault="004E652A" w:rsidP="004E652A">
            <w:pPr>
              <w:keepLines/>
              <w:spacing w:before="40" w:after="40"/>
              <w:ind w:right="252"/>
              <w:cnfStyle w:val="000000000000" w:firstRow="0" w:lastRow="0" w:firstColumn="0" w:lastColumn="0" w:oddVBand="0" w:evenVBand="0" w:oddHBand="0" w:evenHBand="0" w:firstRowFirstColumn="0" w:firstRowLastColumn="0" w:lastRowFirstColumn="0" w:lastRowLastColumn="0"/>
              <w:rPr>
                <w:b/>
                <w:spacing w:val="-28"/>
                <w:szCs w:val="18"/>
              </w:rPr>
            </w:pPr>
            <w:r w:rsidRPr="00C05F4C">
              <w:rPr>
                <w:b/>
                <w:szCs w:val="18"/>
              </w:rPr>
              <w:t>32,003</w:t>
            </w:r>
          </w:p>
        </w:tc>
        <w:tc>
          <w:tcPr>
            <w:tcW w:w="1353" w:type="dxa"/>
            <w:shd w:val="clear" w:color="auto" w:fill="65CDD5" w:themeFill="accent2"/>
          </w:tcPr>
          <w:p w14:paraId="1ED5192E" w14:textId="77777777" w:rsidR="004E652A" w:rsidRPr="00C05F4C" w:rsidRDefault="004E652A" w:rsidP="00C72C40">
            <w:pPr>
              <w:keepLines/>
              <w:spacing w:before="40" w:after="40"/>
              <w:ind w:right="252"/>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33,0</w:t>
            </w:r>
            <w:r w:rsidR="00C72C40" w:rsidRPr="00C05F4C">
              <w:rPr>
                <w:b/>
                <w:szCs w:val="18"/>
              </w:rPr>
              <w:t>50</w:t>
            </w:r>
          </w:p>
        </w:tc>
        <w:tc>
          <w:tcPr>
            <w:tcW w:w="1353" w:type="dxa"/>
            <w:shd w:val="clear" w:color="auto" w:fill="65CDD5" w:themeFill="accent2"/>
          </w:tcPr>
          <w:p w14:paraId="7033C8C2" w14:textId="77777777" w:rsidR="004E652A" w:rsidRPr="00C05F4C" w:rsidRDefault="004E652A" w:rsidP="00CB6920">
            <w:pPr>
              <w:keepLines/>
              <w:spacing w:before="40" w:after="40"/>
              <w:ind w:right="189"/>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33,</w:t>
            </w:r>
            <w:r w:rsidR="00CB6920" w:rsidRPr="00C05F4C">
              <w:rPr>
                <w:b/>
                <w:szCs w:val="18"/>
              </w:rPr>
              <w:t>755</w:t>
            </w:r>
          </w:p>
        </w:tc>
        <w:tc>
          <w:tcPr>
            <w:tcW w:w="1353" w:type="dxa"/>
            <w:shd w:val="clear" w:color="auto" w:fill="65CDD5" w:themeFill="accent2"/>
          </w:tcPr>
          <w:p w14:paraId="0DA9AC85" w14:textId="77777777" w:rsidR="004E652A" w:rsidRPr="00924AB6" w:rsidRDefault="004E652A" w:rsidP="00CB6920">
            <w:pPr>
              <w:keepLines/>
              <w:spacing w:before="40" w:after="40"/>
              <w:ind w:right="252"/>
              <w:cnfStyle w:val="000000000000" w:firstRow="0" w:lastRow="0" w:firstColumn="0" w:lastColumn="0" w:oddVBand="0" w:evenVBand="0" w:oddHBand="0" w:evenHBand="0" w:firstRowFirstColumn="0" w:firstRowLastColumn="0" w:lastRowFirstColumn="0" w:lastRowLastColumn="0"/>
              <w:rPr>
                <w:b/>
                <w:szCs w:val="18"/>
              </w:rPr>
            </w:pPr>
            <w:r w:rsidRPr="00924AB6">
              <w:rPr>
                <w:b/>
                <w:szCs w:val="18"/>
              </w:rPr>
              <w:t>+</w:t>
            </w:r>
            <w:r w:rsidR="00CB6920" w:rsidRPr="00924AB6">
              <w:rPr>
                <w:b/>
                <w:szCs w:val="18"/>
              </w:rPr>
              <w:t>2.1</w:t>
            </w:r>
          </w:p>
        </w:tc>
      </w:tr>
    </w:tbl>
    <w:p w14:paraId="22C627E6" w14:textId="77777777" w:rsidR="000936AE" w:rsidRPr="00FD7E86" w:rsidRDefault="000936AE" w:rsidP="000664F7">
      <w:pPr>
        <w:pStyle w:val="ACMANotes"/>
        <w:rPr>
          <w:rFonts w:eastAsia="Malgun Gothic"/>
        </w:rPr>
      </w:pPr>
      <w:r w:rsidRPr="00FD7E86">
        <w:rPr>
          <w:rFonts w:eastAsia="Malgun Gothic"/>
        </w:rPr>
        <w:t>n/a=not available.</w:t>
      </w:r>
    </w:p>
    <w:p w14:paraId="26F56E75" w14:textId="77777777" w:rsidR="00A42E26" w:rsidRPr="00FD7E86" w:rsidRDefault="00A42E26" w:rsidP="000664F7">
      <w:pPr>
        <w:pStyle w:val="ACMANotes"/>
      </w:pPr>
      <w:r w:rsidRPr="00FD7E86">
        <w:rPr>
          <w:rFonts w:eastAsia="Malgun Gothic"/>
        </w:rPr>
        <w:t>*</w:t>
      </w:r>
      <w:r w:rsidRPr="00FD7E86">
        <w:t>Fixed wireless: for example</w:t>
      </w:r>
      <w:r w:rsidR="00CA62A6" w:rsidRPr="00FD7E86">
        <w:t>,</w:t>
      </w:r>
      <w:r w:rsidRPr="00FD7E86">
        <w:t xml:space="preserve"> WiMAX uses an air interface to connect an internet service. An antenna installed at the customer’s premises receives signals from the service provider’s base station.</w:t>
      </w:r>
      <w:r w:rsidR="004E652A" w:rsidRPr="00FD7E86">
        <w:t xml:space="preserve"> </w:t>
      </w:r>
    </w:p>
    <w:p w14:paraId="309B586B" w14:textId="77777777" w:rsidR="00A42E26" w:rsidRPr="00FD7E86" w:rsidRDefault="00A42E26" w:rsidP="000664F7">
      <w:pPr>
        <w:pStyle w:val="ACMANotes"/>
      </w:pPr>
      <w:r w:rsidRPr="00FD7E86">
        <w:t xml:space="preserve">Note: ABS subscriber statistics measure the number of ‘subscriber lines’ rather than the number of ‘users’. Counts of subscribers are not the same as counts of people/organisations with internet access as some subscribers may have accounts with more than one ISP or multiple accounts with a single ISP. Relates to ISPs with more than 1,000 subscribers. </w:t>
      </w:r>
      <w:r w:rsidR="004E652A" w:rsidRPr="00FD7E86">
        <w:t>Subscriber numbers for ‘fixed wireless’ and ‘other’ were not available separately for June 2015 but are included in the total.</w:t>
      </w:r>
    </w:p>
    <w:p w14:paraId="529BD983" w14:textId="77777777" w:rsidR="00A42E26" w:rsidRPr="00FD7E86" w:rsidRDefault="00A42E26" w:rsidP="000E4F20">
      <w:pPr>
        <w:pStyle w:val="ACMANotes"/>
      </w:pPr>
      <w:r w:rsidRPr="00FD7E86">
        <w:t xml:space="preserve">Source: ABS, </w:t>
      </w:r>
      <w:hyperlink r:id="rId39" w:history="1">
        <w:r w:rsidRPr="00FD7E86">
          <w:rPr>
            <w:color w:val="0000FF"/>
            <w:u w:val="single"/>
          </w:rPr>
          <w:t>8153.0-Internet activity, Australia</w:t>
        </w:r>
      </w:hyperlink>
      <w:r w:rsidRPr="00FD7E86">
        <w:t xml:space="preserve">, </w:t>
      </w:r>
      <w:r w:rsidR="004E652A" w:rsidRPr="00FD7E86">
        <w:t>June 2015</w:t>
      </w:r>
      <w:r w:rsidRPr="00FD7E86">
        <w:t>.</w:t>
      </w:r>
    </w:p>
    <w:p w14:paraId="3FF44BDC" w14:textId="77777777" w:rsidR="00980627" w:rsidRPr="00FD7E86" w:rsidRDefault="00980627" w:rsidP="00C967A2">
      <w:pPr>
        <w:pStyle w:val="ACMASpaceaftertable"/>
        <w:rPr>
          <w:i/>
          <w:sz w:val="16"/>
          <w:szCs w:val="16"/>
        </w:rPr>
      </w:pPr>
    </w:p>
    <w:p w14:paraId="1A0F0586" w14:textId="77777777" w:rsidR="00A42E26" w:rsidRPr="00FD7E86" w:rsidRDefault="00A42E26" w:rsidP="00A42E26">
      <w:pPr>
        <w:spacing w:after="80"/>
        <w:rPr>
          <w:rFonts w:cs="Arial"/>
        </w:rPr>
      </w:pPr>
      <w:bookmarkStart w:id="128" w:name="_Toc399331718"/>
      <w:bookmarkStart w:id="129" w:name="_Toc399336899"/>
      <w:bookmarkStart w:id="130" w:name="_Toc402337498"/>
      <w:r w:rsidRPr="00FD7E86">
        <w:rPr>
          <w:rFonts w:cs="Arial"/>
        </w:rPr>
        <w:t>A number of service providers announced that they would no longer be offering dial-up internet. TPG ceased sales of its dial-up internet plans at the start of 2015, while in June 2015, Telstra announced that it would retire the last of its dial-up internet services in December.</w:t>
      </w:r>
      <w:r w:rsidRPr="00FD7E86">
        <w:rPr>
          <w:rFonts w:cs="Arial"/>
          <w:vertAlign w:val="superscript"/>
        </w:rPr>
        <w:endnoteReference w:id="21"/>
      </w:r>
      <w:r w:rsidRPr="00FD7E86">
        <w:rPr>
          <w:rFonts w:cs="Arial"/>
        </w:rPr>
        <w:t xml:space="preserve"> iiNet and Optus continue to offer dial-up as part of its suite of internet service options. </w:t>
      </w:r>
    </w:p>
    <w:p w14:paraId="4D53ADE9" w14:textId="77777777" w:rsidR="00A42E26" w:rsidRPr="00FD7E86" w:rsidRDefault="00A42E26" w:rsidP="0063301E">
      <w:pPr>
        <w:pStyle w:val="ACMAHeading2"/>
      </w:pPr>
      <w:bookmarkStart w:id="131" w:name="_Toc433790300"/>
      <w:r w:rsidRPr="00FD7E86">
        <w:lastRenderedPageBreak/>
        <w:t>Mobile-internet services</w:t>
      </w:r>
      <w:bookmarkEnd w:id="128"/>
      <w:bookmarkEnd w:id="129"/>
      <w:bookmarkEnd w:id="130"/>
      <w:bookmarkEnd w:id="131"/>
    </w:p>
    <w:p w14:paraId="1E43A162" w14:textId="77777777" w:rsidR="00A42E26" w:rsidRPr="00FD7E86" w:rsidRDefault="00A42E26" w:rsidP="00A42E26">
      <w:pPr>
        <w:spacing w:after="80"/>
        <w:rPr>
          <w:rFonts w:cs="Arial"/>
        </w:rPr>
      </w:pPr>
      <w:r w:rsidRPr="00FD7E86">
        <w:rPr>
          <w:rFonts w:cs="Arial"/>
        </w:rPr>
        <w:t xml:space="preserve">There were </w:t>
      </w:r>
      <w:r w:rsidR="00C86FFD" w:rsidRPr="00FD7E86">
        <w:rPr>
          <w:rFonts w:cs="Arial"/>
        </w:rPr>
        <w:t>27.00</w:t>
      </w:r>
      <w:r w:rsidRPr="00FD7E86">
        <w:rPr>
          <w:rFonts w:cs="Arial"/>
        </w:rPr>
        <w:t xml:space="preserve"> million mobile-internet service subscribers at </w:t>
      </w:r>
      <w:r w:rsidR="00CC6C66" w:rsidRPr="00FD7E86">
        <w:rPr>
          <w:rFonts w:cs="Arial"/>
        </w:rPr>
        <w:t>June 201</w:t>
      </w:r>
      <w:r w:rsidR="00C86FFD" w:rsidRPr="00FD7E86">
        <w:rPr>
          <w:rFonts w:cs="Arial"/>
        </w:rPr>
        <w:t>5</w:t>
      </w:r>
      <w:r w:rsidRPr="00FD7E86">
        <w:rPr>
          <w:rFonts w:cs="Arial"/>
        </w:rPr>
        <w:t xml:space="preserve">. This is an increase of </w:t>
      </w:r>
      <w:r w:rsidR="00CC6C66" w:rsidRPr="00FD7E86">
        <w:rPr>
          <w:rFonts w:cs="Arial"/>
        </w:rPr>
        <w:t xml:space="preserve">two </w:t>
      </w:r>
      <w:r w:rsidRPr="00FD7E86">
        <w:rPr>
          <w:rFonts w:cs="Arial"/>
        </w:rPr>
        <w:t>per cent over the year. There are two types of mobile-internet services reported here:</w:t>
      </w:r>
    </w:p>
    <w:p w14:paraId="2392E8FF" w14:textId="77777777" w:rsidR="00A42E26" w:rsidRPr="00FD7E86" w:rsidRDefault="00A42E26" w:rsidP="0063301E">
      <w:pPr>
        <w:pStyle w:val="ListBullet"/>
      </w:pPr>
      <w:r w:rsidRPr="00FD7E86">
        <w:t xml:space="preserve">mobile handset—such as smartphones </w:t>
      </w:r>
    </w:p>
    <w:p w14:paraId="5601418C" w14:textId="77777777" w:rsidR="00A42E26" w:rsidRPr="00FD7E86" w:rsidRDefault="00A42E26" w:rsidP="0063301E">
      <w:pPr>
        <w:pStyle w:val="ListBulletLast"/>
      </w:pPr>
      <w:r w:rsidRPr="00FD7E86">
        <w:t xml:space="preserve">mobile wireless—using dongles, datacards or USB modems. </w:t>
      </w:r>
    </w:p>
    <w:p w14:paraId="093C7992" w14:textId="77777777" w:rsidR="00A42E26" w:rsidRPr="00FD7E86" w:rsidRDefault="00A42E26" w:rsidP="00A42E26">
      <w:r w:rsidRPr="00FD7E86">
        <w:t xml:space="preserve">Mobile-internet subscribers account for </w:t>
      </w:r>
      <w:r w:rsidR="00CC6C66" w:rsidRPr="00FD7E86">
        <w:rPr>
          <w:rFonts w:cs="Arial"/>
        </w:rPr>
        <w:t>85</w:t>
      </w:r>
      <w:r w:rsidR="00CC6C66" w:rsidRPr="00FD7E86">
        <w:t xml:space="preserve"> </w:t>
      </w:r>
      <w:r w:rsidRPr="00FD7E86">
        <w:t xml:space="preserve">per cent of all mobile services in operation at </w:t>
      </w:r>
      <w:r w:rsidR="00CC6C66" w:rsidRPr="00FD7E86">
        <w:rPr>
          <w:rFonts w:cs="Arial"/>
        </w:rPr>
        <w:t>June 2015</w:t>
      </w:r>
      <w:r w:rsidRPr="00FD7E86">
        <w:t>.</w:t>
      </w:r>
      <w:r w:rsidRPr="00FD7E86">
        <w:rPr>
          <w:vertAlign w:val="superscript"/>
        </w:rPr>
        <w:endnoteReference w:id="22"/>
      </w:r>
      <w:r w:rsidRPr="00FD7E86">
        <w:t xml:space="preserve"> </w:t>
      </w:r>
    </w:p>
    <w:p w14:paraId="7010841E" w14:textId="77777777" w:rsidR="00A42E26" w:rsidRPr="00FD7E86" w:rsidRDefault="0063301E" w:rsidP="00A42E26">
      <w:r w:rsidRPr="00FD7E86">
        <w:t>T</w:t>
      </w:r>
      <w:r w:rsidR="00A42E26" w:rsidRPr="00FD7E86">
        <w:t xml:space="preserve">he latest data from the Australian Bureau of Statistics (ABS) shows that mobile handset subscribers increased </w:t>
      </w:r>
      <w:r w:rsidR="00EA0BFB" w:rsidRPr="00FD7E86">
        <w:t xml:space="preserve">two </w:t>
      </w:r>
      <w:r w:rsidR="00A42E26" w:rsidRPr="00FD7E86">
        <w:t xml:space="preserve">per cent in </w:t>
      </w:r>
      <w:r w:rsidR="00EA0BFB" w:rsidRPr="00FD7E86">
        <w:t>the 12 month to June 2015</w:t>
      </w:r>
      <w:r w:rsidR="00A42E26" w:rsidRPr="00FD7E86">
        <w:rPr>
          <w:rFonts w:cs="Arial"/>
        </w:rPr>
        <w:t xml:space="preserve"> to reach </w:t>
      </w:r>
      <w:r w:rsidR="00EA0BFB" w:rsidRPr="00FD7E86">
        <w:rPr>
          <w:rFonts w:cs="Arial"/>
        </w:rPr>
        <w:t>20.99</w:t>
      </w:r>
      <w:r w:rsidR="00A42E26" w:rsidRPr="00FD7E86">
        <w:t xml:space="preserve"> million subscribers</w:t>
      </w:r>
      <w:r w:rsidR="00CA62A6" w:rsidRPr="00FD7E86">
        <w:t>.</w:t>
      </w:r>
      <w:r w:rsidR="00A42E26" w:rsidRPr="00FD7E86">
        <w:t xml:space="preserve"> </w:t>
      </w:r>
      <w:r w:rsidR="00CA62A6" w:rsidRPr="00FD7E86">
        <w:t>M</w:t>
      </w:r>
      <w:r w:rsidR="00A42E26" w:rsidRPr="00FD7E86">
        <w:t>obile wireless internet subscribers increased by 0.</w:t>
      </w:r>
      <w:r w:rsidR="00EA0BFB" w:rsidRPr="00FD7E86">
        <w:t xml:space="preserve">8 </w:t>
      </w:r>
      <w:r w:rsidR="00A42E26" w:rsidRPr="00FD7E86">
        <w:t xml:space="preserve">per cent to reach </w:t>
      </w:r>
      <w:r w:rsidR="00EA0BFB" w:rsidRPr="00FD7E86">
        <w:t xml:space="preserve">just over </w:t>
      </w:r>
      <w:r w:rsidR="00CD2FA4" w:rsidRPr="00FD7E86">
        <w:t>six</w:t>
      </w:r>
      <w:r w:rsidR="00EA0BFB" w:rsidRPr="00FD7E86">
        <w:t xml:space="preserve"> </w:t>
      </w:r>
      <w:r w:rsidR="00A42E26" w:rsidRPr="00FD7E86">
        <w:t xml:space="preserve">million subscribers (Figure 1.6). </w:t>
      </w:r>
    </w:p>
    <w:p w14:paraId="44A967F0" w14:textId="77777777" w:rsidR="00A42E26" w:rsidRPr="00FD7E86" w:rsidRDefault="00A42E26" w:rsidP="00C1291E">
      <w:pPr>
        <w:pStyle w:val="ACMAFigureHeader"/>
        <w:numPr>
          <w:ilvl w:val="0"/>
          <w:numId w:val="0"/>
        </w:numPr>
      </w:pPr>
      <w:bookmarkStart w:id="132" w:name="_Ref398848072"/>
      <w:bookmarkStart w:id="133" w:name="_Ref398848050"/>
      <w:r w:rsidRPr="00FD7E86">
        <w:t>Figure 1.</w:t>
      </w:r>
      <w:bookmarkEnd w:id="132"/>
      <w:r w:rsidRPr="00FD7E86">
        <w:t xml:space="preserve">6 </w:t>
      </w:r>
      <w:r w:rsidR="00FF1120" w:rsidRPr="00FD7E86">
        <w:t>Mobile</w:t>
      </w:r>
      <w:r w:rsidRPr="00FD7E86">
        <w:t>-internet subscribers in Australia (‘000s)</w:t>
      </w:r>
      <w:bookmarkEnd w:id="133"/>
    </w:p>
    <w:p w14:paraId="3205318A" w14:textId="77777777" w:rsidR="00A42E26" w:rsidRPr="00FD7E86" w:rsidRDefault="00C03F78" w:rsidP="00C05F4C">
      <w:pPr>
        <w:spacing w:after="0"/>
      </w:pPr>
      <w:r>
        <w:rPr>
          <w:noProof/>
        </w:rPr>
        <w:drawing>
          <wp:inline distT="0" distB="0" distL="0" distR="0" wp14:anchorId="2E8437F4" wp14:editId="20039ECC">
            <wp:extent cx="5939790" cy="1717040"/>
            <wp:effectExtent l="0" t="0" r="3810" b="0"/>
            <wp:docPr id="23" name="Picture 23" descr="A .csv file of Figure 1.6 is available on the landing page ‘Communications report 2014–15’, available from the ACMA website. " title="Figure 1.6 Mobile-internet subscribers in Australia (‘000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hapter 1_Figure 1.6.png"/>
                    <pic:cNvPicPr/>
                  </pic:nvPicPr>
                  <pic:blipFill>
                    <a:blip r:embed="rId40">
                      <a:extLst>
                        <a:ext uri="{28A0092B-C50C-407E-A947-70E740481C1C}">
                          <a14:useLocalDpi xmlns:a14="http://schemas.microsoft.com/office/drawing/2010/main" val="0"/>
                        </a:ext>
                      </a:extLst>
                    </a:blip>
                    <a:stretch>
                      <a:fillRect/>
                    </a:stretch>
                  </pic:blipFill>
                  <pic:spPr>
                    <a:xfrm>
                      <a:off x="0" y="0"/>
                      <a:ext cx="5939790" cy="1717040"/>
                    </a:xfrm>
                    <a:prstGeom prst="rect">
                      <a:avLst/>
                    </a:prstGeom>
                  </pic:spPr>
                </pic:pic>
              </a:graphicData>
            </a:graphic>
          </wp:inline>
        </w:drawing>
      </w:r>
    </w:p>
    <w:p w14:paraId="0C4A3C53" w14:textId="77777777" w:rsidR="00A42E26" w:rsidRPr="00FD7E86" w:rsidRDefault="00A42E26" w:rsidP="000664F7">
      <w:pPr>
        <w:pStyle w:val="ACMANotes"/>
        <w:rPr>
          <w:szCs w:val="16"/>
        </w:rPr>
      </w:pPr>
      <w:r w:rsidRPr="00FD7E86">
        <w:t>Base: Number of subscribers.</w:t>
      </w:r>
    </w:p>
    <w:p w14:paraId="16F8F0AE" w14:textId="77777777" w:rsidR="00A42E26" w:rsidRPr="00FD7E86" w:rsidRDefault="00A42E26" w:rsidP="000664F7">
      <w:pPr>
        <w:pStyle w:val="ACMANotes"/>
        <w:rPr>
          <w:szCs w:val="16"/>
        </w:rPr>
      </w:pPr>
      <w:r w:rsidRPr="00FD7E86">
        <w:t xml:space="preserve">Note: The ABS has revised some mobile handset internet subscriber figures published in previous ACMA reports. </w:t>
      </w:r>
    </w:p>
    <w:p w14:paraId="67360359" w14:textId="77777777" w:rsidR="00A42E26" w:rsidRPr="00FD7E86" w:rsidRDefault="00A42E26" w:rsidP="003520FD">
      <w:pPr>
        <w:pStyle w:val="ACMANotes"/>
        <w:rPr>
          <w:szCs w:val="16"/>
        </w:rPr>
      </w:pPr>
      <w:r w:rsidRPr="00FD7E86">
        <w:rPr>
          <w:szCs w:val="16"/>
        </w:rPr>
        <w:t xml:space="preserve">Source: ABS, </w:t>
      </w:r>
      <w:hyperlink r:id="rId41" w:history="1">
        <w:r w:rsidRPr="00FD7E86">
          <w:rPr>
            <w:color w:val="0000FF"/>
            <w:szCs w:val="16"/>
            <w:u w:val="single"/>
          </w:rPr>
          <w:t>8153.0-Internet activity, Australia</w:t>
        </w:r>
      </w:hyperlink>
      <w:r w:rsidRPr="00FD7E86">
        <w:rPr>
          <w:szCs w:val="16"/>
        </w:rPr>
        <w:t>, June 201</w:t>
      </w:r>
      <w:r w:rsidR="003F277E">
        <w:rPr>
          <w:szCs w:val="16"/>
        </w:rPr>
        <w:t>5</w:t>
      </w:r>
      <w:r w:rsidRPr="00FD7E86">
        <w:rPr>
          <w:szCs w:val="16"/>
        </w:rPr>
        <w:t>.</w:t>
      </w:r>
    </w:p>
    <w:p w14:paraId="1E2B59C1" w14:textId="77777777" w:rsidR="00980627" w:rsidRPr="00FD7E86" w:rsidRDefault="00980627" w:rsidP="00C967A2">
      <w:pPr>
        <w:pStyle w:val="ACMASpaceaftertable"/>
        <w:rPr>
          <w:i/>
          <w:sz w:val="16"/>
          <w:szCs w:val="16"/>
        </w:rPr>
      </w:pPr>
    </w:p>
    <w:p w14:paraId="001F1496" w14:textId="77777777" w:rsidR="00A42E26" w:rsidRPr="00FD7E86" w:rsidRDefault="00A42E26" w:rsidP="00A42E26">
      <w:pPr>
        <w:rPr>
          <w:rFonts w:cs="Arial"/>
        </w:rPr>
      </w:pPr>
      <w:r w:rsidRPr="00FD7E86">
        <w:t>At May 2015, 13.41 million Australian adults (74 per cent) were estimated to be using a smartphone compared to</w:t>
      </w:r>
      <w:r w:rsidRPr="00FD7E86">
        <w:rPr>
          <w:rFonts w:cs="Arial"/>
        </w:rPr>
        <w:t xml:space="preserve"> 12.07 million (67 per cent) at May 2014 (Figure 1.7). The proportion of adults using any mobile phone has remained </w:t>
      </w:r>
      <w:r w:rsidR="00C31900" w:rsidRPr="00FD7E86">
        <w:rPr>
          <w:rFonts w:cs="Arial"/>
        </w:rPr>
        <w:t>between 93 per cent and 94 per cent over the past three years</w:t>
      </w:r>
      <w:r w:rsidR="00CA62A6" w:rsidRPr="00FD7E86">
        <w:rPr>
          <w:rFonts w:cs="Arial"/>
        </w:rPr>
        <w:t xml:space="preserve">. This </w:t>
      </w:r>
      <w:r w:rsidRPr="00FD7E86">
        <w:rPr>
          <w:rFonts w:cs="Arial"/>
        </w:rPr>
        <w:t>may indicate that mobile phone penetration has reached saturation levels as consumers continue to replace their mobile phones with smartphones.</w:t>
      </w:r>
    </w:p>
    <w:p w14:paraId="43657F4E" w14:textId="77777777" w:rsidR="00A42E26" w:rsidRPr="00FD7E86" w:rsidRDefault="00A42E26" w:rsidP="00C107F3">
      <w:pPr>
        <w:pStyle w:val="ACMAFigureHeader"/>
        <w:keepNext/>
        <w:numPr>
          <w:ilvl w:val="0"/>
          <w:numId w:val="0"/>
        </w:numPr>
      </w:pPr>
      <w:bookmarkStart w:id="134" w:name="_Ref398848121"/>
      <w:r w:rsidRPr="00FD7E86">
        <w:lastRenderedPageBreak/>
        <w:t>Figure 1.</w:t>
      </w:r>
      <w:bookmarkEnd w:id="134"/>
      <w:r w:rsidRPr="00FD7E86">
        <w:t>7 Use of mobile phones</w:t>
      </w:r>
      <w:r w:rsidR="008836B1" w:rsidRPr="00FD7E86">
        <w:t>, in the last six months to May</w:t>
      </w:r>
      <w:r w:rsidRPr="00FD7E86">
        <w:t xml:space="preserve"> (percentage)</w:t>
      </w:r>
    </w:p>
    <w:p w14:paraId="27D1B1C0" w14:textId="77777777" w:rsidR="00A42E26" w:rsidRPr="00FD7E86" w:rsidRDefault="000C297D" w:rsidP="00383144">
      <w:pPr>
        <w:pStyle w:val="ACMANotes"/>
      </w:pPr>
      <w:r>
        <w:rPr>
          <w:noProof/>
        </w:rPr>
        <w:drawing>
          <wp:inline distT="0" distB="0" distL="0" distR="0" wp14:anchorId="7A843085" wp14:editId="7D66279D">
            <wp:extent cx="5939790" cy="3367405"/>
            <wp:effectExtent l="0" t="0" r="0" b="0"/>
            <wp:docPr id="55" name="Picture 55" descr="A .csv file of Figure 1.7 is available on the landing page ‘Communications report 2014–15’, available from the ACMA website. " title="Figure 1.7 Use of mobile phones, in the last six months to May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Chapter 1_Figure 1.7.png"/>
                    <pic:cNvPicPr/>
                  </pic:nvPicPr>
                  <pic:blipFill>
                    <a:blip r:embed="rId42">
                      <a:extLst>
                        <a:ext uri="{28A0092B-C50C-407E-A947-70E740481C1C}">
                          <a14:useLocalDpi xmlns:a14="http://schemas.microsoft.com/office/drawing/2010/main" val="0"/>
                        </a:ext>
                      </a:extLst>
                    </a:blip>
                    <a:stretch>
                      <a:fillRect/>
                    </a:stretch>
                  </pic:blipFill>
                  <pic:spPr>
                    <a:xfrm>
                      <a:off x="0" y="0"/>
                      <a:ext cx="5939790" cy="3367405"/>
                    </a:xfrm>
                    <a:prstGeom prst="rect">
                      <a:avLst/>
                    </a:prstGeom>
                  </pic:spPr>
                </pic:pic>
              </a:graphicData>
            </a:graphic>
          </wp:inline>
        </w:drawing>
      </w:r>
      <w:r w:rsidR="00A42E26" w:rsidRPr="00FD7E86">
        <w:t>*The figure previously published for ‘Have a smartphone’ at May 2014 has been revised by the ACMA.</w:t>
      </w:r>
    </w:p>
    <w:p w14:paraId="329CCF85" w14:textId="77777777" w:rsidR="00A42E26" w:rsidRPr="00FD7E86" w:rsidRDefault="00A42E26" w:rsidP="00383144">
      <w:pPr>
        <w:pStyle w:val="ACMANotes"/>
      </w:pPr>
      <w:r w:rsidRPr="00FD7E86">
        <w:t xml:space="preserve">Base: Australians aged 18 and over in the last six months </w:t>
      </w:r>
    </w:p>
    <w:p w14:paraId="44D1E0B5" w14:textId="77777777" w:rsidR="00A42E26" w:rsidRPr="00FD7E86" w:rsidRDefault="00A42E26" w:rsidP="00383144">
      <w:pPr>
        <w:pStyle w:val="ACMANotes"/>
      </w:pPr>
      <w:r w:rsidRPr="00FD7E86">
        <w:t xml:space="preserve">Note: Data was not available for May 2011. A smartphone is a mobile phone built on a mobile operating system, with advanced computing capability and connectivity. </w:t>
      </w:r>
    </w:p>
    <w:p w14:paraId="42A64CDB" w14:textId="77777777" w:rsidR="00A42E26" w:rsidRPr="00FD7E86" w:rsidRDefault="00A42E26" w:rsidP="003520FD">
      <w:pPr>
        <w:pStyle w:val="ACMANotes"/>
      </w:pPr>
      <w:r w:rsidRPr="00FD7E86">
        <w:t>So</w:t>
      </w:r>
      <w:r w:rsidR="001F6BFE" w:rsidRPr="00FD7E86">
        <w:t>urce: ACMA-commissioned survey.</w:t>
      </w:r>
    </w:p>
    <w:p w14:paraId="00DF43E1" w14:textId="77777777" w:rsidR="00980627" w:rsidRPr="00FD7E86" w:rsidRDefault="00980627" w:rsidP="00C967A2">
      <w:pPr>
        <w:pStyle w:val="ACMASpaceaftertable"/>
        <w:rPr>
          <w:i/>
          <w:sz w:val="16"/>
          <w:szCs w:val="16"/>
        </w:rPr>
      </w:pPr>
    </w:p>
    <w:p w14:paraId="103BCBCF" w14:textId="77777777" w:rsidR="00A42E26" w:rsidRPr="00FD7E86" w:rsidRDefault="00A42E26" w:rsidP="001F6BFE">
      <w:pPr>
        <w:pStyle w:val="ACMAHeading2"/>
      </w:pPr>
      <w:bookmarkStart w:id="135" w:name="_Toc433790301"/>
      <w:r w:rsidRPr="00FD7E86">
        <w:t>Publicly accessible wireless internet</w:t>
      </w:r>
      <w:bookmarkEnd w:id="135"/>
      <w:r w:rsidRPr="00FD7E86">
        <w:t xml:space="preserve"> </w:t>
      </w:r>
    </w:p>
    <w:p w14:paraId="61067919" w14:textId="77777777" w:rsidR="00A42E26" w:rsidRPr="00FD7E86" w:rsidRDefault="00A42E26" w:rsidP="00A42E26">
      <w:r w:rsidRPr="00FD7E86">
        <w:t>The 2014–15 reporting period saw strong activity in the expansion of Wi-Fi hotspots in Australia, and increasing consumer usage of publicly accessible wireless connections.</w:t>
      </w:r>
      <w:r w:rsidRPr="00FD7E86">
        <w:rPr>
          <w:vertAlign w:val="superscript"/>
        </w:rPr>
        <w:endnoteReference w:id="23"/>
      </w:r>
    </w:p>
    <w:p w14:paraId="5060A290" w14:textId="77777777" w:rsidR="00A42E26" w:rsidRPr="00FD7E86" w:rsidRDefault="00A42E26" w:rsidP="00A42E26">
      <w:pPr>
        <w:rPr>
          <w:rFonts w:cs="Arial"/>
        </w:rPr>
      </w:pPr>
      <w:r w:rsidRPr="00FD7E86">
        <w:t>In September 2014, Telstra announced that it would roll</w:t>
      </w:r>
      <w:r w:rsidR="00BF3E62" w:rsidRPr="00FD7E86">
        <w:t xml:space="preserve"> </w:t>
      </w:r>
      <w:r w:rsidRPr="00FD7E86">
        <w:t xml:space="preserve">out a network of Wi-Fi hotspots before July 2015, many co-located with its established payphone network. Initially providing access free of charge to any internet device user within range, the Wi-Fi hotspots </w:t>
      </w:r>
      <w:r w:rsidR="00BF3E62" w:rsidRPr="00FD7E86">
        <w:t xml:space="preserve">delivered </w:t>
      </w:r>
      <w:r w:rsidRPr="00FD7E86">
        <w:t>connection to more than 1.5 million separate devices following the launch of the trial in November 2014. Over 270 TB of data were downloaded via the hotspots in the five months to April 2015.</w:t>
      </w:r>
      <w:r w:rsidRPr="00FD7E86">
        <w:rPr>
          <w:vertAlign w:val="superscript"/>
        </w:rPr>
        <w:endnoteReference w:id="24"/>
      </w:r>
    </w:p>
    <w:p w14:paraId="264954D1" w14:textId="77777777" w:rsidR="00A42E26" w:rsidRPr="00FD7E86" w:rsidRDefault="00A42E26" w:rsidP="00A42E26">
      <w:r w:rsidRPr="00FD7E86">
        <w:t>In June 2015, Telstra announced it would cease offering free access to its hotspots in preparation for the official launch of Telstra Air</w:t>
      </w:r>
      <w:r w:rsidRPr="00FD7E86">
        <w:rPr>
          <w:vertAlign w:val="superscript"/>
        </w:rPr>
        <w:endnoteReference w:id="25"/>
      </w:r>
      <w:r w:rsidR="00BF3E62" w:rsidRPr="00FD7E86">
        <w:t xml:space="preserve">, </w:t>
      </w:r>
      <w:r w:rsidRPr="00FD7E86">
        <w:t>a system of more than 4,000 Wi-Fi hotspots located at payphone sites, Telstra stores and home-located hotspots</w:t>
      </w:r>
      <w:r w:rsidR="00BF3E62" w:rsidRPr="00FD7E86">
        <w:t xml:space="preserve">, known as ‘homespots’, </w:t>
      </w:r>
      <w:r w:rsidRPr="00FD7E86">
        <w:t xml:space="preserve">created by Telstra customers. </w:t>
      </w:r>
    </w:p>
    <w:p w14:paraId="66479BFB" w14:textId="77777777" w:rsidR="00A42E26" w:rsidRPr="00FD7E86" w:rsidRDefault="00A42E26" w:rsidP="00A42E26">
      <w:r w:rsidRPr="00FD7E86">
        <w:t>Public Wi-Fi services continued to be rolled out by private and public organisations across the country, including shopping centres, cafes and libraries. In May 2015, the city of Canberra launched #CBRfree, a Canberra</w:t>
      </w:r>
      <w:r w:rsidR="003B1E02" w:rsidRPr="00FD7E86">
        <w:t>-</w:t>
      </w:r>
      <w:r w:rsidRPr="00FD7E86">
        <w:t>wide free Wi-Fi hotspot service that allows users to ‘access</w:t>
      </w:r>
      <w:r w:rsidR="00E654A7" w:rsidRPr="00FD7E86">
        <w:t xml:space="preserve"> </w:t>
      </w:r>
      <w:r w:rsidRPr="00FD7E86">
        <w:t>…</w:t>
      </w:r>
      <w:r w:rsidR="00E654A7" w:rsidRPr="00FD7E86">
        <w:t xml:space="preserve"> </w:t>
      </w:r>
      <w:r w:rsidRPr="00FD7E86">
        <w:t>250 MB per day for unlimited sessions of up to 24 hours’. CBRfree says that, when completed, this will be Australia’s biggest free outdoor public Wi-Fi network.</w:t>
      </w:r>
      <w:r w:rsidRPr="00FD7E86">
        <w:rPr>
          <w:vertAlign w:val="superscript"/>
        </w:rPr>
        <w:endnoteReference w:id="26"/>
      </w:r>
    </w:p>
    <w:p w14:paraId="6437E604" w14:textId="77777777" w:rsidR="00A42E26" w:rsidRPr="00FD7E86" w:rsidRDefault="00A42E26" w:rsidP="00C05F4C">
      <w:pPr>
        <w:pStyle w:val="ACMAHeading2"/>
        <w:keepLines/>
      </w:pPr>
      <w:bookmarkStart w:id="136" w:name="_Toc433790302"/>
      <w:r w:rsidRPr="00FD7E86">
        <w:lastRenderedPageBreak/>
        <w:t>Number of internet service providers</w:t>
      </w:r>
      <w:bookmarkEnd w:id="125"/>
      <w:bookmarkEnd w:id="126"/>
      <w:bookmarkEnd w:id="136"/>
    </w:p>
    <w:p w14:paraId="4F800EA1" w14:textId="77777777" w:rsidR="00A42E26" w:rsidRPr="00FD7E86" w:rsidRDefault="00A42E26" w:rsidP="00C05F4C">
      <w:pPr>
        <w:keepNext/>
        <w:keepLines/>
        <w:spacing w:after="80"/>
        <w:rPr>
          <w:rFonts w:cs="Arial"/>
        </w:rPr>
      </w:pPr>
      <w:r w:rsidRPr="00FD7E86">
        <w:rPr>
          <w:rFonts w:cs="Arial"/>
        </w:rPr>
        <w:t xml:space="preserve">At </w:t>
      </w:r>
      <w:r w:rsidR="00E63F87" w:rsidRPr="00FD7E86">
        <w:rPr>
          <w:rFonts w:cs="Arial"/>
        </w:rPr>
        <w:t>June 2015</w:t>
      </w:r>
      <w:r w:rsidRPr="00FD7E86">
        <w:rPr>
          <w:rFonts w:cs="Arial"/>
        </w:rPr>
        <w:t xml:space="preserve">, there were </w:t>
      </w:r>
      <w:r w:rsidR="00E63F87" w:rsidRPr="00FD7E86">
        <w:rPr>
          <w:rFonts w:cs="Arial"/>
        </w:rPr>
        <w:t xml:space="preserve">69 </w:t>
      </w:r>
      <w:r w:rsidRPr="00FD7E86">
        <w:rPr>
          <w:rFonts w:cs="Arial"/>
        </w:rPr>
        <w:t xml:space="preserve">internet service providers (ISPs) with more than 1,000 subscribers operating in Australia, </w:t>
      </w:r>
      <w:r w:rsidR="00E63F87" w:rsidRPr="00FD7E86">
        <w:rPr>
          <w:rFonts w:cs="Arial"/>
        </w:rPr>
        <w:t>down from 71 at June 2014</w:t>
      </w:r>
      <w:r w:rsidRPr="00FD7E86">
        <w:rPr>
          <w:rFonts w:cs="Arial"/>
        </w:rPr>
        <w:t>. The distribution of ISPs by number of internet subscribers was:</w:t>
      </w:r>
    </w:p>
    <w:p w14:paraId="7EBE14E5" w14:textId="77777777" w:rsidR="00A42E26" w:rsidRPr="00FD7E86" w:rsidRDefault="00E63F87" w:rsidP="00C05F4C">
      <w:pPr>
        <w:pStyle w:val="ListBullet"/>
        <w:keepNext/>
        <w:keepLines/>
      </w:pPr>
      <w:r w:rsidRPr="00FD7E86">
        <w:t xml:space="preserve">39 </w:t>
      </w:r>
      <w:r w:rsidR="00A42E26" w:rsidRPr="00FD7E86">
        <w:t>with 1,001–10,000 subscribers, down from 45 at June 2014</w:t>
      </w:r>
    </w:p>
    <w:p w14:paraId="5D34904C" w14:textId="77777777" w:rsidR="00A42E26" w:rsidRPr="00FD7E86" w:rsidRDefault="00A42E26" w:rsidP="00C05F4C">
      <w:pPr>
        <w:pStyle w:val="ListBullet"/>
        <w:keepNext/>
        <w:keepLines/>
      </w:pPr>
      <w:r w:rsidRPr="00FD7E86">
        <w:t>2</w:t>
      </w:r>
      <w:r w:rsidR="00E63F87" w:rsidRPr="00FD7E86">
        <w:t>0</w:t>
      </w:r>
      <w:r w:rsidRPr="00FD7E86">
        <w:t xml:space="preserve"> with 10,001–100,000 subscribers, up from 18 at June 2014</w:t>
      </w:r>
    </w:p>
    <w:p w14:paraId="44909E3B" w14:textId="77777777" w:rsidR="00A42E26" w:rsidRPr="00FD7E86" w:rsidRDefault="00E63F87" w:rsidP="00C05F4C">
      <w:pPr>
        <w:pStyle w:val="ListBulletLast"/>
        <w:keepNext/>
        <w:keepLines/>
      </w:pPr>
      <w:r w:rsidRPr="00FD7E86">
        <w:t xml:space="preserve">10 </w:t>
      </w:r>
      <w:r w:rsidR="00A42E26" w:rsidRPr="00FD7E86">
        <w:t>with 100,001 or more subscribers, up from eight at June 201</w:t>
      </w:r>
      <w:r w:rsidRPr="00FD7E86">
        <w:t>4</w:t>
      </w:r>
      <w:r w:rsidR="00A42E26" w:rsidRPr="00FD7E86">
        <w:t>.</w:t>
      </w:r>
      <w:r w:rsidR="00A42E26" w:rsidRPr="00FD7E86">
        <w:rPr>
          <w:vertAlign w:val="superscript"/>
        </w:rPr>
        <w:endnoteReference w:id="27"/>
      </w:r>
    </w:p>
    <w:p w14:paraId="7B13297A" w14:textId="77777777" w:rsidR="00A42E26" w:rsidRPr="00FD7E86" w:rsidRDefault="00E32C00" w:rsidP="00C05F4C">
      <w:pPr>
        <w:keepNext/>
        <w:keepLines/>
        <w:rPr>
          <w:rFonts w:cs="Arial"/>
        </w:rPr>
      </w:pPr>
      <w:r w:rsidRPr="00FD7E86">
        <w:t>Table 1.3</w:t>
      </w:r>
      <w:r w:rsidR="004022A6" w:rsidRPr="00FD7E86">
        <w:t xml:space="preserve"> </w:t>
      </w:r>
      <w:r w:rsidR="00A42E26" w:rsidRPr="00FD7E86">
        <w:t xml:space="preserve">provides a snapshot of the internet services in operation (SIOs) for the top five ISPs by number of subscribers in the Australian market—Telstra, Optus, iiNet, TPG and M2 Group. All five report growth in the total number of broadband subscribers. </w:t>
      </w:r>
    </w:p>
    <w:p w14:paraId="292B2AAD" w14:textId="4F1F391D" w:rsidR="00A42E26" w:rsidRPr="00FD7E86" w:rsidRDefault="00A42E26" w:rsidP="00717EDF">
      <w:pPr>
        <w:pStyle w:val="ACMATableHeader"/>
        <w:keepNext/>
        <w:keepLines/>
        <w:pageBreakBefore/>
        <w:numPr>
          <w:ilvl w:val="0"/>
          <w:numId w:val="0"/>
        </w:numPr>
        <w:tabs>
          <w:tab w:val="left" w:pos="3982"/>
        </w:tabs>
        <w:ind w:left="964" w:hanging="964"/>
        <w:rPr>
          <w:color w:val="FFFFFF"/>
          <w:sz w:val="18"/>
          <w:szCs w:val="18"/>
        </w:rPr>
      </w:pPr>
      <w:bookmarkStart w:id="137" w:name="_Ref398650993"/>
      <w:r w:rsidRPr="00FD7E86">
        <w:lastRenderedPageBreak/>
        <w:t>Table 1.</w:t>
      </w:r>
      <w:bookmarkEnd w:id="137"/>
      <w:r w:rsidR="00E32C00" w:rsidRPr="00FD7E86">
        <w:t>3</w:t>
      </w:r>
      <w:r w:rsidRPr="00FD7E86">
        <w:t xml:space="preserve"> SIOs for key Australian ISPs</w:t>
      </w:r>
    </w:p>
    <w:tbl>
      <w:tblPr>
        <w:tblpPr w:leftFromText="180" w:rightFromText="180" w:vertAnchor="text" w:tblpY="1"/>
        <w:tblOverlap w:val="never"/>
        <w:tblW w:w="9429"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left w:w="0" w:type="dxa"/>
          <w:right w:w="0" w:type="dxa"/>
        </w:tblCellMar>
        <w:tblLook w:val="01E0" w:firstRow="1" w:lastRow="1" w:firstColumn="1" w:lastColumn="1" w:noHBand="0" w:noVBand="0"/>
        <w:tblCaption w:val="Table 1.3 SIOs for key Australian ISPs"/>
      </w:tblPr>
      <w:tblGrid>
        <w:gridCol w:w="1257"/>
        <w:gridCol w:w="2809"/>
        <w:gridCol w:w="1340"/>
        <w:gridCol w:w="1341"/>
        <w:gridCol w:w="1341"/>
        <w:gridCol w:w="1341"/>
      </w:tblGrid>
      <w:tr w:rsidR="00A42E26" w:rsidRPr="00FD7E86" w14:paraId="2039AAD7" w14:textId="77777777" w:rsidTr="00821847">
        <w:trPr>
          <w:trHeight w:val="425"/>
        </w:trPr>
        <w:tc>
          <w:tcPr>
            <w:tcW w:w="1257" w:type="dxa"/>
            <w:shd w:val="clear" w:color="auto" w:fill="00ADBB"/>
            <w:tcMar>
              <w:left w:w="113" w:type="dxa"/>
            </w:tcMar>
          </w:tcPr>
          <w:p w14:paraId="78110456" w14:textId="77777777" w:rsidR="00A42E26" w:rsidRPr="00FD7E86" w:rsidRDefault="00A42E26" w:rsidP="00717EDF">
            <w:pPr>
              <w:keepNext/>
              <w:keepLines/>
              <w:spacing w:before="60" w:after="40" w:line="240" w:lineRule="auto"/>
              <w:rPr>
                <w:rFonts w:cs="Arial"/>
                <w:b/>
                <w:color w:val="FFFFFF"/>
                <w:sz w:val="18"/>
                <w:szCs w:val="18"/>
              </w:rPr>
            </w:pPr>
            <w:r w:rsidRPr="00FD7E86">
              <w:rPr>
                <w:rFonts w:cs="Arial"/>
                <w:b/>
                <w:color w:val="FFFFFF"/>
                <w:sz w:val="18"/>
                <w:szCs w:val="18"/>
              </w:rPr>
              <w:t>ISPs</w:t>
            </w:r>
          </w:p>
        </w:tc>
        <w:tc>
          <w:tcPr>
            <w:tcW w:w="2809" w:type="dxa"/>
            <w:shd w:val="clear" w:color="auto" w:fill="00ADBB"/>
            <w:tcMar>
              <w:left w:w="113" w:type="dxa"/>
            </w:tcMar>
          </w:tcPr>
          <w:p w14:paraId="3FE0611C" w14:textId="77777777" w:rsidR="00A42E26" w:rsidRPr="00FD7E86" w:rsidRDefault="00A42E26" w:rsidP="00717EDF">
            <w:pPr>
              <w:keepNext/>
              <w:keepLines/>
              <w:spacing w:before="60" w:after="40" w:line="240" w:lineRule="auto"/>
              <w:rPr>
                <w:rFonts w:cs="Arial"/>
                <w:color w:val="FFFFFF"/>
                <w:sz w:val="18"/>
                <w:szCs w:val="18"/>
              </w:rPr>
            </w:pPr>
            <w:r w:rsidRPr="00FD7E86">
              <w:rPr>
                <w:rFonts w:cs="Arial"/>
                <w:b/>
                <w:color w:val="FFFFFF"/>
                <w:sz w:val="18"/>
                <w:szCs w:val="18"/>
              </w:rPr>
              <w:t>Internet SIO</w:t>
            </w:r>
          </w:p>
        </w:tc>
        <w:tc>
          <w:tcPr>
            <w:tcW w:w="1340" w:type="dxa"/>
            <w:shd w:val="clear" w:color="auto" w:fill="00ADBB"/>
          </w:tcPr>
          <w:p w14:paraId="1DFA5168" w14:textId="77777777" w:rsidR="00A42E26" w:rsidRPr="00FD7E86" w:rsidDel="0006558B" w:rsidRDefault="00A42E26" w:rsidP="00717EDF">
            <w:pPr>
              <w:keepNext/>
              <w:keepLines/>
              <w:spacing w:after="0"/>
              <w:ind w:right="283"/>
              <w:jc w:val="right"/>
              <w:rPr>
                <w:b/>
                <w:color w:val="FFFFFF"/>
                <w:sz w:val="18"/>
              </w:rPr>
            </w:pPr>
            <w:r w:rsidRPr="00FD7E86">
              <w:rPr>
                <w:b/>
                <w:color w:val="FFFFFF"/>
                <w:sz w:val="18"/>
              </w:rPr>
              <w:t>2013</w:t>
            </w:r>
            <w:r w:rsidRPr="00FD7E86">
              <w:rPr>
                <w:b/>
                <w:color w:val="FFFFFF"/>
                <w:sz w:val="18"/>
              </w:rPr>
              <w:br/>
              <w:t>(‘000)</w:t>
            </w:r>
          </w:p>
        </w:tc>
        <w:tc>
          <w:tcPr>
            <w:tcW w:w="1341" w:type="dxa"/>
            <w:shd w:val="clear" w:color="auto" w:fill="00ADBB"/>
          </w:tcPr>
          <w:p w14:paraId="2711BB47" w14:textId="77777777" w:rsidR="00A42E26" w:rsidRPr="00FD7E86" w:rsidRDefault="00A42E26" w:rsidP="00717EDF">
            <w:pPr>
              <w:keepNext/>
              <w:keepLines/>
              <w:spacing w:after="0"/>
              <w:ind w:right="283"/>
              <w:jc w:val="right"/>
              <w:rPr>
                <w:b/>
                <w:color w:val="FFFFFF"/>
                <w:sz w:val="18"/>
              </w:rPr>
            </w:pPr>
            <w:r w:rsidRPr="00FD7E86">
              <w:rPr>
                <w:b/>
                <w:color w:val="FFFFFF"/>
                <w:sz w:val="18"/>
              </w:rPr>
              <w:t>2014</w:t>
            </w:r>
            <w:r w:rsidRPr="00FD7E86">
              <w:rPr>
                <w:b/>
                <w:color w:val="FFFFFF"/>
                <w:sz w:val="18"/>
              </w:rPr>
              <w:br/>
              <w:t>(‘000)</w:t>
            </w:r>
          </w:p>
        </w:tc>
        <w:tc>
          <w:tcPr>
            <w:tcW w:w="1341" w:type="dxa"/>
            <w:shd w:val="clear" w:color="auto" w:fill="00ADBB"/>
          </w:tcPr>
          <w:p w14:paraId="6E4A6AFB" w14:textId="77777777" w:rsidR="00A42E26" w:rsidRPr="00FD7E86" w:rsidRDefault="00A42E26" w:rsidP="00717EDF">
            <w:pPr>
              <w:keepNext/>
              <w:keepLines/>
              <w:spacing w:after="0"/>
              <w:ind w:right="283"/>
              <w:jc w:val="right"/>
              <w:rPr>
                <w:rFonts w:cs="Arial"/>
                <w:color w:val="FFFFFF"/>
                <w:sz w:val="18"/>
                <w:szCs w:val="18"/>
              </w:rPr>
            </w:pPr>
            <w:r w:rsidRPr="00FD7E86">
              <w:rPr>
                <w:b/>
                <w:color w:val="FFFFFF"/>
                <w:sz w:val="18"/>
              </w:rPr>
              <w:t>2015</w:t>
            </w:r>
          </w:p>
          <w:p w14:paraId="37F7175F" w14:textId="77777777" w:rsidR="00A42E26" w:rsidRPr="00FD7E86" w:rsidRDefault="00A42E26" w:rsidP="00717EDF">
            <w:pPr>
              <w:keepNext/>
              <w:keepLines/>
              <w:spacing w:after="0"/>
              <w:ind w:right="283"/>
              <w:jc w:val="right"/>
              <w:rPr>
                <w:b/>
                <w:color w:val="FFFFFF"/>
                <w:sz w:val="18"/>
              </w:rPr>
            </w:pPr>
            <w:r w:rsidRPr="00FD7E86">
              <w:rPr>
                <w:b/>
                <w:color w:val="FFFFFF"/>
                <w:sz w:val="18"/>
              </w:rPr>
              <w:t>(‘000)</w:t>
            </w:r>
          </w:p>
        </w:tc>
        <w:tc>
          <w:tcPr>
            <w:tcW w:w="1341" w:type="dxa"/>
            <w:shd w:val="clear" w:color="auto" w:fill="00ADBB"/>
          </w:tcPr>
          <w:p w14:paraId="1D48587A" w14:textId="77777777" w:rsidR="00C9393A" w:rsidRPr="00FD7E86" w:rsidRDefault="00C9393A" w:rsidP="00717EDF">
            <w:pPr>
              <w:keepNext/>
              <w:keepLines/>
              <w:spacing w:after="0"/>
              <w:ind w:right="283"/>
              <w:jc w:val="right"/>
              <w:rPr>
                <w:b/>
                <w:color w:val="FFFFFF"/>
                <w:sz w:val="18"/>
              </w:rPr>
            </w:pPr>
            <w:r w:rsidRPr="00FD7E86">
              <w:rPr>
                <w:b/>
                <w:color w:val="FFFFFF"/>
                <w:sz w:val="18"/>
              </w:rPr>
              <w:t>C</w:t>
            </w:r>
            <w:r w:rsidR="00A42E26" w:rsidRPr="00FD7E86">
              <w:rPr>
                <w:b/>
                <w:color w:val="FFFFFF"/>
                <w:sz w:val="18"/>
              </w:rPr>
              <w:t>hange</w:t>
            </w:r>
          </w:p>
          <w:p w14:paraId="7B77064D" w14:textId="77777777" w:rsidR="00A42E26" w:rsidRPr="00FD7E86" w:rsidRDefault="00C9393A" w:rsidP="00717EDF">
            <w:pPr>
              <w:keepNext/>
              <w:keepLines/>
              <w:spacing w:after="0"/>
              <w:ind w:right="283"/>
              <w:jc w:val="right"/>
              <w:rPr>
                <w:b/>
                <w:color w:val="FFFFFF"/>
                <w:sz w:val="18"/>
              </w:rPr>
            </w:pPr>
            <w:r w:rsidRPr="00FD7E86">
              <w:rPr>
                <w:b/>
                <w:color w:val="FFFFFF"/>
                <w:sz w:val="18"/>
              </w:rPr>
              <w:t>(%)</w:t>
            </w:r>
          </w:p>
        </w:tc>
      </w:tr>
      <w:tr w:rsidR="00A42E26" w:rsidRPr="00FD7E86" w14:paraId="6430AFF0" w14:textId="77777777" w:rsidTr="00D1031A">
        <w:trPr>
          <w:trHeight w:val="425"/>
        </w:trPr>
        <w:tc>
          <w:tcPr>
            <w:tcW w:w="1257" w:type="dxa"/>
            <w:vMerge w:val="restart"/>
            <w:shd w:val="clear" w:color="auto" w:fill="65CDD5"/>
            <w:tcMar>
              <w:left w:w="113" w:type="dxa"/>
            </w:tcMar>
            <w:vAlign w:val="center"/>
          </w:tcPr>
          <w:p w14:paraId="5F5BBF1D" w14:textId="77777777" w:rsidR="00A42E26" w:rsidRPr="00C05F4C" w:rsidRDefault="00A42E26" w:rsidP="00717EDF">
            <w:pPr>
              <w:keepNext/>
              <w:keepLines/>
              <w:spacing w:before="40" w:after="40" w:line="240" w:lineRule="auto"/>
              <w:ind w:right="141"/>
              <w:rPr>
                <w:rFonts w:cs="Arial"/>
                <w:b/>
                <w:sz w:val="18"/>
                <w:szCs w:val="18"/>
                <w:lang w:eastAsia="en-US"/>
              </w:rPr>
            </w:pPr>
            <w:r w:rsidRPr="00C05F4C">
              <w:rPr>
                <w:rFonts w:cs="Arial"/>
                <w:b/>
                <w:sz w:val="18"/>
                <w:szCs w:val="18"/>
                <w:lang w:eastAsia="en-US"/>
              </w:rPr>
              <w:t>Telstra</w:t>
            </w:r>
          </w:p>
        </w:tc>
        <w:tc>
          <w:tcPr>
            <w:tcW w:w="2809" w:type="dxa"/>
            <w:shd w:val="clear" w:color="auto" w:fill="65CDD5"/>
            <w:tcMar>
              <w:left w:w="113" w:type="dxa"/>
            </w:tcMar>
            <w:vAlign w:val="center"/>
          </w:tcPr>
          <w:p w14:paraId="5DBFA089" w14:textId="77777777" w:rsidR="00A42E26" w:rsidRPr="00C05F4C" w:rsidRDefault="00A42E26" w:rsidP="00717EDF">
            <w:pPr>
              <w:keepNext/>
              <w:keepLines/>
              <w:spacing w:after="40" w:line="240" w:lineRule="auto"/>
              <w:ind w:right="187"/>
              <w:rPr>
                <w:rFonts w:cs="Arial"/>
                <w:b/>
                <w:sz w:val="18"/>
                <w:szCs w:val="18"/>
              </w:rPr>
            </w:pPr>
            <w:r w:rsidRPr="00C05F4C">
              <w:rPr>
                <w:rFonts w:cs="Arial"/>
                <w:sz w:val="18"/>
                <w:szCs w:val="18"/>
              </w:rPr>
              <w:t>Fixed-broadband retail</w:t>
            </w:r>
          </w:p>
        </w:tc>
        <w:tc>
          <w:tcPr>
            <w:tcW w:w="1340" w:type="dxa"/>
            <w:shd w:val="clear" w:color="auto" w:fill="E9FBFB"/>
            <w:vAlign w:val="center"/>
          </w:tcPr>
          <w:p w14:paraId="1B7EA248" w14:textId="77777777" w:rsidR="00A42E26" w:rsidRPr="00FD7E86" w:rsidRDefault="00A42E26" w:rsidP="00717EDF">
            <w:pPr>
              <w:keepNext/>
              <w:keepLines/>
              <w:tabs>
                <w:tab w:val="left" w:pos="723"/>
              </w:tabs>
              <w:spacing w:after="40" w:line="240" w:lineRule="auto"/>
              <w:ind w:right="283"/>
              <w:jc w:val="right"/>
              <w:rPr>
                <w:rFonts w:cs="Arial"/>
                <w:b/>
                <w:sz w:val="18"/>
                <w:szCs w:val="18"/>
              </w:rPr>
            </w:pPr>
            <w:r w:rsidRPr="00FD7E86">
              <w:rPr>
                <w:rFonts w:cs="Arial"/>
                <w:sz w:val="18"/>
                <w:szCs w:val="18"/>
              </w:rPr>
              <w:t>2,772</w:t>
            </w:r>
          </w:p>
        </w:tc>
        <w:tc>
          <w:tcPr>
            <w:tcW w:w="1341" w:type="dxa"/>
            <w:shd w:val="clear" w:color="auto" w:fill="E9FBFB"/>
            <w:vAlign w:val="center"/>
          </w:tcPr>
          <w:p w14:paraId="642456F5" w14:textId="77777777" w:rsidR="00A42E26" w:rsidRPr="00FD7E86" w:rsidDel="0006558B" w:rsidRDefault="00A42E26" w:rsidP="00717EDF">
            <w:pPr>
              <w:keepNext/>
              <w:keepLines/>
              <w:tabs>
                <w:tab w:val="left" w:pos="723"/>
              </w:tabs>
              <w:spacing w:after="40" w:line="240" w:lineRule="auto"/>
              <w:ind w:right="283"/>
              <w:jc w:val="right"/>
              <w:rPr>
                <w:rFonts w:cs="Arial"/>
                <w:b/>
                <w:sz w:val="18"/>
                <w:szCs w:val="18"/>
              </w:rPr>
            </w:pPr>
            <w:r w:rsidRPr="00FD7E86">
              <w:rPr>
                <w:rFonts w:cs="Arial"/>
                <w:sz w:val="18"/>
                <w:szCs w:val="18"/>
              </w:rPr>
              <w:t>2,956</w:t>
            </w:r>
            <w:r w:rsidRPr="00FD7E86">
              <w:rPr>
                <w:sz w:val="16"/>
                <w:szCs w:val="16"/>
                <w:vertAlign w:val="superscript"/>
              </w:rPr>
              <w:t>†</w:t>
            </w:r>
          </w:p>
        </w:tc>
        <w:tc>
          <w:tcPr>
            <w:tcW w:w="1341" w:type="dxa"/>
            <w:shd w:val="clear" w:color="auto" w:fill="E9FBFB"/>
            <w:vAlign w:val="center"/>
          </w:tcPr>
          <w:p w14:paraId="6128D4B0"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3,145</w:t>
            </w:r>
          </w:p>
        </w:tc>
        <w:tc>
          <w:tcPr>
            <w:tcW w:w="1341" w:type="dxa"/>
            <w:shd w:val="clear" w:color="auto" w:fill="E9FBFB"/>
            <w:vAlign w:val="center"/>
          </w:tcPr>
          <w:p w14:paraId="76743C0D"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6.4</w:t>
            </w:r>
          </w:p>
        </w:tc>
      </w:tr>
      <w:tr w:rsidR="00A42E26" w:rsidRPr="00FD7E86" w14:paraId="5F30A161" w14:textId="77777777" w:rsidTr="00D1031A">
        <w:trPr>
          <w:trHeight w:val="425"/>
        </w:trPr>
        <w:tc>
          <w:tcPr>
            <w:tcW w:w="1257" w:type="dxa"/>
            <w:vMerge/>
            <w:shd w:val="clear" w:color="auto" w:fill="65CDD5"/>
            <w:tcMar>
              <w:left w:w="113" w:type="dxa"/>
            </w:tcMar>
            <w:vAlign w:val="center"/>
          </w:tcPr>
          <w:p w14:paraId="3ADA75B6" w14:textId="77777777" w:rsidR="00A42E26" w:rsidRPr="00C05F4C" w:rsidRDefault="00A42E26"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69E293B1" w14:textId="77777777" w:rsidR="00A42E26" w:rsidRPr="00C05F4C" w:rsidRDefault="00A42E26" w:rsidP="00717EDF">
            <w:pPr>
              <w:keepNext/>
              <w:keepLines/>
              <w:spacing w:after="40" w:line="240" w:lineRule="auto"/>
              <w:ind w:right="187"/>
              <w:rPr>
                <w:rFonts w:cs="Arial"/>
                <w:sz w:val="18"/>
                <w:szCs w:val="18"/>
              </w:rPr>
            </w:pPr>
            <w:r w:rsidRPr="00C05F4C">
              <w:rPr>
                <w:rFonts w:cs="Arial"/>
                <w:sz w:val="18"/>
                <w:szCs w:val="18"/>
              </w:rPr>
              <w:t>Fixed-broadband wholesale</w:t>
            </w:r>
          </w:p>
        </w:tc>
        <w:tc>
          <w:tcPr>
            <w:tcW w:w="1340" w:type="dxa"/>
            <w:shd w:val="clear" w:color="auto" w:fill="E9FBFB"/>
            <w:vAlign w:val="center"/>
          </w:tcPr>
          <w:p w14:paraId="3448DF91"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769</w:t>
            </w:r>
          </w:p>
        </w:tc>
        <w:tc>
          <w:tcPr>
            <w:tcW w:w="1341" w:type="dxa"/>
            <w:shd w:val="clear" w:color="auto" w:fill="E9FBFB"/>
            <w:vAlign w:val="center"/>
          </w:tcPr>
          <w:p w14:paraId="6AB59796"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789</w:t>
            </w:r>
          </w:p>
        </w:tc>
        <w:tc>
          <w:tcPr>
            <w:tcW w:w="1341" w:type="dxa"/>
            <w:shd w:val="clear" w:color="auto" w:fill="E9FBFB"/>
            <w:vAlign w:val="center"/>
          </w:tcPr>
          <w:p w14:paraId="5385547F"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840</w:t>
            </w:r>
          </w:p>
        </w:tc>
        <w:tc>
          <w:tcPr>
            <w:tcW w:w="1341" w:type="dxa"/>
            <w:shd w:val="clear" w:color="auto" w:fill="E9FBFB"/>
            <w:vAlign w:val="center"/>
          </w:tcPr>
          <w:p w14:paraId="3D076168"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6.5</w:t>
            </w:r>
          </w:p>
        </w:tc>
      </w:tr>
      <w:tr w:rsidR="00A42E26" w:rsidRPr="00FD7E86" w14:paraId="798414FB" w14:textId="77777777" w:rsidTr="00D1031A">
        <w:trPr>
          <w:trHeight w:val="425"/>
        </w:trPr>
        <w:tc>
          <w:tcPr>
            <w:tcW w:w="1257" w:type="dxa"/>
            <w:vMerge/>
            <w:shd w:val="clear" w:color="auto" w:fill="65CDD5"/>
            <w:tcMar>
              <w:left w:w="113" w:type="dxa"/>
            </w:tcMar>
            <w:vAlign w:val="center"/>
          </w:tcPr>
          <w:p w14:paraId="67ABF4D5" w14:textId="77777777" w:rsidR="00A42E26" w:rsidRPr="00C05F4C" w:rsidRDefault="00A42E26"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4ADC6D1D" w14:textId="77777777" w:rsidR="00A42E26" w:rsidRPr="00C05F4C" w:rsidRDefault="00A42E26" w:rsidP="00717EDF">
            <w:pPr>
              <w:keepNext/>
              <w:keepLines/>
              <w:spacing w:after="40" w:line="240" w:lineRule="auto"/>
              <w:ind w:right="187"/>
              <w:rPr>
                <w:rFonts w:cs="Arial"/>
                <w:spacing w:val="-28"/>
                <w:sz w:val="18"/>
                <w:szCs w:val="18"/>
              </w:rPr>
            </w:pPr>
            <w:r w:rsidRPr="00C05F4C">
              <w:rPr>
                <w:rFonts w:cs="Arial"/>
                <w:sz w:val="18"/>
                <w:szCs w:val="18"/>
              </w:rPr>
              <w:t>ISDN access (basic line equivalents)</w:t>
            </w:r>
          </w:p>
        </w:tc>
        <w:tc>
          <w:tcPr>
            <w:tcW w:w="1340" w:type="dxa"/>
            <w:shd w:val="clear" w:color="auto" w:fill="E9FBFB"/>
            <w:vAlign w:val="center"/>
          </w:tcPr>
          <w:p w14:paraId="0552D44B"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1,285</w:t>
            </w:r>
          </w:p>
        </w:tc>
        <w:tc>
          <w:tcPr>
            <w:tcW w:w="1341" w:type="dxa"/>
            <w:shd w:val="clear" w:color="auto" w:fill="E9FBFB"/>
            <w:vAlign w:val="center"/>
          </w:tcPr>
          <w:p w14:paraId="55A70428"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1,225</w:t>
            </w:r>
          </w:p>
        </w:tc>
        <w:tc>
          <w:tcPr>
            <w:tcW w:w="1341" w:type="dxa"/>
            <w:shd w:val="clear" w:color="auto" w:fill="E9FBFB"/>
            <w:vAlign w:val="center"/>
          </w:tcPr>
          <w:p w14:paraId="0357543E"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1,137</w:t>
            </w:r>
          </w:p>
        </w:tc>
        <w:tc>
          <w:tcPr>
            <w:tcW w:w="1341" w:type="dxa"/>
            <w:shd w:val="clear" w:color="auto" w:fill="E9FBFB"/>
            <w:vAlign w:val="center"/>
          </w:tcPr>
          <w:p w14:paraId="48477C9B"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–7.2</w:t>
            </w:r>
          </w:p>
        </w:tc>
      </w:tr>
      <w:tr w:rsidR="00A42E26" w:rsidRPr="00FD7E86" w14:paraId="58F927E3" w14:textId="77777777" w:rsidTr="00D1031A">
        <w:trPr>
          <w:trHeight w:val="425"/>
        </w:trPr>
        <w:tc>
          <w:tcPr>
            <w:tcW w:w="1257" w:type="dxa"/>
            <w:vMerge/>
            <w:shd w:val="clear" w:color="auto" w:fill="65CDD5"/>
            <w:tcMar>
              <w:left w:w="113" w:type="dxa"/>
            </w:tcMar>
            <w:vAlign w:val="center"/>
          </w:tcPr>
          <w:p w14:paraId="5B25D6BF" w14:textId="77777777" w:rsidR="00A42E26" w:rsidRPr="00C05F4C" w:rsidRDefault="00A42E26" w:rsidP="00717EDF">
            <w:pPr>
              <w:keepNext/>
              <w:keepLines/>
              <w:spacing w:line="240" w:lineRule="auto"/>
              <w:rPr>
                <w:rFonts w:cs="Arial"/>
                <w:b/>
                <w:spacing w:val="-28"/>
                <w:sz w:val="18"/>
                <w:szCs w:val="18"/>
              </w:rPr>
            </w:pPr>
          </w:p>
        </w:tc>
        <w:tc>
          <w:tcPr>
            <w:tcW w:w="2809" w:type="dxa"/>
            <w:shd w:val="clear" w:color="auto" w:fill="65CDD5" w:themeFill="accent2"/>
            <w:tcMar>
              <w:left w:w="113" w:type="dxa"/>
            </w:tcMar>
            <w:vAlign w:val="center"/>
          </w:tcPr>
          <w:p w14:paraId="55AC3713" w14:textId="77777777" w:rsidR="00A42E26" w:rsidRPr="00C05F4C" w:rsidRDefault="00A42E26" w:rsidP="00717EDF">
            <w:pPr>
              <w:keepNext/>
              <w:keepLines/>
              <w:spacing w:after="40" w:line="240" w:lineRule="auto"/>
              <w:ind w:right="184"/>
              <w:rPr>
                <w:rFonts w:cs="Arial"/>
                <w:spacing w:val="-28"/>
                <w:sz w:val="18"/>
                <w:szCs w:val="18"/>
              </w:rPr>
            </w:pPr>
            <w:r w:rsidRPr="00C05F4C">
              <w:rPr>
                <w:rFonts w:cs="Arial"/>
                <w:b/>
                <w:sz w:val="18"/>
                <w:szCs w:val="18"/>
              </w:rPr>
              <w:t>Total fixed internet subscribers</w:t>
            </w:r>
          </w:p>
        </w:tc>
        <w:tc>
          <w:tcPr>
            <w:tcW w:w="1340" w:type="dxa"/>
            <w:shd w:val="clear" w:color="auto" w:fill="65CDD5" w:themeFill="accent2"/>
            <w:vAlign w:val="center"/>
          </w:tcPr>
          <w:p w14:paraId="4AC9BE00" w14:textId="77777777" w:rsidR="00A42E26" w:rsidRPr="00C05F4C" w:rsidRDefault="00A42E26" w:rsidP="00717EDF">
            <w:pPr>
              <w:keepNext/>
              <w:keepLines/>
              <w:tabs>
                <w:tab w:val="left" w:pos="723"/>
              </w:tabs>
              <w:spacing w:after="40" w:line="240" w:lineRule="auto"/>
              <w:ind w:right="283"/>
              <w:jc w:val="right"/>
              <w:rPr>
                <w:rFonts w:cs="Arial"/>
                <w:sz w:val="18"/>
                <w:szCs w:val="18"/>
              </w:rPr>
            </w:pPr>
            <w:r w:rsidRPr="00C05F4C" w:rsidDel="0006558B">
              <w:rPr>
                <w:rFonts w:cs="Arial"/>
                <w:b/>
                <w:sz w:val="18"/>
                <w:szCs w:val="18"/>
              </w:rPr>
              <w:t>4,826</w:t>
            </w:r>
          </w:p>
        </w:tc>
        <w:tc>
          <w:tcPr>
            <w:tcW w:w="1341" w:type="dxa"/>
            <w:shd w:val="clear" w:color="auto" w:fill="65CDD5" w:themeFill="accent2"/>
            <w:vAlign w:val="center"/>
          </w:tcPr>
          <w:p w14:paraId="388AE7A2" w14:textId="77777777" w:rsidR="00A42E26" w:rsidRPr="00C05F4C" w:rsidRDefault="00A42E26" w:rsidP="00717EDF">
            <w:pPr>
              <w:keepNext/>
              <w:keepLines/>
              <w:tabs>
                <w:tab w:val="left" w:pos="723"/>
              </w:tabs>
              <w:spacing w:after="40" w:line="240" w:lineRule="auto"/>
              <w:ind w:right="283"/>
              <w:jc w:val="right"/>
              <w:rPr>
                <w:rFonts w:cs="Arial"/>
                <w:sz w:val="18"/>
                <w:szCs w:val="18"/>
              </w:rPr>
            </w:pPr>
            <w:r w:rsidRPr="00C05F4C">
              <w:rPr>
                <w:rFonts w:cs="Arial"/>
                <w:b/>
                <w:sz w:val="18"/>
                <w:szCs w:val="18"/>
              </w:rPr>
              <w:t>4,970</w:t>
            </w:r>
          </w:p>
        </w:tc>
        <w:tc>
          <w:tcPr>
            <w:tcW w:w="1341" w:type="dxa"/>
            <w:shd w:val="clear" w:color="auto" w:fill="65CDD5" w:themeFill="accent2"/>
            <w:vAlign w:val="center"/>
          </w:tcPr>
          <w:p w14:paraId="43E4FF54"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5,122</w:t>
            </w:r>
          </w:p>
        </w:tc>
        <w:tc>
          <w:tcPr>
            <w:tcW w:w="1341" w:type="dxa"/>
            <w:shd w:val="clear" w:color="auto" w:fill="65CDD5" w:themeFill="accent2"/>
            <w:vAlign w:val="center"/>
          </w:tcPr>
          <w:p w14:paraId="43240C50" w14:textId="77777777" w:rsidR="00A42E26" w:rsidRPr="00C05F4C" w:rsidRDefault="00C9393A"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w:t>
            </w:r>
            <w:r w:rsidR="00A42E26" w:rsidRPr="00C05F4C">
              <w:rPr>
                <w:rFonts w:cs="Arial"/>
                <w:b/>
                <w:sz w:val="18"/>
                <w:szCs w:val="18"/>
              </w:rPr>
              <w:t>3.1</w:t>
            </w:r>
          </w:p>
        </w:tc>
      </w:tr>
      <w:tr w:rsidR="00A42E26" w:rsidRPr="00FD7E86" w14:paraId="659657A8" w14:textId="77777777" w:rsidTr="00D1031A">
        <w:trPr>
          <w:trHeight w:val="425"/>
        </w:trPr>
        <w:tc>
          <w:tcPr>
            <w:tcW w:w="1257" w:type="dxa"/>
            <w:vMerge/>
            <w:shd w:val="clear" w:color="auto" w:fill="65CDD5"/>
            <w:tcMar>
              <w:left w:w="113" w:type="dxa"/>
            </w:tcMar>
            <w:vAlign w:val="center"/>
          </w:tcPr>
          <w:p w14:paraId="697C0C99" w14:textId="77777777" w:rsidR="00A42E26" w:rsidRPr="00C05F4C" w:rsidRDefault="00A42E26" w:rsidP="00717EDF">
            <w:pPr>
              <w:keepNext/>
              <w:keepLines/>
              <w:spacing w:line="240" w:lineRule="auto"/>
              <w:rPr>
                <w:rFonts w:cs="Arial"/>
                <w:b/>
                <w:spacing w:val="-28"/>
                <w:sz w:val="18"/>
                <w:szCs w:val="18"/>
              </w:rPr>
            </w:pPr>
          </w:p>
        </w:tc>
        <w:tc>
          <w:tcPr>
            <w:tcW w:w="2809" w:type="dxa"/>
            <w:shd w:val="clear" w:color="auto" w:fill="65CDD5"/>
            <w:tcMar>
              <w:left w:w="113" w:type="dxa"/>
            </w:tcMar>
            <w:vAlign w:val="center"/>
          </w:tcPr>
          <w:p w14:paraId="56FC4151" w14:textId="77777777" w:rsidR="00A42E26" w:rsidRPr="00C05F4C" w:rsidRDefault="00A42E26" w:rsidP="00717EDF">
            <w:pPr>
              <w:keepNext/>
              <w:keepLines/>
              <w:spacing w:after="40" w:line="240" w:lineRule="auto"/>
              <w:ind w:right="184"/>
              <w:rPr>
                <w:rFonts w:cs="Arial"/>
                <w:spacing w:val="-28"/>
                <w:sz w:val="18"/>
                <w:szCs w:val="18"/>
              </w:rPr>
            </w:pPr>
            <w:r w:rsidRPr="00C05F4C">
              <w:rPr>
                <w:rFonts w:cs="Arial"/>
                <w:sz w:val="18"/>
                <w:szCs w:val="18"/>
              </w:rPr>
              <w:t>Mobile broadband (data card)</w:t>
            </w:r>
          </w:p>
        </w:tc>
        <w:tc>
          <w:tcPr>
            <w:tcW w:w="1340" w:type="dxa"/>
            <w:shd w:val="clear" w:color="auto" w:fill="E9FBFB"/>
            <w:vAlign w:val="center"/>
          </w:tcPr>
          <w:p w14:paraId="2662A44F"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sidDel="0006558B">
              <w:rPr>
                <w:rFonts w:cs="Arial"/>
                <w:sz w:val="18"/>
                <w:szCs w:val="18"/>
              </w:rPr>
              <w:t>3,570</w:t>
            </w:r>
          </w:p>
        </w:tc>
        <w:tc>
          <w:tcPr>
            <w:tcW w:w="1341" w:type="dxa"/>
            <w:shd w:val="clear" w:color="auto" w:fill="E9FBFB"/>
            <w:vAlign w:val="center"/>
          </w:tcPr>
          <w:p w14:paraId="3146230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3,679</w:t>
            </w:r>
          </w:p>
        </w:tc>
        <w:tc>
          <w:tcPr>
            <w:tcW w:w="1341" w:type="dxa"/>
            <w:shd w:val="clear" w:color="auto" w:fill="E9FBFB"/>
            <w:vAlign w:val="center"/>
          </w:tcPr>
          <w:p w14:paraId="6ABB4D9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3,866</w:t>
            </w:r>
          </w:p>
        </w:tc>
        <w:tc>
          <w:tcPr>
            <w:tcW w:w="1341" w:type="dxa"/>
            <w:shd w:val="clear" w:color="auto" w:fill="E9FBFB"/>
            <w:vAlign w:val="center"/>
          </w:tcPr>
          <w:p w14:paraId="2E9D5A1A"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5.1</w:t>
            </w:r>
          </w:p>
        </w:tc>
      </w:tr>
      <w:tr w:rsidR="00A42E26" w:rsidRPr="00FD7E86" w14:paraId="2ACBFBB2" w14:textId="77777777" w:rsidTr="00D1031A">
        <w:trPr>
          <w:trHeight w:val="425"/>
        </w:trPr>
        <w:tc>
          <w:tcPr>
            <w:tcW w:w="1257" w:type="dxa"/>
            <w:vMerge w:val="restart"/>
            <w:shd w:val="clear" w:color="auto" w:fill="65CDD5"/>
            <w:tcMar>
              <w:left w:w="113" w:type="dxa"/>
            </w:tcMar>
            <w:vAlign w:val="center"/>
          </w:tcPr>
          <w:p w14:paraId="53ADBB6C" w14:textId="77777777" w:rsidR="00A42E26" w:rsidRPr="00C05F4C" w:rsidRDefault="00A42E26" w:rsidP="00717EDF">
            <w:pPr>
              <w:keepNext/>
              <w:keepLines/>
              <w:spacing w:line="240" w:lineRule="auto"/>
              <w:rPr>
                <w:rFonts w:cs="Arial"/>
                <w:b/>
                <w:sz w:val="18"/>
                <w:szCs w:val="18"/>
              </w:rPr>
            </w:pPr>
            <w:r w:rsidRPr="00C05F4C">
              <w:rPr>
                <w:rFonts w:cs="Arial"/>
                <w:b/>
                <w:sz w:val="18"/>
                <w:szCs w:val="18"/>
              </w:rPr>
              <w:t>Optus</w:t>
            </w:r>
          </w:p>
        </w:tc>
        <w:tc>
          <w:tcPr>
            <w:tcW w:w="2809" w:type="dxa"/>
            <w:shd w:val="clear" w:color="auto" w:fill="65CDD5"/>
            <w:tcMar>
              <w:left w:w="113" w:type="dxa"/>
            </w:tcMar>
            <w:vAlign w:val="center"/>
          </w:tcPr>
          <w:p w14:paraId="4AFBED95" w14:textId="77777777" w:rsidR="00A42E26" w:rsidRPr="00C05F4C" w:rsidRDefault="00A42E26" w:rsidP="00717EDF">
            <w:pPr>
              <w:keepNext/>
              <w:keepLines/>
              <w:spacing w:after="40" w:line="240" w:lineRule="auto"/>
              <w:ind w:right="187"/>
              <w:rPr>
                <w:rFonts w:cs="Arial"/>
                <w:b/>
                <w:sz w:val="18"/>
                <w:szCs w:val="18"/>
              </w:rPr>
            </w:pPr>
            <w:r w:rsidRPr="00C05F4C">
              <w:rPr>
                <w:rFonts w:cs="Arial"/>
                <w:sz w:val="18"/>
                <w:szCs w:val="18"/>
              </w:rPr>
              <w:t>On-net broadband customers*</w:t>
            </w:r>
          </w:p>
        </w:tc>
        <w:tc>
          <w:tcPr>
            <w:tcW w:w="1340" w:type="dxa"/>
            <w:shd w:val="clear" w:color="auto" w:fill="E9FBFB"/>
            <w:vAlign w:val="center"/>
          </w:tcPr>
          <w:p w14:paraId="3DD654AE" w14:textId="77777777" w:rsidR="00A42E26" w:rsidRPr="00FD7E86" w:rsidDel="0006558B" w:rsidRDefault="00A42E26" w:rsidP="00717EDF">
            <w:pPr>
              <w:keepNext/>
              <w:keepLines/>
              <w:tabs>
                <w:tab w:val="left" w:pos="723"/>
              </w:tabs>
              <w:spacing w:after="40" w:line="240" w:lineRule="auto"/>
              <w:ind w:right="283"/>
              <w:jc w:val="right"/>
              <w:rPr>
                <w:rFonts w:cs="Arial"/>
                <w:b/>
                <w:sz w:val="18"/>
                <w:szCs w:val="18"/>
              </w:rPr>
            </w:pPr>
            <w:r w:rsidRPr="00FD7E86" w:rsidDel="0006558B">
              <w:rPr>
                <w:rFonts w:cs="Arial"/>
                <w:sz w:val="18"/>
                <w:szCs w:val="18"/>
              </w:rPr>
              <w:t>986</w:t>
            </w:r>
          </w:p>
        </w:tc>
        <w:tc>
          <w:tcPr>
            <w:tcW w:w="1341" w:type="dxa"/>
            <w:shd w:val="clear" w:color="auto" w:fill="E9FBFB"/>
            <w:vAlign w:val="center"/>
          </w:tcPr>
          <w:p w14:paraId="627B7219" w14:textId="77777777" w:rsidR="00A42E26" w:rsidRPr="00FD7E86" w:rsidDel="0006558B" w:rsidRDefault="00A42E26" w:rsidP="00717EDF">
            <w:pPr>
              <w:keepNext/>
              <w:keepLines/>
              <w:tabs>
                <w:tab w:val="left" w:pos="723"/>
              </w:tabs>
              <w:spacing w:after="40" w:line="240" w:lineRule="auto"/>
              <w:ind w:right="283"/>
              <w:jc w:val="right"/>
              <w:rPr>
                <w:rFonts w:cs="Arial"/>
                <w:b/>
                <w:sz w:val="18"/>
                <w:szCs w:val="18"/>
              </w:rPr>
            </w:pPr>
            <w:r w:rsidRPr="00FD7E86">
              <w:rPr>
                <w:rFonts w:cs="Arial"/>
                <w:sz w:val="18"/>
                <w:szCs w:val="18"/>
              </w:rPr>
              <w:t>982</w:t>
            </w:r>
          </w:p>
        </w:tc>
        <w:tc>
          <w:tcPr>
            <w:tcW w:w="1341" w:type="dxa"/>
            <w:shd w:val="clear" w:color="auto" w:fill="E9FBFB"/>
            <w:vAlign w:val="center"/>
          </w:tcPr>
          <w:p w14:paraId="34D50F96"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979</w:t>
            </w:r>
          </w:p>
        </w:tc>
        <w:tc>
          <w:tcPr>
            <w:tcW w:w="1341" w:type="dxa"/>
            <w:shd w:val="clear" w:color="auto" w:fill="E9FBFB"/>
            <w:vAlign w:val="center"/>
          </w:tcPr>
          <w:p w14:paraId="6CC3B38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–0.3</w:t>
            </w:r>
          </w:p>
        </w:tc>
      </w:tr>
      <w:tr w:rsidR="00A42E26" w:rsidRPr="00FD7E86" w14:paraId="00860D4E" w14:textId="77777777" w:rsidTr="00D1031A">
        <w:trPr>
          <w:trHeight w:val="425"/>
        </w:trPr>
        <w:tc>
          <w:tcPr>
            <w:tcW w:w="1257" w:type="dxa"/>
            <w:vMerge/>
            <w:shd w:val="clear" w:color="auto" w:fill="65CDD5"/>
            <w:tcMar>
              <w:left w:w="113" w:type="dxa"/>
            </w:tcMar>
            <w:vAlign w:val="center"/>
          </w:tcPr>
          <w:p w14:paraId="6E839CA0"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4A1C9279" w14:textId="77777777" w:rsidR="00A42E26" w:rsidRPr="00C05F4C" w:rsidRDefault="00A42E26" w:rsidP="00717EDF">
            <w:pPr>
              <w:keepNext/>
              <w:keepLines/>
              <w:spacing w:after="40" w:line="240" w:lineRule="auto"/>
              <w:ind w:right="187"/>
              <w:rPr>
                <w:rFonts w:cs="Arial"/>
                <w:sz w:val="18"/>
                <w:szCs w:val="18"/>
              </w:rPr>
            </w:pPr>
            <w:r w:rsidRPr="00C05F4C">
              <w:rPr>
                <w:rFonts w:cs="Arial"/>
                <w:sz w:val="18"/>
                <w:szCs w:val="18"/>
              </w:rPr>
              <w:t>Off-net resale</w:t>
            </w:r>
          </w:p>
        </w:tc>
        <w:tc>
          <w:tcPr>
            <w:tcW w:w="1340" w:type="dxa"/>
            <w:shd w:val="clear" w:color="auto" w:fill="E9FBFB"/>
            <w:vAlign w:val="center"/>
          </w:tcPr>
          <w:p w14:paraId="452BF89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13</w:t>
            </w:r>
          </w:p>
        </w:tc>
        <w:tc>
          <w:tcPr>
            <w:tcW w:w="1341" w:type="dxa"/>
            <w:shd w:val="clear" w:color="auto" w:fill="E9FBFB"/>
            <w:vAlign w:val="center"/>
          </w:tcPr>
          <w:p w14:paraId="42ED4B8B"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9</w:t>
            </w:r>
          </w:p>
        </w:tc>
        <w:tc>
          <w:tcPr>
            <w:tcW w:w="1341" w:type="dxa"/>
            <w:shd w:val="clear" w:color="auto" w:fill="E9FBFB"/>
            <w:vAlign w:val="center"/>
          </w:tcPr>
          <w:p w14:paraId="2477E94A"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7</w:t>
            </w:r>
          </w:p>
        </w:tc>
        <w:tc>
          <w:tcPr>
            <w:tcW w:w="1341" w:type="dxa"/>
            <w:shd w:val="clear" w:color="auto" w:fill="E9FBFB"/>
            <w:vAlign w:val="center"/>
          </w:tcPr>
          <w:p w14:paraId="273D94E6"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–22.2</w:t>
            </w:r>
          </w:p>
        </w:tc>
      </w:tr>
      <w:tr w:rsidR="00A42E26" w:rsidRPr="00FD7E86" w14:paraId="73DE4922" w14:textId="77777777" w:rsidTr="00D1031A">
        <w:trPr>
          <w:trHeight w:val="425"/>
        </w:trPr>
        <w:tc>
          <w:tcPr>
            <w:tcW w:w="1257" w:type="dxa"/>
            <w:vMerge/>
            <w:shd w:val="clear" w:color="auto" w:fill="65CDD5"/>
            <w:tcMar>
              <w:left w:w="113" w:type="dxa"/>
            </w:tcMar>
            <w:vAlign w:val="center"/>
          </w:tcPr>
          <w:p w14:paraId="31B92355"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268D3DFC" w14:textId="77777777" w:rsidR="00A42E26" w:rsidRPr="00C05F4C" w:rsidRDefault="00A42E26" w:rsidP="00717EDF">
            <w:pPr>
              <w:keepNext/>
              <w:keepLines/>
              <w:spacing w:after="40" w:line="240" w:lineRule="auto"/>
              <w:ind w:right="187"/>
              <w:rPr>
                <w:rFonts w:cs="Arial"/>
                <w:sz w:val="18"/>
                <w:szCs w:val="18"/>
              </w:rPr>
            </w:pPr>
            <w:r w:rsidRPr="00C05F4C">
              <w:rPr>
                <w:rFonts w:cs="Arial"/>
                <w:sz w:val="18"/>
                <w:szCs w:val="18"/>
              </w:rPr>
              <w:t>Off-net nbn</w:t>
            </w:r>
          </w:p>
        </w:tc>
        <w:tc>
          <w:tcPr>
            <w:tcW w:w="1340" w:type="dxa"/>
            <w:shd w:val="clear" w:color="auto" w:fill="E9FBFB"/>
            <w:vAlign w:val="center"/>
          </w:tcPr>
          <w:p w14:paraId="138FC42E"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c>
          <w:tcPr>
            <w:tcW w:w="1341" w:type="dxa"/>
            <w:shd w:val="clear" w:color="auto" w:fill="E9FBFB"/>
            <w:vAlign w:val="center"/>
          </w:tcPr>
          <w:p w14:paraId="0D65C975"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13</w:t>
            </w:r>
          </w:p>
        </w:tc>
        <w:tc>
          <w:tcPr>
            <w:tcW w:w="1341" w:type="dxa"/>
            <w:shd w:val="clear" w:color="auto" w:fill="E9FBFB"/>
            <w:vAlign w:val="center"/>
          </w:tcPr>
          <w:p w14:paraId="14EE33D5"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54</w:t>
            </w:r>
          </w:p>
        </w:tc>
        <w:tc>
          <w:tcPr>
            <w:tcW w:w="1341" w:type="dxa"/>
            <w:shd w:val="clear" w:color="auto" w:fill="E9FBFB"/>
            <w:vAlign w:val="center"/>
          </w:tcPr>
          <w:p w14:paraId="1147358E"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315.4</w:t>
            </w:r>
          </w:p>
        </w:tc>
      </w:tr>
      <w:tr w:rsidR="00A42E26" w:rsidRPr="00FD7E86" w14:paraId="4CC3380D" w14:textId="77777777" w:rsidTr="00D1031A">
        <w:trPr>
          <w:trHeight w:val="425"/>
        </w:trPr>
        <w:tc>
          <w:tcPr>
            <w:tcW w:w="1257" w:type="dxa"/>
            <w:vMerge/>
            <w:shd w:val="clear" w:color="auto" w:fill="65CDD5"/>
            <w:tcMar>
              <w:left w:w="113" w:type="dxa"/>
            </w:tcMar>
            <w:vAlign w:val="center"/>
          </w:tcPr>
          <w:p w14:paraId="31A89CEB"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2C98B379" w14:textId="77777777" w:rsidR="00A42E26" w:rsidRPr="00C05F4C" w:rsidRDefault="00A42E26" w:rsidP="00717EDF">
            <w:pPr>
              <w:keepNext/>
              <w:keepLines/>
              <w:spacing w:after="40" w:line="240" w:lineRule="auto"/>
              <w:ind w:right="187"/>
              <w:rPr>
                <w:rFonts w:cs="Arial"/>
                <w:sz w:val="18"/>
                <w:szCs w:val="18"/>
              </w:rPr>
            </w:pPr>
            <w:r w:rsidRPr="00C05F4C">
              <w:rPr>
                <w:rFonts w:cs="Arial"/>
                <w:sz w:val="18"/>
                <w:szCs w:val="18"/>
              </w:rPr>
              <w:t>Dial-up</w:t>
            </w:r>
          </w:p>
        </w:tc>
        <w:tc>
          <w:tcPr>
            <w:tcW w:w="1340" w:type="dxa"/>
            <w:shd w:val="clear" w:color="auto" w:fill="E9FBFB"/>
            <w:vAlign w:val="center"/>
          </w:tcPr>
          <w:p w14:paraId="7929E319"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sidDel="0006558B">
              <w:rPr>
                <w:rFonts w:cs="Arial"/>
                <w:sz w:val="18"/>
                <w:szCs w:val="18"/>
              </w:rPr>
              <w:t>12</w:t>
            </w:r>
          </w:p>
        </w:tc>
        <w:tc>
          <w:tcPr>
            <w:tcW w:w="1341" w:type="dxa"/>
            <w:shd w:val="clear" w:color="auto" w:fill="E9FBFB"/>
            <w:vAlign w:val="center"/>
          </w:tcPr>
          <w:p w14:paraId="56FA347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10</w:t>
            </w:r>
          </w:p>
        </w:tc>
        <w:tc>
          <w:tcPr>
            <w:tcW w:w="1341" w:type="dxa"/>
            <w:shd w:val="clear" w:color="auto" w:fill="E9FBFB"/>
            <w:vAlign w:val="center"/>
          </w:tcPr>
          <w:p w14:paraId="57BC635E"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9</w:t>
            </w:r>
          </w:p>
        </w:tc>
        <w:tc>
          <w:tcPr>
            <w:tcW w:w="1341" w:type="dxa"/>
            <w:shd w:val="clear" w:color="auto" w:fill="E9FBFB"/>
            <w:vAlign w:val="center"/>
          </w:tcPr>
          <w:p w14:paraId="713D03AF"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–10.0</w:t>
            </w:r>
          </w:p>
        </w:tc>
      </w:tr>
      <w:tr w:rsidR="00A42E26" w:rsidRPr="00FD7E86" w14:paraId="6AB586A1" w14:textId="77777777" w:rsidTr="00D1031A">
        <w:trPr>
          <w:trHeight w:val="425"/>
        </w:trPr>
        <w:tc>
          <w:tcPr>
            <w:tcW w:w="1257" w:type="dxa"/>
            <w:vMerge/>
            <w:shd w:val="clear" w:color="auto" w:fill="65CDD5"/>
            <w:tcMar>
              <w:left w:w="113" w:type="dxa"/>
            </w:tcMar>
            <w:vAlign w:val="center"/>
          </w:tcPr>
          <w:p w14:paraId="784A1EB7"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4E894412" w14:textId="77777777" w:rsidR="00A42E26" w:rsidRPr="00C05F4C" w:rsidRDefault="00A42E26" w:rsidP="00717EDF">
            <w:pPr>
              <w:keepNext/>
              <w:keepLines/>
              <w:spacing w:after="40" w:line="240" w:lineRule="auto"/>
              <w:ind w:right="184"/>
              <w:rPr>
                <w:rFonts w:cs="Arial"/>
                <w:sz w:val="18"/>
                <w:szCs w:val="18"/>
              </w:rPr>
            </w:pPr>
            <w:r w:rsidRPr="00C05F4C">
              <w:rPr>
                <w:rFonts w:cs="Arial"/>
                <w:b/>
                <w:sz w:val="18"/>
                <w:szCs w:val="18"/>
              </w:rPr>
              <w:t>Total fixed internet subscribers</w:t>
            </w:r>
          </w:p>
        </w:tc>
        <w:tc>
          <w:tcPr>
            <w:tcW w:w="1340" w:type="dxa"/>
            <w:shd w:val="clear" w:color="auto" w:fill="65CDD5" w:themeFill="accent2"/>
            <w:vAlign w:val="center"/>
          </w:tcPr>
          <w:p w14:paraId="03054E78" w14:textId="77777777" w:rsidR="00A42E26" w:rsidRPr="00C05F4C" w:rsidDel="0006558B" w:rsidRDefault="00A42E26" w:rsidP="00717EDF">
            <w:pPr>
              <w:keepNext/>
              <w:keepLines/>
              <w:tabs>
                <w:tab w:val="left" w:pos="723"/>
              </w:tabs>
              <w:spacing w:after="40" w:line="240" w:lineRule="auto"/>
              <w:ind w:right="283"/>
              <w:jc w:val="right"/>
              <w:rPr>
                <w:rFonts w:cs="Arial"/>
                <w:sz w:val="18"/>
                <w:szCs w:val="18"/>
              </w:rPr>
            </w:pPr>
            <w:r w:rsidRPr="00C05F4C" w:rsidDel="0006558B">
              <w:rPr>
                <w:rFonts w:cs="Arial"/>
                <w:b/>
                <w:sz w:val="18"/>
                <w:szCs w:val="18"/>
              </w:rPr>
              <w:t>1,011</w:t>
            </w:r>
          </w:p>
        </w:tc>
        <w:tc>
          <w:tcPr>
            <w:tcW w:w="1341" w:type="dxa"/>
            <w:shd w:val="clear" w:color="auto" w:fill="65CDD5" w:themeFill="accent2"/>
            <w:vAlign w:val="center"/>
          </w:tcPr>
          <w:p w14:paraId="7DA00298" w14:textId="77777777" w:rsidR="00A42E26" w:rsidRPr="00C05F4C" w:rsidRDefault="00A42E26" w:rsidP="00717EDF">
            <w:pPr>
              <w:keepNext/>
              <w:keepLines/>
              <w:tabs>
                <w:tab w:val="left" w:pos="723"/>
              </w:tabs>
              <w:spacing w:after="40" w:line="240" w:lineRule="auto"/>
              <w:ind w:right="283"/>
              <w:jc w:val="right"/>
              <w:rPr>
                <w:rFonts w:cs="Arial"/>
                <w:sz w:val="18"/>
                <w:szCs w:val="18"/>
              </w:rPr>
            </w:pPr>
            <w:r w:rsidRPr="00C05F4C">
              <w:rPr>
                <w:rFonts w:cs="Arial"/>
                <w:b/>
                <w:sz w:val="18"/>
                <w:szCs w:val="18"/>
              </w:rPr>
              <w:t>1,014</w:t>
            </w:r>
          </w:p>
        </w:tc>
        <w:tc>
          <w:tcPr>
            <w:tcW w:w="1341" w:type="dxa"/>
            <w:shd w:val="clear" w:color="auto" w:fill="65CDD5" w:themeFill="accent2"/>
            <w:vAlign w:val="center"/>
          </w:tcPr>
          <w:p w14:paraId="7E90797A"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1,049</w:t>
            </w:r>
          </w:p>
        </w:tc>
        <w:tc>
          <w:tcPr>
            <w:tcW w:w="1341" w:type="dxa"/>
            <w:shd w:val="clear" w:color="auto" w:fill="65CDD5" w:themeFill="accent2"/>
            <w:vAlign w:val="center"/>
          </w:tcPr>
          <w:p w14:paraId="0791429F" w14:textId="77777777" w:rsidR="00A42E26" w:rsidRPr="00C05F4C" w:rsidRDefault="00C9393A"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w:t>
            </w:r>
            <w:r w:rsidR="00A42E26" w:rsidRPr="00C05F4C">
              <w:rPr>
                <w:rFonts w:cs="Arial"/>
                <w:b/>
                <w:sz w:val="18"/>
                <w:szCs w:val="18"/>
              </w:rPr>
              <w:t>3.5</w:t>
            </w:r>
          </w:p>
        </w:tc>
      </w:tr>
      <w:tr w:rsidR="00B831DF" w:rsidRPr="00FD7E86" w14:paraId="1D9E3CE0" w14:textId="77777777" w:rsidTr="00D1031A">
        <w:trPr>
          <w:trHeight w:val="425"/>
        </w:trPr>
        <w:tc>
          <w:tcPr>
            <w:tcW w:w="1257" w:type="dxa"/>
            <w:vMerge w:val="restart"/>
            <w:shd w:val="clear" w:color="auto" w:fill="65CDD5"/>
            <w:tcMar>
              <w:left w:w="113" w:type="dxa"/>
            </w:tcMar>
            <w:vAlign w:val="center"/>
          </w:tcPr>
          <w:p w14:paraId="50FAC985" w14:textId="77777777" w:rsidR="00B831DF" w:rsidRPr="00C05F4C" w:rsidRDefault="00B831DF" w:rsidP="00717EDF">
            <w:pPr>
              <w:keepNext/>
              <w:keepLines/>
              <w:spacing w:line="240" w:lineRule="auto"/>
              <w:rPr>
                <w:rFonts w:cs="Arial"/>
                <w:b/>
                <w:sz w:val="18"/>
                <w:szCs w:val="18"/>
              </w:rPr>
            </w:pPr>
            <w:r w:rsidRPr="00C05F4C">
              <w:rPr>
                <w:rFonts w:cs="Arial"/>
                <w:b/>
                <w:sz w:val="18"/>
                <w:szCs w:val="18"/>
              </w:rPr>
              <w:t>iiNet</w:t>
            </w:r>
          </w:p>
        </w:tc>
        <w:tc>
          <w:tcPr>
            <w:tcW w:w="2809" w:type="dxa"/>
            <w:shd w:val="clear" w:color="auto" w:fill="65CDD5"/>
            <w:tcMar>
              <w:left w:w="113" w:type="dxa"/>
            </w:tcMar>
            <w:vAlign w:val="center"/>
          </w:tcPr>
          <w:p w14:paraId="4011D6E5" w14:textId="77777777" w:rsidR="00B831DF" w:rsidRPr="00C05F4C" w:rsidRDefault="00B831DF" w:rsidP="00717EDF">
            <w:pPr>
              <w:keepNext/>
              <w:keepLines/>
              <w:spacing w:after="40" w:line="240" w:lineRule="auto"/>
              <w:ind w:right="187"/>
              <w:rPr>
                <w:rFonts w:cs="Arial"/>
                <w:b/>
                <w:sz w:val="18"/>
                <w:szCs w:val="18"/>
              </w:rPr>
            </w:pPr>
            <w:r w:rsidRPr="00C05F4C">
              <w:rPr>
                <w:rFonts w:cs="Arial"/>
                <w:sz w:val="18"/>
                <w:szCs w:val="18"/>
              </w:rPr>
              <w:t>On-net</w:t>
            </w:r>
            <w:r w:rsidRPr="00C05F4C">
              <w:rPr>
                <w:vertAlign w:val="superscript"/>
              </w:rPr>
              <w:t>†</w:t>
            </w:r>
          </w:p>
        </w:tc>
        <w:tc>
          <w:tcPr>
            <w:tcW w:w="1340" w:type="dxa"/>
            <w:shd w:val="clear" w:color="auto" w:fill="E9FBFB"/>
            <w:vAlign w:val="center"/>
          </w:tcPr>
          <w:p w14:paraId="076DF865" w14:textId="77777777" w:rsidR="00B831DF" w:rsidRPr="00FD7E86" w:rsidDel="0006558B"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544</w:t>
            </w:r>
          </w:p>
        </w:tc>
        <w:tc>
          <w:tcPr>
            <w:tcW w:w="1341" w:type="dxa"/>
            <w:shd w:val="clear" w:color="auto" w:fill="E9FBFB"/>
            <w:vAlign w:val="center"/>
          </w:tcPr>
          <w:p w14:paraId="20DEEF12"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619</w:t>
            </w:r>
          </w:p>
        </w:tc>
        <w:tc>
          <w:tcPr>
            <w:tcW w:w="1341" w:type="dxa"/>
            <w:shd w:val="clear" w:color="auto" w:fill="E9FBFB" w:themeFill="accent3"/>
            <w:vAlign w:val="center"/>
          </w:tcPr>
          <w:p w14:paraId="238637BE"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c>
          <w:tcPr>
            <w:tcW w:w="1341" w:type="dxa"/>
            <w:shd w:val="clear" w:color="auto" w:fill="E9FBFB" w:themeFill="accent3"/>
            <w:vAlign w:val="center"/>
          </w:tcPr>
          <w:p w14:paraId="6F154252"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r>
      <w:tr w:rsidR="00B831DF" w:rsidRPr="00FD7E86" w14:paraId="7115F78B" w14:textId="77777777" w:rsidTr="00D1031A">
        <w:trPr>
          <w:trHeight w:val="425"/>
        </w:trPr>
        <w:tc>
          <w:tcPr>
            <w:tcW w:w="1257" w:type="dxa"/>
            <w:vMerge/>
            <w:shd w:val="clear" w:color="auto" w:fill="65CDD5"/>
            <w:tcMar>
              <w:left w:w="113" w:type="dxa"/>
            </w:tcMar>
            <w:vAlign w:val="center"/>
          </w:tcPr>
          <w:p w14:paraId="5A92253B" w14:textId="77777777" w:rsidR="00B831DF" w:rsidRPr="00C05F4C" w:rsidRDefault="00B831DF"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33AB29B1" w14:textId="77777777" w:rsidR="00B831DF" w:rsidRPr="00C05F4C" w:rsidRDefault="00B831DF" w:rsidP="00717EDF">
            <w:pPr>
              <w:keepNext/>
              <w:keepLines/>
              <w:spacing w:after="40" w:line="240" w:lineRule="auto"/>
              <w:ind w:right="187"/>
              <w:rPr>
                <w:rFonts w:cs="Arial"/>
                <w:spacing w:val="-28"/>
                <w:sz w:val="18"/>
                <w:szCs w:val="18"/>
              </w:rPr>
            </w:pPr>
            <w:r w:rsidRPr="00C05F4C">
              <w:rPr>
                <w:rFonts w:cs="Arial"/>
                <w:sz w:val="18"/>
                <w:szCs w:val="18"/>
              </w:rPr>
              <w:t>Off-net</w:t>
            </w:r>
          </w:p>
        </w:tc>
        <w:tc>
          <w:tcPr>
            <w:tcW w:w="1340" w:type="dxa"/>
            <w:shd w:val="clear" w:color="auto" w:fill="E9FBFB"/>
            <w:vAlign w:val="center"/>
          </w:tcPr>
          <w:p w14:paraId="486B3C4C" w14:textId="77777777" w:rsidR="00B831DF" w:rsidRPr="00FD7E86" w:rsidDel="0006558B"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271</w:t>
            </w:r>
          </w:p>
        </w:tc>
        <w:tc>
          <w:tcPr>
            <w:tcW w:w="1341" w:type="dxa"/>
            <w:shd w:val="clear" w:color="auto" w:fill="E9FBFB"/>
            <w:vAlign w:val="center"/>
          </w:tcPr>
          <w:p w14:paraId="54F51702"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266</w:t>
            </w:r>
          </w:p>
        </w:tc>
        <w:tc>
          <w:tcPr>
            <w:tcW w:w="1341" w:type="dxa"/>
            <w:shd w:val="clear" w:color="auto" w:fill="E9FBFB" w:themeFill="accent3"/>
            <w:vAlign w:val="center"/>
          </w:tcPr>
          <w:p w14:paraId="59809B0A"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c>
          <w:tcPr>
            <w:tcW w:w="1341" w:type="dxa"/>
            <w:shd w:val="clear" w:color="auto" w:fill="E9FBFB" w:themeFill="accent3"/>
            <w:vAlign w:val="center"/>
          </w:tcPr>
          <w:p w14:paraId="35C8BD61"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r>
      <w:tr w:rsidR="00B831DF" w:rsidRPr="00FD7E86" w14:paraId="5C53197C" w14:textId="77777777" w:rsidTr="00D1031A">
        <w:trPr>
          <w:trHeight w:val="425"/>
        </w:trPr>
        <w:tc>
          <w:tcPr>
            <w:tcW w:w="1257" w:type="dxa"/>
            <w:vMerge/>
            <w:shd w:val="clear" w:color="auto" w:fill="65CDD5"/>
            <w:tcMar>
              <w:left w:w="113" w:type="dxa"/>
            </w:tcMar>
            <w:vAlign w:val="center"/>
          </w:tcPr>
          <w:p w14:paraId="72C6905F" w14:textId="77777777" w:rsidR="00B831DF" w:rsidRPr="00C05F4C" w:rsidRDefault="00B831DF"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469D7689" w14:textId="77777777" w:rsidR="00B831DF" w:rsidRPr="00C05F4C" w:rsidRDefault="00B831DF" w:rsidP="00717EDF">
            <w:pPr>
              <w:keepNext/>
              <w:keepLines/>
              <w:spacing w:after="40" w:line="240" w:lineRule="auto"/>
              <w:ind w:right="187"/>
              <w:rPr>
                <w:rFonts w:cs="Arial"/>
                <w:spacing w:val="-28"/>
                <w:sz w:val="18"/>
                <w:szCs w:val="18"/>
              </w:rPr>
            </w:pPr>
            <w:r w:rsidRPr="00C05F4C">
              <w:rPr>
                <w:rFonts w:cs="Arial"/>
                <w:sz w:val="18"/>
                <w:szCs w:val="18"/>
              </w:rPr>
              <w:t>nbn + Fibre</w:t>
            </w:r>
            <w:r w:rsidRPr="00C05F4C">
              <w:rPr>
                <w:vertAlign w:val="superscript"/>
              </w:rPr>
              <w:t>†</w:t>
            </w:r>
          </w:p>
        </w:tc>
        <w:tc>
          <w:tcPr>
            <w:tcW w:w="1340" w:type="dxa"/>
            <w:shd w:val="clear" w:color="auto" w:fill="E9FBFB"/>
            <w:vAlign w:val="center"/>
          </w:tcPr>
          <w:p w14:paraId="21D94083" w14:textId="77777777" w:rsidR="00B831DF" w:rsidRPr="00FD7E86" w:rsidDel="0006558B"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25</w:t>
            </w:r>
          </w:p>
        </w:tc>
        <w:tc>
          <w:tcPr>
            <w:tcW w:w="1341" w:type="dxa"/>
            <w:shd w:val="clear" w:color="auto" w:fill="E9FBFB"/>
            <w:vAlign w:val="center"/>
          </w:tcPr>
          <w:p w14:paraId="268C93CB"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65</w:t>
            </w:r>
          </w:p>
        </w:tc>
        <w:tc>
          <w:tcPr>
            <w:tcW w:w="1341" w:type="dxa"/>
            <w:shd w:val="clear" w:color="auto" w:fill="E9FBFB" w:themeFill="accent3"/>
            <w:vAlign w:val="center"/>
          </w:tcPr>
          <w:p w14:paraId="7A0EA10B"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c>
          <w:tcPr>
            <w:tcW w:w="1341" w:type="dxa"/>
            <w:shd w:val="clear" w:color="auto" w:fill="E9FBFB" w:themeFill="accent3"/>
            <w:vAlign w:val="center"/>
          </w:tcPr>
          <w:p w14:paraId="1E451C15" w14:textId="77777777" w:rsidR="00B831DF" w:rsidRPr="00FD7E86" w:rsidRDefault="00B831DF" w:rsidP="00717EDF">
            <w:pPr>
              <w:keepNext/>
              <w:keepLines/>
              <w:tabs>
                <w:tab w:val="left" w:pos="723"/>
              </w:tabs>
              <w:spacing w:after="40" w:line="240" w:lineRule="auto"/>
              <w:ind w:right="283"/>
              <w:jc w:val="right"/>
              <w:rPr>
                <w:rFonts w:cs="Arial"/>
                <w:sz w:val="18"/>
                <w:szCs w:val="18"/>
              </w:rPr>
            </w:pPr>
            <w:r w:rsidRPr="00FD7E86">
              <w:rPr>
                <w:rFonts w:cs="Arial"/>
                <w:sz w:val="18"/>
                <w:szCs w:val="18"/>
              </w:rPr>
              <w:t>n/a</w:t>
            </w:r>
          </w:p>
        </w:tc>
      </w:tr>
      <w:tr w:rsidR="00B831DF" w:rsidRPr="00FD7E86" w14:paraId="331B803A" w14:textId="77777777" w:rsidTr="00D1031A">
        <w:trPr>
          <w:trHeight w:val="425"/>
        </w:trPr>
        <w:tc>
          <w:tcPr>
            <w:tcW w:w="1257" w:type="dxa"/>
            <w:vMerge/>
            <w:shd w:val="clear" w:color="auto" w:fill="65CDD5"/>
            <w:tcMar>
              <w:left w:w="113" w:type="dxa"/>
            </w:tcMar>
            <w:vAlign w:val="center"/>
          </w:tcPr>
          <w:p w14:paraId="7B058B4D" w14:textId="77777777" w:rsidR="00B831DF" w:rsidRPr="00C05F4C" w:rsidRDefault="00B831DF"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1EBE0056" w14:textId="77777777" w:rsidR="00B831DF" w:rsidRPr="00C05F4C" w:rsidRDefault="00B831DF" w:rsidP="00717EDF">
            <w:pPr>
              <w:keepNext/>
              <w:keepLines/>
              <w:spacing w:after="40" w:line="240" w:lineRule="auto"/>
              <w:ind w:right="184"/>
              <w:rPr>
                <w:rFonts w:cs="Arial"/>
                <w:spacing w:val="-28"/>
                <w:sz w:val="18"/>
                <w:szCs w:val="18"/>
              </w:rPr>
            </w:pPr>
            <w:r w:rsidRPr="00C05F4C">
              <w:rPr>
                <w:rFonts w:cs="Arial"/>
                <w:b/>
                <w:sz w:val="18"/>
                <w:szCs w:val="18"/>
              </w:rPr>
              <w:t>Total fixed internet subscribers</w:t>
            </w:r>
          </w:p>
        </w:tc>
        <w:tc>
          <w:tcPr>
            <w:tcW w:w="1340" w:type="dxa"/>
            <w:shd w:val="clear" w:color="auto" w:fill="65CDD5" w:themeFill="accent2"/>
            <w:vAlign w:val="center"/>
          </w:tcPr>
          <w:p w14:paraId="7A1FA45A" w14:textId="77777777" w:rsidR="00B831DF" w:rsidRPr="00C05F4C" w:rsidDel="0006558B" w:rsidRDefault="00B831DF" w:rsidP="00717EDF">
            <w:pPr>
              <w:keepNext/>
              <w:keepLines/>
              <w:tabs>
                <w:tab w:val="left" w:pos="723"/>
              </w:tabs>
              <w:spacing w:after="40" w:line="240" w:lineRule="auto"/>
              <w:ind w:right="283"/>
              <w:jc w:val="right"/>
              <w:rPr>
                <w:rFonts w:cs="Arial"/>
                <w:sz w:val="18"/>
                <w:szCs w:val="18"/>
              </w:rPr>
            </w:pPr>
            <w:r w:rsidRPr="00C05F4C">
              <w:rPr>
                <w:rFonts w:cs="Arial"/>
                <w:b/>
                <w:sz w:val="18"/>
                <w:szCs w:val="18"/>
              </w:rPr>
              <w:t>840</w:t>
            </w:r>
          </w:p>
        </w:tc>
        <w:tc>
          <w:tcPr>
            <w:tcW w:w="1341" w:type="dxa"/>
            <w:shd w:val="clear" w:color="auto" w:fill="65CDD5" w:themeFill="accent2"/>
            <w:vAlign w:val="center"/>
          </w:tcPr>
          <w:p w14:paraId="2AF10AFB" w14:textId="77777777" w:rsidR="00B831DF" w:rsidRPr="00C05F4C" w:rsidRDefault="00B831DF"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950</w:t>
            </w:r>
          </w:p>
        </w:tc>
        <w:tc>
          <w:tcPr>
            <w:tcW w:w="1341" w:type="dxa"/>
            <w:shd w:val="clear" w:color="auto" w:fill="65CDD5" w:themeFill="accent2"/>
            <w:vAlign w:val="center"/>
          </w:tcPr>
          <w:p w14:paraId="7C3F0371" w14:textId="77777777" w:rsidR="00B831DF" w:rsidRPr="00C05F4C" w:rsidRDefault="00B831DF"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989</w:t>
            </w:r>
          </w:p>
        </w:tc>
        <w:tc>
          <w:tcPr>
            <w:tcW w:w="1341" w:type="dxa"/>
            <w:shd w:val="clear" w:color="auto" w:fill="65CDD5" w:themeFill="accent2"/>
            <w:vAlign w:val="center"/>
          </w:tcPr>
          <w:p w14:paraId="1873F21A" w14:textId="77777777" w:rsidR="00B831DF" w:rsidRPr="00D777B6" w:rsidRDefault="00B831DF"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+4.1</w:t>
            </w:r>
          </w:p>
        </w:tc>
      </w:tr>
      <w:tr w:rsidR="00A42E26" w:rsidRPr="00FD7E86" w14:paraId="3C6A2D46" w14:textId="77777777" w:rsidTr="00D1031A">
        <w:trPr>
          <w:trHeight w:val="425"/>
        </w:trPr>
        <w:tc>
          <w:tcPr>
            <w:tcW w:w="1257" w:type="dxa"/>
            <w:vMerge w:val="restart"/>
            <w:shd w:val="clear" w:color="auto" w:fill="65CDD5"/>
            <w:tcMar>
              <w:left w:w="113" w:type="dxa"/>
            </w:tcMar>
            <w:vAlign w:val="center"/>
          </w:tcPr>
          <w:p w14:paraId="4112EE10" w14:textId="77777777" w:rsidR="00A42E26" w:rsidRPr="00C05F4C" w:rsidRDefault="00A42E26" w:rsidP="00717EDF">
            <w:pPr>
              <w:keepNext/>
              <w:keepLines/>
              <w:spacing w:line="240" w:lineRule="auto"/>
              <w:rPr>
                <w:rFonts w:cs="Arial"/>
                <w:b/>
                <w:sz w:val="18"/>
                <w:szCs w:val="18"/>
              </w:rPr>
            </w:pPr>
            <w:r w:rsidRPr="00C05F4C">
              <w:rPr>
                <w:rFonts w:cs="Arial"/>
                <w:b/>
                <w:sz w:val="18"/>
                <w:szCs w:val="18"/>
              </w:rPr>
              <w:t>TPG</w:t>
            </w:r>
          </w:p>
        </w:tc>
        <w:tc>
          <w:tcPr>
            <w:tcW w:w="2809" w:type="dxa"/>
            <w:shd w:val="clear" w:color="auto" w:fill="65CDD5"/>
            <w:tcMar>
              <w:left w:w="113" w:type="dxa"/>
            </w:tcMar>
            <w:vAlign w:val="center"/>
          </w:tcPr>
          <w:p w14:paraId="0E43B01C" w14:textId="77777777" w:rsidR="00A42E26" w:rsidRPr="00C05F4C" w:rsidRDefault="00A42E26" w:rsidP="00717EDF">
            <w:pPr>
              <w:keepNext/>
              <w:keepLines/>
              <w:spacing w:after="40" w:line="240" w:lineRule="auto"/>
              <w:ind w:right="187"/>
              <w:rPr>
                <w:rFonts w:cs="Arial"/>
                <w:b/>
                <w:spacing w:val="-28"/>
                <w:sz w:val="18"/>
                <w:szCs w:val="18"/>
              </w:rPr>
            </w:pPr>
            <w:r w:rsidRPr="00C05F4C">
              <w:rPr>
                <w:rFonts w:cs="Arial"/>
                <w:sz w:val="18"/>
                <w:szCs w:val="18"/>
              </w:rPr>
              <w:t>On-net bundle</w:t>
            </w:r>
          </w:p>
        </w:tc>
        <w:tc>
          <w:tcPr>
            <w:tcW w:w="1340" w:type="dxa"/>
            <w:shd w:val="clear" w:color="auto" w:fill="E9FBFB"/>
            <w:vAlign w:val="center"/>
          </w:tcPr>
          <w:p w14:paraId="55C7E2E9" w14:textId="77777777" w:rsidR="00A42E26" w:rsidRPr="00FD7E86" w:rsidDel="0006558B" w:rsidRDefault="00A42E26" w:rsidP="00717EDF">
            <w:pPr>
              <w:keepNext/>
              <w:keepLines/>
              <w:tabs>
                <w:tab w:val="left" w:pos="723"/>
              </w:tabs>
              <w:spacing w:after="40" w:line="240" w:lineRule="auto"/>
              <w:ind w:right="283"/>
              <w:jc w:val="right"/>
              <w:rPr>
                <w:rFonts w:cs="Arial"/>
                <w:b/>
                <w:color w:val="808285"/>
                <w:spacing w:val="-28"/>
                <w:sz w:val="18"/>
                <w:szCs w:val="18"/>
              </w:rPr>
            </w:pPr>
            <w:r w:rsidRPr="00FD7E86" w:rsidDel="0006558B">
              <w:rPr>
                <w:rFonts w:cs="Arial"/>
                <w:sz w:val="18"/>
                <w:szCs w:val="18"/>
              </w:rPr>
              <w:t>351</w:t>
            </w:r>
          </w:p>
        </w:tc>
        <w:tc>
          <w:tcPr>
            <w:tcW w:w="1341" w:type="dxa"/>
            <w:shd w:val="clear" w:color="auto" w:fill="E9FBFB"/>
            <w:vAlign w:val="center"/>
          </w:tcPr>
          <w:p w14:paraId="7058DC15"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471</w:t>
            </w:r>
          </w:p>
        </w:tc>
        <w:tc>
          <w:tcPr>
            <w:tcW w:w="1341" w:type="dxa"/>
            <w:shd w:val="clear" w:color="auto" w:fill="E9FBFB"/>
            <w:vAlign w:val="center"/>
          </w:tcPr>
          <w:p w14:paraId="1C0010D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542</w:t>
            </w:r>
          </w:p>
        </w:tc>
        <w:tc>
          <w:tcPr>
            <w:tcW w:w="1341" w:type="dxa"/>
            <w:shd w:val="clear" w:color="auto" w:fill="E9FBFB"/>
            <w:vAlign w:val="center"/>
          </w:tcPr>
          <w:p w14:paraId="49938BE2"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15.1</w:t>
            </w:r>
          </w:p>
        </w:tc>
      </w:tr>
      <w:tr w:rsidR="00A42E26" w:rsidRPr="00FD7E86" w14:paraId="5434EB18" w14:textId="77777777" w:rsidTr="00D1031A">
        <w:trPr>
          <w:trHeight w:val="425"/>
        </w:trPr>
        <w:tc>
          <w:tcPr>
            <w:tcW w:w="1257" w:type="dxa"/>
            <w:vMerge/>
            <w:shd w:val="clear" w:color="auto" w:fill="65CDD5"/>
            <w:tcMar>
              <w:left w:w="113" w:type="dxa"/>
            </w:tcMar>
            <w:vAlign w:val="center"/>
          </w:tcPr>
          <w:p w14:paraId="5057BDE8" w14:textId="77777777" w:rsidR="00A42E26" w:rsidRPr="00C05F4C" w:rsidRDefault="00A42E26"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511D4133" w14:textId="77777777" w:rsidR="00A42E26" w:rsidRPr="00C05F4C" w:rsidRDefault="00A42E26" w:rsidP="00717EDF">
            <w:pPr>
              <w:keepNext/>
              <w:keepLines/>
              <w:spacing w:after="40" w:line="240" w:lineRule="auto"/>
              <w:ind w:right="187"/>
              <w:rPr>
                <w:rFonts w:cs="Arial"/>
                <w:spacing w:val="-28"/>
                <w:sz w:val="18"/>
                <w:szCs w:val="18"/>
              </w:rPr>
            </w:pPr>
            <w:r w:rsidRPr="00C05F4C">
              <w:rPr>
                <w:rFonts w:cs="Arial"/>
                <w:sz w:val="18"/>
                <w:szCs w:val="18"/>
              </w:rPr>
              <w:t>On-net standalone</w:t>
            </w:r>
          </w:p>
        </w:tc>
        <w:tc>
          <w:tcPr>
            <w:tcW w:w="1340" w:type="dxa"/>
            <w:shd w:val="clear" w:color="auto" w:fill="E9FBFB"/>
            <w:vAlign w:val="center"/>
          </w:tcPr>
          <w:p w14:paraId="6A5B2C26" w14:textId="77777777" w:rsidR="00A42E26" w:rsidRPr="00FD7E86" w:rsidDel="0006558B" w:rsidRDefault="00A42E26" w:rsidP="00717EDF">
            <w:pPr>
              <w:keepNext/>
              <w:keepLines/>
              <w:tabs>
                <w:tab w:val="left" w:pos="723"/>
              </w:tabs>
              <w:spacing w:after="40" w:line="240" w:lineRule="auto"/>
              <w:ind w:right="283"/>
              <w:jc w:val="right"/>
              <w:rPr>
                <w:rFonts w:cs="Arial"/>
                <w:color w:val="808285"/>
                <w:spacing w:val="-28"/>
                <w:sz w:val="18"/>
                <w:szCs w:val="18"/>
              </w:rPr>
            </w:pPr>
            <w:r w:rsidRPr="00FD7E86">
              <w:rPr>
                <w:rFonts w:cs="Arial"/>
                <w:sz w:val="18"/>
                <w:szCs w:val="18"/>
              </w:rPr>
              <w:t>236</w:t>
            </w:r>
          </w:p>
        </w:tc>
        <w:tc>
          <w:tcPr>
            <w:tcW w:w="1341" w:type="dxa"/>
            <w:shd w:val="clear" w:color="auto" w:fill="E9FBFB"/>
            <w:vAlign w:val="center"/>
          </w:tcPr>
          <w:p w14:paraId="46B999DA"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205</w:t>
            </w:r>
          </w:p>
        </w:tc>
        <w:tc>
          <w:tcPr>
            <w:tcW w:w="1341" w:type="dxa"/>
            <w:shd w:val="clear" w:color="auto" w:fill="E9FBFB"/>
            <w:vAlign w:val="center"/>
          </w:tcPr>
          <w:p w14:paraId="59501730"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173</w:t>
            </w:r>
          </w:p>
        </w:tc>
        <w:tc>
          <w:tcPr>
            <w:tcW w:w="1341" w:type="dxa"/>
            <w:shd w:val="clear" w:color="auto" w:fill="E9FBFB"/>
            <w:vAlign w:val="center"/>
          </w:tcPr>
          <w:p w14:paraId="709661DA"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–15.6</w:t>
            </w:r>
          </w:p>
        </w:tc>
      </w:tr>
      <w:tr w:rsidR="00A42E26" w:rsidRPr="00FD7E86" w14:paraId="2847C929" w14:textId="77777777" w:rsidTr="00D1031A">
        <w:trPr>
          <w:trHeight w:val="425"/>
        </w:trPr>
        <w:tc>
          <w:tcPr>
            <w:tcW w:w="1257" w:type="dxa"/>
            <w:vMerge/>
            <w:shd w:val="clear" w:color="auto" w:fill="65CDD5"/>
            <w:tcMar>
              <w:left w:w="113" w:type="dxa"/>
            </w:tcMar>
            <w:vAlign w:val="center"/>
          </w:tcPr>
          <w:p w14:paraId="0D2BDE26" w14:textId="77777777" w:rsidR="00A42E26" w:rsidRPr="00C05F4C" w:rsidRDefault="00A42E26"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66F616E4" w14:textId="77777777" w:rsidR="00A42E26" w:rsidRPr="00C05F4C" w:rsidRDefault="00A42E26" w:rsidP="00717EDF">
            <w:pPr>
              <w:keepNext/>
              <w:keepLines/>
              <w:spacing w:after="40" w:line="240" w:lineRule="auto"/>
              <w:ind w:right="187"/>
              <w:rPr>
                <w:rFonts w:cs="Arial"/>
                <w:spacing w:val="-28"/>
                <w:sz w:val="18"/>
                <w:szCs w:val="18"/>
              </w:rPr>
            </w:pPr>
            <w:r w:rsidRPr="00C05F4C">
              <w:rPr>
                <w:rFonts w:cs="Arial"/>
                <w:sz w:val="18"/>
                <w:szCs w:val="18"/>
              </w:rPr>
              <w:t>Off-net</w:t>
            </w:r>
          </w:p>
        </w:tc>
        <w:tc>
          <w:tcPr>
            <w:tcW w:w="1340" w:type="dxa"/>
            <w:shd w:val="clear" w:color="auto" w:fill="E9FBFB"/>
            <w:vAlign w:val="center"/>
          </w:tcPr>
          <w:p w14:paraId="09D926C9"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84</w:t>
            </w:r>
          </w:p>
        </w:tc>
        <w:tc>
          <w:tcPr>
            <w:tcW w:w="1341" w:type="dxa"/>
            <w:shd w:val="clear" w:color="auto" w:fill="E9FBFB"/>
            <w:vAlign w:val="center"/>
          </w:tcPr>
          <w:p w14:paraId="6AB1AD75"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72</w:t>
            </w:r>
          </w:p>
        </w:tc>
        <w:tc>
          <w:tcPr>
            <w:tcW w:w="1341" w:type="dxa"/>
            <w:shd w:val="clear" w:color="auto" w:fill="E9FBFB"/>
            <w:vAlign w:val="center"/>
          </w:tcPr>
          <w:p w14:paraId="3D584370"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106</w:t>
            </w:r>
          </w:p>
        </w:tc>
        <w:tc>
          <w:tcPr>
            <w:tcW w:w="1341" w:type="dxa"/>
            <w:shd w:val="clear" w:color="auto" w:fill="E9FBFB"/>
            <w:vAlign w:val="center"/>
          </w:tcPr>
          <w:p w14:paraId="7E1FE2AC"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47.2</w:t>
            </w:r>
          </w:p>
        </w:tc>
      </w:tr>
      <w:tr w:rsidR="00A42E26" w:rsidRPr="00FD7E86" w14:paraId="48069225" w14:textId="77777777" w:rsidTr="00D1031A">
        <w:trPr>
          <w:trHeight w:val="425"/>
        </w:trPr>
        <w:tc>
          <w:tcPr>
            <w:tcW w:w="1257" w:type="dxa"/>
            <w:vMerge/>
            <w:shd w:val="clear" w:color="auto" w:fill="65CDD5"/>
            <w:tcMar>
              <w:left w:w="113" w:type="dxa"/>
            </w:tcMar>
            <w:vAlign w:val="center"/>
          </w:tcPr>
          <w:p w14:paraId="64FCFA4A" w14:textId="77777777" w:rsidR="00A42E26" w:rsidRPr="00C05F4C" w:rsidRDefault="00A42E26" w:rsidP="00717EDF">
            <w:pPr>
              <w:keepNext/>
              <w:keepLines/>
              <w:spacing w:line="240" w:lineRule="auto"/>
              <w:rPr>
                <w:rFonts w:cs="Arial"/>
                <w:b/>
                <w:sz w:val="18"/>
                <w:szCs w:val="18"/>
              </w:rPr>
            </w:pPr>
          </w:p>
        </w:tc>
        <w:tc>
          <w:tcPr>
            <w:tcW w:w="2809" w:type="dxa"/>
            <w:shd w:val="clear" w:color="auto" w:fill="65CDD5"/>
            <w:tcMar>
              <w:left w:w="113" w:type="dxa"/>
            </w:tcMar>
            <w:vAlign w:val="center"/>
          </w:tcPr>
          <w:p w14:paraId="581AE543" w14:textId="77777777" w:rsidR="00A42E26" w:rsidRPr="00C05F4C" w:rsidRDefault="00A42E26" w:rsidP="00717EDF">
            <w:pPr>
              <w:keepNext/>
              <w:keepLines/>
              <w:spacing w:after="40" w:line="240" w:lineRule="auto"/>
              <w:ind w:right="184"/>
              <w:rPr>
                <w:rFonts w:cs="Arial"/>
                <w:sz w:val="18"/>
                <w:szCs w:val="18"/>
              </w:rPr>
            </w:pPr>
            <w:r w:rsidRPr="00C05F4C">
              <w:rPr>
                <w:rFonts w:cs="Arial"/>
                <w:b/>
                <w:sz w:val="18"/>
                <w:szCs w:val="18"/>
              </w:rPr>
              <w:t>Total broadband subscribers</w:t>
            </w:r>
          </w:p>
        </w:tc>
        <w:tc>
          <w:tcPr>
            <w:tcW w:w="1340" w:type="dxa"/>
            <w:shd w:val="clear" w:color="auto" w:fill="65CDD5" w:themeFill="accent2"/>
            <w:vAlign w:val="center"/>
          </w:tcPr>
          <w:p w14:paraId="1ADA2943" w14:textId="77777777" w:rsidR="00A42E26" w:rsidRPr="00C05F4C" w:rsidDel="0006558B" w:rsidRDefault="00A42E26" w:rsidP="00717EDF">
            <w:pPr>
              <w:keepNext/>
              <w:keepLines/>
              <w:tabs>
                <w:tab w:val="left" w:pos="723"/>
              </w:tabs>
              <w:spacing w:after="40" w:line="240" w:lineRule="auto"/>
              <w:ind w:right="283"/>
              <w:jc w:val="right"/>
              <w:rPr>
                <w:rFonts w:cs="Arial"/>
                <w:b/>
                <w:sz w:val="18"/>
                <w:szCs w:val="18"/>
              </w:rPr>
            </w:pPr>
            <w:r w:rsidRPr="00C05F4C" w:rsidDel="0006558B">
              <w:rPr>
                <w:rFonts w:cs="Arial"/>
                <w:b/>
                <w:sz w:val="18"/>
                <w:szCs w:val="18"/>
              </w:rPr>
              <w:t>671</w:t>
            </w:r>
          </w:p>
        </w:tc>
        <w:tc>
          <w:tcPr>
            <w:tcW w:w="1341" w:type="dxa"/>
            <w:shd w:val="clear" w:color="auto" w:fill="65CDD5" w:themeFill="accent2"/>
            <w:vAlign w:val="center"/>
          </w:tcPr>
          <w:p w14:paraId="3E6DB4B9"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748</w:t>
            </w:r>
          </w:p>
        </w:tc>
        <w:tc>
          <w:tcPr>
            <w:tcW w:w="1341" w:type="dxa"/>
            <w:shd w:val="clear" w:color="auto" w:fill="65CDD5" w:themeFill="accent2"/>
            <w:vAlign w:val="center"/>
          </w:tcPr>
          <w:p w14:paraId="11BAFEB1"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821</w:t>
            </w:r>
          </w:p>
        </w:tc>
        <w:tc>
          <w:tcPr>
            <w:tcW w:w="1341" w:type="dxa"/>
            <w:shd w:val="clear" w:color="auto" w:fill="65CDD5" w:themeFill="accent2"/>
            <w:vAlign w:val="center"/>
          </w:tcPr>
          <w:p w14:paraId="4DC98BD7" w14:textId="77777777" w:rsidR="00A42E26" w:rsidRPr="00C05F4C" w:rsidRDefault="00C9393A"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w:t>
            </w:r>
            <w:r w:rsidR="00A42E26" w:rsidRPr="00C05F4C">
              <w:rPr>
                <w:rFonts w:cs="Arial"/>
                <w:b/>
                <w:sz w:val="18"/>
                <w:szCs w:val="18"/>
              </w:rPr>
              <w:t>9.8</w:t>
            </w:r>
          </w:p>
        </w:tc>
      </w:tr>
      <w:tr w:rsidR="00A42E26" w:rsidRPr="00FD7E86" w14:paraId="352F8E07" w14:textId="77777777" w:rsidTr="00D1031A">
        <w:trPr>
          <w:trHeight w:val="425"/>
        </w:trPr>
        <w:tc>
          <w:tcPr>
            <w:tcW w:w="1257" w:type="dxa"/>
            <w:vMerge w:val="restart"/>
            <w:shd w:val="clear" w:color="auto" w:fill="65CDD5"/>
            <w:tcMar>
              <w:left w:w="113" w:type="dxa"/>
            </w:tcMar>
            <w:vAlign w:val="center"/>
          </w:tcPr>
          <w:p w14:paraId="3F216384" w14:textId="77777777" w:rsidR="00A42E26" w:rsidRPr="00C05F4C" w:rsidRDefault="00A42E26" w:rsidP="00717EDF">
            <w:pPr>
              <w:keepNext/>
              <w:keepLines/>
              <w:spacing w:line="240" w:lineRule="auto"/>
              <w:rPr>
                <w:rFonts w:cs="Arial"/>
                <w:b/>
                <w:sz w:val="18"/>
                <w:szCs w:val="18"/>
              </w:rPr>
            </w:pPr>
            <w:r w:rsidRPr="00C05F4C">
              <w:rPr>
                <w:rFonts w:cs="Arial"/>
                <w:b/>
                <w:sz w:val="18"/>
                <w:szCs w:val="18"/>
              </w:rPr>
              <w:t>M2 Group</w:t>
            </w:r>
          </w:p>
        </w:tc>
        <w:tc>
          <w:tcPr>
            <w:tcW w:w="2809" w:type="dxa"/>
            <w:shd w:val="clear" w:color="auto" w:fill="65CDD5"/>
            <w:tcMar>
              <w:left w:w="113" w:type="dxa"/>
            </w:tcMar>
            <w:vAlign w:val="center"/>
          </w:tcPr>
          <w:p w14:paraId="7EF3A321" w14:textId="77777777" w:rsidR="00A42E26" w:rsidRPr="00C05F4C" w:rsidRDefault="00A42E26" w:rsidP="00717EDF">
            <w:pPr>
              <w:keepNext/>
              <w:keepLines/>
              <w:spacing w:after="40" w:line="240" w:lineRule="auto"/>
              <w:ind w:right="187"/>
              <w:rPr>
                <w:rFonts w:cs="Arial"/>
                <w:b/>
                <w:spacing w:val="-28"/>
                <w:sz w:val="18"/>
                <w:szCs w:val="18"/>
              </w:rPr>
            </w:pPr>
            <w:r w:rsidRPr="00C05F4C">
              <w:rPr>
                <w:rFonts w:cs="Arial"/>
                <w:sz w:val="18"/>
                <w:szCs w:val="18"/>
              </w:rPr>
              <w:t>Consumer subscribers</w:t>
            </w:r>
          </w:p>
        </w:tc>
        <w:tc>
          <w:tcPr>
            <w:tcW w:w="1340" w:type="dxa"/>
            <w:shd w:val="clear" w:color="auto" w:fill="E9FBFB"/>
            <w:vAlign w:val="center"/>
          </w:tcPr>
          <w:p w14:paraId="63C62392" w14:textId="77777777" w:rsidR="00A42E26" w:rsidRPr="00FD7E86" w:rsidDel="0006558B" w:rsidRDefault="00A42E26" w:rsidP="00717EDF">
            <w:pPr>
              <w:keepNext/>
              <w:keepLines/>
              <w:tabs>
                <w:tab w:val="left" w:pos="723"/>
              </w:tabs>
              <w:spacing w:after="40" w:line="240" w:lineRule="auto"/>
              <w:ind w:right="283"/>
              <w:jc w:val="right"/>
              <w:rPr>
                <w:rFonts w:cs="Arial"/>
                <w:b/>
                <w:sz w:val="18"/>
                <w:szCs w:val="18"/>
              </w:rPr>
            </w:pPr>
            <w:r w:rsidRPr="00FD7E86">
              <w:rPr>
                <w:rFonts w:cs="Arial"/>
                <w:sz w:val="18"/>
                <w:szCs w:val="18"/>
              </w:rPr>
              <w:t>350</w:t>
            </w:r>
          </w:p>
        </w:tc>
        <w:tc>
          <w:tcPr>
            <w:tcW w:w="1341" w:type="dxa"/>
            <w:shd w:val="clear" w:color="auto" w:fill="E9FBFB"/>
            <w:vAlign w:val="center"/>
          </w:tcPr>
          <w:p w14:paraId="434F782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414</w:t>
            </w:r>
          </w:p>
        </w:tc>
        <w:tc>
          <w:tcPr>
            <w:tcW w:w="1341" w:type="dxa"/>
            <w:shd w:val="clear" w:color="auto" w:fill="E9FBFB"/>
            <w:vAlign w:val="center"/>
          </w:tcPr>
          <w:p w14:paraId="5AC20B8C"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459</w:t>
            </w:r>
          </w:p>
        </w:tc>
        <w:tc>
          <w:tcPr>
            <w:tcW w:w="1341" w:type="dxa"/>
            <w:shd w:val="clear" w:color="auto" w:fill="E9FBFB"/>
            <w:vAlign w:val="center"/>
          </w:tcPr>
          <w:p w14:paraId="6141D259"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10.9</w:t>
            </w:r>
          </w:p>
        </w:tc>
      </w:tr>
      <w:tr w:rsidR="00A42E26" w:rsidRPr="00FD7E86" w14:paraId="40075652" w14:textId="77777777" w:rsidTr="00D1031A">
        <w:trPr>
          <w:trHeight w:val="425"/>
        </w:trPr>
        <w:tc>
          <w:tcPr>
            <w:tcW w:w="1257" w:type="dxa"/>
            <w:vMerge/>
            <w:shd w:val="clear" w:color="auto" w:fill="65CDD5"/>
            <w:tcMar>
              <w:left w:w="113" w:type="dxa"/>
            </w:tcMar>
            <w:vAlign w:val="center"/>
          </w:tcPr>
          <w:p w14:paraId="7C687962"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4F059272" w14:textId="77777777" w:rsidR="00A42E26" w:rsidRPr="00C05F4C" w:rsidRDefault="00A42E26" w:rsidP="00717EDF">
            <w:pPr>
              <w:keepNext/>
              <w:keepLines/>
              <w:spacing w:after="40" w:line="240" w:lineRule="auto"/>
              <w:ind w:right="187"/>
              <w:rPr>
                <w:rFonts w:cs="Arial"/>
                <w:spacing w:val="-28"/>
                <w:sz w:val="18"/>
                <w:szCs w:val="18"/>
              </w:rPr>
            </w:pPr>
            <w:r w:rsidRPr="00C05F4C">
              <w:rPr>
                <w:rFonts w:cs="Arial"/>
                <w:sz w:val="18"/>
                <w:szCs w:val="18"/>
              </w:rPr>
              <w:t>Business subscribers</w:t>
            </w:r>
          </w:p>
        </w:tc>
        <w:tc>
          <w:tcPr>
            <w:tcW w:w="1340" w:type="dxa"/>
            <w:shd w:val="clear" w:color="auto" w:fill="E9FBFB"/>
            <w:vAlign w:val="center"/>
          </w:tcPr>
          <w:p w14:paraId="23D00458"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38</w:t>
            </w:r>
          </w:p>
        </w:tc>
        <w:tc>
          <w:tcPr>
            <w:tcW w:w="1341" w:type="dxa"/>
            <w:shd w:val="clear" w:color="auto" w:fill="E9FBFB"/>
            <w:vAlign w:val="center"/>
          </w:tcPr>
          <w:p w14:paraId="7E437124"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43</w:t>
            </w:r>
          </w:p>
        </w:tc>
        <w:tc>
          <w:tcPr>
            <w:tcW w:w="1341" w:type="dxa"/>
            <w:shd w:val="clear" w:color="auto" w:fill="E9FBFB"/>
            <w:vAlign w:val="center"/>
          </w:tcPr>
          <w:p w14:paraId="7C5875B9"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47</w:t>
            </w:r>
          </w:p>
        </w:tc>
        <w:tc>
          <w:tcPr>
            <w:tcW w:w="1341" w:type="dxa"/>
            <w:shd w:val="clear" w:color="auto" w:fill="E9FBFB"/>
            <w:vAlign w:val="center"/>
          </w:tcPr>
          <w:p w14:paraId="68A93FF4" w14:textId="77777777" w:rsidR="00A42E26" w:rsidRPr="00FD7E86" w:rsidRDefault="00C9393A" w:rsidP="00717EDF">
            <w:pPr>
              <w:keepNext/>
              <w:keepLines/>
              <w:tabs>
                <w:tab w:val="left" w:pos="723"/>
              </w:tabs>
              <w:spacing w:after="40" w:line="240" w:lineRule="auto"/>
              <w:ind w:right="283"/>
              <w:jc w:val="right"/>
              <w:rPr>
                <w:rFonts w:cs="Arial"/>
                <w:sz w:val="18"/>
                <w:szCs w:val="18"/>
              </w:rPr>
            </w:pPr>
            <w:r w:rsidRPr="00FD7E86">
              <w:rPr>
                <w:rFonts w:cs="Arial"/>
                <w:sz w:val="18"/>
                <w:szCs w:val="18"/>
              </w:rPr>
              <w:t>+</w:t>
            </w:r>
            <w:r w:rsidR="00A42E26" w:rsidRPr="00FD7E86">
              <w:rPr>
                <w:rFonts w:cs="Arial"/>
                <w:sz w:val="18"/>
                <w:szCs w:val="18"/>
              </w:rPr>
              <w:t>9.3</w:t>
            </w:r>
          </w:p>
        </w:tc>
      </w:tr>
      <w:tr w:rsidR="00A42E26" w:rsidRPr="00FD7E86" w14:paraId="4859DD92" w14:textId="77777777" w:rsidTr="00D1031A">
        <w:trPr>
          <w:trHeight w:val="425"/>
        </w:trPr>
        <w:tc>
          <w:tcPr>
            <w:tcW w:w="1257" w:type="dxa"/>
            <w:vMerge/>
            <w:shd w:val="clear" w:color="auto" w:fill="65CDD5"/>
            <w:tcMar>
              <w:left w:w="113" w:type="dxa"/>
            </w:tcMar>
            <w:vAlign w:val="center"/>
          </w:tcPr>
          <w:p w14:paraId="74876A18"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09FE008D" w14:textId="77777777" w:rsidR="00A42E26" w:rsidRPr="00C05F4C" w:rsidRDefault="00A42E26" w:rsidP="00717EDF">
            <w:pPr>
              <w:keepNext/>
              <w:keepLines/>
              <w:spacing w:after="40" w:line="240" w:lineRule="auto"/>
              <w:ind w:right="187"/>
              <w:rPr>
                <w:rFonts w:cs="Arial"/>
                <w:spacing w:val="-28"/>
                <w:sz w:val="18"/>
                <w:szCs w:val="18"/>
              </w:rPr>
            </w:pPr>
            <w:r w:rsidRPr="00C05F4C">
              <w:rPr>
                <w:rFonts w:cs="Arial"/>
                <w:sz w:val="18"/>
                <w:szCs w:val="18"/>
              </w:rPr>
              <w:t>Wholesale</w:t>
            </w:r>
          </w:p>
        </w:tc>
        <w:tc>
          <w:tcPr>
            <w:tcW w:w="1340" w:type="dxa"/>
            <w:shd w:val="clear" w:color="auto" w:fill="E9FBFB"/>
            <w:vAlign w:val="center"/>
          </w:tcPr>
          <w:p w14:paraId="7067CF00" w14:textId="77777777" w:rsidR="00A42E26" w:rsidRPr="00FD7E86" w:rsidDel="0006558B"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25</w:t>
            </w:r>
          </w:p>
        </w:tc>
        <w:tc>
          <w:tcPr>
            <w:tcW w:w="1341" w:type="dxa"/>
            <w:shd w:val="clear" w:color="auto" w:fill="E9FBFB"/>
            <w:vAlign w:val="center"/>
          </w:tcPr>
          <w:p w14:paraId="597D3287"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25</w:t>
            </w:r>
          </w:p>
        </w:tc>
        <w:tc>
          <w:tcPr>
            <w:tcW w:w="1341" w:type="dxa"/>
            <w:shd w:val="clear" w:color="auto" w:fill="E9FBFB"/>
            <w:vAlign w:val="center"/>
          </w:tcPr>
          <w:p w14:paraId="330844E1"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24</w:t>
            </w:r>
          </w:p>
        </w:tc>
        <w:tc>
          <w:tcPr>
            <w:tcW w:w="1341" w:type="dxa"/>
            <w:shd w:val="clear" w:color="auto" w:fill="E9FBFB"/>
            <w:vAlign w:val="center"/>
          </w:tcPr>
          <w:p w14:paraId="5F472B6D" w14:textId="77777777" w:rsidR="00A42E26" w:rsidRPr="00FD7E86" w:rsidRDefault="00A42E26" w:rsidP="00717EDF">
            <w:pPr>
              <w:keepNext/>
              <w:keepLines/>
              <w:tabs>
                <w:tab w:val="left" w:pos="723"/>
              </w:tabs>
              <w:spacing w:after="40" w:line="240" w:lineRule="auto"/>
              <w:ind w:right="283"/>
              <w:jc w:val="right"/>
              <w:rPr>
                <w:rFonts w:cs="Arial"/>
                <w:sz w:val="18"/>
                <w:szCs w:val="18"/>
              </w:rPr>
            </w:pPr>
            <w:r w:rsidRPr="00FD7E86">
              <w:rPr>
                <w:rFonts w:cs="Arial"/>
                <w:sz w:val="18"/>
                <w:szCs w:val="18"/>
              </w:rPr>
              <w:t>–4</w:t>
            </w:r>
          </w:p>
        </w:tc>
      </w:tr>
      <w:tr w:rsidR="00A42E26" w:rsidRPr="00FD7E86" w14:paraId="62611F0F" w14:textId="77777777" w:rsidTr="00D1031A">
        <w:trPr>
          <w:trHeight w:val="425"/>
        </w:trPr>
        <w:tc>
          <w:tcPr>
            <w:tcW w:w="1257" w:type="dxa"/>
            <w:vMerge/>
            <w:shd w:val="clear" w:color="auto" w:fill="65CDD5"/>
            <w:tcMar>
              <w:left w:w="113" w:type="dxa"/>
            </w:tcMar>
            <w:vAlign w:val="center"/>
          </w:tcPr>
          <w:p w14:paraId="3A96163C" w14:textId="77777777" w:rsidR="00A42E26" w:rsidRPr="00FD7E86" w:rsidRDefault="00A42E26" w:rsidP="00717EDF">
            <w:pPr>
              <w:keepNext/>
              <w:keepLines/>
              <w:spacing w:line="240" w:lineRule="auto"/>
              <w:rPr>
                <w:rFonts w:cs="Arial"/>
                <w:b/>
                <w:color w:val="FFFFFF"/>
                <w:sz w:val="18"/>
                <w:szCs w:val="18"/>
              </w:rPr>
            </w:pPr>
          </w:p>
        </w:tc>
        <w:tc>
          <w:tcPr>
            <w:tcW w:w="2809" w:type="dxa"/>
            <w:shd w:val="clear" w:color="auto" w:fill="65CDD5"/>
            <w:tcMar>
              <w:left w:w="113" w:type="dxa"/>
            </w:tcMar>
            <w:vAlign w:val="center"/>
          </w:tcPr>
          <w:p w14:paraId="2ADFE0BA" w14:textId="77777777" w:rsidR="00A42E26" w:rsidRPr="00C05F4C" w:rsidRDefault="00A42E26" w:rsidP="00717EDF">
            <w:pPr>
              <w:keepNext/>
              <w:keepLines/>
              <w:spacing w:after="40" w:line="240" w:lineRule="auto"/>
              <w:ind w:right="187"/>
              <w:rPr>
                <w:rFonts w:cs="Arial"/>
                <w:sz w:val="18"/>
                <w:szCs w:val="18"/>
              </w:rPr>
            </w:pPr>
            <w:r w:rsidRPr="00C05F4C">
              <w:rPr>
                <w:rFonts w:cs="Arial"/>
                <w:b/>
                <w:sz w:val="18"/>
                <w:szCs w:val="18"/>
              </w:rPr>
              <w:t>Total fixed-broadband subscribers</w:t>
            </w:r>
          </w:p>
        </w:tc>
        <w:tc>
          <w:tcPr>
            <w:tcW w:w="1340" w:type="dxa"/>
            <w:shd w:val="clear" w:color="auto" w:fill="65CDD5" w:themeFill="accent2"/>
            <w:vAlign w:val="center"/>
          </w:tcPr>
          <w:p w14:paraId="69BD0CBF" w14:textId="77777777" w:rsidR="00A42E26" w:rsidRPr="00C05F4C" w:rsidDel="0006558B" w:rsidRDefault="00A42E26" w:rsidP="00717EDF">
            <w:pPr>
              <w:keepNext/>
              <w:keepLines/>
              <w:tabs>
                <w:tab w:val="left" w:pos="723"/>
              </w:tabs>
              <w:spacing w:after="40" w:line="240" w:lineRule="auto"/>
              <w:ind w:right="283"/>
              <w:jc w:val="right"/>
              <w:rPr>
                <w:rFonts w:cs="Arial"/>
                <w:sz w:val="18"/>
                <w:szCs w:val="18"/>
              </w:rPr>
            </w:pPr>
            <w:r w:rsidRPr="00C05F4C">
              <w:rPr>
                <w:rFonts w:cs="Arial"/>
                <w:b/>
                <w:sz w:val="18"/>
                <w:szCs w:val="18"/>
              </w:rPr>
              <w:t>413</w:t>
            </w:r>
          </w:p>
        </w:tc>
        <w:tc>
          <w:tcPr>
            <w:tcW w:w="1341" w:type="dxa"/>
            <w:shd w:val="clear" w:color="auto" w:fill="65CDD5" w:themeFill="accent2"/>
            <w:vAlign w:val="center"/>
          </w:tcPr>
          <w:p w14:paraId="149ED8AD"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482</w:t>
            </w:r>
          </w:p>
        </w:tc>
        <w:tc>
          <w:tcPr>
            <w:tcW w:w="1341" w:type="dxa"/>
            <w:shd w:val="clear" w:color="auto" w:fill="65CDD5" w:themeFill="accent2"/>
            <w:vAlign w:val="center"/>
          </w:tcPr>
          <w:p w14:paraId="2CEB1DCB" w14:textId="77777777" w:rsidR="00A42E26" w:rsidRPr="00C05F4C" w:rsidRDefault="00A42E26"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530</w:t>
            </w:r>
          </w:p>
        </w:tc>
        <w:tc>
          <w:tcPr>
            <w:tcW w:w="1341" w:type="dxa"/>
            <w:shd w:val="clear" w:color="auto" w:fill="65CDD5" w:themeFill="accent2"/>
            <w:vAlign w:val="center"/>
          </w:tcPr>
          <w:p w14:paraId="52E2D062" w14:textId="77777777" w:rsidR="00A42E26" w:rsidRPr="00C05F4C" w:rsidRDefault="00C9393A" w:rsidP="00717EDF">
            <w:pPr>
              <w:keepNext/>
              <w:keepLines/>
              <w:tabs>
                <w:tab w:val="left" w:pos="723"/>
              </w:tabs>
              <w:spacing w:after="40" w:line="240" w:lineRule="auto"/>
              <w:ind w:right="283"/>
              <w:jc w:val="right"/>
              <w:rPr>
                <w:rFonts w:cs="Arial"/>
                <w:b/>
                <w:sz w:val="18"/>
                <w:szCs w:val="18"/>
              </w:rPr>
            </w:pPr>
            <w:r w:rsidRPr="00C05F4C">
              <w:rPr>
                <w:rFonts w:cs="Arial"/>
                <w:b/>
                <w:sz w:val="18"/>
                <w:szCs w:val="18"/>
              </w:rPr>
              <w:t>+</w:t>
            </w:r>
            <w:r w:rsidR="00A42E26" w:rsidRPr="00C05F4C">
              <w:rPr>
                <w:rFonts w:cs="Arial"/>
                <w:b/>
                <w:sz w:val="18"/>
                <w:szCs w:val="18"/>
              </w:rPr>
              <w:t>10.0</w:t>
            </w:r>
          </w:p>
        </w:tc>
      </w:tr>
    </w:tbl>
    <w:p w14:paraId="42F16C06" w14:textId="77777777" w:rsidR="00B8253E" w:rsidRPr="00FD7E86" w:rsidRDefault="00B8253E" w:rsidP="00717EDF">
      <w:pPr>
        <w:pStyle w:val="ACMANotes"/>
        <w:keepNext/>
        <w:keepLines/>
      </w:pPr>
      <w:r w:rsidRPr="00FD7E86">
        <w:t>n/a=not available.</w:t>
      </w:r>
    </w:p>
    <w:p w14:paraId="42C9F965" w14:textId="77777777" w:rsidR="00C9393A" w:rsidRPr="00FD7E86" w:rsidRDefault="00A42E26" w:rsidP="00717EDF">
      <w:pPr>
        <w:pStyle w:val="ACMANotes"/>
        <w:keepNext/>
        <w:keepLines/>
        <w:rPr>
          <w:vertAlign w:val="superscript"/>
        </w:rPr>
      </w:pPr>
      <w:r w:rsidRPr="00FD7E86">
        <w:t>*Optus on-net includes HFC, ULL and business-grade broadband customers.</w:t>
      </w:r>
    </w:p>
    <w:p w14:paraId="59718203" w14:textId="77777777" w:rsidR="00A42E26" w:rsidRPr="00FD7E86" w:rsidRDefault="00A42E26" w:rsidP="00717EDF">
      <w:pPr>
        <w:pStyle w:val="ACMANotes"/>
        <w:keepNext/>
        <w:keepLines/>
      </w:pPr>
      <w:r w:rsidRPr="00FD7E86">
        <w:rPr>
          <w:vertAlign w:val="superscript"/>
        </w:rPr>
        <w:t>†</w:t>
      </w:r>
      <w:r w:rsidRPr="00FD7E86">
        <w:t xml:space="preserve">Revised from previous year. </w:t>
      </w:r>
    </w:p>
    <w:p w14:paraId="7295A3A0" w14:textId="77777777" w:rsidR="00A42E26" w:rsidRPr="00FD7E86" w:rsidRDefault="00A42E26" w:rsidP="00717EDF">
      <w:pPr>
        <w:pStyle w:val="ACMANotes"/>
        <w:keepNext/>
        <w:keepLines/>
      </w:pPr>
      <w:r w:rsidRPr="00FD7E86">
        <w:t xml:space="preserve">Note: Includes </w:t>
      </w:r>
      <w:r w:rsidR="00C26059" w:rsidRPr="00FD7E86">
        <w:t>resale</w:t>
      </w:r>
      <w:r w:rsidRPr="00FD7E86">
        <w:t xml:space="preserve"> figures. Terminology used is consistent with that used in company annual reports. The number of subscribers is measured using the number of subscriber lines rather than number of users. Subscribers may have multiple accounts with more than one ISP. Numbers presented in the table also includes SIO of subsidiaries. Numbers may not add up due to rounding. </w:t>
      </w:r>
    </w:p>
    <w:p w14:paraId="71B31899" w14:textId="77777777" w:rsidR="00A42E26" w:rsidRPr="00FD7E86" w:rsidRDefault="00A42E26" w:rsidP="00717EDF">
      <w:pPr>
        <w:pStyle w:val="ACMANotes"/>
        <w:keepNext/>
        <w:keepLines/>
      </w:pPr>
      <w:r w:rsidRPr="00FD7E86">
        <w:t>Source: Company annual reports and press releases.</w:t>
      </w:r>
    </w:p>
    <w:p w14:paraId="7EC39FF0" w14:textId="77777777" w:rsidR="008836B1" w:rsidRPr="00FD7E86" w:rsidRDefault="008836B1" w:rsidP="00C967A2">
      <w:pPr>
        <w:pStyle w:val="ACMASpaceaftertable"/>
        <w:rPr>
          <w:i/>
          <w:sz w:val="16"/>
          <w:szCs w:val="16"/>
        </w:rPr>
      </w:pPr>
    </w:p>
    <w:p w14:paraId="31DBABDB" w14:textId="77777777" w:rsidR="00A42E26" w:rsidRPr="00FD7E86" w:rsidRDefault="00A42E26" w:rsidP="001C1805">
      <w:pPr>
        <w:pStyle w:val="ACMAHeading2"/>
      </w:pPr>
      <w:bookmarkStart w:id="138" w:name="_Toc433790303"/>
      <w:r w:rsidRPr="00FD7E86">
        <w:lastRenderedPageBreak/>
        <w:t>Domain name registrations</w:t>
      </w:r>
      <w:bookmarkEnd w:id="138"/>
    </w:p>
    <w:p w14:paraId="535CB92A" w14:textId="77777777" w:rsidR="00A42E26" w:rsidRPr="00FD7E86" w:rsidRDefault="00A42E26" w:rsidP="00A42E26">
      <w:r w:rsidRPr="00FD7E86">
        <w:t xml:space="preserve">The number of domain names registered in Australia continues to increase. Companies and organisations conducting business in Australia continued to use the ‘.au’ domain to identify the locality of their business. </w:t>
      </w:r>
    </w:p>
    <w:p w14:paraId="27385A79" w14:textId="77777777" w:rsidR="00A42E26" w:rsidRPr="00FD7E86" w:rsidRDefault="00A42E26" w:rsidP="00A42E26">
      <w:r w:rsidRPr="00FD7E86">
        <w:t>The registration of .au domain names is administered by .auDA (.au Domain Administration Ltd). The .au country code for Australia covers the second-level domains of ‘.com.au’, ‘.edu.au’, ‘</w:t>
      </w:r>
      <w:r w:rsidR="003B1E02" w:rsidRPr="00FD7E86">
        <w:t>.</w:t>
      </w:r>
      <w:r w:rsidRPr="00FD7E86">
        <w:t>org.au’, ‘.asn.au’ and ‘.id.au’.</w:t>
      </w:r>
    </w:p>
    <w:p w14:paraId="37F3A21C" w14:textId="77777777" w:rsidR="00A42E26" w:rsidRPr="00FD7E86" w:rsidRDefault="00A42E26" w:rsidP="00A42E26">
      <w:r w:rsidRPr="00FD7E86">
        <w:t>In the 12 months to June 2015, the number of registered .au domain names increased by four per cent to 2.97 million. The ‘.com.au’ domain accounts for 86 per cent of second-level domains.</w:t>
      </w:r>
    </w:p>
    <w:p w14:paraId="189ED0F5" w14:textId="77777777" w:rsidR="00A42E26" w:rsidRPr="00FD7E86" w:rsidRDefault="00A42E26" w:rsidP="00A42E26">
      <w:r w:rsidRPr="00FD7E86">
        <w:t>In 2014–15, ‘.gov.au’ domain names were administered by the Department of Finance. At June 2015, 4,632 ‘.gov.au’ domain names were registered, down from 4,740 at June 2014</w:t>
      </w:r>
      <w:r w:rsidRPr="00FD7E86">
        <w:rPr>
          <w:rFonts w:cs="Arial"/>
          <w:szCs w:val="20"/>
        </w:rPr>
        <w:t>.</w:t>
      </w:r>
      <w:r w:rsidRPr="00FD7E86">
        <w:rPr>
          <w:rFonts w:cs="Arial"/>
          <w:szCs w:val="20"/>
          <w:vertAlign w:val="superscript"/>
        </w:rPr>
        <w:endnoteReference w:id="28"/>
      </w:r>
    </w:p>
    <w:p w14:paraId="1FC3171B" w14:textId="77777777" w:rsidR="00A42E26" w:rsidRPr="00FD7E86" w:rsidRDefault="00A42E26" w:rsidP="001C1805">
      <w:pPr>
        <w:pStyle w:val="ACMAHeading2"/>
      </w:pPr>
      <w:bookmarkStart w:id="139" w:name="_Toc399331720"/>
      <w:bookmarkStart w:id="140" w:name="_Toc399336901"/>
      <w:bookmarkStart w:id="141" w:name="_Toc402337500"/>
      <w:bookmarkStart w:id="142" w:name="_Toc433790304"/>
      <w:bookmarkStart w:id="143" w:name="_Toc371588984"/>
      <w:bookmarkStart w:id="144" w:name="_Toc373149046"/>
      <w:r w:rsidRPr="00FD7E86">
        <w:t xml:space="preserve">National </w:t>
      </w:r>
      <w:r w:rsidR="0070563F" w:rsidRPr="00FD7E86">
        <w:t>b</w:t>
      </w:r>
      <w:r w:rsidRPr="00FD7E86">
        <w:t xml:space="preserve">roadband </w:t>
      </w:r>
      <w:r w:rsidR="0070563F" w:rsidRPr="00FD7E86">
        <w:t>n</w:t>
      </w:r>
      <w:r w:rsidRPr="00FD7E86">
        <w:t>etwork</w:t>
      </w:r>
      <w:bookmarkEnd w:id="139"/>
      <w:bookmarkEnd w:id="140"/>
      <w:bookmarkEnd w:id="141"/>
      <w:bookmarkEnd w:id="142"/>
    </w:p>
    <w:p w14:paraId="1A5A20F5" w14:textId="77777777" w:rsidR="00A42E26" w:rsidRPr="00FD7E86" w:rsidRDefault="001F0646" w:rsidP="00A42E26">
      <w:r w:rsidRPr="00FD7E86">
        <w:t>NBN Co Limited (nbn) was established on 9 April 2009 to design, build and operate the national broadband network (</w:t>
      </w:r>
      <w:r w:rsidR="00A42E26" w:rsidRPr="00FD7E86">
        <w:t>nbn network</w:t>
      </w:r>
      <w:r w:rsidRPr="00FD7E86">
        <w:t>). The nbn network</w:t>
      </w:r>
      <w:r w:rsidR="00A42E26" w:rsidRPr="00FD7E86">
        <w:t xml:space="preserve"> is Australia’s first wholesale-only, open access broadband network and is </w:t>
      </w:r>
      <w:r w:rsidRPr="00FD7E86">
        <w:t>intended</w:t>
      </w:r>
      <w:r w:rsidR="00A42E26" w:rsidRPr="00FD7E86">
        <w:t xml:space="preserve"> to deliver high-speed broadband across Australia via a multi-technology mix including fibre, fixed wireless or satellite. The nbn network is an Australia-wide project to upgrade the existing fixed-line telephone and internet network infrastructure. Rollout of the nbn network is scheduled for completion by 2020</w:t>
      </w:r>
      <w:r w:rsidR="003B1E02" w:rsidRPr="00FD7E86">
        <w:t>,</w:t>
      </w:r>
      <w:r w:rsidR="00A42E26" w:rsidRPr="00FD7E86">
        <w:t xml:space="preserve"> with nbn now in a position to take ownership of Telstra’s copper and Hybrid Fibre Coaxial (HFC) cables.</w:t>
      </w:r>
      <w:r w:rsidR="00A42E26" w:rsidRPr="00FD7E86">
        <w:rPr>
          <w:vertAlign w:val="superscript"/>
        </w:rPr>
        <w:endnoteReference w:id="29"/>
      </w:r>
    </w:p>
    <w:p w14:paraId="0EAF08AF" w14:textId="77777777" w:rsidR="00A42E26" w:rsidRPr="00FD7E86" w:rsidRDefault="00A42E26" w:rsidP="00A42E26">
      <w:pPr>
        <w:spacing w:after="80"/>
      </w:pPr>
      <w:r w:rsidRPr="00FD7E86">
        <w:t xml:space="preserve">Table 1.4 provides an overview of premises serviceable or covered by the nbn network and the number of premises with nbn services activated. </w:t>
      </w:r>
      <w:r w:rsidR="003B1E02" w:rsidRPr="00FD7E86">
        <w:t>For</w:t>
      </w:r>
      <w:r w:rsidRPr="00FD7E86">
        <w:t xml:space="preserve"> premises serviceable or covered by the nbn </w:t>
      </w:r>
      <w:r w:rsidRPr="00FD7E86">
        <w:rPr>
          <w:rFonts w:cs="Arial"/>
        </w:rPr>
        <w:t>network</w:t>
      </w:r>
      <w:r w:rsidRPr="00FD7E86">
        <w:t xml:space="preserve"> at June 2015, nbn reported that:</w:t>
      </w:r>
    </w:p>
    <w:p w14:paraId="6BECE575" w14:textId="77777777" w:rsidR="00A42E26" w:rsidRPr="00FD7E86" w:rsidRDefault="00A42E26" w:rsidP="0016710A">
      <w:pPr>
        <w:pStyle w:val="ListBullet"/>
      </w:pPr>
      <w:r w:rsidRPr="00FD7E86">
        <w:rPr>
          <w:szCs w:val="18"/>
        </w:rPr>
        <w:t xml:space="preserve">836,680 </w:t>
      </w:r>
      <w:r w:rsidRPr="00FD7E86">
        <w:t>premises were serviceable by the nbn fibre network, an increase of 113 per cent since June 2014 (</w:t>
      </w:r>
      <w:r w:rsidRPr="00FD7E86">
        <w:rPr>
          <w:szCs w:val="18"/>
        </w:rPr>
        <w:t>392,410)</w:t>
      </w:r>
      <w:r w:rsidR="003B1E02" w:rsidRPr="00FD7E86">
        <w:rPr>
          <w:szCs w:val="18"/>
        </w:rPr>
        <w:t>, and</w:t>
      </w:r>
      <w:r w:rsidR="00C9393A" w:rsidRPr="00FD7E86">
        <w:rPr>
          <w:szCs w:val="18"/>
        </w:rPr>
        <w:t xml:space="preserve"> </w:t>
      </w:r>
      <w:r w:rsidRPr="00FD7E86">
        <w:t>268,397 premises were passed by the fixed</w:t>
      </w:r>
      <w:r w:rsidR="001364CE" w:rsidRPr="00FD7E86">
        <w:t>-</w:t>
      </w:r>
      <w:r w:rsidRPr="00FD7E86">
        <w:t xml:space="preserve">wireless network, an increase of </w:t>
      </w:r>
      <w:r w:rsidR="008C1297" w:rsidRPr="00FD7E86">
        <w:t>139</w:t>
      </w:r>
      <w:r w:rsidR="008C1297">
        <w:t> </w:t>
      </w:r>
      <w:r w:rsidRPr="00FD7E86">
        <w:t>per cent since June 2014 (</w:t>
      </w:r>
      <w:r w:rsidRPr="00FD7E86">
        <w:rPr>
          <w:szCs w:val="18"/>
        </w:rPr>
        <w:t>112,208)</w:t>
      </w:r>
      <w:r w:rsidRPr="00FD7E86">
        <w:t>.</w:t>
      </w:r>
    </w:p>
    <w:p w14:paraId="7A2BA912" w14:textId="77777777" w:rsidR="00A42E26" w:rsidRPr="00FD7E86" w:rsidRDefault="00A42E26" w:rsidP="0016710A">
      <w:pPr>
        <w:pStyle w:val="ListBulletLast"/>
      </w:pPr>
      <w:r w:rsidRPr="00FD7E86">
        <w:t>485,615 premises had activated an nbn service, an increase of 131 per cent since June 2014. This includes 399,854 premises connected to the fibre network and 85,761 premises connected to fixed</w:t>
      </w:r>
      <w:r w:rsidR="003B1E02" w:rsidRPr="00FD7E86">
        <w:t>-</w:t>
      </w:r>
      <w:r w:rsidRPr="00FD7E86">
        <w:t>wireless or satellite services.</w:t>
      </w:r>
    </w:p>
    <w:p w14:paraId="78020335" w14:textId="77777777" w:rsidR="00A42E26" w:rsidRPr="00FD7E86" w:rsidRDefault="00A42E26" w:rsidP="00FC7E5C">
      <w:pPr>
        <w:pStyle w:val="ACMATableHeader"/>
        <w:keepNext/>
        <w:keepLines/>
        <w:pageBreakBefore/>
        <w:numPr>
          <w:ilvl w:val="0"/>
          <w:numId w:val="0"/>
        </w:numPr>
      </w:pPr>
      <w:r w:rsidRPr="00FD7E86">
        <w:lastRenderedPageBreak/>
        <w:t>Table 1.4 Cumulative premises serviceable and premises activated—</w:t>
      </w:r>
      <w:r w:rsidRPr="00FD7E86">
        <w:rPr>
          <w:rFonts w:cs="Arial"/>
        </w:rPr>
        <w:t>nbn</w:t>
      </w:r>
      <w:r w:rsidRPr="00FD7E86">
        <w:t xml:space="preserve"> services</w:t>
      </w:r>
    </w:p>
    <w:tbl>
      <w:tblPr>
        <w:tblStyle w:val="Commsreport2014-15TABLE1"/>
        <w:tblW w:w="9429" w:type="dxa"/>
        <w:tblLayout w:type="fixed"/>
        <w:tblLook w:val="01E0" w:firstRow="1" w:lastRow="1" w:firstColumn="1" w:lastColumn="1" w:noHBand="0" w:noVBand="0"/>
        <w:tblCaption w:val="Table 1.4 Cumulative premises serviceable and premises activated—nbn services"/>
      </w:tblPr>
      <w:tblGrid>
        <w:gridCol w:w="826"/>
        <w:gridCol w:w="2804"/>
        <w:gridCol w:w="1679"/>
        <w:gridCol w:w="2289"/>
        <w:gridCol w:w="1831"/>
      </w:tblGrid>
      <w:tr w:rsidR="00A42E26" w:rsidRPr="000F1A43" w14:paraId="5E249421"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826" w:type="dxa"/>
            <w:shd w:val="clear" w:color="auto" w:fill="auto"/>
          </w:tcPr>
          <w:p w14:paraId="00420936" w14:textId="77777777" w:rsidR="00A42E26" w:rsidRPr="000F1A43" w:rsidRDefault="00A42E26" w:rsidP="000F1A43">
            <w:pPr>
              <w:pStyle w:val="TableHeading"/>
              <w:spacing w:before="20"/>
              <w:rPr>
                <w:b/>
              </w:rPr>
            </w:pPr>
          </w:p>
        </w:tc>
        <w:tc>
          <w:tcPr>
            <w:tcW w:w="2804" w:type="dxa"/>
            <w:shd w:val="clear" w:color="auto" w:fill="auto"/>
          </w:tcPr>
          <w:p w14:paraId="006800F6"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p>
        </w:tc>
        <w:tc>
          <w:tcPr>
            <w:tcW w:w="1679" w:type="dxa"/>
            <w:vAlign w:val="top"/>
          </w:tcPr>
          <w:p w14:paraId="30F99484"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at</w:t>
            </w:r>
            <w:r w:rsidR="008836B1" w:rsidRPr="000F1A43">
              <w:rPr>
                <w:b/>
              </w:rPr>
              <w:t xml:space="preserve"> </w:t>
            </w:r>
            <w:r w:rsidRPr="000F1A43">
              <w:rPr>
                <w:b/>
              </w:rPr>
              <w:t>30 Jun-14</w:t>
            </w:r>
          </w:p>
        </w:tc>
        <w:tc>
          <w:tcPr>
            <w:tcW w:w="2289" w:type="dxa"/>
            <w:vAlign w:val="top"/>
          </w:tcPr>
          <w:p w14:paraId="71C3682D" w14:textId="77777777" w:rsidR="00A42E26" w:rsidRPr="000F1A43" w:rsidRDefault="00A42E26"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 xml:space="preserve">at 30 Jun-15 </w:t>
            </w:r>
          </w:p>
        </w:tc>
        <w:tc>
          <w:tcPr>
            <w:tcW w:w="1831" w:type="dxa"/>
            <w:vAlign w:val="top"/>
          </w:tcPr>
          <w:p w14:paraId="70807188" w14:textId="77777777" w:rsidR="00C9393A" w:rsidRPr="000F1A43" w:rsidRDefault="00C9393A"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C</w:t>
            </w:r>
            <w:r w:rsidR="00A42E26" w:rsidRPr="000F1A43">
              <w:rPr>
                <w:b/>
              </w:rPr>
              <w:t>hange</w:t>
            </w:r>
          </w:p>
          <w:p w14:paraId="0A905549" w14:textId="77777777" w:rsidR="00A42E26" w:rsidRPr="000F1A43" w:rsidRDefault="00C9393A" w:rsidP="000F1A43">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0F1A43">
              <w:rPr>
                <w:b/>
              </w:rPr>
              <w:t>(%)</w:t>
            </w:r>
          </w:p>
        </w:tc>
      </w:tr>
      <w:tr w:rsidR="00A42E26" w:rsidRPr="00FD7E86" w14:paraId="50DAA847"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val="restart"/>
            <w:textDirection w:val="btLr"/>
          </w:tcPr>
          <w:p w14:paraId="3C53A22F" w14:textId="77777777" w:rsidR="00A42E26" w:rsidRPr="00FC7E5C" w:rsidRDefault="00A42E26" w:rsidP="002744B0">
            <w:pPr>
              <w:keepNext/>
              <w:keepLines/>
              <w:spacing w:before="40" w:after="40"/>
              <w:ind w:left="141" w:right="122"/>
              <w:jc w:val="center"/>
              <w:rPr>
                <w:color w:val="auto"/>
                <w:szCs w:val="18"/>
              </w:rPr>
            </w:pPr>
            <w:r w:rsidRPr="00FC7E5C">
              <w:rPr>
                <w:b/>
                <w:color w:val="auto"/>
                <w:szCs w:val="18"/>
              </w:rPr>
              <w:t>Premises serviceable</w:t>
            </w:r>
          </w:p>
        </w:tc>
        <w:tc>
          <w:tcPr>
            <w:tcW w:w="2804" w:type="dxa"/>
            <w:shd w:val="clear" w:color="auto" w:fill="65CDD5"/>
          </w:tcPr>
          <w:p w14:paraId="6F81CA00"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Fixed-line footprint*</w:t>
            </w:r>
          </w:p>
        </w:tc>
        <w:tc>
          <w:tcPr>
            <w:tcW w:w="1679" w:type="dxa"/>
          </w:tcPr>
          <w:p w14:paraId="612F558A"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392,410</w:t>
            </w:r>
          </w:p>
        </w:tc>
        <w:tc>
          <w:tcPr>
            <w:tcW w:w="2289" w:type="dxa"/>
          </w:tcPr>
          <w:p w14:paraId="6FF16C91"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836,680</w:t>
            </w:r>
          </w:p>
        </w:tc>
        <w:tc>
          <w:tcPr>
            <w:tcW w:w="1831" w:type="dxa"/>
          </w:tcPr>
          <w:p w14:paraId="1BDEE3EC"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+113</w:t>
            </w:r>
          </w:p>
        </w:tc>
      </w:tr>
      <w:tr w:rsidR="00A42E26" w:rsidRPr="00FD7E86" w14:paraId="35E1C7D5"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extDirection w:val="btLr"/>
          </w:tcPr>
          <w:p w14:paraId="6F7699EF" w14:textId="77777777" w:rsidR="00A42E26" w:rsidRPr="00FC7E5C" w:rsidRDefault="00A42E26" w:rsidP="002744B0">
            <w:pPr>
              <w:keepNext/>
              <w:keepLines/>
              <w:spacing w:before="40" w:after="40"/>
              <w:ind w:left="141" w:right="122"/>
              <w:jc w:val="center"/>
              <w:rPr>
                <w:color w:val="auto"/>
                <w:szCs w:val="18"/>
              </w:rPr>
            </w:pPr>
          </w:p>
        </w:tc>
        <w:tc>
          <w:tcPr>
            <w:tcW w:w="2804" w:type="dxa"/>
            <w:shd w:val="clear" w:color="auto" w:fill="65CDD5"/>
          </w:tcPr>
          <w:p w14:paraId="33FC667A"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Fixed</w:t>
            </w:r>
            <w:r w:rsidR="00FA20F7" w:rsidRPr="00C05F4C">
              <w:rPr>
                <w:szCs w:val="18"/>
              </w:rPr>
              <w:t xml:space="preserve"> </w:t>
            </w:r>
            <w:r w:rsidRPr="00C05F4C">
              <w:rPr>
                <w:szCs w:val="18"/>
              </w:rPr>
              <w:t>wireless</w:t>
            </w:r>
          </w:p>
        </w:tc>
        <w:tc>
          <w:tcPr>
            <w:tcW w:w="1679" w:type="dxa"/>
          </w:tcPr>
          <w:p w14:paraId="74F42B83"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112,208</w:t>
            </w:r>
          </w:p>
        </w:tc>
        <w:tc>
          <w:tcPr>
            <w:tcW w:w="2289" w:type="dxa"/>
          </w:tcPr>
          <w:p w14:paraId="56362E95"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268,397</w:t>
            </w:r>
          </w:p>
        </w:tc>
        <w:tc>
          <w:tcPr>
            <w:tcW w:w="1831" w:type="dxa"/>
          </w:tcPr>
          <w:p w14:paraId="77A5FCD7"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+139</w:t>
            </w:r>
          </w:p>
        </w:tc>
      </w:tr>
      <w:tr w:rsidR="00A42E26" w:rsidRPr="00FD7E86" w14:paraId="79063108"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extDirection w:val="btLr"/>
          </w:tcPr>
          <w:p w14:paraId="31BBF672" w14:textId="77777777" w:rsidR="00A42E26" w:rsidRPr="00FC7E5C" w:rsidRDefault="00A42E26" w:rsidP="002744B0">
            <w:pPr>
              <w:keepNext/>
              <w:keepLines/>
              <w:spacing w:before="40" w:after="40"/>
              <w:ind w:left="141" w:right="122"/>
              <w:jc w:val="center"/>
              <w:rPr>
                <w:color w:val="auto"/>
                <w:szCs w:val="18"/>
              </w:rPr>
            </w:pPr>
          </w:p>
        </w:tc>
        <w:tc>
          <w:tcPr>
            <w:tcW w:w="2804" w:type="dxa"/>
            <w:shd w:val="clear" w:color="auto" w:fill="65CDD5"/>
          </w:tcPr>
          <w:p w14:paraId="12EA3282"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Satellite</w:t>
            </w:r>
          </w:p>
        </w:tc>
        <w:tc>
          <w:tcPr>
            <w:tcW w:w="1679" w:type="dxa"/>
          </w:tcPr>
          <w:p w14:paraId="3DA05674"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48,000</w:t>
            </w:r>
          </w:p>
        </w:tc>
        <w:tc>
          <w:tcPr>
            <w:tcW w:w="2289" w:type="dxa"/>
          </w:tcPr>
          <w:p w14:paraId="4B2186F1"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48,000</w:t>
            </w:r>
          </w:p>
        </w:tc>
        <w:tc>
          <w:tcPr>
            <w:tcW w:w="1831" w:type="dxa"/>
          </w:tcPr>
          <w:p w14:paraId="6042AD7B"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0</w:t>
            </w:r>
          </w:p>
        </w:tc>
      </w:tr>
      <w:tr w:rsidR="00A42E26" w:rsidRPr="00FD7E86" w14:paraId="3AFBB5E0"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extDirection w:val="btLr"/>
          </w:tcPr>
          <w:p w14:paraId="7D93E894" w14:textId="77777777" w:rsidR="00A42E26" w:rsidRPr="00FC7E5C" w:rsidRDefault="00A42E26" w:rsidP="002744B0">
            <w:pPr>
              <w:keepNext/>
              <w:keepLines/>
              <w:spacing w:before="40" w:after="40"/>
              <w:ind w:left="141" w:right="122"/>
              <w:jc w:val="center"/>
              <w:rPr>
                <w:color w:val="auto"/>
                <w:szCs w:val="18"/>
              </w:rPr>
            </w:pPr>
          </w:p>
        </w:tc>
        <w:tc>
          <w:tcPr>
            <w:tcW w:w="2804" w:type="dxa"/>
            <w:shd w:val="clear" w:color="auto" w:fill="65CDD5"/>
          </w:tcPr>
          <w:p w14:paraId="2E4E6C87"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b/>
                <w:szCs w:val="18"/>
              </w:rPr>
              <w:t>Total</w:t>
            </w:r>
          </w:p>
        </w:tc>
        <w:tc>
          <w:tcPr>
            <w:tcW w:w="1679" w:type="dxa"/>
            <w:shd w:val="clear" w:color="auto" w:fill="65CDD5" w:themeFill="accent2"/>
          </w:tcPr>
          <w:p w14:paraId="11A64D24"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552,618</w:t>
            </w:r>
          </w:p>
        </w:tc>
        <w:tc>
          <w:tcPr>
            <w:tcW w:w="2289" w:type="dxa"/>
            <w:shd w:val="clear" w:color="auto" w:fill="65CDD5" w:themeFill="accent2"/>
          </w:tcPr>
          <w:p w14:paraId="33EA063E"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1,153,077</w:t>
            </w:r>
          </w:p>
        </w:tc>
        <w:tc>
          <w:tcPr>
            <w:tcW w:w="1831" w:type="dxa"/>
            <w:shd w:val="clear" w:color="auto" w:fill="65CDD5" w:themeFill="accent2"/>
          </w:tcPr>
          <w:p w14:paraId="33FE39C9"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+109</w:t>
            </w:r>
          </w:p>
        </w:tc>
      </w:tr>
      <w:tr w:rsidR="00A42E26" w:rsidRPr="00FD7E86" w14:paraId="00A21343"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val="restart"/>
            <w:textDirection w:val="btLr"/>
          </w:tcPr>
          <w:p w14:paraId="657D34C1" w14:textId="77777777" w:rsidR="00A42E26" w:rsidRPr="00FC7E5C" w:rsidRDefault="00A42E26" w:rsidP="002744B0">
            <w:pPr>
              <w:keepNext/>
              <w:keepLines/>
              <w:spacing w:before="40" w:after="40"/>
              <w:ind w:left="141" w:right="122"/>
              <w:jc w:val="center"/>
              <w:rPr>
                <w:color w:val="auto"/>
                <w:szCs w:val="18"/>
              </w:rPr>
            </w:pPr>
            <w:r w:rsidRPr="00FC7E5C">
              <w:rPr>
                <w:b/>
                <w:color w:val="auto"/>
                <w:szCs w:val="18"/>
              </w:rPr>
              <w:t xml:space="preserve">Premises </w:t>
            </w:r>
            <w:r w:rsidR="00924AB6">
              <w:rPr>
                <w:b/>
                <w:color w:val="auto"/>
                <w:szCs w:val="18"/>
              </w:rPr>
              <w:br/>
            </w:r>
            <w:r w:rsidRPr="00FC7E5C">
              <w:rPr>
                <w:b/>
                <w:color w:val="auto"/>
                <w:szCs w:val="18"/>
              </w:rPr>
              <w:t>activated</w:t>
            </w:r>
          </w:p>
        </w:tc>
        <w:tc>
          <w:tcPr>
            <w:tcW w:w="2804" w:type="dxa"/>
            <w:shd w:val="clear" w:color="auto" w:fill="65CDD5"/>
          </w:tcPr>
          <w:p w14:paraId="0F5DBCEA"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Fixed-line footprint</w:t>
            </w:r>
            <w:r w:rsidR="002E3388" w:rsidRPr="00C05F4C">
              <w:rPr>
                <w:szCs w:val="18"/>
              </w:rPr>
              <w:t>*</w:t>
            </w:r>
          </w:p>
        </w:tc>
        <w:tc>
          <w:tcPr>
            <w:tcW w:w="1679" w:type="dxa"/>
          </w:tcPr>
          <w:p w14:paraId="1A250698"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151,127</w:t>
            </w:r>
          </w:p>
        </w:tc>
        <w:tc>
          <w:tcPr>
            <w:tcW w:w="2289" w:type="dxa"/>
          </w:tcPr>
          <w:p w14:paraId="197AC7CB"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399,854</w:t>
            </w:r>
          </w:p>
        </w:tc>
        <w:tc>
          <w:tcPr>
            <w:tcW w:w="1831" w:type="dxa"/>
          </w:tcPr>
          <w:p w14:paraId="164F70AB"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+165</w:t>
            </w:r>
          </w:p>
        </w:tc>
      </w:tr>
      <w:tr w:rsidR="00A42E26" w:rsidRPr="00FD7E86" w14:paraId="1D9B817F"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cPr>
          <w:p w14:paraId="64C99B39" w14:textId="77777777" w:rsidR="00A42E26" w:rsidRPr="00FD7E86" w:rsidRDefault="00A42E26" w:rsidP="002744B0">
            <w:pPr>
              <w:keepNext/>
              <w:keepLines/>
              <w:spacing w:before="40" w:after="40"/>
              <w:ind w:left="141" w:right="122"/>
              <w:rPr>
                <w:szCs w:val="18"/>
              </w:rPr>
            </w:pPr>
          </w:p>
        </w:tc>
        <w:tc>
          <w:tcPr>
            <w:tcW w:w="2804" w:type="dxa"/>
            <w:shd w:val="clear" w:color="auto" w:fill="65CDD5"/>
          </w:tcPr>
          <w:p w14:paraId="2554C828"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Fixed</w:t>
            </w:r>
            <w:r w:rsidR="00FA20F7" w:rsidRPr="00C05F4C">
              <w:rPr>
                <w:szCs w:val="18"/>
              </w:rPr>
              <w:t xml:space="preserve"> </w:t>
            </w:r>
            <w:r w:rsidRPr="00C05F4C">
              <w:rPr>
                <w:szCs w:val="18"/>
              </w:rPr>
              <w:t>wireless</w:t>
            </w:r>
          </w:p>
        </w:tc>
        <w:tc>
          <w:tcPr>
            <w:tcW w:w="1679" w:type="dxa"/>
          </w:tcPr>
          <w:p w14:paraId="408F5B6E"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16,553</w:t>
            </w:r>
          </w:p>
        </w:tc>
        <w:tc>
          <w:tcPr>
            <w:tcW w:w="2289" w:type="dxa"/>
          </w:tcPr>
          <w:p w14:paraId="56B36DF1"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47,473</w:t>
            </w:r>
          </w:p>
        </w:tc>
        <w:tc>
          <w:tcPr>
            <w:tcW w:w="1831" w:type="dxa"/>
          </w:tcPr>
          <w:p w14:paraId="3C8D8E5E"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+187</w:t>
            </w:r>
          </w:p>
        </w:tc>
      </w:tr>
      <w:tr w:rsidR="00A42E26" w:rsidRPr="00FD7E86" w14:paraId="3E0A3EA6"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cPr>
          <w:p w14:paraId="71C39457" w14:textId="77777777" w:rsidR="00A42E26" w:rsidRPr="00FD7E86" w:rsidRDefault="00A42E26" w:rsidP="002744B0">
            <w:pPr>
              <w:keepNext/>
              <w:keepLines/>
              <w:spacing w:before="40" w:after="40"/>
              <w:ind w:left="141" w:right="122"/>
              <w:rPr>
                <w:szCs w:val="18"/>
              </w:rPr>
            </w:pPr>
          </w:p>
        </w:tc>
        <w:tc>
          <w:tcPr>
            <w:tcW w:w="2804" w:type="dxa"/>
            <w:shd w:val="clear" w:color="auto" w:fill="65CDD5"/>
          </w:tcPr>
          <w:p w14:paraId="771EB813"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szCs w:val="18"/>
              </w:rPr>
              <w:t>Satellite</w:t>
            </w:r>
          </w:p>
        </w:tc>
        <w:tc>
          <w:tcPr>
            <w:tcW w:w="1679" w:type="dxa"/>
          </w:tcPr>
          <w:p w14:paraId="7088B573"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42,948</w:t>
            </w:r>
          </w:p>
        </w:tc>
        <w:tc>
          <w:tcPr>
            <w:tcW w:w="2289" w:type="dxa"/>
          </w:tcPr>
          <w:p w14:paraId="47A5E30E"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38,288</w:t>
            </w:r>
          </w:p>
        </w:tc>
        <w:tc>
          <w:tcPr>
            <w:tcW w:w="1831" w:type="dxa"/>
          </w:tcPr>
          <w:p w14:paraId="420467AD" w14:textId="77777777" w:rsidR="00A42E26" w:rsidRPr="00FD7E86"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–11+</w:t>
            </w:r>
          </w:p>
        </w:tc>
      </w:tr>
      <w:tr w:rsidR="00A42E26" w:rsidRPr="00FD7E86" w14:paraId="40A6BD28" w14:textId="77777777" w:rsidTr="002744B0">
        <w:trPr>
          <w:trHeight w:val="454"/>
        </w:trPr>
        <w:tc>
          <w:tcPr>
            <w:cnfStyle w:val="001000000000" w:firstRow="0" w:lastRow="0" w:firstColumn="1" w:lastColumn="0" w:oddVBand="0" w:evenVBand="0" w:oddHBand="0" w:evenHBand="0" w:firstRowFirstColumn="0" w:firstRowLastColumn="0" w:lastRowFirstColumn="0" w:lastRowLastColumn="0"/>
            <w:tcW w:w="826" w:type="dxa"/>
            <w:vMerge/>
          </w:tcPr>
          <w:p w14:paraId="2A12483D" w14:textId="77777777" w:rsidR="00A42E26" w:rsidRPr="00FD7E86" w:rsidRDefault="00A42E26" w:rsidP="002744B0">
            <w:pPr>
              <w:keepNext/>
              <w:keepLines/>
              <w:spacing w:before="40" w:after="40"/>
              <w:ind w:left="141" w:right="122"/>
              <w:rPr>
                <w:szCs w:val="18"/>
              </w:rPr>
            </w:pPr>
          </w:p>
        </w:tc>
        <w:tc>
          <w:tcPr>
            <w:tcW w:w="2804" w:type="dxa"/>
            <w:shd w:val="clear" w:color="auto" w:fill="65CDD5"/>
          </w:tcPr>
          <w:p w14:paraId="1A6A0F26" w14:textId="77777777" w:rsidR="00A42E26" w:rsidRPr="00C05F4C" w:rsidRDefault="00A42E26" w:rsidP="002744B0">
            <w:pPr>
              <w:keepNext/>
              <w:keepLines/>
              <w:spacing w:before="40" w:after="40"/>
              <w:ind w:left="77" w:right="141"/>
              <w:cnfStyle w:val="000000000000" w:firstRow="0" w:lastRow="0" w:firstColumn="0" w:lastColumn="0" w:oddVBand="0" w:evenVBand="0" w:oddHBand="0" w:evenHBand="0" w:firstRowFirstColumn="0" w:firstRowLastColumn="0" w:lastRowFirstColumn="0" w:lastRowLastColumn="0"/>
              <w:rPr>
                <w:szCs w:val="18"/>
              </w:rPr>
            </w:pPr>
            <w:r w:rsidRPr="00C05F4C">
              <w:rPr>
                <w:b/>
                <w:szCs w:val="18"/>
              </w:rPr>
              <w:t>Total</w:t>
            </w:r>
          </w:p>
        </w:tc>
        <w:tc>
          <w:tcPr>
            <w:tcW w:w="1679" w:type="dxa"/>
            <w:shd w:val="clear" w:color="auto" w:fill="65CDD5" w:themeFill="accent2"/>
          </w:tcPr>
          <w:p w14:paraId="71D3E71D"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210,628</w:t>
            </w:r>
          </w:p>
        </w:tc>
        <w:tc>
          <w:tcPr>
            <w:tcW w:w="2289" w:type="dxa"/>
            <w:shd w:val="clear" w:color="auto" w:fill="65CDD5" w:themeFill="accent2"/>
          </w:tcPr>
          <w:p w14:paraId="69563A38"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485,615</w:t>
            </w:r>
          </w:p>
        </w:tc>
        <w:tc>
          <w:tcPr>
            <w:tcW w:w="1831" w:type="dxa"/>
            <w:shd w:val="clear" w:color="auto" w:fill="65CDD5" w:themeFill="accent2"/>
          </w:tcPr>
          <w:p w14:paraId="2C046BC2" w14:textId="77777777" w:rsidR="00A42E26" w:rsidRPr="00C05F4C" w:rsidRDefault="00A42E26" w:rsidP="002744B0">
            <w:pPr>
              <w:keepNext/>
              <w:keepLines/>
              <w:tabs>
                <w:tab w:val="left" w:pos="908"/>
              </w:tabs>
              <w:spacing w:before="40" w:after="40"/>
              <w:ind w:right="141"/>
              <w:cnfStyle w:val="000000000000" w:firstRow="0" w:lastRow="0" w:firstColumn="0" w:lastColumn="0" w:oddVBand="0" w:evenVBand="0" w:oddHBand="0" w:evenHBand="0" w:firstRowFirstColumn="0" w:firstRowLastColumn="0" w:lastRowFirstColumn="0" w:lastRowLastColumn="0"/>
              <w:rPr>
                <w:b/>
                <w:szCs w:val="18"/>
              </w:rPr>
            </w:pPr>
            <w:r w:rsidRPr="00C05F4C">
              <w:rPr>
                <w:b/>
                <w:szCs w:val="18"/>
              </w:rPr>
              <w:t>+131</w:t>
            </w:r>
          </w:p>
        </w:tc>
      </w:tr>
    </w:tbl>
    <w:p w14:paraId="57B36C8A" w14:textId="77777777" w:rsidR="00A42E26" w:rsidRPr="00FD7E86" w:rsidRDefault="002E3388" w:rsidP="00FC7E5C">
      <w:pPr>
        <w:pStyle w:val="ACMANotes"/>
        <w:keepNext/>
        <w:keepLines/>
      </w:pPr>
      <w:r w:rsidRPr="00C05F4C">
        <w:rPr>
          <w:szCs w:val="18"/>
        </w:rPr>
        <w:t>*</w:t>
      </w:r>
      <w:r w:rsidR="00A42E26" w:rsidRPr="00FD7E86">
        <w:t>Fixed-line footprint refers to all non-fixed wireless or satellite connections.</w:t>
      </w:r>
    </w:p>
    <w:p w14:paraId="1957CF24" w14:textId="77777777" w:rsidR="00A42E26" w:rsidRPr="00FD7E86" w:rsidRDefault="00F54173" w:rsidP="00FC7E5C">
      <w:pPr>
        <w:pStyle w:val="ACMANotes"/>
        <w:keepNext/>
        <w:keepLines/>
      </w:pPr>
      <w:r w:rsidRPr="00FD7E86">
        <w:t xml:space="preserve">Note: Premises serviceable refers to brownfield (existing) premises in a rollout region that is ready for service, greenfield (new development) lots/premises passed (by the nbn network) and/or premises covered by fixed wireless and satellite. It does not include Service Class Zero (SC0). SC0 are premises in the nbn fibre network footprint that cannot presently be provided with an nbn fibre service. For further </w:t>
      </w:r>
      <w:r w:rsidR="00AD6BE1" w:rsidRPr="00FD7E86">
        <w:t>definition,</w:t>
      </w:r>
      <w:r w:rsidRPr="00FD7E86">
        <w:t xml:space="preserve"> see WBA Dictionary at: </w:t>
      </w:r>
      <w:hyperlink r:id="rId43" w:history="1">
        <w:r w:rsidRPr="00FD7E86">
          <w:t>http://www.nbnco.com.au/content/dam/nbnco/documents/sfaa-wba2-dictionary_20140430.pdf</w:t>
        </w:r>
      </w:hyperlink>
      <w:r w:rsidRPr="00FD7E86">
        <w:t>.</w:t>
      </w:r>
      <w:r w:rsidR="00A42E26" w:rsidRPr="00FD7E86">
        <w:t xml:space="preserve">Premises activated refers to premises </w:t>
      </w:r>
      <w:r w:rsidR="00AD6BE1">
        <w:t>that</w:t>
      </w:r>
      <w:r w:rsidR="00A42E26" w:rsidRPr="00FD7E86">
        <w:t xml:space="preserve"> have an active service installed. Premises are activated after receiving and provisioning a service order from a retail service provider to install a new service.</w:t>
      </w:r>
    </w:p>
    <w:p w14:paraId="58B245DC" w14:textId="77777777" w:rsidR="00A42E26" w:rsidRPr="00FD7E86" w:rsidRDefault="00A42E26" w:rsidP="00FC7E5C">
      <w:pPr>
        <w:pStyle w:val="ACMANotes"/>
        <w:keepNext/>
        <w:keepLines/>
        <w:rPr>
          <w:szCs w:val="16"/>
        </w:rPr>
      </w:pPr>
      <w:r w:rsidRPr="00FD7E86">
        <w:rPr>
          <w:szCs w:val="16"/>
        </w:rPr>
        <w:t xml:space="preserve">Source: nbn, </w:t>
      </w:r>
      <w:hyperlink r:id="rId44" w:history="1">
        <w:r w:rsidRPr="00FD7E86">
          <w:rPr>
            <w:i w:val="0"/>
            <w:szCs w:val="16"/>
          </w:rPr>
          <w:t>Annual report 2014–15</w:t>
        </w:r>
      </w:hyperlink>
      <w:r w:rsidRPr="00FD7E86">
        <w:rPr>
          <w:szCs w:val="16"/>
        </w:rPr>
        <w:t>, August 2015.</w:t>
      </w:r>
    </w:p>
    <w:p w14:paraId="4A2EE216" w14:textId="77777777" w:rsidR="008836B1" w:rsidRPr="00FD7E86" w:rsidRDefault="008836B1" w:rsidP="00976BA1">
      <w:pPr>
        <w:pStyle w:val="ACMASpaceaftertable"/>
        <w:rPr>
          <w:i/>
          <w:sz w:val="16"/>
          <w:szCs w:val="16"/>
        </w:rPr>
      </w:pPr>
    </w:p>
    <w:p w14:paraId="03A445AE" w14:textId="77777777" w:rsidR="00A42E26" w:rsidRPr="00FD7E86" w:rsidRDefault="00A42E26" w:rsidP="0016710A">
      <w:pPr>
        <w:pStyle w:val="ACMAHeading2"/>
      </w:pPr>
      <w:bookmarkStart w:id="145" w:name="_Toc433790305"/>
      <w:r w:rsidRPr="00FD7E86">
        <w:t>Copper network switch-off</w:t>
      </w:r>
      <w:bookmarkEnd w:id="145"/>
      <w:r w:rsidRPr="00FD7E86">
        <w:t xml:space="preserve"> </w:t>
      </w:r>
    </w:p>
    <w:p w14:paraId="5011D5F6" w14:textId="77777777" w:rsidR="00A42E26" w:rsidRPr="00FD7E86" w:rsidRDefault="00A42E26" w:rsidP="00A42E26">
      <w:r w:rsidRPr="00FD7E86">
        <w:t xml:space="preserve">From 23 May 2014, the nbn began replacing most existing fixed-line telephone links, ADSL internet and Telstra cable internet services (HFC) in the first 15 Fibre Serving Area Modules (FSAMs). </w:t>
      </w:r>
    </w:p>
    <w:p w14:paraId="574A2F95" w14:textId="77777777" w:rsidR="00A42E26" w:rsidRPr="00FD7E86" w:rsidRDefault="00A42E26" w:rsidP="00A42E26">
      <w:r w:rsidRPr="00FD7E86">
        <w:t xml:space="preserve">All premises within the </w:t>
      </w:r>
      <w:r w:rsidRPr="00FD7E86">
        <w:rPr>
          <w:rFonts w:cs="Arial"/>
        </w:rPr>
        <w:t>nbn</w:t>
      </w:r>
      <w:r w:rsidRPr="00FD7E86">
        <w:t xml:space="preserve"> fibre footprint in each region are required to switch over to the nbn </w:t>
      </w:r>
      <w:r w:rsidR="00DF6ED0" w:rsidRPr="00FD7E86">
        <w:t xml:space="preserve">network </w:t>
      </w:r>
      <w:r w:rsidRPr="00FD7E86">
        <w:t xml:space="preserve">before the designated switch-off date to continue receiving fixed-line </w:t>
      </w:r>
      <w:r w:rsidR="00DD71D8" w:rsidRPr="00FD7E86">
        <w:t>tele</w:t>
      </w:r>
      <w:r w:rsidRPr="00FD7E86">
        <w:t>phone and internet services. Table 1.5 shows the locations disconnected from the copper network during the reporting period.</w:t>
      </w:r>
    </w:p>
    <w:p w14:paraId="54105293" w14:textId="77777777" w:rsidR="00A42E26" w:rsidRPr="00FD7E86" w:rsidRDefault="0016710A" w:rsidP="000F1A43">
      <w:pPr>
        <w:pStyle w:val="ACMATableHeader"/>
        <w:keepNext/>
        <w:keepLines/>
        <w:numPr>
          <w:ilvl w:val="0"/>
          <w:numId w:val="0"/>
        </w:numPr>
      </w:pPr>
      <w:r w:rsidRPr="00FD7E86">
        <w:lastRenderedPageBreak/>
        <w:t xml:space="preserve">Table 1.5 </w:t>
      </w:r>
      <w:r w:rsidR="00A42E26" w:rsidRPr="00FD7E86">
        <w:t xml:space="preserve">nbn </w:t>
      </w:r>
      <w:r w:rsidR="00DF6ED0" w:rsidRPr="00FD7E86">
        <w:t xml:space="preserve">network </w:t>
      </w:r>
      <w:r w:rsidR="00A42E26" w:rsidRPr="00FD7E86">
        <w:t>rollout: Locations/regions disconnected from the copper network 2014</w:t>
      </w:r>
      <w:r w:rsidR="008804A6" w:rsidRPr="00FD7E86">
        <w:t>–</w:t>
      </w:r>
      <w:r w:rsidR="00A42E26" w:rsidRPr="00FD7E86">
        <w:t xml:space="preserve">15 </w:t>
      </w:r>
    </w:p>
    <w:tbl>
      <w:tblPr>
        <w:tblStyle w:val="Commsreport2014-15TABLE"/>
        <w:tblW w:w="9429" w:type="dxa"/>
        <w:tblLook w:val="04A0" w:firstRow="1" w:lastRow="0" w:firstColumn="1" w:lastColumn="0" w:noHBand="0" w:noVBand="1"/>
        <w:tblCaption w:val="Table 1.5 nbn network rollout: Locations/regions disconnected from the copper network 2014–15 "/>
      </w:tblPr>
      <w:tblGrid>
        <w:gridCol w:w="2120"/>
        <w:gridCol w:w="7309"/>
      </w:tblGrid>
      <w:tr w:rsidR="00A42E26" w:rsidRPr="000F1A43" w14:paraId="60B5E018"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980" w:type="dxa"/>
          </w:tcPr>
          <w:p w14:paraId="113CBD61" w14:textId="77777777" w:rsidR="00A42E26" w:rsidRPr="000F1A43" w:rsidRDefault="00A42E26" w:rsidP="000F1A43">
            <w:pPr>
              <w:pStyle w:val="TableHeading"/>
              <w:keepNext/>
              <w:keepLines/>
              <w:spacing w:before="20"/>
              <w:rPr>
                <w:b/>
              </w:rPr>
            </w:pPr>
            <w:r w:rsidRPr="000F1A43">
              <w:rPr>
                <w:b/>
              </w:rPr>
              <w:t>State/Territory</w:t>
            </w:r>
          </w:p>
        </w:tc>
        <w:tc>
          <w:tcPr>
            <w:tcW w:w="6827" w:type="dxa"/>
          </w:tcPr>
          <w:p w14:paraId="6239DBE6" w14:textId="77777777" w:rsidR="00A42E26" w:rsidRPr="000F1A43" w:rsidRDefault="00A42E26" w:rsidP="000F1A43">
            <w:pPr>
              <w:pStyle w:val="TableHeading"/>
              <w:keepNext/>
              <w:keepLines/>
              <w:spacing w:before="20"/>
              <w:jc w:val="left"/>
              <w:cnfStyle w:val="100000000000" w:firstRow="1" w:lastRow="0" w:firstColumn="0" w:lastColumn="0" w:oddVBand="0" w:evenVBand="0" w:oddHBand="0" w:evenHBand="0" w:firstRowFirstColumn="0" w:firstRowLastColumn="0" w:lastRowFirstColumn="0" w:lastRowLastColumn="0"/>
              <w:rPr>
                <w:b/>
              </w:rPr>
            </w:pPr>
            <w:r w:rsidRPr="000F1A43">
              <w:rPr>
                <w:b/>
              </w:rPr>
              <w:t>Location/region</w:t>
            </w:r>
          </w:p>
        </w:tc>
      </w:tr>
      <w:tr w:rsidR="00A42E26" w:rsidRPr="00FD7E86" w14:paraId="731744C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3C62D4E2" w14:textId="77777777" w:rsidR="00A42E26" w:rsidRPr="00582E43" w:rsidRDefault="00A42E26" w:rsidP="000F1A43">
            <w:pPr>
              <w:keepNext/>
              <w:keepLines/>
              <w:spacing w:before="40" w:after="40"/>
              <w:ind w:left="77" w:right="141"/>
              <w:rPr>
                <w:color w:val="auto"/>
                <w:szCs w:val="18"/>
              </w:rPr>
            </w:pPr>
            <w:r w:rsidRPr="00582E43">
              <w:rPr>
                <w:color w:val="auto"/>
                <w:szCs w:val="18"/>
              </w:rPr>
              <w:t>ACT</w:t>
            </w:r>
          </w:p>
        </w:tc>
        <w:tc>
          <w:tcPr>
            <w:tcW w:w="6827" w:type="dxa"/>
            <w:vAlign w:val="top"/>
          </w:tcPr>
          <w:p w14:paraId="368DA59D" w14:textId="77777777" w:rsidR="00A42E26" w:rsidRPr="00FD7E86" w:rsidRDefault="00A42E26" w:rsidP="000F1A43">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Franklin, Gungahlin, Harrison, </w:t>
            </w:r>
            <w:r w:rsidR="00300087" w:rsidRPr="00FD7E86">
              <w:rPr>
                <w:szCs w:val="18"/>
              </w:rPr>
              <w:t xml:space="preserve">Lyneham, </w:t>
            </w:r>
            <w:r w:rsidRPr="00FD7E86">
              <w:rPr>
                <w:szCs w:val="18"/>
              </w:rPr>
              <w:t xml:space="preserve">Mitchell, </w:t>
            </w:r>
            <w:r w:rsidR="00300087" w:rsidRPr="00FD7E86">
              <w:rPr>
                <w:szCs w:val="18"/>
              </w:rPr>
              <w:t>Nicholls</w:t>
            </w:r>
            <w:r w:rsidRPr="00FD7E86">
              <w:rPr>
                <w:szCs w:val="18"/>
              </w:rPr>
              <w:t xml:space="preserve">, Palmerston, Watson </w:t>
            </w:r>
          </w:p>
        </w:tc>
      </w:tr>
      <w:tr w:rsidR="00A42E26" w:rsidRPr="00FD7E86" w14:paraId="0810E15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5EB5C6AD" w14:textId="77777777" w:rsidR="00A42E26" w:rsidRPr="00582E43" w:rsidRDefault="00A42E26" w:rsidP="000F1A43">
            <w:pPr>
              <w:keepNext/>
              <w:keepLines/>
              <w:spacing w:before="40" w:after="40"/>
              <w:ind w:left="77" w:right="141"/>
              <w:rPr>
                <w:color w:val="auto"/>
                <w:szCs w:val="18"/>
              </w:rPr>
            </w:pPr>
            <w:r w:rsidRPr="00582E43">
              <w:rPr>
                <w:color w:val="auto"/>
                <w:szCs w:val="18"/>
              </w:rPr>
              <w:t>NSW</w:t>
            </w:r>
          </w:p>
        </w:tc>
        <w:tc>
          <w:tcPr>
            <w:tcW w:w="6827" w:type="dxa"/>
            <w:vAlign w:val="top"/>
          </w:tcPr>
          <w:p w14:paraId="7E93D2F4" w14:textId="77777777" w:rsidR="00A42E26" w:rsidRPr="00FD7E86" w:rsidRDefault="00A42E26" w:rsidP="000F1A43">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Armidale, Berkeley Vale, Blacktown, Boambee, Boambee East, Bonville, Coffs Harbour, East Gosford, </w:t>
            </w:r>
            <w:r w:rsidR="00300087" w:rsidRPr="00FD7E86">
              <w:rPr>
                <w:szCs w:val="18"/>
              </w:rPr>
              <w:t xml:space="preserve">Fountaindale, </w:t>
            </w:r>
            <w:r w:rsidRPr="00FD7E86">
              <w:rPr>
                <w:szCs w:val="18"/>
              </w:rPr>
              <w:t xml:space="preserve">Glenning Valley, Gosford, Homebush, Jamisontown, Kiama, Kingswood, Lalor Park, Lidcombe, North Boambee Valley, Penrith, Point Frederick, Riverstone, </w:t>
            </w:r>
            <w:r w:rsidR="00AB359F" w:rsidRPr="00FD7E86">
              <w:rPr>
                <w:szCs w:val="18"/>
              </w:rPr>
              <w:t xml:space="preserve">Sawtell, </w:t>
            </w:r>
            <w:r w:rsidRPr="00FD7E86">
              <w:rPr>
                <w:szCs w:val="18"/>
              </w:rPr>
              <w:t>Springfield, Strathfield, Toormina, West Gosford, Windsor</w:t>
            </w:r>
          </w:p>
        </w:tc>
      </w:tr>
      <w:tr w:rsidR="00A42E26" w:rsidRPr="00FD7E86" w14:paraId="24FE573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0AA2770B" w14:textId="77777777" w:rsidR="00A42E26" w:rsidRPr="00582E43" w:rsidRDefault="00A42E26" w:rsidP="000F1A43">
            <w:pPr>
              <w:keepNext/>
              <w:keepLines/>
              <w:spacing w:before="40" w:after="40"/>
              <w:ind w:left="77" w:right="141"/>
              <w:rPr>
                <w:color w:val="auto"/>
                <w:szCs w:val="18"/>
              </w:rPr>
            </w:pPr>
            <w:r w:rsidRPr="00582E43">
              <w:rPr>
                <w:color w:val="auto"/>
                <w:szCs w:val="18"/>
              </w:rPr>
              <w:t>NT</w:t>
            </w:r>
          </w:p>
        </w:tc>
        <w:tc>
          <w:tcPr>
            <w:tcW w:w="6827" w:type="dxa"/>
            <w:vAlign w:val="top"/>
          </w:tcPr>
          <w:p w14:paraId="15BD94B3" w14:textId="77777777" w:rsidR="00A42E26" w:rsidRPr="00FD7E86" w:rsidRDefault="00A42E26" w:rsidP="000F1A43">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Darwin City</w:t>
            </w:r>
          </w:p>
        </w:tc>
      </w:tr>
      <w:tr w:rsidR="00A42E26" w:rsidRPr="00FD7E86" w14:paraId="5E59BA9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4C65B28D" w14:textId="77777777" w:rsidR="00A42E26" w:rsidRPr="00582E43" w:rsidRDefault="00A42E26" w:rsidP="00717EDF">
            <w:pPr>
              <w:keepNext/>
              <w:keepLines/>
              <w:spacing w:before="40" w:after="40"/>
              <w:ind w:left="77" w:right="141"/>
              <w:rPr>
                <w:color w:val="auto"/>
                <w:szCs w:val="18"/>
              </w:rPr>
            </w:pPr>
            <w:r w:rsidRPr="00582E43">
              <w:rPr>
                <w:color w:val="auto"/>
                <w:szCs w:val="18"/>
              </w:rPr>
              <w:t>Q</w:t>
            </w:r>
            <w:r w:rsidR="008C1297" w:rsidRPr="00582E43">
              <w:rPr>
                <w:color w:val="auto"/>
                <w:szCs w:val="18"/>
              </w:rPr>
              <w:t>ld</w:t>
            </w:r>
          </w:p>
        </w:tc>
        <w:tc>
          <w:tcPr>
            <w:tcW w:w="6827" w:type="dxa"/>
            <w:vAlign w:val="top"/>
          </w:tcPr>
          <w:p w14:paraId="747F9A92" w14:textId="77777777" w:rsidR="00A42E26" w:rsidRPr="00FD7E86" w:rsidRDefault="00A42E26" w:rsidP="00AD6BE1">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Aspley, Cairns City, Castle Hill, </w:t>
            </w:r>
            <w:r w:rsidR="00300087" w:rsidRPr="00FD7E86">
              <w:rPr>
                <w:szCs w:val="18"/>
              </w:rPr>
              <w:t xml:space="preserve">Collingwood Park, </w:t>
            </w:r>
            <w:r w:rsidRPr="00FD7E86">
              <w:rPr>
                <w:szCs w:val="18"/>
              </w:rPr>
              <w:t>Cranbrook, East Mackay, East Toowoomba, Harlaxton, Mackay, Mount Kynoch, Northgate, North Toowoomba, North Ward, Nundah, Railway Estate, Redbank Plains, Redwood, South Townsville</w:t>
            </w:r>
            <w:r w:rsidR="00E57194" w:rsidRPr="00FD7E86">
              <w:rPr>
                <w:szCs w:val="18"/>
              </w:rPr>
              <w:t>,</w:t>
            </w:r>
            <w:r w:rsidRPr="00FD7E86">
              <w:rPr>
                <w:szCs w:val="18"/>
              </w:rPr>
              <w:t xml:space="preserve"> Toowoomba, Townsville City, West End, Withcott, Zillmere</w:t>
            </w:r>
          </w:p>
        </w:tc>
      </w:tr>
      <w:tr w:rsidR="00A42E26" w:rsidRPr="00FD7E86" w14:paraId="7E8A8CE1"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33580DE5" w14:textId="77777777" w:rsidR="00A42E26" w:rsidRPr="00582E43" w:rsidRDefault="00A42E26" w:rsidP="00717EDF">
            <w:pPr>
              <w:keepNext/>
              <w:keepLines/>
              <w:spacing w:before="40" w:after="40"/>
              <w:ind w:left="77" w:right="141"/>
              <w:rPr>
                <w:color w:val="auto"/>
                <w:szCs w:val="18"/>
              </w:rPr>
            </w:pPr>
            <w:r w:rsidRPr="00582E43">
              <w:rPr>
                <w:color w:val="auto"/>
                <w:szCs w:val="18"/>
              </w:rPr>
              <w:t>SA</w:t>
            </w:r>
          </w:p>
        </w:tc>
        <w:tc>
          <w:tcPr>
            <w:tcW w:w="6827" w:type="dxa"/>
            <w:vAlign w:val="top"/>
          </w:tcPr>
          <w:p w14:paraId="5419D844" w14:textId="77777777" w:rsidR="00A42E26" w:rsidRPr="00FD7E86" w:rsidRDefault="00A42E26" w:rsidP="00AD6BE1">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McLaren Vale </w:t>
            </w:r>
          </w:p>
        </w:tc>
      </w:tr>
      <w:tr w:rsidR="00A42E26" w:rsidRPr="00FD7E86" w14:paraId="68929C4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244B8E53" w14:textId="77777777" w:rsidR="00A42E26" w:rsidRPr="00582E43" w:rsidRDefault="00A42E26" w:rsidP="00717EDF">
            <w:pPr>
              <w:keepNext/>
              <w:keepLines/>
              <w:spacing w:before="40" w:after="40"/>
              <w:ind w:left="77" w:right="141"/>
              <w:rPr>
                <w:color w:val="auto"/>
                <w:szCs w:val="18"/>
              </w:rPr>
            </w:pPr>
            <w:r w:rsidRPr="00582E43">
              <w:rPr>
                <w:color w:val="auto"/>
                <w:szCs w:val="18"/>
              </w:rPr>
              <w:t>T</w:t>
            </w:r>
            <w:r w:rsidR="008C1297" w:rsidRPr="00582E43">
              <w:rPr>
                <w:color w:val="auto"/>
                <w:szCs w:val="18"/>
              </w:rPr>
              <w:t>as.</w:t>
            </w:r>
          </w:p>
        </w:tc>
        <w:tc>
          <w:tcPr>
            <w:tcW w:w="6827" w:type="dxa"/>
            <w:vAlign w:val="top"/>
          </w:tcPr>
          <w:p w14:paraId="019FBFED" w14:textId="77777777" w:rsidR="00A42E26" w:rsidRPr="00FD7E86" w:rsidRDefault="00A42E26" w:rsidP="00AD6BE1">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Binalong Bay, Battery Point, Blackmans Bay, Dynnyrne, East Launceston, Hobart, Kingston, Launceston, Midway Point, Newstead, Scottsdale, Smithton, South Launceston, West Launceston</w:t>
            </w:r>
          </w:p>
        </w:tc>
      </w:tr>
      <w:tr w:rsidR="00A42E26" w:rsidRPr="00FD7E86" w14:paraId="0289195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5B82E819" w14:textId="77777777" w:rsidR="00A42E26" w:rsidRPr="00582E43" w:rsidRDefault="00A42E26" w:rsidP="00717EDF">
            <w:pPr>
              <w:keepNext/>
              <w:keepLines/>
              <w:spacing w:before="40" w:after="40"/>
              <w:ind w:left="77" w:right="141"/>
              <w:rPr>
                <w:color w:val="auto"/>
                <w:szCs w:val="18"/>
              </w:rPr>
            </w:pPr>
            <w:r w:rsidRPr="00582E43">
              <w:rPr>
                <w:color w:val="auto"/>
                <w:szCs w:val="18"/>
              </w:rPr>
              <w:t>V</w:t>
            </w:r>
            <w:r w:rsidR="008C1297" w:rsidRPr="00582E43">
              <w:rPr>
                <w:color w:val="auto"/>
                <w:szCs w:val="18"/>
              </w:rPr>
              <w:t>ic.</w:t>
            </w:r>
          </w:p>
        </w:tc>
        <w:tc>
          <w:tcPr>
            <w:tcW w:w="6827" w:type="dxa"/>
            <w:vAlign w:val="top"/>
          </w:tcPr>
          <w:p w14:paraId="480F003E" w14:textId="77777777" w:rsidR="00A42E26" w:rsidRPr="00FD7E86" w:rsidRDefault="00A42E26" w:rsidP="00AD6BE1">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Bacchus Marsh, Ballarat Central, Brunswick East, Brunswick, Carlton, Carlton North, Darley, Lake Wendouree, Newington, Mill Park, Parkville, Princes Hill, South Morang</w:t>
            </w:r>
          </w:p>
        </w:tc>
      </w:tr>
      <w:tr w:rsidR="00A42E26" w:rsidRPr="00FD7E86" w14:paraId="7718A29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980" w:type="dxa"/>
            <w:vAlign w:val="top"/>
          </w:tcPr>
          <w:p w14:paraId="609E4877" w14:textId="77777777" w:rsidR="00A42E26" w:rsidRPr="00582E43" w:rsidRDefault="00A42E26" w:rsidP="00717EDF">
            <w:pPr>
              <w:keepNext/>
              <w:keepLines/>
              <w:spacing w:before="40" w:after="40"/>
              <w:ind w:left="77" w:right="141"/>
              <w:rPr>
                <w:color w:val="auto"/>
                <w:szCs w:val="18"/>
              </w:rPr>
            </w:pPr>
            <w:r w:rsidRPr="00582E43">
              <w:rPr>
                <w:color w:val="auto"/>
                <w:szCs w:val="18"/>
              </w:rPr>
              <w:t>WA</w:t>
            </w:r>
          </w:p>
        </w:tc>
        <w:tc>
          <w:tcPr>
            <w:tcW w:w="6827" w:type="dxa"/>
            <w:vAlign w:val="top"/>
          </w:tcPr>
          <w:p w14:paraId="334EF4F8" w14:textId="77777777" w:rsidR="00A42E26" w:rsidRPr="00FD7E86" w:rsidRDefault="00A42E26" w:rsidP="00AD6BE1">
            <w:pPr>
              <w:keepNext/>
              <w:keepLines/>
              <w:tabs>
                <w:tab w:val="left" w:pos="908"/>
              </w:tabs>
              <w:spacing w:before="40" w:after="40"/>
              <w:ind w:right="141"/>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Mandurah, Meadow Springs, South Perth, Victoria Park</w:t>
            </w:r>
          </w:p>
        </w:tc>
      </w:tr>
    </w:tbl>
    <w:p w14:paraId="072336AF" w14:textId="77777777" w:rsidR="00A42E26" w:rsidRPr="00FD7E86" w:rsidRDefault="00A42E26" w:rsidP="00717EDF">
      <w:pPr>
        <w:pStyle w:val="ACMANotes"/>
        <w:keepNext/>
        <w:keepLines/>
      </w:pPr>
      <w:r w:rsidRPr="00FD7E86">
        <w:t xml:space="preserve">Source: Telstra Wholesale, </w:t>
      </w:r>
      <w:hyperlink r:id="rId45" w:history="1">
        <w:r w:rsidRPr="00FD7E86">
          <w:rPr>
            <w:color w:val="0000FF"/>
            <w:u w:val="single"/>
          </w:rPr>
          <w:t>NBN Co rollout and disconnection dates list</w:t>
        </w:r>
      </w:hyperlink>
      <w:r w:rsidR="009F08F1">
        <w:t>, v</w:t>
      </w:r>
      <w:r w:rsidRPr="00FD7E86">
        <w:t xml:space="preserve">iewed </w:t>
      </w:r>
      <w:r w:rsidR="00A43E44" w:rsidRPr="00FD7E86">
        <w:t>26 October</w:t>
      </w:r>
      <w:r w:rsidRPr="00FD7E86">
        <w:t xml:space="preserve"> 2015.</w:t>
      </w:r>
    </w:p>
    <w:p w14:paraId="6CF57C5D" w14:textId="77777777" w:rsidR="008836B1" w:rsidRPr="00FD7E86" w:rsidRDefault="008836B1" w:rsidP="0012387E">
      <w:pPr>
        <w:pStyle w:val="ACMASpaceaftertable"/>
        <w:rPr>
          <w:i/>
          <w:sz w:val="16"/>
          <w:szCs w:val="16"/>
        </w:rPr>
      </w:pPr>
    </w:p>
    <w:p w14:paraId="20B0DCBF" w14:textId="77777777" w:rsidR="00A42E26" w:rsidRPr="00FD7E86" w:rsidRDefault="00A34B9D" w:rsidP="00A42E26">
      <w:pPr>
        <w:keepNext/>
        <w:keepLines/>
      </w:pPr>
      <w:r>
        <w:rPr>
          <w:rFonts w:cs="Arial"/>
        </w:rPr>
        <w:t xml:space="preserve">The coverage of the </w:t>
      </w:r>
      <w:r w:rsidR="00A42E26" w:rsidRPr="00FD7E86">
        <w:rPr>
          <w:rFonts w:cs="Arial"/>
        </w:rPr>
        <w:t>nbn</w:t>
      </w:r>
      <w:r w:rsidR="00A42E26" w:rsidRPr="00FD7E86">
        <w:t xml:space="preserve"> network, including areas that are active or under construction</w:t>
      </w:r>
      <w:r w:rsidR="00E57194" w:rsidRPr="00FD7E86">
        <w:t>,</w:t>
      </w:r>
      <w:r w:rsidR="00A42E26" w:rsidRPr="00FD7E86">
        <w:t xml:space="preserve"> </w:t>
      </w:r>
      <w:r w:rsidR="00E57194" w:rsidRPr="00FD7E86">
        <w:t xml:space="preserve">is </w:t>
      </w:r>
      <w:r w:rsidR="00A42E26" w:rsidRPr="00FD7E86">
        <w:t xml:space="preserve">published on the </w:t>
      </w:r>
      <w:r w:rsidR="00A42E26" w:rsidRPr="00FD7E86">
        <w:rPr>
          <w:rFonts w:cs="Arial"/>
        </w:rPr>
        <w:t>nbn</w:t>
      </w:r>
      <w:r w:rsidR="00A42E26" w:rsidRPr="00FD7E86">
        <w:t xml:space="preserve"> website.</w:t>
      </w:r>
      <w:r w:rsidR="00A42E26" w:rsidRPr="00FD7E86">
        <w:rPr>
          <w:vertAlign w:val="superscript"/>
        </w:rPr>
        <w:endnoteReference w:id="30"/>
      </w:r>
      <w:r w:rsidR="00A42E26" w:rsidRPr="00FD7E86" w:rsidDel="00472D4D">
        <w:rPr>
          <w:vertAlign w:val="superscript"/>
        </w:rPr>
        <w:t xml:space="preserve"> </w:t>
      </w:r>
    </w:p>
    <w:p w14:paraId="3C1140A9" w14:textId="77777777" w:rsidR="00A42E26" w:rsidRPr="00FD7E86" w:rsidRDefault="0061331D" w:rsidP="004867DB">
      <w:pPr>
        <w:pStyle w:val="ACMAHeading2"/>
      </w:pPr>
      <w:bookmarkStart w:id="146" w:name="_Toc433790306"/>
      <w:bookmarkStart w:id="147" w:name="_Toc399331721"/>
      <w:bookmarkStart w:id="148" w:name="_Toc399336902"/>
      <w:bookmarkStart w:id="149" w:name="_Toc402337501"/>
      <w:r>
        <w:t>The Internet of T</w:t>
      </w:r>
      <w:r w:rsidR="00A42E26" w:rsidRPr="00FD7E86">
        <w:t>hings</w:t>
      </w:r>
      <w:r w:rsidR="00A42E26" w:rsidRPr="00FD7E86">
        <w:rPr>
          <w:iCs/>
          <w:szCs w:val="20"/>
        </w:rPr>
        <w:t xml:space="preserve"> and M2M</w:t>
      </w:r>
      <w:bookmarkEnd w:id="146"/>
    </w:p>
    <w:p w14:paraId="7CEA72DA" w14:textId="77777777" w:rsidR="00A42E26" w:rsidRPr="00FD7E86" w:rsidRDefault="00A42E26" w:rsidP="00A42E26">
      <w:pPr>
        <w:rPr>
          <w:rFonts w:cs="Arial"/>
        </w:rPr>
      </w:pPr>
      <w:r w:rsidRPr="00FD7E86">
        <w:t>The 2014–15 reporting yea</w:t>
      </w:r>
      <w:r w:rsidR="0061331D">
        <w:t>r saw a rising interest in the Internet of T</w:t>
      </w:r>
      <w:r w:rsidRPr="00FD7E86">
        <w:t>hings (IoT), both in Australia and more widely. The IoT is the aggregation of many machine</w:t>
      </w:r>
      <w:r w:rsidR="00E57194" w:rsidRPr="00FD7E86">
        <w:t>-</w:t>
      </w:r>
      <w:r w:rsidRPr="00FD7E86">
        <w:t>to</w:t>
      </w:r>
      <w:r w:rsidR="00E57194" w:rsidRPr="00FD7E86">
        <w:t>-</w:t>
      </w:r>
      <w:r w:rsidRPr="00FD7E86">
        <w:t>machine (M2M) connections and is not limited to communications, but includes big data analysis, cloud computing and sensors and actuators that</w:t>
      </w:r>
      <w:r w:rsidR="00E57194" w:rsidRPr="00FD7E86">
        <w:t>,</w:t>
      </w:r>
      <w:r w:rsidRPr="00FD7E86">
        <w:t xml:space="preserve"> in combination, can efficiently run autonomous machines and intelligent systems.</w:t>
      </w:r>
      <w:r w:rsidR="00485701" w:rsidRPr="00FD7E86">
        <w:rPr>
          <w:rStyle w:val="EndnoteReference"/>
        </w:rPr>
        <w:endnoteReference w:id="31"/>
      </w:r>
      <w:r w:rsidRPr="00FD7E86">
        <w:t xml:space="preserve"> Industry commentators predict that the development of the </w:t>
      </w:r>
      <w:r w:rsidRPr="00FD7E86">
        <w:rPr>
          <w:rFonts w:cs="Arial"/>
        </w:rPr>
        <w:t>IoT will be characterised by a rapid increase in the number of connected devices and a swift evolution in the range of applications and services on offer.</w:t>
      </w:r>
    </w:p>
    <w:p w14:paraId="4944FEC5" w14:textId="77777777" w:rsidR="00A42E26" w:rsidRPr="00FD7E86" w:rsidRDefault="00A42E26" w:rsidP="00A42E26">
      <w:r w:rsidRPr="00FD7E86">
        <w:t>Globally, M2M mobile connections are forecast to triple in the five years to 2020, accounting for up to 10</w:t>
      </w:r>
      <w:r w:rsidR="00963106">
        <w:t> </w:t>
      </w:r>
      <w:r w:rsidRPr="00FD7E86">
        <w:t>per cent of mobile connections</w:t>
      </w:r>
      <w:r w:rsidR="00D63367" w:rsidRPr="00FD7E86">
        <w:rPr>
          <w:rStyle w:val="EndnoteReference"/>
        </w:rPr>
        <w:endnoteReference w:id="32"/>
      </w:r>
      <w:r w:rsidR="00E57194" w:rsidRPr="00FD7E86">
        <w:t>,</w:t>
      </w:r>
      <w:r w:rsidRPr="00FD7E86">
        <w:t xml:space="preserve"> while l</w:t>
      </w:r>
      <w:r w:rsidRPr="00FD7E86">
        <w:rPr>
          <w:rFonts w:cs="Arial"/>
        </w:rPr>
        <w:t xml:space="preserve">ocal estimates </w:t>
      </w:r>
      <w:r w:rsidRPr="00FD7E86">
        <w:t>indicate that the M2M market is growing in Australia at 20</w:t>
      </w:r>
      <w:r w:rsidR="0072537B" w:rsidRPr="00FD7E86">
        <w:t xml:space="preserve"> to </w:t>
      </w:r>
      <w:r w:rsidRPr="00FD7E86">
        <w:t>30 per cent per year.</w:t>
      </w:r>
      <w:r w:rsidR="00E55E36" w:rsidRPr="00FD7E86">
        <w:rPr>
          <w:rStyle w:val="EndnoteReference"/>
        </w:rPr>
        <w:endnoteReference w:id="33"/>
      </w:r>
      <w:r w:rsidRPr="00FD7E86">
        <w:t xml:space="preserve"> Telstra, Optus and Vodafone all reported increased activity in M2M services, with Telstra reporting M2M-related revenue growing by 11.9 per cent to $113 million.</w:t>
      </w:r>
      <w:r w:rsidR="00FC7810" w:rsidRPr="00FD7E86">
        <w:rPr>
          <w:rStyle w:val="EndnoteReference"/>
        </w:rPr>
        <w:endnoteReference w:id="34"/>
      </w:r>
    </w:p>
    <w:p w14:paraId="76EEA2DB" w14:textId="77777777" w:rsidR="00A42E26" w:rsidRPr="00FD7E86" w:rsidRDefault="00A42E26" w:rsidP="00A42E26">
      <w:r w:rsidRPr="00FD7E86">
        <w:t xml:space="preserve">Australia’s Communications Alliance has recognised the rising importance of the IoT, establishing a think-tank to maximise the potential of the IoT for Australian industry. Membership of the think-tank has been drawn from across a range of sectors, including the telecommunications industry, technology firms, and the Australian </w:t>
      </w:r>
      <w:r w:rsidR="006F07F5" w:rsidRPr="00FD7E86">
        <w:t>G</w:t>
      </w:r>
      <w:r w:rsidRPr="00FD7E86">
        <w:t xml:space="preserve">overnment. </w:t>
      </w:r>
    </w:p>
    <w:p w14:paraId="3BEA9CDA" w14:textId="77777777" w:rsidR="00A42E26" w:rsidRPr="00FD7E86" w:rsidRDefault="00A42E26" w:rsidP="00A42E26">
      <w:r w:rsidRPr="00FD7E86">
        <w:t xml:space="preserve">Internationally, a number of groups </w:t>
      </w:r>
      <w:r w:rsidR="00E57194" w:rsidRPr="00FD7E86">
        <w:t xml:space="preserve">have been </w:t>
      </w:r>
      <w:r w:rsidRPr="00FD7E86">
        <w:t>formed to set standards for the IoT. These include the Open Interconnect Consortium (OIC)</w:t>
      </w:r>
      <w:r w:rsidR="00E57194" w:rsidRPr="00FD7E86">
        <w:t>,</w:t>
      </w:r>
      <w:r w:rsidRPr="00FD7E86">
        <w:t xml:space="preserve"> established in February 2015</w:t>
      </w:r>
      <w:r w:rsidR="00E57194" w:rsidRPr="00FD7E86">
        <w:t>,</w:t>
      </w:r>
      <w:r w:rsidRPr="00FD7E86">
        <w:t xml:space="preserve"> and the Industrial Internet Consortium (IIC) formed in March 2014.</w:t>
      </w:r>
    </w:p>
    <w:p w14:paraId="32902340" w14:textId="77777777" w:rsidR="00A42E26" w:rsidRPr="00FD7E86" w:rsidRDefault="00A42E26" w:rsidP="004867DB">
      <w:pPr>
        <w:pStyle w:val="ACMAHeading2"/>
      </w:pPr>
      <w:bookmarkStart w:id="150" w:name="_Toc433790307"/>
      <w:r w:rsidRPr="00FD7E86">
        <w:lastRenderedPageBreak/>
        <w:t>The cloud</w:t>
      </w:r>
      <w:bookmarkEnd w:id="150"/>
    </w:p>
    <w:p w14:paraId="5EA50FBC" w14:textId="77777777" w:rsidR="00A42E26" w:rsidRPr="00FD7E86" w:rsidRDefault="00A42E26" w:rsidP="00A42E26">
      <w:r w:rsidRPr="00FD7E86">
        <w:t xml:space="preserve">During </w:t>
      </w:r>
      <w:r w:rsidR="00AD6BE1" w:rsidRPr="00FD7E86">
        <w:t>2014–15,</w:t>
      </w:r>
      <w:r w:rsidRPr="00FD7E86">
        <w:t xml:space="preserve"> Telstra reported establishing partnerships with Cisco, Amazon Web Services (AWS), VMware and IBM to strengthen </w:t>
      </w:r>
      <w:r w:rsidR="006F1FD1" w:rsidRPr="002744B0">
        <w:t>its</w:t>
      </w:r>
      <w:r w:rsidRPr="00FD7E86">
        <w:t xml:space="preserve"> cloud services.</w:t>
      </w:r>
      <w:r w:rsidRPr="00FD7E86">
        <w:rPr>
          <w:vertAlign w:val="superscript"/>
        </w:rPr>
        <w:endnoteReference w:id="35"/>
      </w:r>
    </w:p>
    <w:p w14:paraId="7D59960E" w14:textId="77777777" w:rsidR="00A42E26" w:rsidRPr="00FD7E86" w:rsidRDefault="00A42E26" w:rsidP="00A42E26">
      <w:r w:rsidRPr="00FD7E86">
        <w:t xml:space="preserve">The other main telecommunications companies also continue to grow their cloud </w:t>
      </w:r>
      <w:r w:rsidR="008E2875" w:rsidRPr="00FD7E86">
        <w:t>services</w:t>
      </w:r>
      <w:r w:rsidRPr="00FD7E86">
        <w:t>. Optus offers hybrid cloud services partnering with Microsoft, while Vodafone partners with AWS to offer a range of services.</w:t>
      </w:r>
    </w:p>
    <w:p w14:paraId="70DE9377" w14:textId="77777777" w:rsidR="00A42E26" w:rsidRPr="00FD7E86" w:rsidRDefault="00A42E26" w:rsidP="00A42E26">
      <w:r w:rsidRPr="00FD7E86">
        <w:t>Many companies providing cloud services in Australia offer both platform or infrastructure as a service. Deployment models include public, private as well as hybrid clouds.</w:t>
      </w:r>
    </w:p>
    <w:p w14:paraId="25CC2A27" w14:textId="77777777" w:rsidR="00A42E26" w:rsidRPr="00FD7E86" w:rsidRDefault="00A42E26" w:rsidP="00A42E26">
      <w:r w:rsidRPr="00FD7E86">
        <w:t>Cloud providers in Australia are rapidly expanding their cloud capacity and driving growth in the data service market. According to Frost and Sullivan, revenues from th</w:t>
      </w:r>
      <w:r w:rsidR="008E2875" w:rsidRPr="00FD7E86">
        <w:t xml:space="preserve">is </w:t>
      </w:r>
      <w:r w:rsidRPr="00FD7E86">
        <w:t>market in Australia increased by 18.</w:t>
      </w:r>
      <w:r w:rsidR="008C1297" w:rsidRPr="00FD7E86">
        <w:t>3</w:t>
      </w:r>
      <w:r w:rsidR="008C1297">
        <w:t> </w:t>
      </w:r>
      <w:r w:rsidRPr="00FD7E86">
        <w:t>per cent in 2014 to $826 million, with similar growth predicted for 2015.</w:t>
      </w:r>
      <w:r w:rsidRPr="00FD7E86">
        <w:rPr>
          <w:vertAlign w:val="superscript"/>
        </w:rPr>
        <w:endnoteReference w:id="36"/>
      </w:r>
      <w:r w:rsidR="00E654A7" w:rsidRPr="00FD7E86">
        <w:t xml:space="preserve"> </w:t>
      </w:r>
    </w:p>
    <w:p w14:paraId="2479DFA1" w14:textId="77777777" w:rsidR="00A42E26" w:rsidRPr="00FD7E86" w:rsidRDefault="00EB02EF" w:rsidP="007F5C55">
      <w:pPr>
        <w:pStyle w:val="ACMAHeading1"/>
      </w:pPr>
      <w:bookmarkStart w:id="151" w:name="_Toc433790308"/>
      <w:r w:rsidRPr="00FD7E86">
        <w:t>1.5</w:t>
      </w:r>
      <w:r w:rsidRPr="00FD7E86">
        <w:tab/>
      </w:r>
      <w:r w:rsidR="00924AB6">
        <w:tab/>
      </w:r>
      <w:r w:rsidR="00A42E26" w:rsidRPr="00FD7E86">
        <w:t>Communications mergers and acquisitions</w:t>
      </w:r>
      <w:bookmarkEnd w:id="147"/>
      <w:bookmarkEnd w:id="148"/>
      <w:bookmarkEnd w:id="149"/>
      <w:bookmarkEnd w:id="151"/>
      <w:r w:rsidR="00A42E26" w:rsidRPr="00FD7E86">
        <w:t xml:space="preserve"> </w:t>
      </w:r>
    </w:p>
    <w:p w14:paraId="7284E593" w14:textId="77777777" w:rsidR="00A42E26" w:rsidRPr="00FD7E86" w:rsidRDefault="00A42E26" w:rsidP="00A42E26">
      <w:r w:rsidRPr="00FD7E86">
        <w:t>There were a number of mergers and acquisitions of communications companies and assets that occurred over 2014–15. These mergers and acquisitions will increase the presence of some of Australia’s largest communication</w:t>
      </w:r>
      <w:r w:rsidR="00B447BE" w:rsidRPr="00FD7E86">
        <w:t>s</w:t>
      </w:r>
      <w:r w:rsidRPr="00FD7E86">
        <w:t xml:space="preserve"> providers in the Asia</w:t>
      </w:r>
      <w:r w:rsidR="008E2875" w:rsidRPr="00FD7E86">
        <w:t>-</w:t>
      </w:r>
      <w:r w:rsidRPr="00FD7E86">
        <w:t>Pacific region, and will take advantage of the increasing demand for data, internet protocol television (IPTV) services and data applications by consumers and businesses in Australia (</w:t>
      </w:r>
      <w:r w:rsidR="00BE2DBF" w:rsidRPr="00FD7E86">
        <w:t>Table 1.6)</w:t>
      </w:r>
      <w:r w:rsidRPr="00FD7E86">
        <w:t xml:space="preserve">. </w:t>
      </w:r>
    </w:p>
    <w:p w14:paraId="6F681A2E" w14:textId="77777777" w:rsidR="00A42E26" w:rsidRPr="00FD7E86" w:rsidRDefault="00A42E26" w:rsidP="00A42E26">
      <w:r w:rsidRPr="00FD7E86">
        <w:t xml:space="preserve">Telstra announced in April 2015 that it had completed its $454 million acquisition of Pacnet, a provider of connectivity, managed services, and data centres in the Asia-Pacific region. The acquisition has significantly boosted Telstra’s presence </w:t>
      </w:r>
      <w:r w:rsidR="008E2875" w:rsidRPr="00FD7E86">
        <w:t>across the region</w:t>
      </w:r>
      <w:r w:rsidRPr="00FD7E86">
        <w:t>, doubling its customer base, and increasing its network reach and data centre c</w:t>
      </w:r>
      <w:r w:rsidR="00E654A7" w:rsidRPr="00FD7E86">
        <w:t xml:space="preserve">apabilities. </w:t>
      </w:r>
    </w:p>
    <w:p w14:paraId="07C15891" w14:textId="77777777" w:rsidR="00A42E26" w:rsidRPr="00FD7E86" w:rsidRDefault="00A42E26" w:rsidP="00A42E26">
      <w:r w:rsidRPr="00FD7E86">
        <w:t xml:space="preserve">The M2 Group extended its reach into the New Zealand market by </w:t>
      </w:r>
      <w:r w:rsidR="008E2875" w:rsidRPr="00FD7E86">
        <w:t xml:space="preserve">a $245 million </w:t>
      </w:r>
      <w:r w:rsidRPr="00FD7E86">
        <w:t>purchase of the Call Plus Group, New Zealand’s third biggest telecommunications service provider.</w:t>
      </w:r>
      <w:r w:rsidRPr="00FD7E86">
        <w:rPr>
          <w:vertAlign w:val="superscript"/>
        </w:rPr>
        <w:endnoteReference w:id="37"/>
      </w:r>
    </w:p>
    <w:p w14:paraId="1F6F5DE9" w14:textId="77777777" w:rsidR="00A42E26" w:rsidRPr="00FD7E86" w:rsidRDefault="00A42E26" w:rsidP="00A42E26">
      <w:r w:rsidRPr="00FD7E86">
        <w:t xml:space="preserve">Potentially the most significant event in the Australian telecommunications sector during the reporting period, TPG’s proposed billion dollar </w:t>
      </w:r>
      <w:r w:rsidR="008E2875" w:rsidRPr="00FD7E86">
        <w:t xml:space="preserve">acquisition </w:t>
      </w:r>
      <w:r w:rsidRPr="00FD7E86">
        <w:t xml:space="preserve">of iiNet had gained the support of iiNet shareholders in June 2015, and was awaiting clearance by the </w:t>
      </w:r>
      <w:r w:rsidR="00385DFE" w:rsidRPr="00FD7E86">
        <w:t>Australian Competition and Consumer Commission (</w:t>
      </w:r>
      <w:r w:rsidRPr="00FD7E86">
        <w:t>ACCC</w:t>
      </w:r>
      <w:r w:rsidR="00385DFE" w:rsidRPr="00FD7E86">
        <w:t>)</w:t>
      </w:r>
      <w:r w:rsidRPr="00FD7E86">
        <w:t>. On 20 August 2015, the ACCC announced that it would not oppose the acquisition</w:t>
      </w:r>
      <w:r w:rsidR="008E2875" w:rsidRPr="00FD7E86">
        <w:t>, through which</w:t>
      </w:r>
      <w:r w:rsidRPr="00FD7E86">
        <w:t xml:space="preserve"> TPG has become Australia’s second largest internet service provider by customer volume after Telstra.</w:t>
      </w:r>
      <w:r w:rsidRPr="00FD7E86">
        <w:rPr>
          <w:vertAlign w:val="superscript"/>
        </w:rPr>
        <w:endnoteReference w:id="38"/>
      </w:r>
    </w:p>
    <w:p w14:paraId="0E728612" w14:textId="77777777" w:rsidR="00A42E26" w:rsidRPr="00FD7E86" w:rsidRDefault="00A42E26" w:rsidP="00717EDF">
      <w:pPr>
        <w:pStyle w:val="ACMATableHeader"/>
        <w:keepNext/>
        <w:keepLines/>
        <w:numPr>
          <w:ilvl w:val="0"/>
          <w:numId w:val="0"/>
        </w:numPr>
      </w:pPr>
      <w:bookmarkStart w:id="152" w:name="_Ref398133030"/>
      <w:bookmarkStart w:id="153" w:name="_Ref398133022"/>
      <w:r w:rsidRPr="00FD7E86">
        <w:lastRenderedPageBreak/>
        <w:t>Table 1.</w:t>
      </w:r>
      <w:bookmarkEnd w:id="152"/>
      <w:r w:rsidRPr="00FD7E86">
        <w:t>6 Key communications mergers and acquisitions</w:t>
      </w:r>
      <w:bookmarkEnd w:id="153"/>
    </w:p>
    <w:tbl>
      <w:tblPr>
        <w:tblW w:w="9386" w:type="dxa"/>
        <w:tblBorders>
          <w:top w:val="single" w:sz="24" w:space="0" w:color="FFFFFF"/>
          <w:left w:val="single" w:sz="24" w:space="0" w:color="FFFFFF"/>
          <w:right w:val="single" w:sz="24" w:space="0" w:color="FFFFFF"/>
          <w:insideH w:val="single" w:sz="24" w:space="0" w:color="FFFFFF"/>
          <w:insideV w:val="single" w:sz="24" w:space="0" w:color="FFFFFF"/>
        </w:tblBorders>
        <w:tblLayout w:type="fixed"/>
        <w:tblLook w:val="04A0" w:firstRow="1" w:lastRow="0" w:firstColumn="1" w:lastColumn="0" w:noHBand="0" w:noVBand="1"/>
        <w:tblCaption w:val="Table 1.6 Key communications mergers and acquisitions"/>
      </w:tblPr>
      <w:tblGrid>
        <w:gridCol w:w="1627"/>
        <w:gridCol w:w="1432"/>
        <w:gridCol w:w="1432"/>
        <w:gridCol w:w="1433"/>
        <w:gridCol w:w="3462"/>
      </w:tblGrid>
      <w:tr w:rsidR="00A42E26" w:rsidRPr="00FD7E86" w14:paraId="605D4A10" w14:textId="77777777" w:rsidTr="000E4F20">
        <w:trPr>
          <w:trHeight w:val="454"/>
        </w:trPr>
        <w:tc>
          <w:tcPr>
            <w:tcW w:w="1627" w:type="dxa"/>
            <w:shd w:val="clear" w:color="auto" w:fill="00ADBB"/>
          </w:tcPr>
          <w:p w14:paraId="5A8E0C85" w14:textId="77777777" w:rsidR="00A42E26" w:rsidRPr="00FD7E86" w:rsidRDefault="00A42E26" w:rsidP="00717EDF">
            <w:pPr>
              <w:keepNext/>
              <w:keepLines/>
              <w:rPr>
                <w:b/>
                <w:color w:val="FFFFFF"/>
                <w:sz w:val="18"/>
                <w:szCs w:val="18"/>
              </w:rPr>
            </w:pPr>
            <w:r w:rsidRPr="00FD7E86">
              <w:rPr>
                <w:b/>
                <w:color w:val="FFFFFF"/>
                <w:sz w:val="18"/>
                <w:szCs w:val="18"/>
              </w:rPr>
              <w:t>Purchaser</w:t>
            </w:r>
          </w:p>
        </w:tc>
        <w:tc>
          <w:tcPr>
            <w:tcW w:w="1432" w:type="dxa"/>
            <w:shd w:val="clear" w:color="auto" w:fill="00ADBB"/>
          </w:tcPr>
          <w:p w14:paraId="16833C0F" w14:textId="77777777" w:rsidR="00A42E26" w:rsidRPr="00FD7E86" w:rsidRDefault="00A42E26" w:rsidP="00717EDF">
            <w:pPr>
              <w:keepNext/>
              <w:keepLines/>
              <w:rPr>
                <w:b/>
                <w:color w:val="FFFFFF"/>
                <w:sz w:val="18"/>
                <w:szCs w:val="18"/>
              </w:rPr>
            </w:pPr>
            <w:r w:rsidRPr="00FD7E86">
              <w:rPr>
                <w:b/>
                <w:color w:val="FFFFFF"/>
                <w:sz w:val="18"/>
                <w:szCs w:val="18"/>
              </w:rPr>
              <w:t>Target</w:t>
            </w:r>
          </w:p>
        </w:tc>
        <w:tc>
          <w:tcPr>
            <w:tcW w:w="1432" w:type="dxa"/>
            <w:shd w:val="clear" w:color="auto" w:fill="00ADBB"/>
          </w:tcPr>
          <w:p w14:paraId="43A3DAF3" w14:textId="77777777" w:rsidR="00A42E26" w:rsidRPr="00FD7E86" w:rsidRDefault="00A42E26" w:rsidP="00717EDF">
            <w:pPr>
              <w:keepNext/>
              <w:keepLines/>
              <w:rPr>
                <w:b/>
                <w:color w:val="FFFFFF"/>
                <w:sz w:val="18"/>
                <w:szCs w:val="18"/>
              </w:rPr>
            </w:pPr>
            <w:r w:rsidRPr="00FD7E86">
              <w:rPr>
                <w:b/>
                <w:color w:val="FFFFFF"/>
                <w:sz w:val="18"/>
                <w:szCs w:val="18"/>
              </w:rPr>
              <w:t>Date</w:t>
            </w:r>
          </w:p>
        </w:tc>
        <w:tc>
          <w:tcPr>
            <w:tcW w:w="1433" w:type="dxa"/>
            <w:shd w:val="clear" w:color="auto" w:fill="00ADBB"/>
          </w:tcPr>
          <w:p w14:paraId="00136B68" w14:textId="77777777" w:rsidR="00A42E26" w:rsidRPr="00FD7E86" w:rsidRDefault="00A42E26" w:rsidP="00717EDF">
            <w:pPr>
              <w:keepNext/>
              <w:keepLines/>
              <w:rPr>
                <w:b/>
                <w:color w:val="FFFFFF"/>
                <w:sz w:val="18"/>
                <w:szCs w:val="18"/>
              </w:rPr>
            </w:pPr>
            <w:r w:rsidRPr="00FD7E86">
              <w:rPr>
                <w:b/>
                <w:color w:val="FFFFFF"/>
                <w:sz w:val="18"/>
                <w:szCs w:val="18"/>
              </w:rPr>
              <w:t>Value</w:t>
            </w:r>
          </w:p>
        </w:tc>
        <w:tc>
          <w:tcPr>
            <w:tcW w:w="3462" w:type="dxa"/>
            <w:shd w:val="clear" w:color="auto" w:fill="00ADBB"/>
            <w:vAlign w:val="center"/>
          </w:tcPr>
          <w:p w14:paraId="040C2111" w14:textId="77777777" w:rsidR="00A42E26" w:rsidRPr="00FD7E86" w:rsidRDefault="00A42E26" w:rsidP="00717EDF">
            <w:pPr>
              <w:keepNext/>
              <w:keepLines/>
              <w:rPr>
                <w:b/>
                <w:color w:val="FFFFFF"/>
                <w:sz w:val="18"/>
                <w:szCs w:val="18"/>
              </w:rPr>
            </w:pPr>
            <w:r w:rsidRPr="00FD7E86">
              <w:rPr>
                <w:b/>
                <w:color w:val="FFFFFF"/>
                <w:sz w:val="18"/>
                <w:szCs w:val="18"/>
              </w:rPr>
              <w:t>Commentary</w:t>
            </w:r>
          </w:p>
        </w:tc>
      </w:tr>
      <w:tr w:rsidR="00A42E26" w:rsidRPr="00FD7E86" w14:paraId="7732A626" w14:textId="77777777" w:rsidTr="000E4F20">
        <w:trPr>
          <w:trHeight w:val="454"/>
        </w:trPr>
        <w:tc>
          <w:tcPr>
            <w:tcW w:w="1627" w:type="dxa"/>
            <w:shd w:val="clear" w:color="auto" w:fill="65CDD5"/>
          </w:tcPr>
          <w:p w14:paraId="75EF3AD8" w14:textId="77777777" w:rsidR="00A42E26" w:rsidRPr="00C05F4C" w:rsidRDefault="00A42E26" w:rsidP="00717EDF">
            <w:pPr>
              <w:keepNext/>
              <w:keepLines/>
              <w:spacing w:before="40" w:after="40" w:line="240" w:lineRule="auto"/>
              <w:ind w:left="77" w:right="141"/>
              <w:rPr>
                <w:sz w:val="18"/>
                <w:szCs w:val="18"/>
              </w:rPr>
            </w:pPr>
            <w:r w:rsidRPr="00C05F4C">
              <w:rPr>
                <w:sz w:val="18"/>
                <w:szCs w:val="18"/>
              </w:rPr>
              <w:t>Telstra</w:t>
            </w:r>
          </w:p>
        </w:tc>
        <w:tc>
          <w:tcPr>
            <w:tcW w:w="1432" w:type="dxa"/>
            <w:shd w:val="clear" w:color="auto" w:fill="E9FBFB"/>
          </w:tcPr>
          <w:p w14:paraId="75B161D5" w14:textId="77777777" w:rsidR="00A42E26" w:rsidRPr="00FD7E86" w:rsidRDefault="00A42E26" w:rsidP="00717EDF">
            <w:pPr>
              <w:keepNext/>
              <w:keepLines/>
              <w:rPr>
                <w:sz w:val="18"/>
              </w:rPr>
            </w:pPr>
            <w:r w:rsidRPr="00FD7E86">
              <w:rPr>
                <w:sz w:val="18"/>
              </w:rPr>
              <w:t>Pacnet Limited</w:t>
            </w:r>
          </w:p>
        </w:tc>
        <w:tc>
          <w:tcPr>
            <w:tcW w:w="1432" w:type="dxa"/>
            <w:shd w:val="clear" w:color="auto" w:fill="E9FBFB"/>
          </w:tcPr>
          <w:p w14:paraId="310321D7" w14:textId="77777777" w:rsidR="00A42E26" w:rsidRPr="00FD7E86" w:rsidRDefault="00A42E26" w:rsidP="00717EDF">
            <w:pPr>
              <w:keepNext/>
              <w:keepLines/>
              <w:rPr>
                <w:sz w:val="18"/>
              </w:rPr>
            </w:pPr>
            <w:r w:rsidRPr="00FD7E86">
              <w:rPr>
                <w:sz w:val="18"/>
              </w:rPr>
              <w:t>April 2015</w:t>
            </w:r>
          </w:p>
        </w:tc>
        <w:tc>
          <w:tcPr>
            <w:tcW w:w="1433" w:type="dxa"/>
            <w:shd w:val="clear" w:color="auto" w:fill="E9FBFB"/>
          </w:tcPr>
          <w:p w14:paraId="6035F983" w14:textId="77777777" w:rsidR="00A42E26" w:rsidRPr="00FD7E86" w:rsidRDefault="00A42E26" w:rsidP="00717EDF">
            <w:pPr>
              <w:keepNext/>
              <w:keepLines/>
              <w:rPr>
                <w:sz w:val="18"/>
              </w:rPr>
            </w:pPr>
            <w:r w:rsidRPr="00FD7E86">
              <w:rPr>
                <w:sz w:val="18"/>
              </w:rPr>
              <w:t>$454 million</w:t>
            </w:r>
          </w:p>
        </w:tc>
        <w:tc>
          <w:tcPr>
            <w:tcW w:w="3462" w:type="dxa"/>
            <w:shd w:val="clear" w:color="auto" w:fill="E9FBFB"/>
          </w:tcPr>
          <w:p w14:paraId="11B21094" w14:textId="77777777" w:rsidR="00A42E26" w:rsidRPr="00FD7E86" w:rsidRDefault="00A42E26" w:rsidP="00717EDF">
            <w:pPr>
              <w:keepNext/>
              <w:keepLines/>
              <w:rPr>
                <w:sz w:val="18"/>
              </w:rPr>
            </w:pPr>
            <w:r w:rsidRPr="00FD7E86">
              <w:rPr>
                <w:sz w:val="18"/>
              </w:rPr>
              <w:t>Gives Telstra ownership of an extensive range of services across the Asia-Pacific, including software-defined networking, an expanded data centre network, and more submarine cables.</w:t>
            </w:r>
          </w:p>
        </w:tc>
      </w:tr>
      <w:tr w:rsidR="00A42E26" w:rsidRPr="00FD7E86" w14:paraId="658D9F74" w14:textId="77777777" w:rsidTr="000E4F20">
        <w:trPr>
          <w:trHeight w:val="454"/>
        </w:trPr>
        <w:tc>
          <w:tcPr>
            <w:tcW w:w="1627" w:type="dxa"/>
            <w:shd w:val="clear" w:color="auto" w:fill="65CDD5"/>
          </w:tcPr>
          <w:p w14:paraId="6D1CFC55" w14:textId="77777777" w:rsidR="00A42E26" w:rsidRPr="00C05F4C" w:rsidRDefault="00A42E26" w:rsidP="00717EDF">
            <w:pPr>
              <w:keepNext/>
              <w:keepLines/>
              <w:spacing w:before="40" w:after="40" w:line="240" w:lineRule="auto"/>
              <w:ind w:left="77" w:right="141"/>
              <w:rPr>
                <w:sz w:val="18"/>
                <w:szCs w:val="18"/>
              </w:rPr>
            </w:pPr>
            <w:r w:rsidRPr="00C05F4C">
              <w:rPr>
                <w:sz w:val="18"/>
                <w:szCs w:val="18"/>
              </w:rPr>
              <w:t>M2 Group</w:t>
            </w:r>
          </w:p>
        </w:tc>
        <w:tc>
          <w:tcPr>
            <w:tcW w:w="1432" w:type="dxa"/>
            <w:shd w:val="clear" w:color="auto" w:fill="E9FBFB"/>
          </w:tcPr>
          <w:p w14:paraId="0C0944E4" w14:textId="77777777" w:rsidR="00A42E26" w:rsidRPr="00FD7E86" w:rsidRDefault="00A42E26" w:rsidP="00717EDF">
            <w:pPr>
              <w:keepNext/>
              <w:keepLines/>
              <w:rPr>
                <w:sz w:val="18"/>
              </w:rPr>
            </w:pPr>
            <w:r w:rsidRPr="00FD7E86">
              <w:rPr>
                <w:sz w:val="18"/>
              </w:rPr>
              <w:t>Call Plus Group (New Zealand)</w:t>
            </w:r>
          </w:p>
        </w:tc>
        <w:tc>
          <w:tcPr>
            <w:tcW w:w="1432" w:type="dxa"/>
            <w:shd w:val="clear" w:color="auto" w:fill="E9FBFB"/>
          </w:tcPr>
          <w:p w14:paraId="5AA4839E" w14:textId="77777777" w:rsidR="00A42E26" w:rsidRPr="00FD7E86" w:rsidRDefault="00A42E26" w:rsidP="00717EDF">
            <w:pPr>
              <w:keepNext/>
              <w:keepLines/>
              <w:rPr>
                <w:sz w:val="18"/>
              </w:rPr>
            </w:pPr>
            <w:r w:rsidRPr="00FD7E86">
              <w:rPr>
                <w:sz w:val="18"/>
              </w:rPr>
              <w:t>June 2015</w:t>
            </w:r>
          </w:p>
        </w:tc>
        <w:tc>
          <w:tcPr>
            <w:tcW w:w="1433" w:type="dxa"/>
            <w:shd w:val="clear" w:color="auto" w:fill="E9FBFB"/>
          </w:tcPr>
          <w:p w14:paraId="745A255A" w14:textId="77777777" w:rsidR="00A42E26" w:rsidRPr="00FD7E86" w:rsidRDefault="00A42E26" w:rsidP="00717EDF">
            <w:pPr>
              <w:keepNext/>
              <w:keepLines/>
              <w:rPr>
                <w:sz w:val="18"/>
              </w:rPr>
            </w:pPr>
            <w:r w:rsidRPr="00FD7E86">
              <w:rPr>
                <w:sz w:val="18"/>
              </w:rPr>
              <w:t>$245 million</w:t>
            </w:r>
          </w:p>
        </w:tc>
        <w:tc>
          <w:tcPr>
            <w:tcW w:w="3462" w:type="dxa"/>
            <w:shd w:val="clear" w:color="auto" w:fill="E9FBFB"/>
          </w:tcPr>
          <w:p w14:paraId="4157EF8C" w14:textId="77777777" w:rsidR="00A42E26" w:rsidRPr="00FD7E86" w:rsidRDefault="00A42E26" w:rsidP="00717EDF">
            <w:pPr>
              <w:keepNext/>
              <w:keepLines/>
              <w:rPr>
                <w:sz w:val="18"/>
              </w:rPr>
            </w:pPr>
            <w:r w:rsidRPr="00FD7E86">
              <w:rPr>
                <w:sz w:val="18"/>
              </w:rPr>
              <w:t xml:space="preserve">M2 becomes New Zealand’s third largest telecommunications service provider. </w:t>
            </w:r>
          </w:p>
        </w:tc>
      </w:tr>
      <w:tr w:rsidR="00A42E26" w:rsidRPr="00FD7E86" w14:paraId="0FFE47BD" w14:textId="77777777" w:rsidTr="000E4F20">
        <w:trPr>
          <w:trHeight w:val="454"/>
        </w:trPr>
        <w:tc>
          <w:tcPr>
            <w:tcW w:w="1627" w:type="dxa"/>
            <w:tcBorders>
              <w:top w:val="single" w:sz="24" w:space="0" w:color="FFFFFF"/>
              <w:bottom w:val="single" w:sz="24" w:space="0" w:color="FFFFFF"/>
            </w:tcBorders>
            <w:shd w:val="clear" w:color="auto" w:fill="65CDD5"/>
          </w:tcPr>
          <w:p w14:paraId="052B1DEE" w14:textId="77777777" w:rsidR="00A42E26" w:rsidRPr="00C05F4C" w:rsidRDefault="00A42E26" w:rsidP="00717EDF">
            <w:pPr>
              <w:keepNext/>
              <w:keepLines/>
              <w:spacing w:before="40" w:after="40" w:line="240" w:lineRule="auto"/>
              <w:ind w:left="77" w:right="141"/>
              <w:rPr>
                <w:sz w:val="18"/>
                <w:szCs w:val="18"/>
              </w:rPr>
            </w:pPr>
            <w:r w:rsidRPr="00C05F4C">
              <w:rPr>
                <w:sz w:val="18"/>
                <w:szCs w:val="18"/>
              </w:rPr>
              <w:t>TPG Telecom</w:t>
            </w:r>
          </w:p>
        </w:tc>
        <w:tc>
          <w:tcPr>
            <w:tcW w:w="1432" w:type="dxa"/>
            <w:shd w:val="clear" w:color="auto" w:fill="E9FBFB"/>
          </w:tcPr>
          <w:p w14:paraId="6227DF71" w14:textId="77777777" w:rsidR="00A42E26" w:rsidRPr="00FD7E86" w:rsidRDefault="00A42E26" w:rsidP="00717EDF">
            <w:pPr>
              <w:keepNext/>
              <w:keepLines/>
              <w:rPr>
                <w:sz w:val="18"/>
              </w:rPr>
            </w:pPr>
            <w:r w:rsidRPr="00FD7E86">
              <w:rPr>
                <w:sz w:val="18"/>
              </w:rPr>
              <w:t>iiNet</w:t>
            </w:r>
          </w:p>
        </w:tc>
        <w:tc>
          <w:tcPr>
            <w:tcW w:w="1432" w:type="dxa"/>
            <w:shd w:val="clear" w:color="auto" w:fill="E9FBFB"/>
          </w:tcPr>
          <w:p w14:paraId="2EB3E3CB" w14:textId="77777777" w:rsidR="00A42E26" w:rsidRPr="00FD7E86" w:rsidRDefault="00A42E26" w:rsidP="00717EDF">
            <w:pPr>
              <w:keepNext/>
              <w:keepLines/>
              <w:rPr>
                <w:sz w:val="18"/>
              </w:rPr>
            </w:pPr>
            <w:r w:rsidRPr="00FD7E86">
              <w:rPr>
                <w:sz w:val="18"/>
              </w:rPr>
              <w:t xml:space="preserve">August 2015* </w:t>
            </w:r>
          </w:p>
        </w:tc>
        <w:tc>
          <w:tcPr>
            <w:tcW w:w="1433" w:type="dxa"/>
            <w:shd w:val="clear" w:color="auto" w:fill="E9FBFB"/>
          </w:tcPr>
          <w:p w14:paraId="4636B23F" w14:textId="77777777" w:rsidR="00A42E26" w:rsidRPr="00FD7E86" w:rsidRDefault="00A42E26" w:rsidP="00717EDF">
            <w:pPr>
              <w:keepNext/>
              <w:keepLines/>
              <w:rPr>
                <w:sz w:val="18"/>
              </w:rPr>
            </w:pPr>
            <w:r w:rsidRPr="00FD7E86">
              <w:rPr>
                <w:sz w:val="18"/>
              </w:rPr>
              <w:t>$1.9 billion</w:t>
            </w:r>
          </w:p>
        </w:tc>
        <w:tc>
          <w:tcPr>
            <w:tcW w:w="3462" w:type="dxa"/>
            <w:shd w:val="clear" w:color="auto" w:fill="E9FBFB"/>
          </w:tcPr>
          <w:p w14:paraId="3B60EA03" w14:textId="77777777" w:rsidR="00A42E26" w:rsidRPr="00FD7E86" w:rsidRDefault="00A42E26" w:rsidP="00717EDF">
            <w:pPr>
              <w:keepNext/>
              <w:keepLines/>
              <w:rPr>
                <w:sz w:val="18"/>
              </w:rPr>
            </w:pPr>
            <w:r w:rsidRPr="00FD7E86">
              <w:rPr>
                <w:sz w:val="18"/>
              </w:rPr>
              <w:t xml:space="preserve">The </w:t>
            </w:r>
            <w:r w:rsidR="009A54D8" w:rsidRPr="00FD7E86">
              <w:rPr>
                <w:sz w:val="18"/>
              </w:rPr>
              <w:t xml:space="preserve">acquisition </w:t>
            </w:r>
            <w:r w:rsidRPr="00FD7E86">
              <w:rPr>
                <w:sz w:val="18"/>
              </w:rPr>
              <w:t>makes TPG the second largest retail broadband provider in Australia.</w:t>
            </w:r>
          </w:p>
        </w:tc>
      </w:tr>
    </w:tbl>
    <w:p w14:paraId="2912DE8D" w14:textId="77777777" w:rsidR="008836B1" w:rsidRPr="00FD7E86" w:rsidRDefault="00A42E26" w:rsidP="00717EDF">
      <w:pPr>
        <w:pStyle w:val="ACMANotes"/>
        <w:keepNext/>
        <w:keepLines/>
        <w:rPr>
          <w:rFonts w:eastAsia="Calibri"/>
          <w:szCs w:val="16"/>
          <w:lang w:eastAsia="en-US"/>
        </w:rPr>
      </w:pPr>
      <w:r w:rsidRPr="00FD7E86">
        <w:rPr>
          <w:rFonts w:eastAsia="Calibri"/>
          <w:lang w:eastAsia="en-US"/>
        </w:rPr>
        <w:t>*Initial offer, made in March 2015</w:t>
      </w:r>
      <w:r w:rsidR="004E0A42" w:rsidRPr="00FD7E86">
        <w:rPr>
          <w:rFonts w:eastAsia="Calibri"/>
          <w:lang w:eastAsia="en-US"/>
        </w:rPr>
        <w:t>,</w:t>
      </w:r>
      <w:r w:rsidRPr="00FD7E86">
        <w:rPr>
          <w:rFonts w:eastAsia="Calibri"/>
          <w:lang w:eastAsia="en-US"/>
        </w:rPr>
        <w:t xml:space="preserve"> was revised in May 2015.</w:t>
      </w:r>
    </w:p>
    <w:p w14:paraId="53F0863D" w14:textId="77777777" w:rsidR="00A42E26" w:rsidRPr="00FD7E86" w:rsidRDefault="00A42E26" w:rsidP="00717EDF">
      <w:pPr>
        <w:pStyle w:val="ACMANotes"/>
        <w:keepNext/>
        <w:keepLines/>
        <w:rPr>
          <w:rFonts w:eastAsia="Calibri"/>
          <w:szCs w:val="16"/>
          <w:lang w:eastAsia="en-US"/>
        </w:rPr>
      </w:pPr>
      <w:r w:rsidRPr="00FD7E86">
        <w:rPr>
          <w:rFonts w:eastAsia="Calibri"/>
          <w:szCs w:val="16"/>
          <w:lang w:eastAsia="en-US"/>
        </w:rPr>
        <w:t>Source: Company annual reports and press releases.</w:t>
      </w:r>
    </w:p>
    <w:p w14:paraId="4D5AA2C8" w14:textId="77777777" w:rsidR="008836B1" w:rsidRPr="00FD7E86" w:rsidRDefault="008836B1" w:rsidP="0012387E">
      <w:pPr>
        <w:pStyle w:val="ACMASpaceaftertable"/>
        <w:rPr>
          <w:rFonts w:eastAsia="Calibri"/>
          <w:i/>
          <w:sz w:val="16"/>
          <w:szCs w:val="16"/>
          <w:lang w:eastAsia="en-US"/>
        </w:rPr>
      </w:pPr>
    </w:p>
    <w:p w14:paraId="2923BD95" w14:textId="77777777" w:rsidR="00A42E26" w:rsidRPr="00FD7E86" w:rsidRDefault="00EB02EF" w:rsidP="007F5C55">
      <w:pPr>
        <w:pStyle w:val="ACMAHeading1"/>
      </w:pPr>
      <w:bookmarkStart w:id="154" w:name="_Toc399331723"/>
      <w:bookmarkStart w:id="155" w:name="_Toc399336904"/>
      <w:bookmarkStart w:id="156" w:name="_Toc402337503"/>
      <w:bookmarkStart w:id="157" w:name="_Toc433790309"/>
      <w:bookmarkEnd w:id="143"/>
      <w:bookmarkEnd w:id="144"/>
      <w:r w:rsidRPr="00FD7E86">
        <w:t>1.6</w:t>
      </w:r>
      <w:r w:rsidRPr="00FD7E86">
        <w:tab/>
      </w:r>
      <w:r w:rsidR="00924AB6">
        <w:tab/>
      </w:r>
      <w:r w:rsidR="00A42E26" w:rsidRPr="00FD7E86">
        <w:t>Carrier licensing and CSPs</w:t>
      </w:r>
      <w:bookmarkEnd w:id="154"/>
      <w:bookmarkEnd w:id="155"/>
      <w:bookmarkEnd w:id="156"/>
      <w:bookmarkEnd w:id="157"/>
      <w:r w:rsidR="00A42E26" w:rsidRPr="00FD7E86">
        <w:t xml:space="preserve"> </w:t>
      </w:r>
    </w:p>
    <w:p w14:paraId="5B2CB852" w14:textId="77777777" w:rsidR="00A42E26" w:rsidRPr="00FD7E86" w:rsidRDefault="00A42E26" w:rsidP="00A42E26">
      <w:r w:rsidRPr="00FD7E86">
        <w:t xml:space="preserve">There were 229 licensed carriers in Australia </w:t>
      </w:r>
      <w:r w:rsidR="004E0A42" w:rsidRPr="00FD7E86">
        <w:t xml:space="preserve">in 2014–15, </w:t>
      </w:r>
      <w:r w:rsidRPr="00FD7E86">
        <w:t xml:space="preserve">with the ACMA granting 27 carrier licences over </w:t>
      </w:r>
      <w:r w:rsidR="004E0A42" w:rsidRPr="00FD7E86">
        <w:t>the year</w:t>
      </w:r>
      <w:r w:rsidRPr="00FD7E86">
        <w:t xml:space="preserve"> (Figure 1.8). In the same period, four carriers surrendered their licences and two licensed carriers were deregistered by the Australian Securities and Investments Commission. </w:t>
      </w:r>
    </w:p>
    <w:p w14:paraId="5DA80EA9" w14:textId="77777777" w:rsidR="00A42E26" w:rsidRPr="00FD7E86" w:rsidRDefault="00A42E26" w:rsidP="00A42E26">
      <w:pPr>
        <w:rPr>
          <w:rFonts w:cs="Arial"/>
        </w:rPr>
      </w:pPr>
      <w:r w:rsidRPr="00FD7E86">
        <w:rPr>
          <w:rFonts w:cs="Arial"/>
        </w:rPr>
        <w:t>At 30 June 2015, there were 79 nominated carrier declarations (NCDs) in force. In 2014–15, the ACMA granted six NCDs and revoked one.</w:t>
      </w:r>
      <w:r w:rsidRPr="00FD7E86">
        <w:rPr>
          <w:rFonts w:cs="Arial"/>
          <w:vertAlign w:val="superscript"/>
        </w:rPr>
        <w:endnoteReference w:id="39"/>
      </w:r>
      <w:r w:rsidRPr="00FD7E86">
        <w:rPr>
          <w:rFonts w:cs="Arial"/>
        </w:rPr>
        <w:t xml:space="preserve"> During the same period, the ACMA issued three trial certificates compared with one in the previous period.</w:t>
      </w:r>
      <w:r w:rsidRPr="00FD7E86">
        <w:rPr>
          <w:vertAlign w:val="superscript"/>
        </w:rPr>
        <w:endnoteReference w:id="40"/>
      </w:r>
      <w:r w:rsidRPr="00FD7E86" w:rsidDel="00193029">
        <w:rPr>
          <w:rFonts w:cs="Arial"/>
        </w:rPr>
        <w:t xml:space="preserve"> </w:t>
      </w:r>
    </w:p>
    <w:p w14:paraId="13474050" w14:textId="77777777" w:rsidR="00A42E26" w:rsidRPr="00FD7E86" w:rsidRDefault="00A42E26" w:rsidP="00A42E26">
      <w:r w:rsidRPr="00FD7E86">
        <w:t>In the year to 30 June 2015, the total number of carriage service providers (CSPs) identified as members of the T</w:t>
      </w:r>
      <w:r w:rsidR="00AA5221" w:rsidRPr="00FD7E86">
        <w:t xml:space="preserve">elecommunications </w:t>
      </w:r>
      <w:r w:rsidRPr="00FD7E86">
        <w:t>I</w:t>
      </w:r>
      <w:r w:rsidR="00AA5221" w:rsidRPr="00FD7E86">
        <w:t xml:space="preserve">ndustry </w:t>
      </w:r>
      <w:r w:rsidRPr="00FD7E86">
        <w:t>O</w:t>
      </w:r>
      <w:r w:rsidR="00AA5221" w:rsidRPr="00FD7E86">
        <w:t>mbudsman (TIO)</w:t>
      </w:r>
      <w:r w:rsidRPr="00FD7E86">
        <w:t xml:space="preserve"> scheme continued to increase, reaching 1,539 (a 10 per cent increase). While CSPs do not need to be licensed or registered, TIO scheme membership is mandatory for all eligible CSPs that provide or resell telecommunications services to consumers and small businesses.</w:t>
      </w:r>
      <w:r w:rsidR="00E654A7" w:rsidRPr="00FD7E86">
        <w:t xml:space="preserve"> </w:t>
      </w:r>
    </w:p>
    <w:p w14:paraId="2F7B0B84" w14:textId="77777777" w:rsidR="00A42E26" w:rsidRPr="00FD7E86" w:rsidRDefault="00A42E26" w:rsidP="00717EDF">
      <w:pPr>
        <w:pStyle w:val="ACMAFigureHeader"/>
        <w:keepNext/>
        <w:keepLines/>
        <w:numPr>
          <w:ilvl w:val="0"/>
          <w:numId w:val="0"/>
        </w:numPr>
        <w:rPr>
          <w:rFonts w:ascii="Calibri" w:hAnsi="Calibri"/>
        </w:rPr>
      </w:pPr>
      <w:r w:rsidRPr="00FD7E86">
        <w:lastRenderedPageBreak/>
        <w:t>Figure 1.8 Carrier licensing and nominated carrier declarations</w:t>
      </w:r>
    </w:p>
    <w:p w14:paraId="1E758140" w14:textId="77777777" w:rsidR="00A42E26" w:rsidRPr="00FD7E86" w:rsidRDefault="000C297D" w:rsidP="00717EDF">
      <w:pPr>
        <w:keepNext/>
        <w:keepLines/>
        <w:spacing w:after="0"/>
        <w:rPr>
          <w:rFonts w:ascii="Calibri" w:hAnsi="Calibri"/>
        </w:rPr>
      </w:pPr>
      <w:r>
        <w:rPr>
          <w:rFonts w:ascii="Calibri" w:hAnsi="Calibri"/>
          <w:noProof/>
        </w:rPr>
        <w:drawing>
          <wp:inline distT="0" distB="0" distL="0" distR="0" wp14:anchorId="71EFCE22" wp14:editId="6462DE5A">
            <wp:extent cx="5939790" cy="4460875"/>
            <wp:effectExtent l="0" t="0" r="0" b="0"/>
            <wp:docPr id="57" name="Picture 57" descr="A .csv file of Figure 1.8 is available on the landing page ‘Communications report 2014–15’, available from the ACMA website. " title="Figure 1.8 Carrier licensing and nominated carrier decla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Chapter 1_Figure 1.8.png"/>
                    <pic:cNvPicPr/>
                  </pic:nvPicPr>
                  <pic:blipFill>
                    <a:blip r:embed="rId46">
                      <a:extLst>
                        <a:ext uri="{28A0092B-C50C-407E-A947-70E740481C1C}">
                          <a14:useLocalDpi xmlns:a14="http://schemas.microsoft.com/office/drawing/2010/main" val="0"/>
                        </a:ext>
                      </a:extLst>
                    </a:blip>
                    <a:stretch>
                      <a:fillRect/>
                    </a:stretch>
                  </pic:blipFill>
                  <pic:spPr>
                    <a:xfrm>
                      <a:off x="0" y="0"/>
                      <a:ext cx="5939790" cy="4460875"/>
                    </a:xfrm>
                    <a:prstGeom prst="rect">
                      <a:avLst/>
                    </a:prstGeom>
                  </pic:spPr>
                </pic:pic>
              </a:graphicData>
            </a:graphic>
          </wp:inline>
        </w:drawing>
      </w:r>
    </w:p>
    <w:p w14:paraId="1CEC33DE" w14:textId="77777777" w:rsidR="00A42E26" w:rsidRPr="00FD7E86" w:rsidRDefault="004130D5" w:rsidP="00717EDF">
      <w:pPr>
        <w:pStyle w:val="ACMANotes"/>
        <w:keepNext/>
        <w:keepLines/>
      </w:pPr>
      <w:r w:rsidRPr="00FD7E86">
        <w:t>Source: ACMA.</w:t>
      </w:r>
    </w:p>
    <w:p w14:paraId="2C8E874B" w14:textId="77777777" w:rsidR="000A7AE7" w:rsidRPr="00FD7E86" w:rsidRDefault="000A7AE7" w:rsidP="0012387E">
      <w:pPr>
        <w:pStyle w:val="ACMASpaceaftertable"/>
        <w:rPr>
          <w:i/>
          <w:sz w:val="16"/>
          <w:szCs w:val="16"/>
        </w:rPr>
      </w:pPr>
    </w:p>
    <w:p w14:paraId="72E91233" w14:textId="77777777" w:rsidR="00A42E26" w:rsidRPr="00FD7E86" w:rsidRDefault="007F5C55" w:rsidP="000B3AFF">
      <w:pPr>
        <w:pStyle w:val="ACMAHeading1"/>
      </w:pPr>
      <w:bookmarkStart w:id="158" w:name="_Toc399331724"/>
      <w:bookmarkStart w:id="159" w:name="_Toc399336905"/>
      <w:bookmarkStart w:id="160" w:name="_Toc402337504"/>
      <w:bookmarkStart w:id="161" w:name="_Toc433790310"/>
      <w:r w:rsidRPr="00FD7E86">
        <w:t>1.7</w:t>
      </w:r>
      <w:r w:rsidRPr="00FD7E86">
        <w:tab/>
      </w:r>
      <w:r w:rsidR="00924AB6">
        <w:tab/>
      </w:r>
      <w:r w:rsidR="00A42E26" w:rsidRPr="00FD7E86">
        <w:t>Allocation of numbers</w:t>
      </w:r>
      <w:bookmarkEnd w:id="158"/>
      <w:bookmarkEnd w:id="159"/>
      <w:bookmarkEnd w:id="160"/>
      <w:bookmarkEnd w:id="161"/>
    </w:p>
    <w:p w14:paraId="726C1314" w14:textId="77777777" w:rsidR="00A42E26" w:rsidRPr="00FD7E86" w:rsidRDefault="00A42E26" w:rsidP="00582E43">
      <w:pPr>
        <w:pStyle w:val="ACMAHeading2"/>
      </w:pPr>
      <w:bookmarkStart w:id="162" w:name="_Toc399331725"/>
      <w:bookmarkStart w:id="163" w:name="_Toc399336906"/>
      <w:bookmarkStart w:id="164" w:name="_Toc402337505"/>
      <w:bookmarkStart w:id="165" w:name="_Toc433790311"/>
      <w:r w:rsidRPr="00FD7E86">
        <w:t>Smartnumbers</w:t>
      </w:r>
      <w:bookmarkEnd w:id="162"/>
      <w:bookmarkEnd w:id="163"/>
      <w:bookmarkEnd w:id="164"/>
      <w:bookmarkEnd w:id="165"/>
    </w:p>
    <w:p w14:paraId="3724DD7A" w14:textId="77777777" w:rsidR="00A42E26" w:rsidRPr="00FD7E86" w:rsidRDefault="0017681E" w:rsidP="00A42E26">
      <w:pPr>
        <w:spacing w:line="240" w:lineRule="auto"/>
        <w:rPr>
          <w:rFonts w:cs="Arial"/>
          <w:bCs/>
        </w:rPr>
      </w:pPr>
      <w:r w:rsidRPr="00FD7E86">
        <w:rPr>
          <w:rFonts w:cs="Arial"/>
          <w:bCs/>
        </w:rPr>
        <w:t>T</w:t>
      </w:r>
      <w:r w:rsidR="00A42E26" w:rsidRPr="00FD7E86">
        <w:rPr>
          <w:rFonts w:cs="Arial"/>
          <w:bCs/>
        </w:rPr>
        <w:t>he smartnumbers auction system was introduced in 2004 as an efficient way to</w:t>
      </w:r>
      <w:r w:rsidR="00A42E26" w:rsidRPr="00FD7E86" w:rsidDel="00F21F8B">
        <w:rPr>
          <w:rFonts w:cs="Arial"/>
          <w:bCs/>
        </w:rPr>
        <w:t xml:space="preserve"> </w:t>
      </w:r>
      <w:r w:rsidR="00A42E26" w:rsidRPr="00FD7E86">
        <w:rPr>
          <w:rFonts w:cs="Arial"/>
          <w:bCs/>
        </w:rPr>
        <w:t>allocate freephone and local rate numbers (FLRNs)—numbers commencing with 13, 1300 and 1800—and to enable an appropriate return for this valuable and limited resource. In 2014–15, the last year of the system, the ACMA conducted public auctions each fortnight and sold 4,330 numbers, raising approximately $1.</w:t>
      </w:r>
      <w:r w:rsidR="00585AA6" w:rsidRPr="00FD7E86">
        <w:rPr>
          <w:rFonts w:cs="Arial"/>
          <w:bCs/>
        </w:rPr>
        <w:t>66</w:t>
      </w:r>
      <w:r w:rsidR="00585AA6">
        <w:rPr>
          <w:rFonts w:cs="Arial"/>
          <w:bCs/>
        </w:rPr>
        <w:t> </w:t>
      </w:r>
      <w:r w:rsidR="00A42E26" w:rsidRPr="00FD7E86">
        <w:rPr>
          <w:rFonts w:cs="Arial"/>
          <w:bCs/>
        </w:rPr>
        <w:t>million in revenue. This quantity of numbers was an 11 per cent increase compared to the 3,891 numbers sold in 2013–14</w:t>
      </w:r>
      <w:r w:rsidR="004E0A42" w:rsidRPr="00FD7E86">
        <w:rPr>
          <w:rFonts w:cs="Arial"/>
          <w:bCs/>
        </w:rPr>
        <w:t>,</w:t>
      </w:r>
      <w:r w:rsidR="00A42E26" w:rsidRPr="00FD7E86">
        <w:rPr>
          <w:rFonts w:cs="Arial"/>
          <w:bCs/>
        </w:rPr>
        <w:t xml:space="preserve"> which raised approximately $1.53 million in revenue. </w:t>
      </w:r>
    </w:p>
    <w:p w14:paraId="1C516ADD" w14:textId="77777777" w:rsidR="00A42E26" w:rsidRPr="00FD7E86" w:rsidRDefault="00A42E26" w:rsidP="00A42E26">
      <w:pPr>
        <w:rPr>
          <w:szCs w:val="22"/>
        </w:rPr>
      </w:pPr>
      <w:r w:rsidRPr="00FD7E86">
        <w:t>From August 2015, the sale of smartnumbers changed from auction to immediate purchase. This change will benefit individuals and organisations that purchase smartnumbers by reducing the delay, uncertainty and complexity inherent in the current auction process.</w:t>
      </w:r>
      <w:r w:rsidR="00E654A7" w:rsidRPr="00FD7E86">
        <w:t xml:space="preserve"> </w:t>
      </w:r>
    </w:p>
    <w:p w14:paraId="7A7D5615" w14:textId="77777777" w:rsidR="00A42E26" w:rsidRPr="00FD7E86" w:rsidRDefault="00A42E26" w:rsidP="007E5190">
      <w:pPr>
        <w:pStyle w:val="ACMAHeading2"/>
      </w:pPr>
      <w:bookmarkStart w:id="166" w:name="_Toc399331726"/>
      <w:bookmarkStart w:id="167" w:name="_Toc399336907"/>
      <w:bookmarkStart w:id="168" w:name="_Toc402337506"/>
      <w:bookmarkStart w:id="169" w:name="_Toc433790312"/>
      <w:r w:rsidRPr="00FD7E86">
        <w:t>Geographic numbers</w:t>
      </w:r>
      <w:bookmarkEnd w:id="166"/>
      <w:bookmarkEnd w:id="167"/>
      <w:bookmarkEnd w:id="168"/>
      <w:bookmarkEnd w:id="169"/>
    </w:p>
    <w:p w14:paraId="355C4D81" w14:textId="77777777" w:rsidR="00A42E26" w:rsidRPr="00FD7E86" w:rsidRDefault="00A42E26" w:rsidP="00A42E26">
      <w:pPr>
        <w:spacing w:line="240" w:lineRule="auto"/>
        <w:rPr>
          <w:rFonts w:cs="Arial"/>
          <w:bCs/>
        </w:rPr>
      </w:pPr>
      <w:r w:rsidRPr="00FD7E86">
        <w:rPr>
          <w:rFonts w:cs="Arial"/>
          <w:bCs/>
        </w:rPr>
        <w:t>In 2014–15, CSPs were allocated 1,572,100 geographic numbers—an 8.2 per cent increase on allocations in 2013–14 (Figure 1.9).</w:t>
      </w:r>
      <w:r w:rsidR="00E654A7" w:rsidRPr="00FD7E86">
        <w:rPr>
          <w:rFonts w:cs="Arial"/>
          <w:bCs/>
        </w:rPr>
        <w:t xml:space="preserve"> </w:t>
      </w:r>
    </w:p>
    <w:p w14:paraId="31161AAB" w14:textId="77777777" w:rsidR="00A42E26" w:rsidRPr="00FD7E86" w:rsidRDefault="00A42E26" w:rsidP="00A42E26">
      <w:pPr>
        <w:spacing w:line="240" w:lineRule="auto"/>
        <w:rPr>
          <w:rFonts w:cs="Arial"/>
          <w:bCs/>
        </w:rPr>
      </w:pPr>
      <w:r w:rsidRPr="00FD7E86">
        <w:rPr>
          <w:rFonts w:cs="Arial"/>
          <w:bCs/>
        </w:rPr>
        <w:t xml:space="preserve">There were no geographic numbers surrendered during 2014–15, </w:t>
      </w:r>
      <w:r w:rsidR="00005A09" w:rsidRPr="00FD7E86">
        <w:rPr>
          <w:rFonts w:cs="Arial"/>
          <w:bCs/>
        </w:rPr>
        <w:t xml:space="preserve">compared </w:t>
      </w:r>
      <w:r w:rsidR="000C3DBE" w:rsidRPr="00FD7E86">
        <w:rPr>
          <w:rFonts w:cs="Arial"/>
          <w:bCs/>
        </w:rPr>
        <w:t>with</w:t>
      </w:r>
      <w:r w:rsidRPr="00FD7E86">
        <w:rPr>
          <w:rFonts w:cs="Arial"/>
          <w:bCs/>
        </w:rPr>
        <w:t xml:space="preserve"> 90,000 numbers surrendered in 2013–14. During 2014–15, 103,100 geographic numbers were transferred between CSPs.</w:t>
      </w:r>
      <w:r w:rsidR="00E654A7" w:rsidRPr="00FD7E86">
        <w:rPr>
          <w:rFonts w:cs="Arial"/>
          <w:bCs/>
        </w:rPr>
        <w:t xml:space="preserve"> </w:t>
      </w:r>
    </w:p>
    <w:p w14:paraId="3809CC91" w14:textId="77777777" w:rsidR="00A42E26" w:rsidRPr="00FD7E86" w:rsidRDefault="00A42E26" w:rsidP="00717EDF">
      <w:pPr>
        <w:pStyle w:val="ACMAFigureHeader"/>
        <w:keepNext/>
        <w:keepLines/>
        <w:numPr>
          <w:ilvl w:val="0"/>
          <w:numId w:val="0"/>
        </w:numPr>
        <w:ind w:left="1021" w:hanging="1021"/>
        <w:rPr>
          <w:rFonts w:cs="Arial"/>
        </w:rPr>
      </w:pPr>
      <w:bookmarkStart w:id="170" w:name="_Ref398813220"/>
      <w:r w:rsidRPr="00FD7E86">
        <w:lastRenderedPageBreak/>
        <w:t>Figure 1.</w:t>
      </w:r>
      <w:bookmarkEnd w:id="170"/>
      <w:r w:rsidRPr="00FD7E86">
        <w:t>9 Trends in geographic numbers allocated</w:t>
      </w:r>
    </w:p>
    <w:p w14:paraId="6AF9A439" w14:textId="77777777" w:rsidR="00A42E26" w:rsidRPr="00FD7E86" w:rsidRDefault="00916427" w:rsidP="00717EDF">
      <w:pPr>
        <w:keepNext/>
        <w:keepLines/>
        <w:spacing w:after="0" w:line="240" w:lineRule="auto"/>
        <w:rPr>
          <w:rFonts w:cs="Arial"/>
          <w:bCs/>
        </w:rPr>
      </w:pPr>
      <w:r>
        <w:rPr>
          <w:rFonts w:cs="Arial"/>
          <w:bCs/>
          <w:noProof/>
        </w:rPr>
        <w:drawing>
          <wp:inline distT="0" distB="0" distL="0" distR="0" wp14:anchorId="513C3F93" wp14:editId="0B18FE05">
            <wp:extent cx="5939790" cy="1765300"/>
            <wp:effectExtent l="0" t="0" r="0" b="0"/>
            <wp:docPr id="11" name="Picture 11" descr="A .csv file of Figure 1.9 is available on the landing page ‘Communications report 2014–15’, available from the ACMA website. " title="Figure 1.9 Trends in geographic numbers alloc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Chapter 1_Figure 1.9.png"/>
                    <pic:cNvPicPr/>
                  </pic:nvPicPr>
                  <pic:blipFill>
                    <a:blip r:embed="rId47">
                      <a:extLst>
                        <a:ext uri="{28A0092B-C50C-407E-A947-70E740481C1C}">
                          <a14:useLocalDpi xmlns:a14="http://schemas.microsoft.com/office/drawing/2010/main" val="0"/>
                        </a:ext>
                      </a:extLst>
                    </a:blip>
                    <a:stretch>
                      <a:fillRect/>
                    </a:stretch>
                  </pic:blipFill>
                  <pic:spPr>
                    <a:xfrm>
                      <a:off x="0" y="0"/>
                      <a:ext cx="5939790" cy="1765300"/>
                    </a:xfrm>
                    <a:prstGeom prst="rect">
                      <a:avLst/>
                    </a:prstGeom>
                  </pic:spPr>
                </pic:pic>
              </a:graphicData>
            </a:graphic>
          </wp:inline>
        </w:drawing>
      </w:r>
    </w:p>
    <w:p w14:paraId="061E1ED7" w14:textId="77777777" w:rsidR="00A42E26" w:rsidRPr="00FD7E86" w:rsidRDefault="007E5190" w:rsidP="00717EDF">
      <w:pPr>
        <w:pStyle w:val="ACMANotes"/>
        <w:keepNext/>
        <w:keepLines/>
      </w:pPr>
      <w:r w:rsidRPr="00FD7E86">
        <w:t>Source: ACMA.</w:t>
      </w:r>
    </w:p>
    <w:p w14:paraId="4C91C298" w14:textId="77777777" w:rsidR="000A7AE7" w:rsidRPr="00FD7E86" w:rsidRDefault="000A7AE7" w:rsidP="0046698B">
      <w:pPr>
        <w:pStyle w:val="ACMASpaceaftertable"/>
        <w:rPr>
          <w:i/>
          <w:sz w:val="16"/>
          <w:szCs w:val="16"/>
        </w:rPr>
      </w:pPr>
    </w:p>
    <w:p w14:paraId="0EE32CAB" w14:textId="77777777" w:rsidR="00A42E26" w:rsidRPr="00FD7E86" w:rsidRDefault="00A42E26" w:rsidP="003E12DA">
      <w:pPr>
        <w:pStyle w:val="ACMAHeading2"/>
      </w:pPr>
      <w:bookmarkStart w:id="171" w:name="_Toc399331727"/>
      <w:bookmarkStart w:id="172" w:name="_Toc399336908"/>
      <w:bookmarkStart w:id="173" w:name="_Toc402337507"/>
      <w:bookmarkStart w:id="174" w:name="_Toc433790313"/>
      <w:r w:rsidRPr="00FD7E86">
        <w:t>Digital mobile numbers</w:t>
      </w:r>
      <w:bookmarkEnd w:id="171"/>
      <w:bookmarkEnd w:id="172"/>
      <w:bookmarkEnd w:id="173"/>
      <w:bookmarkEnd w:id="174"/>
      <w:r w:rsidRPr="00FD7E86">
        <w:t xml:space="preserve"> </w:t>
      </w:r>
    </w:p>
    <w:p w14:paraId="3C3561BB" w14:textId="77777777" w:rsidR="00A42E26" w:rsidRPr="00FD7E86" w:rsidRDefault="00A42E26" w:rsidP="00A42E26">
      <w:r w:rsidRPr="00FD7E86">
        <w:t xml:space="preserve">During 2014–15, CSPs were allocated 1.2 million digital mobile numbers, down from 2.6 million during 2013–14. At 30 June 2015, 69.7 per cent of available mobile numbers had been allocated. </w:t>
      </w:r>
    </w:p>
    <w:p w14:paraId="66F312F4" w14:textId="77777777" w:rsidR="00A42E26" w:rsidRPr="00FD7E86" w:rsidRDefault="00A42E26" w:rsidP="003E12DA">
      <w:pPr>
        <w:pStyle w:val="ACMAHeading2"/>
      </w:pPr>
      <w:bookmarkStart w:id="175" w:name="_Toc399331728"/>
      <w:bookmarkStart w:id="176" w:name="_Toc399336909"/>
      <w:bookmarkStart w:id="177" w:name="_Toc402337508"/>
      <w:bookmarkStart w:id="178" w:name="_Toc433790314"/>
      <w:r w:rsidRPr="00FD7E86">
        <w:t>Other numbers</w:t>
      </w:r>
      <w:bookmarkEnd w:id="175"/>
      <w:bookmarkEnd w:id="176"/>
      <w:bookmarkEnd w:id="177"/>
      <w:bookmarkEnd w:id="178"/>
    </w:p>
    <w:p w14:paraId="162B1A8C" w14:textId="77777777" w:rsidR="00A42E26" w:rsidRPr="00FD7E86" w:rsidRDefault="00A42E26" w:rsidP="00A42E26">
      <w:r w:rsidRPr="00FD7E86">
        <w:t>During 2014–15</w:t>
      </w:r>
      <w:r w:rsidRPr="00FD7E86" w:rsidDel="001320E9">
        <w:t xml:space="preserve">, </w:t>
      </w:r>
      <w:r w:rsidRPr="00FD7E86">
        <w:t>two pre-selection over-ride codes and one mobile network code were issued to network operators. All remaining data network service numbers were surrendered during 2014–15.</w:t>
      </w:r>
    </w:p>
    <w:p w14:paraId="0EA622A9" w14:textId="77777777" w:rsidR="00A42E26" w:rsidRPr="00FD7E86" w:rsidRDefault="007F5C55" w:rsidP="007F5C55">
      <w:pPr>
        <w:pStyle w:val="ACMAHeading1"/>
      </w:pPr>
      <w:bookmarkStart w:id="179" w:name="_Toc399331729"/>
      <w:bookmarkStart w:id="180" w:name="_Toc399336910"/>
      <w:bookmarkStart w:id="181" w:name="_Toc402337509"/>
      <w:bookmarkStart w:id="182" w:name="_Toc433790315"/>
      <w:r w:rsidRPr="00FD7E86">
        <w:t>1.8</w:t>
      </w:r>
      <w:r w:rsidRPr="00FD7E86">
        <w:tab/>
      </w:r>
      <w:r w:rsidR="00924AB6">
        <w:tab/>
      </w:r>
      <w:r w:rsidR="00A42E26" w:rsidRPr="00FD7E86">
        <w:t>Broadcasting services</w:t>
      </w:r>
      <w:bookmarkEnd w:id="179"/>
      <w:bookmarkEnd w:id="180"/>
      <w:bookmarkEnd w:id="181"/>
      <w:bookmarkEnd w:id="182"/>
    </w:p>
    <w:p w14:paraId="168C70E8" w14:textId="77777777" w:rsidR="00A42E26" w:rsidRPr="00FD7E86" w:rsidRDefault="00A42E26" w:rsidP="00C05F4C">
      <w:pPr>
        <w:pStyle w:val="ACMAHeading2"/>
      </w:pPr>
      <w:bookmarkStart w:id="183" w:name="_Toc399331730"/>
      <w:bookmarkStart w:id="184" w:name="_Toc399336911"/>
      <w:bookmarkStart w:id="185" w:name="_Toc402337510"/>
      <w:r w:rsidRPr="00923B14">
        <w:t>Number of broadcasters by segment (radio/</w:t>
      </w:r>
      <w:r w:rsidR="00C011BD" w:rsidRPr="00923B14">
        <w:t>television</w:t>
      </w:r>
      <w:r w:rsidRPr="00923B14">
        <w:t>/commercial)</w:t>
      </w:r>
      <w:bookmarkEnd w:id="183"/>
      <w:bookmarkEnd w:id="184"/>
      <w:bookmarkEnd w:id="185"/>
    </w:p>
    <w:p w14:paraId="24D44103" w14:textId="77777777" w:rsidR="00A42E26" w:rsidRPr="00FD7E86" w:rsidRDefault="00A42E26" w:rsidP="00A42E26">
      <w:pPr>
        <w:keepNext/>
        <w:keepLines/>
        <w:spacing w:after="80" w:line="240" w:lineRule="auto"/>
      </w:pPr>
      <w:r w:rsidRPr="00FD7E86">
        <w:rPr>
          <w:rFonts w:cs="Arial"/>
        </w:rPr>
        <w:t xml:space="preserve">The number of commercial broadcasting licences in operation for television and radio saw minimal changes compared </w:t>
      </w:r>
      <w:r w:rsidR="000C3DBE" w:rsidRPr="00FD7E86">
        <w:rPr>
          <w:rFonts w:cs="Arial"/>
        </w:rPr>
        <w:t>with</w:t>
      </w:r>
      <w:r w:rsidRPr="00FD7E86">
        <w:rPr>
          <w:rFonts w:cs="Arial"/>
        </w:rPr>
        <w:t xml:space="preserve"> the 2013–14 reporting period. At June 2015, the number of act</w:t>
      </w:r>
      <w:r w:rsidR="006457FE" w:rsidRPr="00FD7E86">
        <w:rPr>
          <w:rFonts w:cs="Arial"/>
        </w:rPr>
        <w:t>ive licences in Australia were (Figure 1.10</w:t>
      </w:r>
      <w:r w:rsidRPr="00FD7E86">
        <w:t>)</w:t>
      </w:r>
      <w:r w:rsidRPr="00FD7E86">
        <w:rPr>
          <w:rFonts w:cs="Arial"/>
        </w:rPr>
        <w:t>:</w:t>
      </w:r>
    </w:p>
    <w:p w14:paraId="7DCEC390" w14:textId="77777777" w:rsidR="00A42E26" w:rsidRPr="00FD7E86" w:rsidRDefault="00563205" w:rsidP="00144D96">
      <w:pPr>
        <w:pStyle w:val="ListBullet"/>
        <w:rPr>
          <w:szCs w:val="18"/>
        </w:rPr>
      </w:pPr>
      <w:r w:rsidRPr="00FD7E86">
        <w:rPr>
          <w:szCs w:val="18"/>
        </w:rPr>
        <w:t>342</w:t>
      </w:r>
      <w:r w:rsidR="00A42E26" w:rsidRPr="00FD7E86">
        <w:rPr>
          <w:szCs w:val="18"/>
        </w:rPr>
        <w:t xml:space="preserve"> commercial broadcasting (radio and television) licences, </w:t>
      </w:r>
      <w:r w:rsidR="000C4870" w:rsidRPr="00FD7E86">
        <w:rPr>
          <w:szCs w:val="18"/>
        </w:rPr>
        <w:t>unchanged from last year</w:t>
      </w:r>
      <w:r w:rsidR="00E654A7" w:rsidRPr="00FD7E86">
        <w:rPr>
          <w:szCs w:val="18"/>
        </w:rPr>
        <w:t xml:space="preserve"> </w:t>
      </w:r>
    </w:p>
    <w:p w14:paraId="0031635A" w14:textId="77777777" w:rsidR="00A42E26" w:rsidRPr="00FD7E86" w:rsidRDefault="00A42E26" w:rsidP="00144D96">
      <w:pPr>
        <w:pStyle w:val="ListBullet"/>
        <w:rPr>
          <w:szCs w:val="18"/>
        </w:rPr>
      </w:pPr>
      <w:r w:rsidRPr="00FD7E86">
        <w:rPr>
          <w:szCs w:val="18"/>
        </w:rPr>
        <w:t>2,735 subscription television licences, unchanged from last year</w:t>
      </w:r>
      <w:r w:rsidR="00E654A7" w:rsidRPr="00FD7E86">
        <w:rPr>
          <w:szCs w:val="18"/>
        </w:rPr>
        <w:t xml:space="preserve"> </w:t>
      </w:r>
    </w:p>
    <w:p w14:paraId="01BD26E0" w14:textId="77777777" w:rsidR="003E12DA" w:rsidRPr="00C05F4C" w:rsidRDefault="00A42E26" w:rsidP="00C05F4C">
      <w:pPr>
        <w:pStyle w:val="ListBulletLast"/>
        <w:rPr>
          <w:b/>
        </w:rPr>
      </w:pPr>
      <w:r w:rsidRPr="00FD7E86">
        <w:t>506 community radio and television licences (including temporary licences), up by nine licences.</w:t>
      </w:r>
      <w:r w:rsidR="00E654A7" w:rsidRPr="00FD7E86">
        <w:t xml:space="preserve"> </w:t>
      </w:r>
      <w:bookmarkStart w:id="186" w:name="_Ref398813269"/>
      <w:bookmarkStart w:id="187" w:name="_Ref399257077"/>
    </w:p>
    <w:p w14:paraId="5089152D" w14:textId="77777777" w:rsidR="00A42E26" w:rsidRPr="00FD7E86" w:rsidRDefault="00A42E26" w:rsidP="00717EDF">
      <w:pPr>
        <w:pStyle w:val="ACMAFigureHeader"/>
        <w:keepNext/>
        <w:keepLines/>
        <w:numPr>
          <w:ilvl w:val="0"/>
          <w:numId w:val="0"/>
        </w:numPr>
      </w:pPr>
      <w:r w:rsidRPr="00FD7E86">
        <w:lastRenderedPageBreak/>
        <w:t>Figure 1.</w:t>
      </w:r>
      <w:bookmarkEnd w:id="186"/>
      <w:bookmarkEnd w:id="187"/>
      <w:r w:rsidRPr="00FD7E86">
        <w:t xml:space="preserve">10 </w:t>
      </w:r>
      <w:r w:rsidR="00453247" w:rsidRPr="00FD7E86">
        <w:t xml:space="preserve">Number </w:t>
      </w:r>
      <w:r w:rsidRPr="00FD7E86">
        <w:t>of broadcasting licences in operation in Australia</w:t>
      </w:r>
    </w:p>
    <w:p w14:paraId="35FE313C" w14:textId="77777777" w:rsidR="00A42E26" w:rsidRPr="00FD7E86" w:rsidRDefault="0007421E" w:rsidP="00717EDF">
      <w:pPr>
        <w:keepNext/>
        <w:keepLines/>
        <w:spacing w:after="0"/>
        <w:rPr>
          <w:rFonts w:cs="Arial"/>
          <w:b/>
        </w:rPr>
      </w:pPr>
      <w:r>
        <w:rPr>
          <w:rFonts w:cs="Arial"/>
          <w:b/>
          <w:noProof/>
        </w:rPr>
        <w:drawing>
          <wp:inline distT="0" distB="0" distL="0" distR="0" wp14:anchorId="66B37ECF" wp14:editId="19662D1A">
            <wp:extent cx="5939790" cy="5026025"/>
            <wp:effectExtent l="0" t="0" r="3810" b="3175"/>
            <wp:docPr id="27" name="Picture 27" descr="A .csv file of Figure 1.10 is available on the landing page ‘Communications report 2014–15’, available from the ACMA website. " title="Figure 1.10 Number of broadcasting licences in operation in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Chapter 1_Figure 1.10.png"/>
                    <pic:cNvPicPr/>
                  </pic:nvPicPr>
                  <pic:blipFill>
                    <a:blip r:embed="rId48">
                      <a:extLst>
                        <a:ext uri="{28A0092B-C50C-407E-A947-70E740481C1C}">
                          <a14:useLocalDpi xmlns:a14="http://schemas.microsoft.com/office/drawing/2010/main" val="0"/>
                        </a:ext>
                      </a:extLst>
                    </a:blip>
                    <a:stretch>
                      <a:fillRect/>
                    </a:stretch>
                  </pic:blipFill>
                  <pic:spPr>
                    <a:xfrm>
                      <a:off x="0" y="0"/>
                      <a:ext cx="5939790" cy="5026025"/>
                    </a:xfrm>
                    <a:prstGeom prst="rect">
                      <a:avLst/>
                    </a:prstGeom>
                  </pic:spPr>
                </pic:pic>
              </a:graphicData>
            </a:graphic>
          </wp:inline>
        </w:drawing>
      </w:r>
    </w:p>
    <w:p w14:paraId="73B392CD" w14:textId="77777777" w:rsidR="00A42E26" w:rsidRPr="00FD7E86" w:rsidRDefault="00A42E26" w:rsidP="00717EDF">
      <w:pPr>
        <w:pStyle w:val="ACMANotes"/>
        <w:keepNext/>
        <w:keepLines/>
      </w:pPr>
      <w:r w:rsidRPr="00FD7E86">
        <w:t>Source: ACMA.</w:t>
      </w:r>
    </w:p>
    <w:p w14:paraId="4B13B1AA" w14:textId="77777777" w:rsidR="000A7AE7" w:rsidRPr="00FD7E86" w:rsidRDefault="000A7AE7" w:rsidP="006308C9">
      <w:pPr>
        <w:pStyle w:val="ACMASpaceaftertable"/>
        <w:rPr>
          <w:i/>
          <w:sz w:val="16"/>
          <w:szCs w:val="16"/>
        </w:rPr>
      </w:pPr>
    </w:p>
    <w:p w14:paraId="4D93B5E0" w14:textId="77777777" w:rsidR="00A42E26" w:rsidRPr="00FD7E86" w:rsidRDefault="00A42E26" w:rsidP="000664F7">
      <w:pPr>
        <w:pStyle w:val="ACMAHeading2"/>
      </w:pPr>
      <w:bookmarkStart w:id="188" w:name="_Toc433790316"/>
      <w:r w:rsidRPr="00FD7E86">
        <w:t>Commercial broadcasting services</w:t>
      </w:r>
      <w:bookmarkEnd w:id="188"/>
    </w:p>
    <w:p w14:paraId="36B53A87" w14:textId="77777777" w:rsidR="00A42E26" w:rsidRPr="00FD7E86" w:rsidRDefault="00A42E26" w:rsidP="00A42E26">
      <w:pPr>
        <w:keepNext/>
        <w:rPr>
          <w:rFonts w:cs="Arial"/>
        </w:rPr>
      </w:pPr>
      <w:r w:rsidRPr="00FD7E86">
        <w:rPr>
          <w:rFonts w:cs="Arial"/>
        </w:rPr>
        <w:t xml:space="preserve">Commercial broadcasting services comprise free-to-air radio and television services that are made available to the general public. </w:t>
      </w:r>
      <w:r w:rsidR="00AB73EA" w:rsidRPr="00FD7E86">
        <w:rPr>
          <w:rFonts w:cs="Arial"/>
        </w:rPr>
        <w:t>These</w:t>
      </w:r>
      <w:r w:rsidRPr="00FD7E86">
        <w:rPr>
          <w:rFonts w:cs="Arial"/>
        </w:rPr>
        <w:t xml:space="preserve"> services are licensed to operate within specified geographic areas and are subject to regulations to limit concentration of their ownership and control.</w:t>
      </w:r>
    </w:p>
    <w:p w14:paraId="619312F3" w14:textId="77777777" w:rsidR="00A42E26" w:rsidRPr="00FD7E86" w:rsidRDefault="00A42E26" w:rsidP="000664F7">
      <w:pPr>
        <w:pStyle w:val="ACMAHeading3"/>
      </w:pPr>
      <w:r w:rsidRPr="00FD7E86">
        <w:t>Ownership and control of commercial television services</w:t>
      </w:r>
    </w:p>
    <w:p w14:paraId="624AE02C" w14:textId="77777777" w:rsidR="00A42E26" w:rsidRPr="00FD7E86" w:rsidRDefault="00A42E26" w:rsidP="00A42E26">
      <w:pPr>
        <w:rPr>
          <w:rFonts w:cs="Arial"/>
        </w:rPr>
      </w:pPr>
      <w:r w:rsidRPr="00FD7E86">
        <w:rPr>
          <w:rFonts w:cs="Arial"/>
        </w:rPr>
        <w:t>During 2014–15, there were a number of control changes in the media. Some involved the transfer of licences to different media networks or groups while others were a result of financial or company restructures.</w:t>
      </w:r>
    </w:p>
    <w:p w14:paraId="6D86E766" w14:textId="77777777" w:rsidR="00A42E26" w:rsidRPr="00FD7E86" w:rsidRDefault="00A42E26" w:rsidP="00A42E26">
      <w:pPr>
        <w:rPr>
          <w:rFonts w:cs="Arial"/>
        </w:rPr>
      </w:pPr>
      <w:r w:rsidRPr="00FD7E86">
        <w:rPr>
          <w:rFonts w:cs="Arial"/>
        </w:rPr>
        <w:t>The Seven, Nine and Ten networks operate commercial television broadcasting licences predominantly in metropolitan markets. Their programming is also made available in regional markets through affiliation agreements with the regional television licences controlled by Prime Media Group Limited, Southern Cross Media Group Limited, WIN Corporation Pty Ltd and Imparja Television Pty Ltd.</w:t>
      </w:r>
      <w:r w:rsidRPr="00FD7E86">
        <w:rPr>
          <w:vertAlign w:val="superscript"/>
        </w:rPr>
        <w:endnoteReference w:id="41"/>
      </w:r>
      <w:r w:rsidRPr="00FD7E86">
        <w:rPr>
          <w:rFonts w:cs="Arial"/>
        </w:rPr>
        <w:t xml:space="preserve"> </w:t>
      </w:r>
    </w:p>
    <w:p w14:paraId="2F52440A" w14:textId="452A5D53" w:rsidR="00697752" w:rsidRDefault="00A42E26" w:rsidP="00585F9C">
      <w:pPr>
        <w:rPr>
          <w:rFonts w:cs="Arial"/>
        </w:rPr>
      </w:pPr>
      <w:r w:rsidRPr="00FD7E86">
        <w:rPr>
          <w:rFonts w:cs="Arial"/>
        </w:rPr>
        <w:t xml:space="preserve">There were no changes in the ownership and control of commercial television services in 2014–15. </w:t>
      </w:r>
      <w:r w:rsidR="009F67FD">
        <w:rPr>
          <w:rFonts w:cs="Arial"/>
        </w:rPr>
        <w:br/>
      </w:r>
      <w:r w:rsidR="009F67FD" w:rsidRPr="009F67FD">
        <w:rPr>
          <w:rFonts w:cs="Arial"/>
        </w:rPr>
        <w:t>Table 1.7 summarises ownership and control of these services in Australia.</w:t>
      </w:r>
    </w:p>
    <w:p w14:paraId="6B683813" w14:textId="19148382" w:rsidR="00585F9C" w:rsidRPr="0010318A" w:rsidRDefault="00585F9C" w:rsidP="00D1031C">
      <w:pPr>
        <w:pStyle w:val="ACMAFigureHeader"/>
        <w:keepNext/>
        <w:numPr>
          <w:ilvl w:val="0"/>
          <w:numId w:val="0"/>
        </w:numPr>
      </w:pPr>
      <w:r w:rsidRPr="0010318A">
        <w:lastRenderedPageBreak/>
        <w:t>Table</w:t>
      </w:r>
      <w:r w:rsidR="00697752" w:rsidRPr="0010318A">
        <w:t xml:space="preserve"> </w:t>
      </w:r>
      <w:r w:rsidRPr="0010318A">
        <w:t xml:space="preserve">1.7 </w:t>
      </w:r>
      <w:r w:rsidR="009F67FD">
        <w:t>O</w:t>
      </w:r>
      <w:r w:rsidRPr="0010318A">
        <w:t xml:space="preserve">wnership and control of </w:t>
      </w:r>
      <w:r w:rsidR="009F67FD">
        <w:t xml:space="preserve">commercial television </w:t>
      </w:r>
      <w:r w:rsidRPr="0010318A">
        <w:t>services in Australia</w:t>
      </w:r>
      <w:r w:rsidR="00E654A7" w:rsidRPr="0010318A">
        <w:t xml:space="preserve"> </w:t>
      </w:r>
    </w:p>
    <w:tbl>
      <w:tblPr>
        <w:tblStyle w:val="Commsreport2014-15TABLE1"/>
        <w:tblW w:w="9468" w:type="dxa"/>
        <w:tblLayout w:type="fixed"/>
        <w:tblLook w:val="01E0" w:firstRow="1" w:lastRow="1" w:firstColumn="1" w:lastColumn="1" w:noHBand="0" w:noVBand="0"/>
        <w:tblCaption w:val="Table 1.7 Ownership and control of commercial television services in Australia "/>
      </w:tblPr>
      <w:tblGrid>
        <w:gridCol w:w="1813"/>
        <w:gridCol w:w="1701"/>
        <w:gridCol w:w="1134"/>
        <w:gridCol w:w="4820"/>
      </w:tblGrid>
      <w:tr w:rsidR="00D1031C" w:rsidRPr="000F1A43" w14:paraId="47558413" w14:textId="77777777" w:rsidTr="000F1A43">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813" w:type="dxa"/>
          </w:tcPr>
          <w:p w14:paraId="1FA8D00F" w14:textId="77777777" w:rsidR="00D1031C" w:rsidRPr="000F1A43" w:rsidRDefault="00D1031C" w:rsidP="000F1A43">
            <w:pPr>
              <w:pStyle w:val="TableHeading"/>
              <w:spacing w:before="20"/>
              <w:rPr>
                <w:b/>
              </w:rPr>
            </w:pPr>
            <w:r w:rsidRPr="000F1A43">
              <w:rPr>
                <w:b/>
              </w:rPr>
              <w:t>Network</w:t>
            </w:r>
          </w:p>
        </w:tc>
        <w:tc>
          <w:tcPr>
            <w:tcW w:w="1701" w:type="dxa"/>
          </w:tcPr>
          <w:p w14:paraId="2A428985" w14:textId="77777777" w:rsidR="00D1031C" w:rsidRPr="000F1A43" w:rsidRDefault="00D1031C" w:rsidP="000F1A43">
            <w:pPr>
              <w:pStyle w:val="TableHeading"/>
              <w:spacing w:before="20"/>
              <w:jc w:val="left"/>
              <w:cnfStyle w:val="100000000000" w:firstRow="1" w:lastRow="0" w:firstColumn="0" w:lastColumn="0" w:oddVBand="0" w:evenVBand="0" w:oddHBand="0" w:evenHBand="0" w:firstRowFirstColumn="0" w:firstRowLastColumn="0" w:lastRowFirstColumn="0" w:lastRowLastColumn="0"/>
              <w:rPr>
                <w:b/>
              </w:rPr>
            </w:pPr>
            <w:r w:rsidRPr="000F1A43">
              <w:rPr>
                <w:b/>
              </w:rPr>
              <w:t>Licence type</w:t>
            </w:r>
          </w:p>
        </w:tc>
        <w:tc>
          <w:tcPr>
            <w:tcW w:w="1134" w:type="dxa"/>
          </w:tcPr>
          <w:p w14:paraId="55A28463" w14:textId="77777777" w:rsidR="00D1031C" w:rsidRPr="000F1A43" w:rsidRDefault="00D1031C" w:rsidP="000F1A43">
            <w:pPr>
              <w:pStyle w:val="TableHeading"/>
              <w:spacing w:before="20"/>
              <w:jc w:val="left"/>
              <w:cnfStyle w:val="100000000000" w:firstRow="1" w:lastRow="0" w:firstColumn="0" w:lastColumn="0" w:oddVBand="0" w:evenVBand="0" w:oddHBand="0" w:evenHBand="0" w:firstRowFirstColumn="0" w:firstRowLastColumn="0" w:lastRowFirstColumn="0" w:lastRowLastColumn="0"/>
              <w:rPr>
                <w:b/>
              </w:rPr>
            </w:pPr>
            <w:r w:rsidRPr="000F1A43">
              <w:rPr>
                <w:b/>
              </w:rPr>
              <w:t>Number</w:t>
            </w:r>
          </w:p>
        </w:tc>
        <w:tc>
          <w:tcPr>
            <w:tcW w:w="4820" w:type="dxa"/>
          </w:tcPr>
          <w:p w14:paraId="56BDB855" w14:textId="77777777" w:rsidR="00D1031C" w:rsidRPr="000F1A43" w:rsidRDefault="00D1031C" w:rsidP="000F1A43">
            <w:pPr>
              <w:pStyle w:val="TableHeading"/>
              <w:spacing w:before="20"/>
              <w:jc w:val="left"/>
              <w:cnfStyle w:val="100000000000" w:firstRow="1" w:lastRow="0" w:firstColumn="0" w:lastColumn="0" w:oddVBand="0" w:evenVBand="0" w:oddHBand="0" w:evenHBand="0" w:firstRowFirstColumn="0" w:firstRowLastColumn="0" w:lastRowFirstColumn="0" w:lastRowLastColumn="0"/>
              <w:rPr>
                <w:b/>
              </w:rPr>
            </w:pPr>
            <w:r w:rsidRPr="000F1A43">
              <w:rPr>
                <w:b/>
              </w:rPr>
              <w:t>Ownership and control—licence areas</w:t>
            </w:r>
          </w:p>
        </w:tc>
      </w:tr>
      <w:tr w:rsidR="00D1031C" w:rsidRPr="00FD7E86" w14:paraId="37AB11AF"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Merge w:val="restart"/>
            <w:vAlign w:val="top"/>
          </w:tcPr>
          <w:p w14:paraId="36B895A9" w14:textId="77777777" w:rsidR="00D1031C" w:rsidRPr="00DB5EF2" w:rsidRDefault="00D1031C" w:rsidP="00AB36B0">
            <w:pPr>
              <w:keepLines/>
              <w:spacing w:before="40" w:after="40"/>
              <w:ind w:left="57"/>
              <w:rPr>
                <w:color w:val="auto"/>
                <w:szCs w:val="18"/>
              </w:rPr>
            </w:pPr>
            <w:r w:rsidRPr="00DB5EF2">
              <w:rPr>
                <w:b/>
                <w:color w:val="auto"/>
                <w:szCs w:val="18"/>
              </w:rPr>
              <w:t>Seven Group Holdings Ltd</w:t>
            </w:r>
          </w:p>
        </w:tc>
        <w:tc>
          <w:tcPr>
            <w:tcW w:w="1701" w:type="dxa"/>
            <w:shd w:val="clear" w:color="auto" w:fill="65CDD5"/>
            <w:vAlign w:val="top"/>
          </w:tcPr>
          <w:p w14:paraId="6252362E"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Metropolitan</w:t>
            </w:r>
          </w:p>
        </w:tc>
        <w:tc>
          <w:tcPr>
            <w:tcW w:w="1134" w:type="dxa"/>
            <w:vAlign w:val="top"/>
          </w:tcPr>
          <w:p w14:paraId="06F56EFC"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w:t>
            </w:r>
          </w:p>
        </w:tc>
        <w:tc>
          <w:tcPr>
            <w:tcW w:w="4820" w:type="dxa"/>
            <w:vAlign w:val="top"/>
          </w:tcPr>
          <w:p w14:paraId="10AF7F15" w14:textId="77777777" w:rsidR="00D1031C" w:rsidRPr="00FD7E86" w:rsidRDefault="00D1031C" w:rsidP="00AB36B0">
            <w:pPr>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Sydney, Melbourne, Brisbane, Adelaide and Perth</w:t>
            </w:r>
          </w:p>
        </w:tc>
      </w:tr>
      <w:tr w:rsidR="00D1031C" w:rsidRPr="00FD7E86" w14:paraId="2030730F"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Merge/>
            <w:vAlign w:val="top"/>
          </w:tcPr>
          <w:p w14:paraId="38D2443C" w14:textId="77777777" w:rsidR="00D1031C" w:rsidRPr="00DB5EF2" w:rsidRDefault="00D1031C" w:rsidP="00AB36B0">
            <w:pPr>
              <w:keepLines/>
              <w:spacing w:before="40" w:after="40"/>
              <w:ind w:left="57"/>
              <w:rPr>
                <w:color w:val="auto"/>
                <w:szCs w:val="18"/>
              </w:rPr>
            </w:pPr>
          </w:p>
        </w:tc>
        <w:tc>
          <w:tcPr>
            <w:tcW w:w="1701" w:type="dxa"/>
            <w:shd w:val="clear" w:color="auto" w:fill="65CDD5"/>
            <w:vAlign w:val="top"/>
          </w:tcPr>
          <w:p w14:paraId="75908D95"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Regional</w:t>
            </w:r>
          </w:p>
        </w:tc>
        <w:tc>
          <w:tcPr>
            <w:tcW w:w="1134" w:type="dxa"/>
            <w:vAlign w:val="top"/>
          </w:tcPr>
          <w:p w14:paraId="45947A86"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w:t>
            </w:r>
          </w:p>
        </w:tc>
        <w:tc>
          <w:tcPr>
            <w:tcW w:w="4820" w:type="dxa"/>
            <w:vAlign w:val="top"/>
          </w:tcPr>
          <w:p w14:paraId="6C2D4802" w14:textId="77777777" w:rsidR="00D1031C" w:rsidRPr="00FD7E86" w:rsidRDefault="00D1031C" w:rsidP="00AB36B0">
            <w:pPr>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Regional Queensland</w:t>
            </w:r>
          </w:p>
        </w:tc>
      </w:tr>
      <w:tr w:rsidR="00D1031C" w:rsidRPr="00FD7E86" w14:paraId="7FAD02A9"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Merge w:val="restart"/>
            <w:vAlign w:val="top"/>
          </w:tcPr>
          <w:p w14:paraId="7DBAC383" w14:textId="77777777" w:rsidR="00D1031C" w:rsidRPr="00DB5EF2" w:rsidRDefault="00D1031C" w:rsidP="00AB36B0">
            <w:pPr>
              <w:keepLines/>
              <w:spacing w:before="40" w:after="40"/>
              <w:ind w:left="57"/>
              <w:rPr>
                <w:b/>
                <w:color w:val="auto"/>
                <w:szCs w:val="18"/>
              </w:rPr>
            </w:pPr>
            <w:r w:rsidRPr="00DB5EF2">
              <w:rPr>
                <w:b/>
                <w:color w:val="auto"/>
                <w:szCs w:val="18"/>
              </w:rPr>
              <w:t>Nine Entertainment Co Holdings Ltd</w:t>
            </w:r>
          </w:p>
        </w:tc>
        <w:tc>
          <w:tcPr>
            <w:tcW w:w="1701" w:type="dxa"/>
            <w:shd w:val="clear" w:color="auto" w:fill="65CDD5"/>
            <w:vAlign w:val="top"/>
          </w:tcPr>
          <w:p w14:paraId="00EB7A38"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Metropolitan</w:t>
            </w:r>
          </w:p>
        </w:tc>
        <w:tc>
          <w:tcPr>
            <w:tcW w:w="1134" w:type="dxa"/>
            <w:vAlign w:val="top"/>
          </w:tcPr>
          <w:p w14:paraId="64BC731C"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w:t>
            </w:r>
          </w:p>
        </w:tc>
        <w:tc>
          <w:tcPr>
            <w:tcW w:w="4820" w:type="dxa"/>
            <w:vAlign w:val="top"/>
          </w:tcPr>
          <w:p w14:paraId="2C98DEED" w14:textId="77777777" w:rsidR="00D1031C" w:rsidRPr="00FD7E86" w:rsidRDefault="00D1031C" w:rsidP="00AB36B0">
            <w:pPr>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Sydney, Melbourne, Brisbane, Adelaide and Perth</w:t>
            </w:r>
          </w:p>
        </w:tc>
      </w:tr>
      <w:tr w:rsidR="00D1031C" w:rsidRPr="00FD7E86" w14:paraId="710EB8FC"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Merge/>
            <w:vAlign w:val="top"/>
          </w:tcPr>
          <w:p w14:paraId="2B4C020F" w14:textId="77777777" w:rsidR="00D1031C" w:rsidRPr="00DB5EF2" w:rsidRDefault="00D1031C" w:rsidP="00AB36B0">
            <w:pPr>
              <w:keepLines/>
              <w:spacing w:before="40" w:after="40"/>
              <w:ind w:left="57"/>
              <w:rPr>
                <w:b/>
                <w:color w:val="auto"/>
                <w:szCs w:val="18"/>
              </w:rPr>
            </w:pPr>
          </w:p>
        </w:tc>
        <w:tc>
          <w:tcPr>
            <w:tcW w:w="1701" w:type="dxa"/>
            <w:shd w:val="clear" w:color="auto" w:fill="65CDD5"/>
            <w:vAlign w:val="top"/>
          </w:tcPr>
          <w:p w14:paraId="1DF7CC3F"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Regional</w:t>
            </w:r>
          </w:p>
        </w:tc>
        <w:tc>
          <w:tcPr>
            <w:tcW w:w="1134" w:type="dxa"/>
            <w:vAlign w:val="top"/>
          </w:tcPr>
          <w:p w14:paraId="46635BB6"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3</w:t>
            </w:r>
          </w:p>
        </w:tc>
        <w:tc>
          <w:tcPr>
            <w:tcW w:w="4820" w:type="dxa"/>
            <w:vAlign w:val="top"/>
          </w:tcPr>
          <w:p w14:paraId="6CC23240"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Darwin (one sole operation and one joint venture with Southern Cross Media Group Ltd) and northern New South Wales</w:t>
            </w:r>
          </w:p>
        </w:tc>
      </w:tr>
      <w:tr w:rsidR="00D1031C" w:rsidRPr="00FD7E86" w14:paraId="6A5E73A6"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Align w:val="top"/>
          </w:tcPr>
          <w:p w14:paraId="5CDB7F93" w14:textId="77777777" w:rsidR="00D1031C" w:rsidRPr="00DB5EF2" w:rsidRDefault="00D1031C" w:rsidP="00AB36B0">
            <w:pPr>
              <w:keepLines/>
              <w:spacing w:before="40" w:after="40"/>
              <w:ind w:left="57"/>
              <w:rPr>
                <w:b/>
                <w:color w:val="auto"/>
                <w:szCs w:val="18"/>
              </w:rPr>
            </w:pPr>
            <w:r w:rsidRPr="00DB5EF2">
              <w:rPr>
                <w:b/>
                <w:color w:val="auto"/>
                <w:szCs w:val="18"/>
              </w:rPr>
              <w:t>Ten Network Holdings Ltd</w:t>
            </w:r>
          </w:p>
        </w:tc>
        <w:tc>
          <w:tcPr>
            <w:tcW w:w="1701" w:type="dxa"/>
            <w:shd w:val="clear" w:color="auto" w:fill="65CDD5"/>
            <w:vAlign w:val="top"/>
          </w:tcPr>
          <w:p w14:paraId="6BBA171F"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Metropolitan</w:t>
            </w:r>
          </w:p>
        </w:tc>
        <w:tc>
          <w:tcPr>
            <w:tcW w:w="1134" w:type="dxa"/>
            <w:vAlign w:val="top"/>
          </w:tcPr>
          <w:p w14:paraId="5D15EF9B"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w:t>
            </w:r>
          </w:p>
        </w:tc>
        <w:tc>
          <w:tcPr>
            <w:tcW w:w="4820" w:type="dxa"/>
            <w:vAlign w:val="top"/>
          </w:tcPr>
          <w:p w14:paraId="2D95E427"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Sydney, Melbourne, Brisbane, Adelaide and Perth</w:t>
            </w:r>
          </w:p>
        </w:tc>
      </w:tr>
      <w:tr w:rsidR="00D1031C" w:rsidRPr="00FD7E86" w14:paraId="1858CF38"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Align w:val="top"/>
          </w:tcPr>
          <w:p w14:paraId="44878C15" w14:textId="77777777" w:rsidR="00D1031C" w:rsidRPr="00DB5EF2" w:rsidRDefault="00D1031C" w:rsidP="00AB36B0">
            <w:pPr>
              <w:keepLines/>
              <w:spacing w:before="40" w:after="40"/>
              <w:ind w:left="57"/>
              <w:rPr>
                <w:b/>
                <w:color w:val="auto"/>
                <w:szCs w:val="18"/>
              </w:rPr>
            </w:pPr>
            <w:r w:rsidRPr="00DB5EF2">
              <w:rPr>
                <w:b/>
                <w:color w:val="auto"/>
                <w:szCs w:val="18"/>
              </w:rPr>
              <w:t>WIN Corporation Pty Ltd</w:t>
            </w:r>
          </w:p>
        </w:tc>
        <w:tc>
          <w:tcPr>
            <w:tcW w:w="1701" w:type="dxa"/>
            <w:shd w:val="clear" w:color="auto" w:fill="65CDD5"/>
            <w:vAlign w:val="top"/>
          </w:tcPr>
          <w:p w14:paraId="1F15E73C"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Regional</w:t>
            </w:r>
          </w:p>
        </w:tc>
        <w:tc>
          <w:tcPr>
            <w:tcW w:w="1134" w:type="dxa"/>
            <w:vAlign w:val="top"/>
          </w:tcPr>
          <w:p w14:paraId="2654A7F7"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21</w:t>
            </w:r>
          </w:p>
        </w:tc>
        <w:tc>
          <w:tcPr>
            <w:tcW w:w="4820" w:type="dxa"/>
            <w:vAlign w:val="top"/>
          </w:tcPr>
          <w:p w14:paraId="18BC66EE"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Across regional Australia, including joint ventures in:</w:t>
            </w:r>
          </w:p>
          <w:p w14:paraId="0EC574C8" w14:textId="77777777" w:rsidR="00D1031C" w:rsidRPr="00FD7E86" w:rsidRDefault="00D1031C" w:rsidP="00AB36B0">
            <w:pPr>
              <w:keepLines/>
              <w:numPr>
                <w:ilvl w:val="0"/>
                <w:numId w:val="13"/>
              </w:numPr>
              <w:tabs>
                <w:tab w:val="left" w:pos="459"/>
              </w:tabs>
              <w:spacing w:before="40" w:after="40"/>
              <w:ind w:left="459" w:right="34" w:hanging="283"/>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Tasmania with Southern Cross Media Group Ltd </w:t>
            </w:r>
          </w:p>
          <w:p w14:paraId="481DD899" w14:textId="77777777" w:rsidR="00D1031C" w:rsidRPr="00FD7E86" w:rsidRDefault="00D1031C" w:rsidP="00AB36B0">
            <w:pPr>
              <w:keepLines/>
              <w:numPr>
                <w:ilvl w:val="0"/>
                <w:numId w:val="13"/>
              </w:numPr>
              <w:tabs>
                <w:tab w:val="left" w:pos="459"/>
              </w:tabs>
              <w:spacing w:before="40" w:after="40"/>
              <w:ind w:left="459" w:right="34" w:hanging="283"/>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Mildura, Geraldton, Kalgoorlie, Western Zone, South West and Great Southern television licence areas with Prime Media Group Ltd</w:t>
            </w:r>
          </w:p>
          <w:p w14:paraId="3C0B4B69"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Also includes three licences in each of Griffith, Riverland and Mount Gambier South-East licence areas</w:t>
            </w:r>
            <w:r>
              <w:rPr>
                <w:szCs w:val="18"/>
              </w:rPr>
              <w:t xml:space="preserve"> </w:t>
            </w:r>
            <w:r w:rsidRPr="00FD7E86">
              <w:rPr>
                <w:szCs w:val="18"/>
              </w:rPr>
              <w:t>and Mount Gambier South-East licence areas</w:t>
            </w:r>
          </w:p>
        </w:tc>
      </w:tr>
      <w:tr w:rsidR="00D1031C" w:rsidRPr="00FD7E86" w14:paraId="09F7C353"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Align w:val="top"/>
          </w:tcPr>
          <w:p w14:paraId="2212432E" w14:textId="77777777" w:rsidR="00D1031C" w:rsidRPr="00DB5EF2" w:rsidRDefault="00D1031C" w:rsidP="00AB36B0">
            <w:pPr>
              <w:keepLines/>
              <w:spacing w:before="40" w:after="40"/>
              <w:ind w:left="57"/>
              <w:rPr>
                <w:b/>
                <w:color w:val="auto"/>
                <w:szCs w:val="18"/>
              </w:rPr>
            </w:pPr>
            <w:r w:rsidRPr="00DB5EF2">
              <w:rPr>
                <w:b/>
                <w:color w:val="auto"/>
                <w:szCs w:val="18"/>
              </w:rPr>
              <w:t>Southern Cross Media Group Ltd</w:t>
            </w:r>
          </w:p>
        </w:tc>
        <w:tc>
          <w:tcPr>
            <w:tcW w:w="1701" w:type="dxa"/>
            <w:shd w:val="clear" w:color="auto" w:fill="65CDD5"/>
            <w:vAlign w:val="top"/>
          </w:tcPr>
          <w:p w14:paraId="31A7F927"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Regional</w:t>
            </w:r>
          </w:p>
        </w:tc>
        <w:tc>
          <w:tcPr>
            <w:tcW w:w="1134" w:type="dxa"/>
            <w:vAlign w:val="top"/>
          </w:tcPr>
          <w:p w14:paraId="140E24E9"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19</w:t>
            </w:r>
          </w:p>
        </w:tc>
        <w:tc>
          <w:tcPr>
            <w:tcW w:w="4820" w:type="dxa"/>
            <w:vAlign w:val="top"/>
          </w:tcPr>
          <w:p w14:paraId="7DAACD04"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Across regional Australia, including joint ventures in:</w:t>
            </w:r>
          </w:p>
          <w:p w14:paraId="1C881282" w14:textId="77777777" w:rsidR="00D1031C" w:rsidRPr="00FD7E86" w:rsidRDefault="00D1031C" w:rsidP="00AB36B0">
            <w:pPr>
              <w:keepLines/>
              <w:numPr>
                <w:ilvl w:val="0"/>
                <w:numId w:val="13"/>
              </w:numPr>
              <w:tabs>
                <w:tab w:val="left" w:pos="459"/>
              </w:tabs>
              <w:spacing w:before="40" w:after="40"/>
              <w:ind w:left="459" w:right="34" w:hanging="283"/>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 xml:space="preserve">Darwin with Nine Entertainment Co Holdings Ltd </w:t>
            </w:r>
          </w:p>
          <w:p w14:paraId="2B3AC90A" w14:textId="77777777" w:rsidR="00D1031C" w:rsidRPr="00FD7E86" w:rsidRDefault="00D1031C" w:rsidP="00AB36B0">
            <w:pPr>
              <w:keepLines/>
              <w:numPr>
                <w:ilvl w:val="0"/>
                <w:numId w:val="13"/>
              </w:numPr>
              <w:tabs>
                <w:tab w:val="left" w:pos="459"/>
              </w:tabs>
              <w:spacing w:before="40" w:after="40"/>
              <w:ind w:left="459" w:right="34" w:hanging="283"/>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Tasmania with WIN Corporation Pty Ltd</w:t>
            </w:r>
          </w:p>
          <w:p w14:paraId="093F46E0" w14:textId="77777777" w:rsidR="00D1031C" w:rsidRPr="00FD7E86" w:rsidRDefault="00D1031C" w:rsidP="00AB36B0">
            <w:pPr>
              <w:keepLines/>
              <w:numPr>
                <w:ilvl w:val="0"/>
                <w:numId w:val="13"/>
              </w:numPr>
              <w:tabs>
                <w:tab w:val="left" w:pos="459"/>
              </w:tabs>
              <w:spacing w:before="40" w:after="40"/>
              <w:ind w:left="459" w:right="34" w:hanging="283"/>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Mt Isa and Remote Central and Eastern Australia TV2 licence areas with Imparja Television Pty Ltd</w:t>
            </w:r>
          </w:p>
          <w:p w14:paraId="5B8EA25D"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Also includes three licences in each of the Broken Hill and Spencer Gulf licence areas</w:t>
            </w:r>
          </w:p>
        </w:tc>
      </w:tr>
      <w:tr w:rsidR="00D1031C" w:rsidRPr="00FD7E86" w14:paraId="6D3849C4" w14:textId="77777777" w:rsidTr="00AB36B0">
        <w:trPr>
          <w:trHeight w:val="454"/>
        </w:trPr>
        <w:tc>
          <w:tcPr>
            <w:cnfStyle w:val="001000000000" w:firstRow="0" w:lastRow="0" w:firstColumn="1" w:lastColumn="0" w:oddVBand="0" w:evenVBand="0" w:oddHBand="0" w:evenHBand="0" w:firstRowFirstColumn="0" w:firstRowLastColumn="0" w:lastRowFirstColumn="0" w:lastRowLastColumn="0"/>
            <w:tcW w:w="1813" w:type="dxa"/>
            <w:vAlign w:val="top"/>
          </w:tcPr>
          <w:p w14:paraId="010CEC19" w14:textId="77777777" w:rsidR="00D1031C" w:rsidRPr="00DB5EF2" w:rsidRDefault="00D1031C" w:rsidP="00AB36B0">
            <w:pPr>
              <w:keepLines/>
              <w:spacing w:before="40" w:after="40"/>
              <w:ind w:left="57"/>
              <w:rPr>
                <w:b/>
                <w:color w:val="auto"/>
                <w:szCs w:val="18"/>
              </w:rPr>
            </w:pPr>
            <w:r w:rsidRPr="00DB5EF2">
              <w:rPr>
                <w:b/>
                <w:color w:val="auto"/>
                <w:szCs w:val="18"/>
              </w:rPr>
              <w:t>Prime Media Group Ltd</w:t>
            </w:r>
          </w:p>
        </w:tc>
        <w:tc>
          <w:tcPr>
            <w:tcW w:w="1701" w:type="dxa"/>
            <w:shd w:val="clear" w:color="auto" w:fill="65CDD5"/>
            <w:vAlign w:val="top"/>
          </w:tcPr>
          <w:p w14:paraId="67CA1D3F" w14:textId="77777777" w:rsidR="00D1031C" w:rsidRPr="00C05F4C" w:rsidRDefault="00D1031C" w:rsidP="00AB36B0">
            <w:pPr>
              <w:keepLines/>
              <w:spacing w:before="40" w:after="40"/>
              <w:ind w:left="57" w:right="141"/>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Regional</w:t>
            </w:r>
          </w:p>
        </w:tc>
        <w:tc>
          <w:tcPr>
            <w:tcW w:w="1134" w:type="dxa"/>
            <w:vAlign w:val="top"/>
          </w:tcPr>
          <w:p w14:paraId="4FD0F37F" w14:textId="77777777" w:rsidR="00D1031C" w:rsidRPr="00FD7E86" w:rsidRDefault="00D1031C" w:rsidP="00AB36B0">
            <w:pPr>
              <w:keepLines/>
              <w:tabs>
                <w:tab w:val="left" w:pos="482"/>
              </w:tabs>
              <w:spacing w:before="40" w:after="40"/>
              <w:ind w:left="57" w:right="142"/>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13</w:t>
            </w:r>
          </w:p>
        </w:tc>
        <w:tc>
          <w:tcPr>
            <w:tcW w:w="4820" w:type="dxa"/>
            <w:vAlign w:val="top"/>
          </w:tcPr>
          <w:p w14:paraId="1E1A2CE0" w14:textId="77777777" w:rsidR="00D1031C" w:rsidRPr="00FD7E86" w:rsidRDefault="00D1031C" w:rsidP="00AB36B0">
            <w:pPr>
              <w:keepLines/>
              <w:spacing w:before="40" w:after="40"/>
              <w:ind w:left="57" w:right="34"/>
              <w:jc w:val="left"/>
              <w:cnfStyle w:val="000000000000" w:firstRow="0" w:lastRow="0" w:firstColumn="0" w:lastColumn="0" w:oddVBand="0" w:evenVBand="0" w:oddHBand="0" w:evenHBand="0" w:firstRowFirstColumn="0" w:firstRowLastColumn="0" w:lastRowFirstColumn="0" w:lastRowLastColumn="0"/>
              <w:rPr>
                <w:szCs w:val="18"/>
              </w:rPr>
            </w:pPr>
            <w:r w:rsidRPr="00FD7E86">
              <w:rPr>
                <w:szCs w:val="18"/>
              </w:rPr>
              <w:t>Across regional Australia including joint ventures in: Mildura, Geraldton, Kalgoorlie, Western Zone, South-West and Great Southern licence areas with WIN Corporation Pty Ltd</w:t>
            </w:r>
          </w:p>
        </w:tc>
      </w:tr>
    </w:tbl>
    <w:p w14:paraId="77741A09" w14:textId="77777777" w:rsidR="00A42E26" w:rsidRPr="00FD7E86" w:rsidRDefault="00A42E26" w:rsidP="000664F7">
      <w:pPr>
        <w:pStyle w:val="ACMANotes"/>
      </w:pPr>
      <w:r w:rsidRPr="00FD7E86">
        <w:t xml:space="preserve">Note: Does not include licences for services provided by satellite allocated under section 38C and other licences allocated under subsection 40(1) of the </w:t>
      </w:r>
      <w:r w:rsidRPr="00FD7E86">
        <w:rPr>
          <w:i w:val="0"/>
        </w:rPr>
        <w:t>Broadcasting Services Act 1992</w:t>
      </w:r>
      <w:r w:rsidRPr="00FD7E86">
        <w:t>.</w:t>
      </w:r>
      <w:r w:rsidR="003F277E">
        <w:t xml:space="preserve"> </w:t>
      </w:r>
      <w:r w:rsidR="003F277E" w:rsidRPr="003F277E">
        <w:t>The number of licences does not add up to the total number of commercial television broadcasting licences (69) due to double counting of joint ventures.</w:t>
      </w:r>
    </w:p>
    <w:p w14:paraId="3C17D36A" w14:textId="77777777" w:rsidR="004E7430" w:rsidRPr="00FD7E86" w:rsidRDefault="004E7430" w:rsidP="000A7AE7">
      <w:pPr>
        <w:pStyle w:val="ACMANotes"/>
        <w:rPr>
          <w:szCs w:val="16"/>
        </w:rPr>
      </w:pPr>
      <w:r w:rsidRPr="00FD7E86">
        <w:rPr>
          <w:szCs w:val="16"/>
        </w:rPr>
        <w:t>S</w:t>
      </w:r>
      <w:r w:rsidR="00A42E26" w:rsidRPr="00FD7E86">
        <w:rPr>
          <w:szCs w:val="16"/>
        </w:rPr>
        <w:t xml:space="preserve">ource: ACMA, </w:t>
      </w:r>
      <w:hyperlink r:id="rId49" w:history="1">
        <w:r w:rsidR="00A42E26" w:rsidRPr="00FD7E86">
          <w:rPr>
            <w:color w:val="0000FF"/>
            <w:szCs w:val="16"/>
            <w:u w:val="single"/>
          </w:rPr>
          <w:t>Register of Controlled Media Groups and the Media Control Database</w:t>
        </w:r>
      </w:hyperlink>
      <w:r w:rsidR="00A42E26" w:rsidRPr="00FD7E86">
        <w:rPr>
          <w:szCs w:val="16"/>
        </w:rPr>
        <w:t xml:space="preserve">. </w:t>
      </w:r>
    </w:p>
    <w:p w14:paraId="791664FE" w14:textId="77777777" w:rsidR="000A7AE7" w:rsidRPr="00FD7E86" w:rsidRDefault="000A7AE7" w:rsidP="006F4738">
      <w:pPr>
        <w:pStyle w:val="ACMASpaceaftertable"/>
        <w:rPr>
          <w:i/>
          <w:sz w:val="16"/>
          <w:szCs w:val="16"/>
        </w:rPr>
      </w:pPr>
    </w:p>
    <w:p w14:paraId="6B2D5C28" w14:textId="77777777" w:rsidR="00A42E26" w:rsidRPr="00FD7E86" w:rsidRDefault="00A42E26" w:rsidP="000664F7">
      <w:pPr>
        <w:pStyle w:val="ACMAHeading3"/>
      </w:pPr>
      <w:r w:rsidRPr="00FD7E86">
        <w:t>Ownership and control of commercial radio services</w:t>
      </w:r>
    </w:p>
    <w:p w14:paraId="46355C59" w14:textId="77777777" w:rsidR="00A42E26" w:rsidRPr="00FD7E86" w:rsidRDefault="00A42E26" w:rsidP="00A42E26">
      <w:pPr>
        <w:spacing w:after="80"/>
        <w:rPr>
          <w:rFonts w:cs="Arial"/>
          <w:szCs w:val="20"/>
        </w:rPr>
      </w:pPr>
      <w:r w:rsidRPr="00FD7E86">
        <w:rPr>
          <w:rFonts w:cs="Arial"/>
        </w:rPr>
        <w:t xml:space="preserve">Table 1.8 shows the ownership and control of commercial radio services in </w:t>
      </w:r>
      <w:r w:rsidRPr="00FD7E86">
        <w:rPr>
          <w:rFonts w:cs="Arial"/>
          <w:szCs w:val="20"/>
        </w:rPr>
        <w:t>2014–15:</w:t>
      </w:r>
    </w:p>
    <w:p w14:paraId="082498E1" w14:textId="77777777" w:rsidR="00A42E26" w:rsidRPr="00FD7E86" w:rsidRDefault="00A42E26" w:rsidP="004E7430">
      <w:pPr>
        <w:pStyle w:val="ListBullet"/>
        <w:rPr>
          <w:rFonts w:eastAsia="Calibri"/>
          <w:lang w:eastAsia="en-US"/>
        </w:rPr>
      </w:pPr>
      <w:r w:rsidRPr="00FD7E86">
        <w:rPr>
          <w:rFonts w:eastAsia="Calibri"/>
          <w:lang w:eastAsia="en-US"/>
        </w:rPr>
        <w:t>Southern Cross Media Group Limited, Australian Radio Network Pty Ltd, Nova Entertainment Pty Ltd and Macquarie Radio Network Limited own the majority of capital city commercial radio broadcasting licences.</w:t>
      </w:r>
    </w:p>
    <w:p w14:paraId="7F099B58" w14:textId="77777777" w:rsidR="00A42E26" w:rsidRPr="00FD7E86" w:rsidRDefault="00A42E26" w:rsidP="004E7430">
      <w:pPr>
        <w:pStyle w:val="ListBullet"/>
        <w:rPr>
          <w:rFonts w:eastAsia="Calibri"/>
          <w:lang w:eastAsia="en-US"/>
        </w:rPr>
      </w:pPr>
      <w:r w:rsidRPr="00FD7E86">
        <w:rPr>
          <w:rFonts w:eastAsia="Calibri"/>
          <w:lang w:eastAsia="en-US"/>
        </w:rPr>
        <w:t>Southern Cross Media Group Limited, Broadcast Operations Pty Ltd (Super Radio Network) and Grant Broadcasters Pty Ltd remain the three largest networks of regional commercial radio broadcasting licences.</w:t>
      </w:r>
    </w:p>
    <w:p w14:paraId="2E99743C" w14:textId="77777777" w:rsidR="00A42E26" w:rsidRPr="00FD7E86" w:rsidRDefault="00A42E26" w:rsidP="004E7430">
      <w:pPr>
        <w:pStyle w:val="ListBullet"/>
        <w:rPr>
          <w:rFonts w:eastAsia="Calibri"/>
          <w:lang w:eastAsia="en-US"/>
        </w:rPr>
      </w:pPr>
      <w:r w:rsidRPr="00FD7E86">
        <w:rPr>
          <w:rFonts w:eastAsia="Calibri"/>
          <w:lang w:eastAsia="en-US"/>
        </w:rPr>
        <w:t>Eight different networks control more than six commercial radio broadcasting licences, down from nine different networks in 2013–14 and 11 in 2012–13.</w:t>
      </w:r>
    </w:p>
    <w:p w14:paraId="500CDF9D" w14:textId="77777777" w:rsidR="00A42E26" w:rsidRPr="00FD7E86" w:rsidRDefault="00A42E26" w:rsidP="004E7430">
      <w:pPr>
        <w:pStyle w:val="ListBulletLast"/>
        <w:rPr>
          <w:rFonts w:eastAsia="Calibri"/>
          <w:lang w:eastAsia="en-US"/>
        </w:rPr>
      </w:pPr>
      <w:r w:rsidRPr="00FD7E86">
        <w:rPr>
          <w:rFonts w:eastAsia="Calibri"/>
          <w:lang w:eastAsia="en-US"/>
        </w:rPr>
        <w:t xml:space="preserve">These eight networks together control 221 licences out of a total of 261 commercial radio licences that are subject to the media diversity and control rules under Part 5 of the </w:t>
      </w:r>
      <w:r w:rsidR="009E7C5D" w:rsidRPr="00FD7E86">
        <w:rPr>
          <w:i/>
        </w:rPr>
        <w:t xml:space="preserve">Broadcasting Services Act 1992 </w:t>
      </w:r>
      <w:r w:rsidR="009E7C5D" w:rsidRPr="00FD7E86">
        <w:t>(</w:t>
      </w:r>
      <w:r w:rsidRPr="00FD7E86">
        <w:rPr>
          <w:rFonts w:eastAsia="Calibri"/>
          <w:lang w:eastAsia="en-US"/>
        </w:rPr>
        <w:t>BSA</w:t>
      </w:r>
      <w:r w:rsidR="009E7C5D" w:rsidRPr="00FD7E86">
        <w:rPr>
          <w:rFonts w:eastAsia="Calibri"/>
          <w:lang w:eastAsia="en-US"/>
        </w:rPr>
        <w:t>)</w:t>
      </w:r>
      <w:r w:rsidRPr="00FD7E86">
        <w:rPr>
          <w:rFonts w:eastAsia="Calibri"/>
          <w:lang w:eastAsia="en-US"/>
        </w:rPr>
        <w:t xml:space="preserve">. This does not include commercial radio broadcasting licences allocated under subsection </w:t>
      </w:r>
      <w:r w:rsidRPr="00FD7E86">
        <w:rPr>
          <w:rFonts w:eastAsia="Calibri"/>
          <w:lang w:eastAsia="en-US"/>
        </w:rPr>
        <w:lastRenderedPageBreak/>
        <w:t>40(1) of the BSA. The remaining 40 licences are held by 19 networks/owners, each with five or fewer licences.</w:t>
      </w:r>
    </w:p>
    <w:p w14:paraId="18EB5E42" w14:textId="77777777" w:rsidR="00A42E26" w:rsidRPr="00FD7E86" w:rsidRDefault="00A42E26" w:rsidP="00A42E26">
      <w:pPr>
        <w:spacing w:after="80"/>
        <w:rPr>
          <w:rFonts w:cs="Arial"/>
        </w:rPr>
      </w:pPr>
      <w:r w:rsidRPr="00FD7E86">
        <w:rPr>
          <w:rFonts w:cs="Arial"/>
        </w:rPr>
        <w:t>The key changes that occurred in 2014–15 include:</w:t>
      </w:r>
    </w:p>
    <w:p w14:paraId="188BC3C0" w14:textId="77777777" w:rsidR="00A42E26" w:rsidRPr="00FD7E86" w:rsidRDefault="00A42E26" w:rsidP="004E7430">
      <w:pPr>
        <w:pStyle w:val="ListBullet"/>
        <w:rPr>
          <w:rFonts w:eastAsia="Calibri"/>
        </w:rPr>
      </w:pPr>
      <w:r w:rsidRPr="00FD7E86">
        <w:rPr>
          <w:rFonts w:eastAsia="Calibri"/>
        </w:rPr>
        <w:t>On 31 January 2015, Radio Gippsland Pty Ltd (owned by Kevin Blyton) acquired one commercial radio licence in Warragul, regional Victoria</w:t>
      </w:r>
      <w:r w:rsidR="00533C79" w:rsidRPr="00FD7E86">
        <w:rPr>
          <w:rFonts w:eastAsia="Calibri"/>
        </w:rPr>
        <w:t>,</w:t>
      </w:r>
      <w:r w:rsidRPr="00FD7E86">
        <w:rPr>
          <w:rFonts w:eastAsia="Calibri"/>
        </w:rPr>
        <w:t xml:space="preserve"> from Resonate Broadcasting Pty Ltd.</w:t>
      </w:r>
    </w:p>
    <w:p w14:paraId="44E151F3" w14:textId="77777777" w:rsidR="00A42E26" w:rsidRPr="00FD7E86" w:rsidRDefault="00A42E26" w:rsidP="004E7430">
      <w:pPr>
        <w:pStyle w:val="ListBullet"/>
        <w:rPr>
          <w:rFonts w:eastAsia="Calibri"/>
        </w:rPr>
      </w:pPr>
      <w:r w:rsidRPr="00FD7E86">
        <w:rPr>
          <w:rFonts w:eastAsia="Calibri"/>
        </w:rPr>
        <w:t xml:space="preserve">On 31 January 2015, Australian Radio Network Pty Ltd acquired one commercial radio licence in Perth from Fairfax Radio Network Pty Ltd. </w:t>
      </w:r>
    </w:p>
    <w:p w14:paraId="1311AFC5" w14:textId="77777777" w:rsidR="00A42E26" w:rsidRPr="00FD7E86" w:rsidRDefault="00A42E26" w:rsidP="004E7430">
      <w:pPr>
        <w:pStyle w:val="ListBullet"/>
        <w:rPr>
          <w:rFonts w:eastAsia="Calibri"/>
        </w:rPr>
      </w:pPr>
      <w:r w:rsidRPr="00FD7E86">
        <w:rPr>
          <w:rFonts w:eastAsia="Calibri"/>
        </w:rPr>
        <w:t>On 24 March 2015, major shareholders in Australian Radio Network Pty Ltd (ARN), Independent News &amp; Media PLC and Denis O’Brien (and related companies) ceased to be in a position to exercise control of ARN’s 13 commercial radio licences.</w:t>
      </w:r>
    </w:p>
    <w:p w14:paraId="2890DFE6" w14:textId="77777777" w:rsidR="00A42E26" w:rsidRPr="00FD7E86" w:rsidRDefault="00A42E26" w:rsidP="004E7430">
      <w:pPr>
        <w:pStyle w:val="ListBulletLast"/>
        <w:rPr>
          <w:rFonts w:eastAsia="Calibri"/>
        </w:rPr>
      </w:pPr>
      <w:r w:rsidRPr="00FD7E86">
        <w:rPr>
          <w:rFonts w:eastAsia="Calibri"/>
        </w:rPr>
        <w:t>On 31 March 2015, Macquarie Radio Network Pty Limited (MRN) merged with the radio business of Fairfax Media Limited (Fairfax). MRN acquired all six commercial radio licences held by Fairfax and Fairfax acquired 54.5 per cent of the issued share capital in MRN. In order for this transaction to proceed, MRN and Fairfax had to apply to the ACMA for prior approval</w:t>
      </w:r>
      <w:r w:rsidR="00F44971" w:rsidRPr="00FD7E86">
        <w:rPr>
          <w:rFonts w:eastAsia="Calibri"/>
        </w:rPr>
        <w:t xml:space="preserve">, as it </w:t>
      </w:r>
      <w:r w:rsidRPr="00FD7E86">
        <w:rPr>
          <w:rFonts w:eastAsia="Calibri"/>
        </w:rPr>
        <w:t>gave rise to an unacceptable media diversity situation (UMDS) in Mt Isa, and a temporary breach of the limit on a person being in a position to control more than two commercial radio licences in a licence area in Sydney. After accepting enforceable undertakings from MRN and Fairfax</w:t>
      </w:r>
      <w:r w:rsidR="00F44971" w:rsidRPr="00FD7E86">
        <w:rPr>
          <w:rFonts w:eastAsia="Calibri"/>
        </w:rPr>
        <w:t xml:space="preserve"> about the divestiture of stations in Mt Isa and Sydney</w:t>
      </w:r>
      <w:r w:rsidRPr="00FD7E86">
        <w:rPr>
          <w:rFonts w:eastAsia="Calibri"/>
        </w:rPr>
        <w:t>, the ACMA granted approval and set a time</w:t>
      </w:r>
      <w:r w:rsidR="00525C30" w:rsidRPr="00FD7E86">
        <w:rPr>
          <w:rFonts w:eastAsia="Calibri"/>
        </w:rPr>
        <w:t xml:space="preserve"> </w:t>
      </w:r>
      <w:r w:rsidRPr="00FD7E86">
        <w:rPr>
          <w:rFonts w:eastAsia="Calibri"/>
        </w:rPr>
        <w:t>frame of six months (</w:t>
      </w:r>
      <w:r w:rsidR="003F6993" w:rsidRPr="00FD7E86">
        <w:rPr>
          <w:rFonts w:eastAsia="Calibri"/>
        </w:rPr>
        <w:t xml:space="preserve">extended </w:t>
      </w:r>
      <w:r w:rsidRPr="00FD7E86">
        <w:rPr>
          <w:rFonts w:eastAsia="Calibri"/>
        </w:rPr>
        <w:t xml:space="preserve">to </w:t>
      </w:r>
      <w:r w:rsidR="00941F21" w:rsidRPr="00FD7E86">
        <w:rPr>
          <w:rFonts w:eastAsia="Calibri"/>
        </w:rPr>
        <w:t>31 October</w:t>
      </w:r>
      <w:r w:rsidRPr="00FD7E86">
        <w:rPr>
          <w:rFonts w:eastAsia="Calibri"/>
        </w:rPr>
        <w:t xml:space="preserve"> 2015) for the UMDS to cease and 12 months (to 30 March 2016) in which the temporary breach had to be remedied.</w:t>
      </w:r>
    </w:p>
    <w:p w14:paraId="22C54521" w14:textId="7B1D1E04" w:rsidR="00085760" w:rsidRDefault="00A42E26" w:rsidP="00A42E26">
      <w:pPr>
        <w:spacing w:after="80"/>
        <w:rPr>
          <w:rFonts w:cs="Arial"/>
        </w:rPr>
      </w:pPr>
      <w:r w:rsidRPr="00FD7E86">
        <w:rPr>
          <w:rFonts w:cs="Arial"/>
        </w:rPr>
        <w:t>A discussion of broadcasters’ compliance with notification of change in control requirements is in Chapter</w:t>
      </w:r>
      <w:r w:rsidR="00DB5EF2">
        <w:rPr>
          <w:rFonts w:cs="Arial"/>
        </w:rPr>
        <w:t> </w:t>
      </w:r>
      <w:r w:rsidRPr="00FD7E86">
        <w:rPr>
          <w:rFonts w:cs="Arial"/>
        </w:rPr>
        <w:t>3 of this report.</w:t>
      </w:r>
    </w:p>
    <w:p w14:paraId="30417D8A" w14:textId="77777777" w:rsidR="00A42E26" w:rsidRPr="007B185A" w:rsidRDefault="004E7430" w:rsidP="00AA0A1E">
      <w:pPr>
        <w:pStyle w:val="ACMATableHeader"/>
        <w:keepNext/>
        <w:keepLines/>
        <w:widowControl w:val="0"/>
        <w:numPr>
          <w:ilvl w:val="0"/>
          <w:numId w:val="0"/>
        </w:numPr>
        <w:spacing w:after="0"/>
      </w:pPr>
      <w:r w:rsidRPr="00085760">
        <w:lastRenderedPageBreak/>
        <w:t>Table 1.8 Ownership and control of commercial radio services</w:t>
      </w:r>
    </w:p>
    <w:p w14:paraId="2443952E" w14:textId="77777777" w:rsidR="00A42E26" w:rsidRPr="00FD7E86" w:rsidRDefault="00A42E26" w:rsidP="00AA0A1E">
      <w:pPr>
        <w:pStyle w:val="ACMANotes"/>
        <w:keepNext/>
        <w:keepLines/>
        <w:widowControl w:val="0"/>
      </w:pPr>
      <w:r w:rsidRPr="00FD7E86">
        <w:t xml:space="preserve">*The </w:t>
      </w:r>
      <w:r w:rsidR="00AD6BE1">
        <w:t>ACMA granted prior approval of</w:t>
      </w:r>
      <w:r w:rsidRPr="00FD7E86">
        <w:t xml:space="preserve"> temporary breaches of the control rules in Sydney and Mt Isa—see commentary.</w:t>
      </w:r>
    </w:p>
    <w:tbl>
      <w:tblPr>
        <w:tblpPr w:leftFromText="180" w:rightFromText="180" w:vertAnchor="text" w:horzAnchor="margin" w:tblpY="-42"/>
        <w:tblOverlap w:val="never"/>
        <w:tblW w:w="9429"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left w:w="85" w:type="dxa"/>
          <w:right w:w="0" w:type="dxa"/>
        </w:tblCellMar>
        <w:tblLook w:val="01E0" w:firstRow="1" w:lastRow="1" w:firstColumn="1" w:lastColumn="1" w:noHBand="0" w:noVBand="0"/>
        <w:tblCaption w:val="Table 1.8 Ownership and control of commercial radio services"/>
      </w:tblPr>
      <w:tblGrid>
        <w:gridCol w:w="2823"/>
        <w:gridCol w:w="1651"/>
        <w:gridCol w:w="4955"/>
      </w:tblGrid>
      <w:tr w:rsidR="00085760" w:rsidRPr="00FD7E86" w14:paraId="762E66FD" w14:textId="77777777" w:rsidTr="00085760">
        <w:trPr>
          <w:trHeight w:val="454"/>
        </w:trPr>
        <w:tc>
          <w:tcPr>
            <w:tcW w:w="2823" w:type="dxa"/>
            <w:tcBorders>
              <w:right w:val="nil"/>
            </w:tcBorders>
            <w:shd w:val="clear" w:color="auto" w:fill="00ADBB"/>
            <w:tcMar>
              <w:top w:w="0" w:type="dxa"/>
              <w:left w:w="113" w:type="dxa"/>
              <w:bottom w:w="0" w:type="dxa"/>
              <w:right w:w="0" w:type="dxa"/>
            </w:tcMar>
          </w:tcPr>
          <w:p w14:paraId="33077A29" w14:textId="77777777" w:rsidR="00085760" w:rsidRPr="00FD7E86" w:rsidRDefault="00085760" w:rsidP="00AA0A1E">
            <w:pPr>
              <w:keepNext/>
              <w:keepLines/>
              <w:widowControl w:val="0"/>
              <w:spacing w:before="40" w:after="40" w:line="240" w:lineRule="auto"/>
              <w:ind w:left="57"/>
              <w:rPr>
                <w:rFonts w:cs="Arial"/>
                <w:b/>
                <w:color w:val="FFFFFF"/>
                <w:sz w:val="18"/>
                <w:szCs w:val="18"/>
              </w:rPr>
            </w:pPr>
            <w:r w:rsidRPr="00FD7E86">
              <w:rPr>
                <w:rFonts w:cs="Arial"/>
                <w:b/>
                <w:color w:val="FFFFFF"/>
                <w:sz w:val="18"/>
                <w:szCs w:val="18"/>
              </w:rPr>
              <w:t>Network group company</w:t>
            </w:r>
          </w:p>
        </w:tc>
        <w:tc>
          <w:tcPr>
            <w:tcW w:w="1651" w:type="dxa"/>
            <w:shd w:val="clear" w:color="auto" w:fill="00ADBB"/>
          </w:tcPr>
          <w:p w14:paraId="40E63B1E" w14:textId="77777777" w:rsidR="00085760" w:rsidRPr="00FD7E86" w:rsidRDefault="00085760" w:rsidP="00AA0A1E">
            <w:pPr>
              <w:keepNext/>
              <w:keepLines/>
              <w:widowControl w:val="0"/>
              <w:spacing w:before="40" w:after="40" w:line="240" w:lineRule="auto"/>
              <w:ind w:left="57" w:right="283"/>
              <w:rPr>
                <w:rFonts w:cs="Arial"/>
                <w:b/>
                <w:color w:val="FFFFFF"/>
                <w:sz w:val="18"/>
                <w:szCs w:val="18"/>
              </w:rPr>
            </w:pPr>
            <w:r w:rsidRPr="00FD7E86">
              <w:rPr>
                <w:rFonts w:cs="Arial"/>
                <w:b/>
                <w:color w:val="FFFFFF"/>
                <w:sz w:val="18"/>
                <w:szCs w:val="18"/>
              </w:rPr>
              <w:t>Total licences controlled</w:t>
            </w:r>
          </w:p>
        </w:tc>
        <w:tc>
          <w:tcPr>
            <w:tcW w:w="4955" w:type="dxa"/>
            <w:shd w:val="clear" w:color="auto" w:fill="00ADBB"/>
            <w:tcMar>
              <w:top w:w="0" w:type="dxa"/>
              <w:left w:w="113" w:type="dxa"/>
              <w:bottom w:w="0" w:type="dxa"/>
              <w:right w:w="0" w:type="dxa"/>
            </w:tcMar>
          </w:tcPr>
          <w:p w14:paraId="5B76C347" w14:textId="77777777" w:rsidR="00085760" w:rsidRPr="00FD7E86" w:rsidRDefault="00085760" w:rsidP="00AA0A1E">
            <w:pPr>
              <w:keepNext/>
              <w:keepLines/>
              <w:widowControl w:val="0"/>
              <w:spacing w:before="40" w:after="40" w:line="240" w:lineRule="auto"/>
              <w:ind w:left="57" w:right="210"/>
              <w:rPr>
                <w:rFonts w:cs="Arial"/>
                <w:b/>
                <w:color w:val="FFFFFF"/>
                <w:sz w:val="18"/>
                <w:szCs w:val="18"/>
              </w:rPr>
            </w:pPr>
            <w:r w:rsidRPr="00FD7E86">
              <w:rPr>
                <w:rFonts w:cs="Arial"/>
                <w:b/>
                <w:color w:val="FFFFFF"/>
                <w:sz w:val="18"/>
                <w:szCs w:val="18"/>
              </w:rPr>
              <w:t>Ownership and control—licences and operations</w:t>
            </w:r>
          </w:p>
        </w:tc>
      </w:tr>
      <w:tr w:rsidR="00085760" w:rsidRPr="00FD7E86" w14:paraId="1BABFC20"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6D31DCD6" w14:textId="77777777" w:rsidR="00085760" w:rsidRPr="00C05F4C" w:rsidRDefault="00085760" w:rsidP="00AA0A1E">
            <w:pPr>
              <w:keepNext/>
              <w:keepLines/>
              <w:widowControl w:val="0"/>
              <w:spacing w:before="40" w:after="40" w:line="240" w:lineRule="auto"/>
              <w:ind w:left="57"/>
              <w:rPr>
                <w:rFonts w:cs="Arial"/>
                <w:sz w:val="18"/>
                <w:szCs w:val="18"/>
              </w:rPr>
            </w:pPr>
            <w:r w:rsidRPr="00C05F4C">
              <w:rPr>
                <w:rFonts w:cs="Arial"/>
                <w:sz w:val="18"/>
                <w:szCs w:val="18"/>
              </w:rPr>
              <w:t xml:space="preserve">ACE Radio Broadcasters </w:t>
            </w:r>
            <w:r w:rsidRPr="00C05F4C">
              <w:rPr>
                <w:rFonts w:cs="Arial"/>
                <w:sz w:val="18"/>
                <w:szCs w:val="18"/>
              </w:rPr>
              <w:br/>
              <w:t>Pty Ltd</w:t>
            </w:r>
          </w:p>
        </w:tc>
        <w:tc>
          <w:tcPr>
            <w:tcW w:w="1651" w:type="dxa"/>
            <w:shd w:val="clear" w:color="auto" w:fill="E9FBFB"/>
          </w:tcPr>
          <w:p w14:paraId="2CF1F15C" w14:textId="77777777" w:rsidR="00085760" w:rsidRPr="00FD7E86" w:rsidRDefault="00085760" w:rsidP="00AA0A1E">
            <w:pPr>
              <w:keepNext/>
              <w:keepLines/>
              <w:widowControl w:val="0"/>
              <w:spacing w:before="40" w:after="40" w:line="240" w:lineRule="auto"/>
              <w:ind w:left="57" w:right="283"/>
              <w:outlineLvl w:val="0"/>
              <w:rPr>
                <w:rFonts w:cs="Arial"/>
                <w:sz w:val="18"/>
                <w:szCs w:val="18"/>
              </w:rPr>
            </w:pPr>
            <w:r w:rsidRPr="00FD7E86">
              <w:rPr>
                <w:rFonts w:cs="Arial"/>
                <w:sz w:val="18"/>
                <w:szCs w:val="18"/>
              </w:rPr>
              <w:t>13</w:t>
            </w:r>
          </w:p>
        </w:tc>
        <w:tc>
          <w:tcPr>
            <w:tcW w:w="4955" w:type="dxa"/>
            <w:shd w:val="clear" w:color="auto" w:fill="E9FBFB"/>
            <w:tcMar>
              <w:top w:w="0" w:type="dxa"/>
              <w:left w:w="113" w:type="dxa"/>
              <w:bottom w:w="0" w:type="dxa"/>
              <w:right w:w="0" w:type="dxa"/>
            </w:tcMar>
          </w:tcPr>
          <w:p w14:paraId="58C51463" w14:textId="77777777" w:rsidR="00085760" w:rsidRPr="00FD7E86" w:rsidRDefault="00085760" w:rsidP="00AA0A1E">
            <w:pPr>
              <w:keepNext/>
              <w:keepLines/>
              <w:widowControl w:val="0"/>
              <w:spacing w:before="40" w:after="40" w:line="240" w:lineRule="auto"/>
              <w:ind w:left="57" w:right="210"/>
              <w:rPr>
                <w:rFonts w:cs="Arial"/>
                <w:sz w:val="18"/>
                <w:szCs w:val="18"/>
              </w:rPr>
            </w:pPr>
            <w:r w:rsidRPr="00FD7E86">
              <w:rPr>
                <w:rFonts w:cs="Arial"/>
                <w:sz w:val="18"/>
                <w:szCs w:val="18"/>
              </w:rPr>
              <w:t>Licences in regional Victoria and one licence in the regional New South Wales licence area of Albury, which includes parts of regional Victoria</w:t>
            </w:r>
          </w:p>
        </w:tc>
      </w:tr>
      <w:tr w:rsidR="00085760" w:rsidRPr="00FD7E86" w14:paraId="45BA8895"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2FF40927" w14:textId="77777777" w:rsidR="00085760" w:rsidRPr="00C05F4C" w:rsidRDefault="00085760" w:rsidP="00AA0A1E">
            <w:pPr>
              <w:keepNext/>
              <w:keepLines/>
              <w:widowControl w:val="0"/>
              <w:spacing w:before="40" w:after="40" w:line="240" w:lineRule="auto"/>
              <w:ind w:left="57" w:right="283"/>
              <w:outlineLvl w:val="0"/>
              <w:rPr>
                <w:rFonts w:cs="Arial"/>
                <w:sz w:val="18"/>
                <w:szCs w:val="18"/>
              </w:rPr>
            </w:pPr>
            <w:r w:rsidRPr="00C05F4C">
              <w:rPr>
                <w:rFonts w:cs="Arial"/>
                <w:sz w:val="18"/>
                <w:szCs w:val="18"/>
              </w:rPr>
              <w:t xml:space="preserve">Australian Radio Network </w:t>
            </w:r>
            <w:r>
              <w:rPr>
                <w:rFonts w:cs="Arial"/>
                <w:sz w:val="18"/>
                <w:szCs w:val="18"/>
              </w:rPr>
              <w:br/>
            </w:r>
            <w:r w:rsidRPr="00C05F4C">
              <w:rPr>
                <w:rFonts w:cs="Arial"/>
                <w:sz w:val="18"/>
                <w:szCs w:val="18"/>
              </w:rPr>
              <w:t>Pty Ltd</w:t>
            </w:r>
          </w:p>
        </w:tc>
        <w:tc>
          <w:tcPr>
            <w:tcW w:w="1651" w:type="dxa"/>
            <w:shd w:val="clear" w:color="auto" w:fill="E9FBFB"/>
          </w:tcPr>
          <w:p w14:paraId="400FF97B" w14:textId="77777777" w:rsidR="00085760" w:rsidRPr="00FD7E86" w:rsidRDefault="00085760" w:rsidP="00AA0A1E">
            <w:pPr>
              <w:keepNext/>
              <w:keepLines/>
              <w:widowControl w:val="0"/>
              <w:spacing w:before="40" w:after="40" w:line="240" w:lineRule="auto"/>
              <w:ind w:left="57" w:right="283"/>
              <w:outlineLvl w:val="0"/>
              <w:rPr>
                <w:rFonts w:cs="Arial"/>
                <w:sz w:val="18"/>
                <w:szCs w:val="18"/>
              </w:rPr>
            </w:pPr>
            <w:r w:rsidRPr="00FD7E86">
              <w:rPr>
                <w:rFonts w:cs="Arial"/>
                <w:sz w:val="18"/>
                <w:szCs w:val="18"/>
              </w:rPr>
              <w:t>13</w:t>
            </w:r>
          </w:p>
        </w:tc>
        <w:tc>
          <w:tcPr>
            <w:tcW w:w="4955" w:type="dxa"/>
            <w:shd w:val="clear" w:color="auto" w:fill="E9FBFB"/>
            <w:tcMar>
              <w:top w:w="0" w:type="dxa"/>
              <w:left w:w="113" w:type="dxa"/>
              <w:bottom w:w="0" w:type="dxa"/>
              <w:right w:w="0" w:type="dxa"/>
            </w:tcMar>
          </w:tcPr>
          <w:p w14:paraId="3FE2B522"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Metropolitan licences in Adelaide (2), Brisbane (2), Melbourne (2), Sydney (1) and Western Suburbs, Sydney (1)</w:t>
            </w:r>
          </w:p>
          <w:p w14:paraId="774B9DD5"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One regional radio licence in Katoomba, News South Wales</w:t>
            </w:r>
          </w:p>
          <w:p w14:paraId="2AF2F555" w14:textId="77777777" w:rsidR="00085760" w:rsidRPr="00FD7E86" w:rsidRDefault="00085760" w:rsidP="00AA0A1E">
            <w:pPr>
              <w:keepNext/>
              <w:keepLines/>
              <w:widowControl w:val="0"/>
              <w:spacing w:before="40" w:after="40" w:line="240" w:lineRule="auto"/>
              <w:ind w:left="57" w:right="210"/>
              <w:rPr>
                <w:rFonts w:cs="Arial"/>
                <w:sz w:val="18"/>
                <w:szCs w:val="18"/>
              </w:rPr>
            </w:pPr>
            <w:r w:rsidRPr="00FD7E86">
              <w:rPr>
                <w:rFonts w:cs="Arial"/>
                <w:sz w:val="18"/>
                <w:szCs w:val="18"/>
              </w:rPr>
              <w:t>Two joint-venture licences with Nova Entertainment Pty Ltd, one in each of Brisbane and Perth, and two joint-venture licences with Southern Cross Media Group Ltd in Canberra</w:t>
            </w:r>
          </w:p>
        </w:tc>
      </w:tr>
      <w:tr w:rsidR="00085760" w:rsidRPr="00FD7E86" w14:paraId="28E4BF40"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201699A4" w14:textId="77777777" w:rsidR="00085760" w:rsidRPr="00C05F4C" w:rsidRDefault="00085760" w:rsidP="00AA0A1E">
            <w:pPr>
              <w:keepNext/>
              <w:keepLines/>
              <w:widowControl w:val="0"/>
              <w:spacing w:before="40" w:after="40" w:line="240" w:lineRule="auto"/>
              <w:ind w:left="57" w:right="283"/>
              <w:outlineLvl w:val="0"/>
              <w:rPr>
                <w:rFonts w:cs="Arial"/>
                <w:sz w:val="18"/>
                <w:szCs w:val="18"/>
              </w:rPr>
            </w:pPr>
            <w:r w:rsidRPr="00C05F4C">
              <w:rPr>
                <w:rFonts w:cs="Arial"/>
                <w:sz w:val="18"/>
                <w:szCs w:val="18"/>
              </w:rPr>
              <w:t>Nova Entertainment Pty Ltd</w:t>
            </w:r>
          </w:p>
        </w:tc>
        <w:tc>
          <w:tcPr>
            <w:tcW w:w="1651" w:type="dxa"/>
            <w:shd w:val="clear" w:color="auto" w:fill="E9FBFB"/>
          </w:tcPr>
          <w:p w14:paraId="1E10F66E" w14:textId="77777777" w:rsidR="00085760" w:rsidRPr="00FD7E86" w:rsidRDefault="00085760" w:rsidP="00AA0A1E">
            <w:pPr>
              <w:keepNext/>
              <w:keepLines/>
              <w:widowControl w:val="0"/>
              <w:spacing w:before="40" w:after="40" w:line="240" w:lineRule="auto"/>
              <w:ind w:left="57" w:right="283"/>
              <w:outlineLvl w:val="0"/>
              <w:rPr>
                <w:rFonts w:cs="Arial"/>
                <w:sz w:val="18"/>
                <w:szCs w:val="18"/>
              </w:rPr>
            </w:pPr>
            <w:r w:rsidRPr="00FD7E86">
              <w:rPr>
                <w:rFonts w:cs="Arial"/>
                <w:sz w:val="18"/>
                <w:szCs w:val="18"/>
              </w:rPr>
              <w:t>10</w:t>
            </w:r>
          </w:p>
        </w:tc>
        <w:tc>
          <w:tcPr>
            <w:tcW w:w="4955" w:type="dxa"/>
            <w:shd w:val="clear" w:color="auto" w:fill="E9FBFB"/>
            <w:tcMar>
              <w:top w:w="0" w:type="dxa"/>
              <w:left w:w="113" w:type="dxa"/>
              <w:bottom w:w="0" w:type="dxa"/>
              <w:right w:w="0" w:type="dxa"/>
            </w:tcMar>
          </w:tcPr>
          <w:p w14:paraId="0BCAA93D"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Metropolitan licences in Adelaide (2), Brisbane (1), Melbourne (2) and Sydney (2) as well as one regional radio licence in Gosford, New South Wales</w:t>
            </w:r>
          </w:p>
          <w:p w14:paraId="78CB4360" w14:textId="77777777" w:rsidR="00085760" w:rsidRPr="00FD7E86" w:rsidRDefault="00085760" w:rsidP="00AA0A1E">
            <w:pPr>
              <w:keepNext/>
              <w:keepLines/>
              <w:widowControl w:val="0"/>
              <w:spacing w:before="40" w:after="40" w:line="240" w:lineRule="auto"/>
              <w:ind w:left="57" w:right="210"/>
              <w:rPr>
                <w:rFonts w:cs="Arial"/>
                <w:sz w:val="18"/>
                <w:szCs w:val="18"/>
              </w:rPr>
            </w:pPr>
            <w:r w:rsidRPr="00FD7E86">
              <w:rPr>
                <w:rFonts w:cs="Arial"/>
                <w:sz w:val="18"/>
                <w:szCs w:val="18"/>
              </w:rPr>
              <w:t>Two joint-venture licences with Australian Radio Network Pty Ltd, one in each of Brisbane and Perth</w:t>
            </w:r>
          </w:p>
        </w:tc>
      </w:tr>
      <w:tr w:rsidR="00085760" w:rsidRPr="00FD7E86" w14:paraId="42EAF211"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6A89BA03" w14:textId="77777777" w:rsidR="00085760" w:rsidRPr="00C05F4C" w:rsidRDefault="00085760" w:rsidP="00AA0A1E">
            <w:pPr>
              <w:keepNext/>
              <w:keepLines/>
              <w:widowControl w:val="0"/>
              <w:spacing w:before="40" w:after="40" w:line="240" w:lineRule="auto"/>
              <w:ind w:left="57" w:right="284"/>
              <w:outlineLvl w:val="0"/>
              <w:rPr>
                <w:rFonts w:cs="Arial"/>
                <w:sz w:val="18"/>
                <w:szCs w:val="18"/>
              </w:rPr>
            </w:pPr>
            <w:r w:rsidRPr="00C05F4C">
              <w:rPr>
                <w:rFonts w:cs="Arial"/>
                <w:sz w:val="18"/>
                <w:szCs w:val="18"/>
              </w:rPr>
              <w:t xml:space="preserve">Grant Broadcasters </w:t>
            </w:r>
            <w:r w:rsidRPr="00C05F4C">
              <w:rPr>
                <w:rFonts w:cs="Arial"/>
                <w:sz w:val="18"/>
                <w:szCs w:val="18"/>
              </w:rPr>
              <w:br/>
              <w:t>Pty Ltd</w:t>
            </w:r>
          </w:p>
        </w:tc>
        <w:tc>
          <w:tcPr>
            <w:tcW w:w="1651" w:type="dxa"/>
            <w:shd w:val="clear" w:color="auto" w:fill="E9FBFB"/>
          </w:tcPr>
          <w:p w14:paraId="40B1F508" w14:textId="77777777" w:rsidR="00085760" w:rsidRPr="00FD7E86" w:rsidRDefault="00085760" w:rsidP="00AA0A1E">
            <w:pPr>
              <w:keepNext/>
              <w:keepLines/>
              <w:widowControl w:val="0"/>
              <w:spacing w:before="40" w:after="40" w:line="240" w:lineRule="auto"/>
              <w:ind w:left="57" w:right="283"/>
              <w:outlineLvl w:val="0"/>
              <w:rPr>
                <w:rFonts w:cs="Arial"/>
                <w:sz w:val="18"/>
                <w:szCs w:val="18"/>
              </w:rPr>
            </w:pPr>
            <w:r w:rsidRPr="00FD7E86">
              <w:rPr>
                <w:rFonts w:cs="Arial"/>
                <w:sz w:val="18"/>
                <w:szCs w:val="18"/>
              </w:rPr>
              <w:t>52</w:t>
            </w:r>
          </w:p>
        </w:tc>
        <w:tc>
          <w:tcPr>
            <w:tcW w:w="4955" w:type="dxa"/>
            <w:shd w:val="clear" w:color="auto" w:fill="E9FBFB"/>
            <w:tcMar>
              <w:top w:w="0" w:type="dxa"/>
              <w:left w:w="113" w:type="dxa"/>
              <w:bottom w:w="0" w:type="dxa"/>
              <w:right w:w="0" w:type="dxa"/>
            </w:tcMar>
          </w:tcPr>
          <w:p w14:paraId="06121BFC"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 xml:space="preserve">A metropolitan licence in Perth </w:t>
            </w:r>
          </w:p>
          <w:p w14:paraId="7FC8517C"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Licences in regional areas in New South Wales, Northern Territory, Queensland, Victoria, South Australia and Tasmania, including five joint-venture licences with Kevin Blyton which are part of the Capital Radio Network</w:t>
            </w:r>
          </w:p>
        </w:tc>
      </w:tr>
      <w:tr w:rsidR="00085760" w:rsidRPr="00FD7E86" w14:paraId="1E6C6DD6"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4A553EEE" w14:textId="77777777" w:rsidR="00085760" w:rsidRPr="00C05F4C" w:rsidRDefault="00085760" w:rsidP="00AA0A1E">
            <w:pPr>
              <w:keepNext/>
              <w:keepLines/>
              <w:widowControl w:val="0"/>
              <w:spacing w:before="40" w:after="40" w:line="240" w:lineRule="auto"/>
              <w:ind w:left="57" w:right="283"/>
              <w:outlineLvl w:val="0"/>
              <w:rPr>
                <w:rFonts w:cs="Arial"/>
                <w:sz w:val="18"/>
                <w:szCs w:val="18"/>
              </w:rPr>
            </w:pPr>
            <w:r w:rsidRPr="00C05F4C">
              <w:rPr>
                <w:rFonts w:cs="Arial"/>
                <w:sz w:val="18"/>
                <w:szCs w:val="18"/>
              </w:rPr>
              <w:t xml:space="preserve">Macquarie Radio </w:t>
            </w:r>
            <w:r w:rsidRPr="00C05F4C">
              <w:rPr>
                <w:rFonts w:cs="Arial"/>
                <w:sz w:val="18"/>
                <w:szCs w:val="18"/>
              </w:rPr>
              <w:br/>
              <w:t>Network Ltd</w:t>
            </w:r>
          </w:p>
        </w:tc>
        <w:tc>
          <w:tcPr>
            <w:tcW w:w="1651" w:type="dxa"/>
            <w:shd w:val="clear" w:color="auto" w:fill="E9FBFB"/>
          </w:tcPr>
          <w:p w14:paraId="435C189D" w14:textId="77777777" w:rsidR="00085760" w:rsidRPr="00FD7E86" w:rsidRDefault="00085760" w:rsidP="00AA0A1E">
            <w:pPr>
              <w:keepNext/>
              <w:keepLines/>
              <w:widowControl w:val="0"/>
              <w:spacing w:before="40" w:after="40" w:line="240" w:lineRule="auto"/>
              <w:ind w:left="57" w:right="283"/>
              <w:outlineLvl w:val="0"/>
              <w:rPr>
                <w:rFonts w:cs="Arial"/>
                <w:sz w:val="18"/>
                <w:szCs w:val="18"/>
              </w:rPr>
            </w:pPr>
            <w:r w:rsidRPr="00FD7E86">
              <w:rPr>
                <w:rFonts w:cs="Arial"/>
                <w:sz w:val="18"/>
                <w:szCs w:val="18"/>
              </w:rPr>
              <w:t>14</w:t>
            </w:r>
          </w:p>
        </w:tc>
        <w:tc>
          <w:tcPr>
            <w:tcW w:w="4955" w:type="dxa"/>
            <w:shd w:val="clear" w:color="auto" w:fill="E9FBFB"/>
            <w:tcMar>
              <w:top w:w="0" w:type="dxa"/>
              <w:left w:w="113" w:type="dxa"/>
              <w:bottom w:w="0" w:type="dxa"/>
              <w:right w:w="0" w:type="dxa"/>
            </w:tcMar>
          </w:tcPr>
          <w:p w14:paraId="3F2904F2"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Metropolitan licences in Brisbane (2), Melbourne (2), Perth (1) and Sydney (3)</w:t>
            </w:r>
            <w:r w:rsidRPr="00FD7E86">
              <w:rPr>
                <w:rFonts w:ascii="Agency FB" w:hAnsi="Agency FB" w:cs="Arial"/>
                <w:sz w:val="18"/>
                <w:szCs w:val="18"/>
              </w:rPr>
              <w:t>*</w:t>
            </w:r>
            <w:r w:rsidRPr="00FD7E86" w:rsidDel="009654CF">
              <w:rPr>
                <w:rFonts w:cs="Arial"/>
                <w:sz w:val="18"/>
                <w:szCs w:val="18"/>
              </w:rPr>
              <w:t xml:space="preserve"> </w:t>
            </w:r>
          </w:p>
          <w:p w14:paraId="23AF7D73"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Six licences in regional areas in Queensland—Charleville (2), Emerald (1), Kingaroy (1), Mt Isa (1)</w:t>
            </w:r>
            <w:r w:rsidRPr="00FD7E86">
              <w:rPr>
                <w:rFonts w:ascii="Agency FB" w:hAnsi="Agency FB" w:cs="Arial"/>
                <w:sz w:val="18"/>
                <w:szCs w:val="18"/>
              </w:rPr>
              <w:t>*</w:t>
            </w:r>
            <w:r w:rsidRPr="00FD7E86">
              <w:rPr>
                <w:rFonts w:cs="Arial"/>
                <w:sz w:val="18"/>
                <w:szCs w:val="18"/>
              </w:rPr>
              <w:t>, and Roma (1)</w:t>
            </w:r>
          </w:p>
        </w:tc>
      </w:tr>
      <w:tr w:rsidR="00085760" w:rsidRPr="00FD7E86" w14:paraId="43DCCD09"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40BE620A" w14:textId="77777777" w:rsidR="00085760" w:rsidRPr="00C05F4C" w:rsidRDefault="00085760" w:rsidP="00AA0A1E">
            <w:pPr>
              <w:keepNext/>
              <w:keepLines/>
              <w:widowControl w:val="0"/>
              <w:spacing w:before="40" w:after="40" w:line="240" w:lineRule="auto"/>
              <w:ind w:left="57" w:right="283"/>
              <w:rPr>
                <w:rFonts w:cs="Arial"/>
                <w:sz w:val="18"/>
                <w:szCs w:val="18"/>
              </w:rPr>
            </w:pPr>
            <w:r w:rsidRPr="00C05F4C">
              <w:rPr>
                <w:rFonts w:cs="Arial"/>
                <w:sz w:val="18"/>
                <w:szCs w:val="18"/>
              </w:rPr>
              <w:t>Redwave Media Ltd/</w:t>
            </w:r>
            <w:r w:rsidRPr="00C05F4C">
              <w:rPr>
                <w:rFonts w:cs="Arial"/>
                <w:sz w:val="18"/>
                <w:szCs w:val="18"/>
              </w:rPr>
              <w:br/>
              <w:t>Seven Group Holdings Ltd</w:t>
            </w:r>
          </w:p>
        </w:tc>
        <w:tc>
          <w:tcPr>
            <w:tcW w:w="1651" w:type="dxa"/>
            <w:shd w:val="clear" w:color="auto" w:fill="E9FBFB"/>
          </w:tcPr>
          <w:p w14:paraId="62C3F56B" w14:textId="77777777" w:rsidR="00085760" w:rsidRPr="00FD7E86" w:rsidRDefault="00085760" w:rsidP="00AA0A1E">
            <w:pPr>
              <w:keepNext/>
              <w:keepLines/>
              <w:widowControl w:val="0"/>
              <w:spacing w:before="40" w:after="40" w:line="240" w:lineRule="auto"/>
              <w:ind w:left="57" w:right="283"/>
              <w:rPr>
                <w:rFonts w:cs="Arial"/>
                <w:sz w:val="18"/>
                <w:szCs w:val="18"/>
              </w:rPr>
            </w:pPr>
            <w:r w:rsidRPr="00FD7E86">
              <w:rPr>
                <w:rFonts w:cs="Arial"/>
                <w:sz w:val="18"/>
                <w:szCs w:val="18"/>
              </w:rPr>
              <w:t>9</w:t>
            </w:r>
          </w:p>
        </w:tc>
        <w:tc>
          <w:tcPr>
            <w:tcW w:w="4955" w:type="dxa"/>
            <w:shd w:val="clear" w:color="auto" w:fill="E9FBFB"/>
            <w:tcMar>
              <w:top w:w="0" w:type="dxa"/>
              <w:left w:w="113" w:type="dxa"/>
              <w:bottom w:w="0" w:type="dxa"/>
              <w:right w:w="0" w:type="dxa"/>
            </w:tcMar>
          </w:tcPr>
          <w:p w14:paraId="12AAF745"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Licences in regional areas in Western Australia</w:t>
            </w:r>
          </w:p>
        </w:tc>
      </w:tr>
      <w:tr w:rsidR="00085760" w:rsidRPr="00FD7E86" w14:paraId="2635526B"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08B2AA3D" w14:textId="77777777" w:rsidR="00085760" w:rsidRPr="00C05F4C" w:rsidRDefault="00085760" w:rsidP="00AA0A1E">
            <w:pPr>
              <w:keepNext/>
              <w:keepLines/>
              <w:widowControl w:val="0"/>
              <w:spacing w:before="40" w:after="40" w:line="240" w:lineRule="auto"/>
              <w:ind w:left="57" w:right="283"/>
              <w:rPr>
                <w:rFonts w:cs="Arial"/>
                <w:sz w:val="18"/>
                <w:szCs w:val="18"/>
              </w:rPr>
            </w:pPr>
            <w:r w:rsidRPr="00C05F4C">
              <w:rPr>
                <w:rFonts w:cs="Arial"/>
                <w:sz w:val="18"/>
                <w:szCs w:val="18"/>
              </w:rPr>
              <w:t xml:space="preserve">Southern Cross Media </w:t>
            </w:r>
            <w:r>
              <w:rPr>
                <w:rFonts w:cs="Arial"/>
                <w:sz w:val="18"/>
                <w:szCs w:val="18"/>
              </w:rPr>
              <w:br/>
            </w:r>
            <w:r w:rsidRPr="00C05F4C">
              <w:rPr>
                <w:rFonts w:cs="Arial"/>
                <w:sz w:val="18"/>
                <w:szCs w:val="18"/>
              </w:rPr>
              <w:t>Group Ltd</w:t>
            </w:r>
          </w:p>
        </w:tc>
        <w:tc>
          <w:tcPr>
            <w:tcW w:w="1651" w:type="dxa"/>
            <w:shd w:val="clear" w:color="auto" w:fill="E9FBFB"/>
          </w:tcPr>
          <w:p w14:paraId="4939A314" w14:textId="77777777" w:rsidR="00085760" w:rsidRPr="00FD7E86" w:rsidRDefault="00085760" w:rsidP="00AA0A1E">
            <w:pPr>
              <w:keepNext/>
              <w:keepLines/>
              <w:widowControl w:val="0"/>
              <w:spacing w:before="40" w:after="40" w:line="240" w:lineRule="auto"/>
              <w:ind w:left="57" w:right="283"/>
              <w:rPr>
                <w:rFonts w:cs="Arial"/>
                <w:sz w:val="18"/>
                <w:szCs w:val="18"/>
              </w:rPr>
            </w:pPr>
            <w:r w:rsidRPr="00FD7E86">
              <w:rPr>
                <w:rFonts w:cs="Arial"/>
                <w:sz w:val="18"/>
                <w:szCs w:val="18"/>
              </w:rPr>
              <w:t>78</w:t>
            </w:r>
          </w:p>
        </w:tc>
        <w:tc>
          <w:tcPr>
            <w:tcW w:w="4955" w:type="dxa"/>
            <w:shd w:val="clear" w:color="auto" w:fill="E9FBFB"/>
            <w:tcMar>
              <w:top w:w="0" w:type="dxa"/>
              <w:left w:w="113" w:type="dxa"/>
              <w:bottom w:w="0" w:type="dxa"/>
              <w:right w:w="0" w:type="dxa"/>
            </w:tcMar>
          </w:tcPr>
          <w:p w14:paraId="43320397"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Two metropolitan licences in each of Adelaide, Brisbane, Melbourne, Perth and Sydney</w:t>
            </w:r>
          </w:p>
          <w:p w14:paraId="70C0A313"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Licences in regional areas in New South Wales, Queensland, Tasmania, Victoria, South Australia and Western Australia</w:t>
            </w:r>
          </w:p>
          <w:p w14:paraId="293D0D56"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Two joint-venture licences with Australian Radio Network Pty Ltd in Canberra</w:t>
            </w:r>
          </w:p>
        </w:tc>
      </w:tr>
      <w:tr w:rsidR="00085760" w:rsidRPr="00FD7E86" w14:paraId="468BB533" w14:textId="77777777" w:rsidTr="00085760">
        <w:trPr>
          <w:trHeight w:val="454"/>
        </w:trPr>
        <w:tc>
          <w:tcPr>
            <w:tcW w:w="2823" w:type="dxa"/>
            <w:tcBorders>
              <w:right w:val="single" w:sz="24" w:space="0" w:color="FFFFFF"/>
            </w:tcBorders>
            <w:shd w:val="clear" w:color="auto" w:fill="65CDD5"/>
            <w:tcMar>
              <w:top w:w="0" w:type="dxa"/>
              <w:left w:w="113" w:type="dxa"/>
              <w:bottom w:w="0" w:type="dxa"/>
              <w:right w:w="0" w:type="dxa"/>
            </w:tcMar>
          </w:tcPr>
          <w:p w14:paraId="66A792DC" w14:textId="77777777" w:rsidR="00085760" w:rsidRPr="00C05F4C" w:rsidRDefault="00085760" w:rsidP="00AA0A1E">
            <w:pPr>
              <w:keepNext/>
              <w:keepLines/>
              <w:widowControl w:val="0"/>
              <w:spacing w:before="40" w:after="40" w:line="240" w:lineRule="auto"/>
              <w:ind w:left="57" w:right="284"/>
              <w:rPr>
                <w:rFonts w:cs="Arial"/>
                <w:sz w:val="18"/>
                <w:szCs w:val="18"/>
              </w:rPr>
            </w:pPr>
            <w:r w:rsidRPr="00C05F4C">
              <w:rPr>
                <w:rFonts w:cs="Arial"/>
                <w:sz w:val="18"/>
                <w:szCs w:val="18"/>
              </w:rPr>
              <w:t xml:space="preserve">Broadcast Operations </w:t>
            </w:r>
            <w:r w:rsidRPr="00C05F4C">
              <w:rPr>
                <w:rFonts w:cs="Arial"/>
                <w:sz w:val="18"/>
                <w:szCs w:val="18"/>
              </w:rPr>
              <w:br/>
              <w:t>Pty Ltd (Super Radio Network)</w:t>
            </w:r>
          </w:p>
        </w:tc>
        <w:tc>
          <w:tcPr>
            <w:tcW w:w="1651" w:type="dxa"/>
            <w:shd w:val="clear" w:color="auto" w:fill="E9FBFB"/>
          </w:tcPr>
          <w:p w14:paraId="45B9E068" w14:textId="77777777" w:rsidR="00085760" w:rsidRPr="00FD7E86" w:rsidRDefault="00085760" w:rsidP="00AA0A1E">
            <w:pPr>
              <w:keepNext/>
              <w:keepLines/>
              <w:widowControl w:val="0"/>
              <w:spacing w:before="40" w:after="40" w:line="240" w:lineRule="auto"/>
              <w:ind w:left="57" w:right="283"/>
              <w:rPr>
                <w:rFonts w:cs="Arial"/>
                <w:sz w:val="18"/>
                <w:szCs w:val="18"/>
              </w:rPr>
            </w:pPr>
            <w:r w:rsidRPr="00FD7E86">
              <w:rPr>
                <w:rFonts w:cs="Arial"/>
                <w:sz w:val="18"/>
                <w:szCs w:val="18"/>
              </w:rPr>
              <w:t>36</w:t>
            </w:r>
          </w:p>
        </w:tc>
        <w:tc>
          <w:tcPr>
            <w:tcW w:w="4955" w:type="dxa"/>
            <w:shd w:val="clear" w:color="auto" w:fill="E9FBFB"/>
            <w:tcMar>
              <w:top w:w="0" w:type="dxa"/>
              <w:left w:w="113" w:type="dxa"/>
              <w:bottom w:w="0" w:type="dxa"/>
              <w:right w:w="0" w:type="dxa"/>
            </w:tcMar>
          </w:tcPr>
          <w:p w14:paraId="06E2D17F" w14:textId="77777777" w:rsidR="00085760" w:rsidRPr="00FD7E86" w:rsidRDefault="00085760" w:rsidP="00AA0A1E">
            <w:pPr>
              <w:keepNext/>
              <w:keepLines/>
              <w:widowControl w:val="0"/>
              <w:spacing w:before="40" w:after="40" w:line="240" w:lineRule="auto"/>
              <w:ind w:left="57" w:right="210"/>
              <w:outlineLvl w:val="0"/>
              <w:rPr>
                <w:rFonts w:cs="Arial"/>
                <w:sz w:val="18"/>
                <w:szCs w:val="18"/>
              </w:rPr>
            </w:pPr>
            <w:r w:rsidRPr="00FD7E86">
              <w:rPr>
                <w:rFonts w:cs="Arial"/>
                <w:sz w:val="18"/>
                <w:szCs w:val="18"/>
              </w:rPr>
              <w:t>Licences in regional areas of New South Wales and Queensland. One metropolitan licence in Sydney</w:t>
            </w:r>
          </w:p>
        </w:tc>
      </w:tr>
    </w:tbl>
    <w:p w14:paraId="4FBED91B" w14:textId="77777777" w:rsidR="00A42E26" w:rsidRPr="00FD7E86" w:rsidRDefault="00A42E26" w:rsidP="00AA0A1E">
      <w:pPr>
        <w:pStyle w:val="ACMANotes"/>
        <w:keepNext/>
        <w:keepLines/>
        <w:widowControl w:val="0"/>
      </w:pPr>
      <w:r w:rsidRPr="00FD7E86">
        <w:t>Note: Table includes networks with more than six licences.</w:t>
      </w:r>
    </w:p>
    <w:p w14:paraId="679BC104" w14:textId="77777777" w:rsidR="00A42E26" w:rsidRPr="00FD7E86" w:rsidRDefault="004E7430" w:rsidP="00AA0A1E">
      <w:pPr>
        <w:pStyle w:val="ACMANotes"/>
        <w:keepNext/>
        <w:keepLines/>
        <w:widowControl w:val="0"/>
        <w:rPr>
          <w:b/>
          <w:szCs w:val="16"/>
        </w:rPr>
      </w:pPr>
      <w:r w:rsidRPr="00FD7E86">
        <w:rPr>
          <w:szCs w:val="16"/>
        </w:rPr>
        <w:t>S</w:t>
      </w:r>
      <w:r w:rsidR="00A42E26" w:rsidRPr="00FD7E86">
        <w:rPr>
          <w:szCs w:val="16"/>
        </w:rPr>
        <w:t xml:space="preserve">ource: ACMA, </w:t>
      </w:r>
      <w:hyperlink r:id="rId50" w:history="1">
        <w:r w:rsidR="00A42E26" w:rsidRPr="00FD7E86">
          <w:rPr>
            <w:color w:val="0000FF"/>
            <w:szCs w:val="16"/>
            <w:u w:val="single"/>
          </w:rPr>
          <w:t>Register of Controlled Media Groups and the Media Control Database</w:t>
        </w:r>
      </w:hyperlink>
      <w:r w:rsidR="00A42E26" w:rsidRPr="00FD7E86">
        <w:rPr>
          <w:szCs w:val="16"/>
        </w:rPr>
        <w:t>.</w:t>
      </w:r>
    </w:p>
    <w:p w14:paraId="5D4898FB" w14:textId="77777777" w:rsidR="002C3191" w:rsidRPr="00FD7E86" w:rsidRDefault="002C3191" w:rsidP="00085760">
      <w:pPr>
        <w:pStyle w:val="ACMASpaceaftertable"/>
        <w:keepNext/>
        <w:keepLines/>
      </w:pPr>
    </w:p>
    <w:p w14:paraId="4521CFEB" w14:textId="77777777" w:rsidR="00A42E26" w:rsidRPr="00FD7E86" w:rsidRDefault="00A42E26" w:rsidP="00085760">
      <w:pPr>
        <w:pStyle w:val="ACMAHeading2"/>
        <w:keepLines/>
      </w:pPr>
      <w:bookmarkStart w:id="189" w:name="_Toc433790317"/>
      <w:r w:rsidRPr="00FD7E86">
        <w:t>Cross-media ownership</w:t>
      </w:r>
      <w:bookmarkEnd w:id="189"/>
      <w:r w:rsidRPr="00FD7E86">
        <w:t xml:space="preserve"> </w:t>
      </w:r>
    </w:p>
    <w:p w14:paraId="3D323214" w14:textId="77777777" w:rsidR="00A42E26" w:rsidRPr="00FD7E86" w:rsidRDefault="00A42E26" w:rsidP="00085760">
      <w:pPr>
        <w:keepNext/>
        <w:keepLines/>
        <w:spacing w:after="80"/>
        <w:rPr>
          <w:rFonts w:cs="Arial"/>
        </w:rPr>
      </w:pPr>
      <w:r w:rsidRPr="00FD7E86">
        <w:rPr>
          <w:rFonts w:cs="Arial"/>
        </w:rPr>
        <w:t xml:space="preserve">A small number of entities control two types of media assets in the same market: </w:t>
      </w:r>
    </w:p>
    <w:p w14:paraId="49B7FC96" w14:textId="77777777" w:rsidR="00A42E26" w:rsidRPr="00FD7E86" w:rsidRDefault="00A42E26" w:rsidP="004E7430">
      <w:pPr>
        <w:pStyle w:val="ListBullet"/>
      </w:pPr>
      <w:r w:rsidRPr="00FD7E86">
        <w:t>Southern Cross Media Group Ltd controls a combination of radio and television broadcasting licences in 26 radio licence areas.</w:t>
      </w:r>
      <w:r w:rsidR="00DD2CE6" w:rsidRPr="00FD7E86">
        <w:t xml:space="preserve"> </w:t>
      </w:r>
    </w:p>
    <w:p w14:paraId="3261DFBC" w14:textId="77777777" w:rsidR="00A42E26" w:rsidRPr="00FD7E86" w:rsidRDefault="00A42E26" w:rsidP="004E7430">
      <w:pPr>
        <w:pStyle w:val="ListBullet"/>
      </w:pPr>
      <w:r w:rsidRPr="00FD7E86">
        <w:t>Fairfax Media Limited controls two radio licences and a newspaper in Melbourne, and three radio licences and a newspaper in Sydney.</w:t>
      </w:r>
      <w:r w:rsidRPr="00FD7E86">
        <w:rPr>
          <w:vertAlign w:val="superscript"/>
        </w:rPr>
        <w:endnoteReference w:id="42"/>
      </w:r>
      <w:bookmarkStart w:id="190" w:name="_Toc402337511"/>
      <w:r w:rsidR="00DD2CE6" w:rsidRPr="00FD7E86">
        <w:t xml:space="preserve"> </w:t>
      </w:r>
    </w:p>
    <w:p w14:paraId="6FD0EF95" w14:textId="77777777" w:rsidR="00A42E26" w:rsidRPr="00FD7E86" w:rsidRDefault="00A42E26" w:rsidP="004E7430">
      <w:pPr>
        <w:pStyle w:val="ListBullet"/>
      </w:pPr>
      <w:r w:rsidRPr="00FD7E86">
        <w:t>Seven Group Holdings Limited controls a television licence and a newspaper in Perth.</w:t>
      </w:r>
      <w:r w:rsidR="00DD2CE6" w:rsidRPr="00FD7E86">
        <w:t xml:space="preserve"> </w:t>
      </w:r>
    </w:p>
    <w:p w14:paraId="3D84217D" w14:textId="77777777" w:rsidR="00A42E26" w:rsidRPr="00FD7E86" w:rsidRDefault="00A42E26" w:rsidP="004E7430">
      <w:pPr>
        <w:pStyle w:val="ListBullet"/>
      </w:pPr>
      <w:r w:rsidRPr="00FD7E86">
        <w:lastRenderedPageBreak/>
        <w:t>WIN Corporation Pty Ltd controls a radio and television licence in Wollongong.</w:t>
      </w:r>
    </w:p>
    <w:p w14:paraId="110583B7" w14:textId="77777777" w:rsidR="00A42E26" w:rsidRPr="00FD7E86" w:rsidRDefault="00A42E26" w:rsidP="004E7430">
      <w:pPr>
        <w:pStyle w:val="ListBulletLast"/>
      </w:pPr>
      <w:r w:rsidRPr="00FD7E86">
        <w:t xml:space="preserve">Lachlan Murdoch, through his position as Non-Executive Co-Chairman of News Corporation and interests in Nova Entertainment Pty Ltd, controls two radio licences and an associated newspaper in each of the Sydney, Brisbane, Adelaide and Melbourne metropolitan licence areas. </w:t>
      </w:r>
    </w:p>
    <w:p w14:paraId="1B9ACC03" w14:textId="77777777" w:rsidR="00A42E26" w:rsidRPr="00FD7E86" w:rsidRDefault="00A42E26" w:rsidP="004E7430">
      <w:pPr>
        <w:pStyle w:val="ACMAHeading2"/>
      </w:pPr>
      <w:bookmarkStart w:id="191" w:name="_Toc399331734"/>
      <w:bookmarkStart w:id="192" w:name="_Toc399336915"/>
      <w:bookmarkStart w:id="193" w:name="_Toc402337515"/>
      <w:bookmarkStart w:id="194" w:name="_Toc433790318"/>
      <w:r w:rsidRPr="00FD7E86">
        <w:t>Subscription television in Australia</w:t>
      </w:r>
      <w:bookmarkEnd w:id="191"/>
      <w:bookmarkEnd w:id="192"/>
      <w:bookmarkEnd w:id="193"/>
      <w:bookmarkEnd w:id="194"/>
    </w:p>
    <w:p w14:paraId="1C916256" w14:textId="77777777" w:rsidR="00A42E26" w:rsidRPr="00FD7E86" w:rsidRDefault="00A42E26" w:rsidP="00A42E26">
      <w:pPr>
        <w:rPr>
          <w:rFonts w:cs="Arial"/>
          <w:color w:val="FFFFFF"/>
          <w:szCs w:val="20"/>
        </w:rPr>
      </w:pPr>
      <w:r w:rsidRPr="00FD7E86">
        <w:rPr>
          <w:rFonts w:cs="Arial"/>
          <w:szCs w:val="20"/>
        </w:rPr>
        <w:t xml:space="preserve">In 2014–15, no new subscription television broadcasting licences were allocated by the ACMA. </w:t>
      </w:r>
    </w:p>
    <w:p w14:paraId="10764F84" w14:textId="77777777" w:rsidR="00A42E26" w:rsidRPr="00FD7E86" w:rsidRDefault="00A42E26" w:rsidP="004E7430">
      <w:pPr>
        <w:pStyle w:val="ACMAHeading2"/>
      </w:pPr>
      <w:bookmarkStart w:id="195" w:name="_Toc399331735"/>
      <w:bookmarkStart w:id="196" w:name="_Toc399336916"/>
      <w:bookmarkStart w:id="197" w:name="_Toc402337516"/>
      <w:bookmarkStart w:id="198" w:name="_Toc433790319"/>
      <w:r w:rsidRPr="00FD7E86">
        <w:t>Community radio and broadcasting licences</w:t>
      </w:r>
      <w:bookmarkEnd w:id="195"/>
      <w:bookmarkEnd w:id="196"/>
      <w:bookmarkEnd w:id="197"/>
      <w:bookmarkEnd w:id="198"/>
      <w:r w:rsidRPr="00FD7E86">
        <w:t xml:space="preserve"> </w:t>
      </w:r>
    </w:p>
    <w:p w14:paraId="25D53F5D" w14:textId="77777777" w:rsidR="00A42E26" w:rsidRPr="00FD7E86" w:rsidRDefault="00A42E26" w:rsidP="00A42E26">
      <w:pPr>
        <w:rPr>
          <w:rFonts w:cs="Arial"/>
          <w:szCs w:val="20"/>
        </w:rPr>
      </w:pPr>
      <w:r w:rsidRPr="00FD7E86">
        <w:rPr>
          <w:rFonts w:cs="Arial"/>
          <w:szCs w:val="20"/>
        </w:rPr>
        <w:t>At 30 June 2015, there were 358 long-term community radio broadcasting licences, representing a range of community interests (Table 1.9). Fifty per cent of community radio broadcasting services represent the general community in the licence area where they broadcast.</w:t>
      </w:r>
    </w:p>
    <w:p w14:paraId="00ECA669" w14:textId="77777777" w:rsidR="00A42E26" w:rsidRPr="00FD7E86" w:rsidRDefault="00A42E26" w:rsidP="00A42E26">
      <w:pPr>
        <w:spacing w:after="80"/>
        <w:rPr>
          <w:rFonts w:cs="Arial"/>
          <w:szCs w:val="20"/>
        </w:rPr>
      </w:pPr>
      <w:r w:rsidRPr="00FD7E86">
        <w:rPr>
          <w:rFonts w:cs="Arial"/>
          <w:szCs w:val="20"/>
        </w:rPr>
        <w:t>During 2014–15, the ACMA:</w:t>
      </w:r>
    </w:p>
    <w:p w14:paraId="11B8B289" w14:textId="77777777" w:rsidR="00A42E26" w:rsidRPr="00FD7E86" w:rsidRDefault="00A42E26" w:rsidP="00144D96">
      <w:pPr>
        <w:pStyle w:val="ListBullet"/>
      </w:pPr>
      <w:r w:rsidRPr="00FD7E86">
        <w:t>renewed 61 community radio broadcasting licences</w:t>
      </w:r>
    </w:p>
    <w:p w14:paraId="75A5E192" w14:textId="77777777" w:rsidR="00A42E26" w:rsidRPr="00FD7E86" w:rsidRDefault="00A42E26" w:rsidP="000664F7">
      <w:pPr>
        <w:pStyle w:val="ListBulletLast"/>
      </w:pPr>
      <w:r w:rsidRPr="00FD7E86">
        <w:t xml:space="preserve">decided not to allocate two community radio broadcasting licences. </w:t>
      </w:r>
    </w:p>
    <w:p w14:paraId="77CBA565" w14:textId="77777777" w:rsidR="00A42E26" w:rsidRPr="00CD5A7F" w:rsidRDefault="00A42E26" w:rsidP="00A450AF">
      <w:pPr>
        <w:pStyle w:val="ACMATableHeader"/>
        <w:keepNext/>
        <w:keepLines/>
        <w:numPr>
          <w:ilvl w:val="0"/>
          <w:numId w:val="0"/>
        </w:numPr>
        <w:spacing w:after="120"/>
      </w:pPr>
      <w:bookmarkStart w:id="199" w:name="_Ref398813352"/>
      <w:r w:rsidRPr="00CD5A7F">
        <w:t>Table 1.9</w:t>
      </w:r>
      <w:bookmarkEnd w:id="199"/>
      <w:r w:rsidRPr="00CD5A7F">
        <w:t xml:space="preserve"> Community radio broadcasting services by community interest, June 2015</w:t>
      </w:r>
    </w:p>
    <w:tbl>
      <w:tblPr>
        <w:tblW w:w="9429"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left w:w="85" w:type="dxa"/>
          <w:right w:w="0" w:type="dxa"/>
        </w:tblCellMar>
        <w:tblLook w:val="01E0" w:firstRow="1" w:lastRow="1" w:firstColumn="1" w:lastColumn="1" w:noHBand="0" w:noVBand="0"/>
        <w:tblCaption w:val="Table 1.9 Community radio broadcasting services by community interest, June 2015"/>
      </w:tblPr>
      <w:tblGrid>
        <w:gridCol w:w="3514"/>
        <w:gridCol w:w="2957"/>
        <w:gridCol w:w="2958"/>
      </w:tblGrid>
      <w:tr w:rsidR="00A42E26" w:rsidRPr="00FD7E86" w14:paraId="3D34AB40" w14:textId="77777777" w:rsidTr="00A450AF">
        <w:trPr>
          <w:trHeight w:val="454"/>
        </w:trPr>
        <w:tc>
          <w:tcPr>
            <w:tcW w:w="3514" w:type="dxa"/>
            <w:tcBorders>
              <w:right w:val="nil"/>
            </w:tcBorders>
            <w:shd w:val="clear" w:color="auto" w:fill="00ADBB"/>
            <w:tcMar>
              <w:top w:w="0" w:type="dxa"/>
              <w:left w:w="113" w:type="dxa"/>
              <w:bottom w:w="0" w:type="dxa"/>
              <w:right w:w="0" w:type="dxa"/>
            </w:tcMar>
          </w:tcPr>
          <w:p w14:paraId="5A9505F5" w14:textId="77777777" w:rsidR="00A42E26" w:rsidRPr="00FD7E86" w:rsidRDefault="00A42E26" w:rsidP="00A450AF">
            <w:pPr>
              <w:keepNext/>
              <w:keepLines/>
              <w:spacing w:before="40" w:after="40"/>
              <w:ind w:left="57" w:right="227"/>
              <w:rPr>
                <w:rFonts w:cs="Arial"/>
                <w:b/>
                <w:color w:val="FFFFFF"/>
                <w:sz w:val="18"/>
                <w:szCs w:val="18"/>
              </w:rPr>
            </w:pPr>
            <w:r w:rsidRPr="00FD7E86">
              <w:rPr>
                <w:rFonts w:cs="Arial"/>
                <w:b/>
                <w:color w:val="FFFFFF"/>
                <w:sz w:val="18"/>
                <w:szCs w:val="18"/>
              </w:rPr>
              <w:t>Community interest</w:t>
            </w:r>
          </w:p>
        </w:tc>
        <w:tc>
          <w:tcPr>
            <w:tcW w:w="2957" w:type="dxa"/>
            <w:tcBorders>
              <w:bottom w:val="single" w:sz="24" w:space="0" w:color="FFFFFF"/>
            </w:tcBorders>
            <w:shd w:val="clear" w:color="auto" w:fill="00ADBB"/>
          </w:tcPr>
          <w:p w14:paraId="221261FF" w14:textId="77777777" w:rsidR="00A42E26" w:rsidRPr="00FD7E86" w:rsidRDefault="00A42E26" w:rsidP="00A450AF">
            <w:pPr>
              <w:keepNext/>
              <w:keepLines/>
              <w:spacing w:before="40" w:after="40"/>
              <w:ind w:left="57" w:right="227"/>
              <w:jc w:val="right"/>
              <w:rPr>
                <w:rFonts w:cs="Arial"/>
                <w:b/>
                <w:color w:val="FFFFFF"/>
                <w:sz w:val="18"/>
                <w:szCs w:val="18"/>
              </w:rPr>
            </w:pPr>
            <w:r w:rsidRPr="00FD7E86">
              <w:rPr>
                <w:rFonts w:cs="Arial"/>
                <w:b/>
                <w:color w:val="FFFFFF"/>
                <w:sz w:val="18"/>
                <w:szCs w:val="18"/>
              </w:rPr>
              <w:t>Number of licences</w:t>
            </w:r>
          </w:p>
        </w:tc>
        <w:tc>
          <w:tcPr>
            <w:tcW w:w="2958" w:type="dxa"/>
            <w:tcBorders>
              <w:bottom w:val="single" w:sz="24" w:space="0" w:color="FFFFFF"/>
            </w:tcBorders>
            <w:shd w:val="clear" w:color="auto" w:fill="00ADBB"/>
            <w:tcMar>
              <w:top w:w="0" w:type="dxa"/>
              <w:left w:w="113" w:type="dxa"/>
              <w:bottom w:w="0" w:type="dxa"/>
              <w:right w:w="0" w:type="dxa"/>
            </w:tcMar>
          </w:tcPr>
          <w:p w14:paraId="36462CE2" w14:textId="77777777" w:rsidR="00A42E26" w:rsidRPr="00FD7E86" w:rsidRDefault="00A42E26" w:rsidP="00A450AF">
            <w:pPr>
              <w:keepNext/>
              <w:keepLines/>
              <w:spacing w:before="40" w:after="40"/>
              <w:ind w:left="57" w:right="227"/>
              <w:jc w:val="right"/>
              <w:rPr>
                <w:rFonts w:cs="Arial"/>
                <w:b/>
                <w:color w:val="FFFFFF"/>
                <w:sz w:val="18"/>
                <w:szCs w:val="18"/>
              </w:rPr>
            </w:pPr>
            <w:r w:rsidRPr="00FD7E86">
              <w:rPr>
                <w:rFonts w:cs="Arial"/>
                <w:b/>
                <w:color w:val="FFFFFF"/>
                <w:sz w:val="18"/>
                <w:szCs w:val="18"/>
              </w:rPr>
              <w:t>Total (%)</w:t>
            </w:r>
          </w:p>
        </w:tc>
      </w:tr>
      <w:tr w:rsidR="00A42E26" w:rsidRPr="00FD7E86" w14:paraId="5A7F96A6"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289A853A" w14:textId="77777777" w:rsidR="00A42E26" w:rsidRPr="00C05F4C" w:rsidRDefault="00A42E26" w:rsidP="00A450AF">
            <w:pPr>
              <w:keepNext/>
              <w:keepLines/>
              <w:spacing w:before="40" w:after="40" w:line="240" w:lineRule="auto"/>
              <w:ind w:left="141" w:hanging="84"/>
              <w:rPr>
                <w:rFonts w:cs="Arial"/>
                <w:sz w:val="18"/>
                <w:szCs w:val="18"/>
              </w:rPr>
            </w:pPr>
            <w:r w:rsidRPr="00C05F4C">
              <w:rPr>
                <w:rFonts w:cs="Arial"/>
                <w:sz w:val="18"/>
                <w:szCs w:val="18"/>
              </w:rPr>
              <w:t>Aboriginal and Torres Strait Islander</w:t>
            </w:r>
          </w:p>
        </w:tc>
        <w:tc>
          <w:tcPr>
            <w:tcW w:w="2957" w:type="dxa"/>
            <w:shd w:val="clear" w:color="auto" w:fill="E9FBFB"/>
            <w:vAlign w:val="center"/>
          </w:tcPr>
          <w:p w14:paraId="4AF5C6C7" w14:textId="77777777" w:rsidR="00A42E26" w:rsidRPr="00FD7E86" w:rsidRDefault="00A42E26" w:rsidP="00A450AF">
            <w:pPr>
              <w:keepNext/>
              <w:keepLines/>
              <w:spacing w:before="40" w:after="40" w:line="240" w:lineRule="auto"/>
              <w:ind w:left="295" w:right="227"/>
              <w:jc w:val="right"/>
              <w:outlineLvl w:val="0"/>
              <w:rPr>
                <w:rFonts w:cs="Arial"/>
                <w:sz w:val="18"/>
                <w:szCs w:val="18"/>
              </w:rPr>
            </w:pPr>
            <w:r w:rsidRPr="00FD7E86">
              <w:rPr>
                <w:rFonts w:cs="Arial"/>
                <w:sz w:val="18"/>
                <w:szCs w:val="18"/>
              </w:rPr>
              <w:t>95</w:t>
            </w:r>
          </w:p>
        </w:tc>
        <w:tc>
          <w:tcPr>
            <w:tcW w:w="2958" w:type="dxa"/>
            <w:shd w:val="clear" w:color="auto" w:fill="E9FBFB"/>
            <w:tcMar>
              <w:top w:w="0" w:type="dxa"/>
              <w:left w:w="113" w:type="dxa"/>
              <w:bottom w:w="0" w:type="dxa"/>
              <w:right w:w="0" w:type="dxa"/>
            </w:tcMar>
            <w:vAlign w:val="center"/>
          </w:tcPr>
          <w:p w14:paraId="51D7AFC9" w14:textId="77777777" w:rsidR="00A42E26" w:rsidRPr="00FD7E86" w:rsidRDefault="00A42E26" w:rsidP="00A450AF">
            <w:pPr>
              <w:keepNext/>
              <w:keepLines/>
              <w:spacing w:before="40" w:after="40" w:line="240" w:lineRule="auto"/>
              <w:ind w:left="295" w:right="227"/>
              <w:jc w:val="right"/>
              <w:outlineLvl w:val="0"/>
              <w:rPr>
                <w:rFonts w:cs="Arial"/>
                <w:sz w:val="18"/>
                <w:szCs w:val="18"/>
              </w:rPr>
            </w:pPr>
            <w:r w:rsidRPr="00FD7E86">
              <w:rPr>
                <w:rFonts w:cs="Arial"/>
                <w:sz w:val="18"/>
                <w:szCs w:val="18"/>
              </w:rPr>
              <w:t>26</w:t>
            </w:r>
          </w:p>
        </w:tc>
      </w:tr>
      <w:tr w:rsidR="00A42E26" w:rsidRPr="00FD7E86" w14:paraId="17B70651"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6BC335F8"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Educational/special interest</w:t>
            </w:r>
          </w:p>
        </w:tc>
        <w:tc>
          <w:tcPr>
            <w:tcW w:w="2957" w:type="dxa"/>
            <w:shd w:val="clear" w:color="auto" w:fill="E9FBFB"/>
            <w:vAlign w:val="center"/>
          </w:tcPr>
          <w:p w14:paraId="3AFA58DD"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21</w:t>
            </w:r>
          </w:p>
        </w:tc>
        <w:tc>
          <w:tcPr>
            <w:tcW w:w="2958" w:type="dxa"/>
            <w:shd w:val="clear" w:color="auto" w:fill="E9FBFB"/>
            <w:tcMar>
              <w:top w:w="0" w:type="dxa"/>
              <w:left w:w="113" w:type="dxa"/>
              <w:bottom w:w="0" w:type="dxa"/>
              <w:right w:w="0" w:type="dxa"/>
            </w:tcMar>
            <w:vAlign w:val="center"/>
          </w:tcPr>
          <w:p w14:paraId="312FF42C"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6</w:t>
            </w:r>
          </w:p>
        </w:tc>
      </w:tr>
      <w:tr w:rsidR="00A42E26" w:rsidRPr="00FD7E86" w14:paraId="3666DF94"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637A0C18"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 xml:space="preserve">Ethnic </w:t>
            </w:r>
          </w:p>
        </w:tc>
        <w:tc>
          <w:tcPr>
            <w:tcW w:w="2957" w:type="dxa"/>
            <w:shd w:val="clear" w:color="auto" w:fill="E9FBFB"/>
            <w:vAlign w:val="center"/>
          </w:tcPr>
          <w:p w14:paraId="5C2ED72C"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6</w:t>
            </w:r>
          </w:p>
        </w:tc>
        <w:tc>
          <w:tcPr>
            <w:tcW w:w="2958" w:type="dxa"/>
            <w:shd w:val="clear" w:color="auto" w:fill="E9FBFB"/>
            <w:tcMar>
              <w:top w:w="0" w:type="dxa"/>
              <w:left w:w="113" w:type="dxa"/>
              <w:bottom w:w="0" w:type="dxa"/>
              <w:right w:w="0" w:type="dxa"/>
            </w:tcMar>
            <w:vAlign w:val="center"/>
          </w:tcPr>
          <w:p w14:paraId="0C01A6C1"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2</w:t>
            </w:r>
          </w:p>
        </w:tc>
      </w:tr>
      <w:tr w:rsidR="00A42E26" w:rsidRPr="00FD7E86" w14:paraId="42D6B5F9"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239C03B7"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General geographic area</w:t>
            </w:r>
          </w:p>
        </w:tc>
        <w:tc>
          <w:tcPr>
            <w:tcW w:w="2957" w:type="dxa"/>
            <w:shd w:val="clear" w:color="auto" w:fill="E9FBFB"/>
            <w:vAlign w:val="center"/>
          </w:tcPr>
          <w:p w14:paraId="334739E1"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177</w:t>
            </w:r>
          </w:p>
        </w:tc>
        <w:tc>
          <w:tcPr>
            <w:tcW w:w="2958" w:type="dxa"/>
            <w:shd w:val="clear" w:color="auto" w:fill="E9FBFB"/>
            <w:tcMar>
              <w:top w:w="0" w:type="dxa"/>
              <w:left w:w="113" w:type="dxa"/>
              <w:bottom w:w="0" w:type="dxa"/>
              <w:right w:w="0" w:type="dxa"/>
            </w:tcMar>
            <w:vAlign w:val="center"/>
          </w:tcPr>
          <w:p w14:paraId="4E8441A2"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50</w:t>
            </w:r>
          </w:p>
        </w:tc>
      </w:tr>
      <w:tr w:rsidR="00A42E26" w:rsidRPr="00FD7E86" w14:paraId="13E0BC46"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420FEE4B"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Music</w:t>
            </w:r>
          </w:p>
        </w:tc>
        <w:tc>
          <w:tcPr>
            <w:tcW w:w="2957" w:type="dxa"/>
            <w:shd w:val="clear" w:color="auto" w:fill="E9FBFB"/>
            <w:vAlign w:val="center"/>
          </w:tcPr>
          <w:p w14:paraId="78358F1B" w14:textId="77777777" w:rsidR="00A42E26" w:rsidRPr="00FD7E86" w:rsidRDefault="00A42E26" w:rsidP="00A450AF">
            <w:pPr>
              <w:keepNext/>
              <w:keepLines/>
              <w:spacing w:before="40" w:after="40" w:line="240" w:lineRule="auto"/>
              <w:ind w:left="295" w:right="227"/>
              <w:jc w:val="right"/>
              <w:outlineLvl w:val="0"/>
              <w:rPr>
                <w:rFonts w:cs="Arial"/>
                <w:sz w:val="18"/>
                <w:szCs w:val="18"/>
              </w:rPr>
            </w:pPr>
            <w:r w:rsidRPr="00FD7E86">
              <w:rPr>
                <w:rFonts w:cs="Arial"/>
                <w:sz w:val="18"/>
                <w:szCs w:val="18"/>
              </w:rPr>
              <w:t>8</w:t>
            </w:r>
          </w:p>
        </w:tc>
        <w:tc>
          <w:tcPr>
            <w:tcW w:w="2958" w:type="dxa"/>
            <w:shd w:val="clear" w:color="auto" w:fill="E9FBFB"/>
            <w:tcMar>
              <w:top w:w="0" w:type="dxa"/>
              <w:left w:w="113" w:type="dxa"/>
              <w:bottom w:w="0" w:type="dxa"/>
              <w:right w:w="0" w:type="dxa"/>
            </w:tcMar>
            <w:vAlign w:val="center"/>
          </w:tcPr>
          <w:p w14:paraId="39BFF32C"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2</w:t>
            </w:r>
          </w:p>
        </w:tc>
      </w:tr>
      <w:tr w:rsidR="00A42E26" w:rsidRPr="00FD7E86" w14:paraId="41EECAEF"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2FA38260"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Religious</w:t>
            </w:r>
          </w:p>
        </w:tc>
        <w:tc>
          <w:tcPr>
            <w:tcW w:w="2957" w:type="dxa"/>
            <w:shd w:val="clear" w:color="auto" w:fill="E9FBFB"/>
            <w:vAlign w:val="center"/>
          </w:tcPr>
          <w:p w14:paraId="2ECD7884"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35</w:t>
            </w:r>
          </w:p>
        </w:tc>
        <w:tc>
          <w:tcPr>
            <w:tcW w:w="2958" w:type="dxa"/>
            <w:shd w:val="clear" w:color="auto" w:fill="E9FBFB"/>
            <w:tcMar>
              <w:top w:w="0" w:type="dxa"/>
              <w:left w:w="113" w:type="dxa"/>
              <w:bottom w:w="0" w:type="dxa"/>
              <w:right w:w="0" w:type="dxa"/>
            </w:tcMar>
            <w:vAlign w:val="center"/>
          </w:tcPr>
          <w:p w14:paraId="1B95190D"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10</w:t>
            </w:r>
          </w:p>
        </w:tc>
      </w:tr>
      <w:tr w:rsidR="00A42E26" w:rsidRPr="00FD7E86" w14:paraId="395D5F5D"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00EC0A0C"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Senior citizen</w:t>
            </w:r>
          </w:p>
        </w:tc>
        <w:tc>
          <w:tcPr>
            <w:tcW w:w="2957" w:type="dxa"/>
            <w:shd w:val="clear" w:color="auto" w:fill="E9FBFB"/>
            <w:vAlign w:val="center"/>
          </w:tcPr>
          <w:p w14:paraId="7A4A0BF4" w14:textId="77777777" w:rsidR="00A42E26" w:rsidRPr="00FD7E86" w:rsidRDefault="00A42E26" w:rsidP="00A450AF">
            <w:pPr>
              <w:keepNext/>
              <w:keepLines/>
              <w:spacing w:before="40" w:after="40" w:line="240" w:lineRule="auto"/>
              <w:ind w:right="227"/>
              <w:jc w:val="right"/>
              <w:outlineLvl w:val="0"/>
              <w:rPr>
                <w:rFonts w:cs="Arial"/>
                <w:sz w:val="18"/>
                <w:szCs w:val="18"/>
              </w:rPr>
            </w:pPr>
            <w:r w:rsidRPr="00FD7E86">
              <w:rPr>
                <w:rFonts w:cs="Arial"/>
                <w:sz w:val="18"/>
                <w:szCs w:val="18"/>
              </w:rPr>
              <w:t>8</w:t>
            </w:r>
          </w:p>
        </w:tc>
        <w:tc>
          <w:tcPr>
            <w:tcW w:w="2958" w:type="dxa"/>
            <w:shd w:val="clear" w:color="auto" w:fill="E9FBFB"/>
            <w:tcMar>
              <w:top w:w="0" w:type="dxa"/>
              <w:left w:w="113" w:type="dxa"/>
              <w:bottom w:w="0" w:type="dxa"/>
              <w:right w:w="0" w:type="dxa"/>
            </w:tcMar>
            <w:vAlign w:val="center"/>
          </w:tcPr>
          <w:p w14:paraId="05B9862F" w14:textId="77777777" w:rsidR="00A42E26" w:rsidRPr="00FD7E86" w:rsidRDefault="00A42E26" w:rsidP="00A450AF">
            <w:pPr>
              <w:spacing w:before="40" w:after="40" w:line="240" w:lineRule="auto"/>
              <w:ind w:right="227"/>
              <w:jc w:val="right"/>
              <w:rPr>
                <w:rFonts w:cs="Arial"/>
                <w:sz w:val="18"/>
                <w:szCs w:val="18"/>
              </w:rPr>
            </w:pPr>
            <w:r w:rsidRPr="00FD7E86">
              <w:rPr>
                <w:rFonts w:cs="Arial"/>
                <w:sz w:val="18"/>
                <w:szCs w:val="18"/>
              </w:rPr>
              <w:t>2</w:t>
            </w:r>
          </w:p>
        </w:tc>
      </w:tr>
      <w:tr w:rsidR="00A42E26" w:rsidRPr="00FD7E86" w14:paraId="0DD297DF"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4E2045A8" w14:textId="77777777" w:rsidR="00A42E26" w:rsidRPr="00C05F4C" w:rsidRDefault="00A42E26" w:rsidP="00A450AF">
            <w:pPr>
              <w:keepNext/>
              <w:keepLines/>
              <w:spacing w:before="40" w:after="40" w:line="240" w:lineRule="auto"/>
              <w:ind w:left="57"/>
              <w:rPr>
                <w:rFonts w:cs="Arial"/>
                <w:sz w:val="18"/>
                <w:szCs w:val="18"/>
              </w:rPr>
            </w:pPr>
            <w:r w:rsidRPr="00C05F4C">
              <w:rPr>
                <w:rFonts w:cs="Arial"/>
                <w:sz w:val="18"/>
                <w:szCs w:val="18"/>
              </w:rPr>
              <w:t>Youth</w:t>
            </w:r>
          </w:p>
        </w:tc>
        <w:tc>
          <w:tcPr>
            <w:tcW w:w="2957" w:type="dxa"/>
            <w:shd w:val="clear" w:color="auto" w:fill="E9FBFB"/>
            <w:vAlign w:val="center"/>
          </w:tcPr>
          <w:p w14:paraId="471D13D3" w14:textId="77777777" w:rsidR="00A42E26" w:rsidRPr="00FD7E86" w:rsidRDefault="00A42E26" w:rsidP="00A450AF">
            <w:pPr>
              <w:spacing w:before="40" w:after="40" w:line="240" w:lineRule="auto"/>
              <w:ind w:right="227"/>
              <w:jc w:val="right"/>
              <w:rPr>
                <w:rFonts w:cs="Arial"/>
                <w:sz w:val="18"/>
                <w:szCs w:val="18"/>
              </w:rPr>
            </w:pPr>
            <w:r w:rsidRPr="00FD7E86">
              <w:rPr>
                <w:rFonts w:cs="Arial"/>
                <w:sz w:val="18"/>
                <w:szCs w:val="18"/>
              </w:rPr>
              <w:t>8</w:t>
            </w:r>
          </w:p>
        </w:tc>
        <w:tc>
          <w:tcPr>
            <w:tcW w:w="2958" w:type="dxa"/>
            <w:shd w:val="clear" w:color="auto" w:fill="E9FBFB"/>
            <w:tcMar>
              <w:top w:w="0" w:type="dxa"/>
              <w:left w:w="113" w:type="dxa"/>
              <w:bottom w:w="0" w:type="dxa"/>
              <w:right w:w="0" w:type="dxa"/>
            </w:tcMar>
            <w:vAlign w:val="center"/>
          </w:tcPr>
          <w:p w14:paraId="418E5EAB" w14:textId="77777777" w:rsidR="00A42E26" w:rsidRPr="00FD7E86" w:rsidRDefault="00A42E26" w:rsidP="00A450AF">
            <w:pPr>
              <w:spacing w:before="40" w:after="40" w:line="240" w:lineRule="auto"/>
              <w:ind w:right="227"/>
              <w:jc w:val="right"/>
              <w:rPr>
                <w:rFonts w:cs="Arial"/>
                <w:sz w:val="18"/>
                <w:szCs w:val="18"/>
              </w:rPr>
            </w:pPr>
            <w:r w:rsidRPr="00FD7E86">
              <w:rPr>
                <w:rFonts w:cs="Arial"/>
                <w:sz w:val="18"/>
                <w:szCs w:val="18"/>
              </w:rPr>
              <w:t>2</w:t>
            </w:r>
          </w:p>
        </w:tc>
      </w:tr>
      <w:tr w:rsidR="00A42E26" w:rsidRPr="00FD7E86" w14:paraId="658A04AE" w14:textId="77777777" w:rsidTr="00A450AF">
        <w:trPr>
          <w:trHeight w:val="454"/>
        </w:trPr>
        <w:tc>
          <w:tcPr>
            <w:tcW w:w="3514" w:type="dxa"/>
            <w:tcBorders>
              <w:right w:val="single" w:sz="24" w:space="0" w:color="FFFFFF"/>
            </w:tcBorders>
            <w:shd w:val="clear" w:color="auto" w:fill="65CDD5"/>
            <w:tcMar>
              <w:top w:w="0" w:type="dxa"/>
              <w:left w:w="113" w:type="dxa"/>
              <w:bottom w:w="0" w:type="dxa"/>
              <w:right w:w="0" w:type="dxa"/>
            </w:tcMar>
            <w:vAlign w:val="center"/>
          </w:tcPr>
          <w:p w14:paraId="63190001" w14:textId="77777777" w:rsidR="00A42E26" w:rsidRPr="00C05F4C" w:rsidRDefault="00A42E26" w:rsidP="00A450AF">
            <w:pPr>
              <w:keepNext/>
              <w:keepLines/>
              <w:spacing w:before="40" w:after="40" w:line="240" w:lineRule="auto"/>
              <w:ind w:left="57"/>
              <w:rPr>
                <w:rFonts w:cs="Arial"/>
                <w:b/>
                <w:sz w:val="18"/>
                <w:szCs w:val="18"/>
              </w:rPr>
            </w:pPr>
            <w:r w:rsidRPr="00C05F4C">
              <w:rPr>
                <w:rFonts w:cs="Arial"/>
                <w:b/>
                <w:sz w:val="18"/>
                <w:szCs w:val="18"/>
              </w:rPr>
              <w:t xml:space="preserve">Total </w:t>
            </w:r>
          </w:p>
        </w:tc>
        <w:tc>
          <w:tcPr>
            <w:tcW w:w="2957" w:type="dxa"/>
            <w:shd w:val="clear" w:color="auto" w:fill="65CDD5"/>
            <w:vAlign w:val="center"/>
          </w:tcPr>
          <w:p w14:paraId="512216D4" w14:textId="77777777" w:rsidR="00A42E26" w:rsidRPr="00C05F4C" w:rsidRDefault="00A42E26" w:rsidP="00A450AF">
            <w:pPr>
              <w:spacing w:before="40" w:after="40" w:line="240" w:lineRule="auto"/>
              <w:ind w:right="227"/>
              <w:jc w:val="right"/>
              <w:rPr>
                <w:rFonts w:cs="Arial"/>
                <w:b/>
                <w:sz w:val="18"/>
                <w:szCs w:val="18"/>
              </w:rPr>
            </w:pPr>
            <w:r w:rsidRPr="00C05F4C">
              <w:rPr>
                <w:rFonts w:cs="Arial"/>
                <w:b/>
                <w:sz w:val="18"/>
                <w:szCs w:val="18"/>
              </w:rPr>
              <w:t xml:space="preserve">358 </w:t>
            </w:r>
          </w:p>
        </w:tc>
        <w:tc>
          <w:tcPr>
            <w:tcW w:w="2958" w:type="dxa"/>
            <w:shd w:val="clear" w:color="auto" w:fill="65CDD5"/>
            <w:tcMar>
              <w:top w:w="0" w:type="dxa"/>
              <w:left w:w="113" w:type="dxa"/>
              <w:bottom w:w="0" w:type="dxa"/>
              <w:right w:w="0" w:type="dxa"/>
            </w:tcMar>
            <w:vAlign w:val="center"/>
          </w:tcPr>
          <w:p w14:paraId="23D2B582" w14:textId="77777777" w:rsidR="00A42E26" w:rsidRPr="00C05F4C" w:rsidRDefault="00A42E26" w:rsidP="00A450AF">
            <w:pPr>
              <w:spacing w:before="40" w:after="40" w:line="240" w:lineRule="auto"/>
              <w:ind w:left="295" w:right="227"/>
              <w:jc w:val="right"/>
              <w:rPr>
                <w:rFonts w:cs="Arial"/>
                <w:b/>
                <w:sz w:val="18"/>
                <w:szCs w:val="18"/>
              </w:rPr>
            </w:pPr>
            <w:r w:rsidRPr="00C05F4C">
              <w:rPr>
                <w:rFonts w:cs="Arial"/>
                <w:b/>
                <w:sz w:val="18"/>
                <w:szCs w:val="18"/>
              </w:rPr>
              <w:t>100</w:t>
            </w:r>
          </w:p>
        </w:tc>
      </w:tr>
    </w:tbl>
    <w:p w14:paraId="7AE279D9" w14:textId="77777777" w:rsidR="00A42E26" w:rsidRPr="00FD7E86" w:rsidRDefault="00A42E26" w:rsidP="000A7AE7">
      <w:pPr>
        <w:pStyle w:val="ACMANotes"/>
      </w:pPr>
      <w:r w:rsidRPr="00FD7E86">
        <w:t>Source: The ACMA</w:t>
      </w:r>
      <w:r w:rsidR="00AB0224" w:rsidRPr="00FD7E86">
        <w:t>.</w:t>
      </w:r>
    </w:p>
    <w:p w14:paraId="5D697696" w14:textId="77777777" w:rsidR="000A7AE7" w:rsidRPr="00FD7E86" w:rsidRDefault="000A7AE7" w:rsidP="001F2AC5">
      <w:pPr>
        <w:pStyle w:val="ACMASpaceaftertable"/>
        <w:rPr>
          <w:b/>
          <w:i/>
          <w:color w:val="FFFFFF"/>
          <w:sz w:val="16"/>
          <w:szCs w:val="16"/>
        </w:rPr>
      </w:pPr>
    </w:p>
    <w:p w14:paraId="31F742F7" w14:textId="77777777" w:rsidR="00A42E26" w:rsidRPr="00FD7E86" w:rsidRDefault="00A42E26" w:rsidP="00DB5EF2">
      <w:pPr>
        <w:pStyle w:val="ACMAHeading2"/>
      </w:pPr>
      <w:bookmarkStart w:id="200" w:name="_Toc399331736"/>
      <w:bookmarkStart w:id="201" w:name="_Toc399336917"/>
      <w:bookmarkStart w:id="202" w:name="_Toc402337517"/>
      <w:bookmarkStart w:id="203" w:name="_Toc433790320"/>
      <w:r w:rsidRPr="00FD7E86">
        <w:t>Temporary community radio broadcasting licences</w:t>
      </w:r>
      <w:bookmarkEnd w:id="200"/>
      <w:bookmarkEnd w:id="201"/>
      <w:bookmarkEnd w:id="202"/>
      <w:bookmarkEnd w:id="203"/>
    </w:p>
    <w:p w14:paraId="75D0DBD6" w14:textId="77777777" w:rsidR="00A42E26" w:rsidRPr="00FD7E86" w:rsidRDefault="00A42E26" w:rsidP="00A42E26">
      <w:pPr>
        <w:rPr>
          <w:rFonts w:cs="Arial"/>
          <w:szCs w:val="20"/>
        </w:rPr>
      </w:pPr>
      <w:r w:rsidRPr="00FD7E86">
        <w:rPr>
          <w:rFonts w:cs="Arial"/>
          <w:szCs w:val="20"/>
        </w:rPr>
        <w:t>The temporary community radio broadcasting licence scheme allows the ACMA to allocate non-renewable community radio licences to eligible aspirant broadcasters. There were 94 temporary licences at 30 June 2015.</w:t>
      </w:r>
    </w:p>
    <w:p w14:paraId="688EA656" w14:textId="77777777" w:rsidR="00A42E26" w:rsidRPr="00FD7E86" w:rsidRDefault="00A42E26" w:rsidP="004E7430">
      <w:pPr>
        <w:pStyle w:val="ACMAHeading2"/>
      </w:pPr>
      <w:bookmarkStart w:id="204" w:name="_Toc399331737"/>
      <w:bookmarkStart w:id="205" w:name="_Toc399336918"/>
      <w:bookmarkStart w:id="206" w:name="_Toc402337518"/>
      <w:bookmarkStart w:id="207" w:name="_Toc433790321"/>
      <w:r w:rsidRPr="00FD7E86">
        <w:t>Community television services</w:t>
      </w:r>
      <w:bookmarkEnd w:id="204"/>
      <w:bookmarkEnd w:id="205"/>
      <w:bookmarkEnd w:id="206"/>
      <w:bookmarkEnd w:id="207"/>
    </w:p>
    <w:p w14:paraId="43902C59" w14:textId="77777777" w:rsidR="00A42E26" w:rsidRDefault="00A42E26" w:rsidP="00A42E26">
      <w:pPr>
        <w:rPr>
          <w:rFonts w:cs="Arial"/>
          <w:szCs w:val="20"/>
        </w:rPr>
      </w:pPr>
      <w:r w:rsidRPr="00FD7E86">
        <w:rPr>
          <w:rFonts w:cs="Arial"/>
          <w:szCs w:val="20"/>
        </w:rPr>
        <w:t xml:space="preserve">There were 54 long-term community television broadcasting licensees at 30 June 2015, of which three were in the metropolitan areas of Brisbane, Melbourne and Sydney. The remaining 51 were remote Indigenous broadcasting services. </w:t>
      </w:r>
    </w:p>
    <w:p w14:paraId="0D023CE2" w14:textId="77777777" w:rsidR="00FB3FB2" w:rsidRPr="003F277E" w:rsidRDefault="00FB3FB2" w:rsidP="00C05F4C">
      <w:pPr>
        <w:pStyle w:val="ACMAHeading2"/>
      </w:pPr>
      <w:r w:rsidRPr="003F277E">
        <w:lastRenderedPageBreak/>
        <w:t>Community television</w:t>
      </w:r>
      <w:r w:rsidR="00D24E0D">
        <w:t xml:space="preserve"> transition</w:t>
      </w:r>
    </w:p>
    <w:p w14:paraId="29E668D1" w14:textId="77777777" w:rsidR="00FB3FB2" w:rsidRPr="00FD7E86" w:rsidRDefault="00FB3FB2" w:rsidP="00A42E26">
      <w:pPr>
        <w:rPr>
          <w:rFonts w:cs="Arial"/>
          <w:szCs w:val="20"/>
        </w:rPr>
      </w:pPr>
      <w:r w:rsidRPr="00FB3FB2">
        <w:rPr>
          <w:rFonts w:cs="Arial"/>
          <w:szCs w:val="20"/>
        </w:rPr>
        <w:t>Community television services currently have temporary access to spectrum to broadcast to the five mainland state capitals (Sydney, Melbourne,</w:t>
      </w:r>
      <w:r w:rsidR="003F277E">
        <w:rPr>
          <w:rFonts w:cs="Arial"/>
          <w:szCs w:val="20"/>
        </w:rPr>
        <w:t xml:space="preserve"> Brisbane as well as trials in </w:t>
      </w:r>
      <w:r w:rsidRPr="00FB3FB2">
        <w:rPr>
          <w:rFonts w:cs="Arial"/>
          <w:szCs w:val="20"/>
        </w:rPr>
        <w:t>Adelaide and Perth). Community TV licences are only authorised to broadcast until 31 December 2015. The government has announced</w:t>
      </w:r>
      <w:r w:rsidR="003F277E">
        <w:rPr>
          <w:rFonts w:cs="Arial"/>
          <w:szCs w:val="20"/>
        </w:rPr>
        <w:t xml:space="preserve"> that it believes the best long-</w:t>
      </w:r>
      <w:r w:rsidRPr="00FB3FB2">
        <w:rPr>
          <w:rFonts w:cs="Arial"/>
          <w:szCs w:val="20"/>
        </w:rPr>
        <w:t>term outcome for community television is a transition to an online-only platform and has made funding available to assist community television broadcasting licensees with the initial set-up and service costs associated with the sector’s preferred o</w:t>
      </w:r>
      <w:r w:rsidR="003F277E">
        <w:rPr>
          <w:rFonts w:cs="Arial"/>
          <w:szCs w:val="20"/>
        </w:rPr>
        <w:t>nline platform. Following this, the g</w:t>
      </w:r>
      <w:r w:rsidRPr="00FB3FB2">
        <w:rPr>
          <w:rFonts w:cs="Arial"/>
          <w:szCs w:val="20"/>
        </w:rPr>
        <w:t>overnment intends that these broadcasting services will migrate to the internet.</w:t>
      </w:r>
    </w:p>
    <w:p w14:paraId="074FF50B" w14:textId="77777777" w:rsidR="00A42E26" w:rsidRPr="00FD7E86" w:rsidRDefault="00A42E26" w:rsidP="004E7430">
      <w:pPr>
        <w:pStyle w:val="ACMAHeading2"/>
      </w:pPr>
      <w:bookmarkStart w:id="208" w:name="_Toc399331738"/>
      <w:bookmarkStart w:id="209" w:name="_Toc399336919"/>
      <w:bookmarkStart w:id="210" w:name="_Toc402337519"/>
      <w:bookmarkStart w:id="211" w:name="_Toc433790322"/>
      <w:r w:rsidRPr="00FD7E86">
        <w:t>Community television trials</w:t>
      </w:r>
      <w:bookmarkEnd w:id="208"/>
      <w:bookmarkEnd w:id="209"/>
      <w:bookmarkEnd w:id="210"/>
      <w:bookmarkEnd w:id="211"/>
    </w:p>
    <w:p w14:paraId="217855AE" w14:textId="77777777" w:rsidR="00A42E26" w:rsidRPr="00FD7E86" w:rsidRDefault="00A42E26" w:rsidP="00A42E26">
      <w:pPr>
        <w:rPr>
          <w:rFonts w:cs="Arial"/>
          <w:szCs w:val="20"/>
        </w:rPr>
      </w:pPr>
      <w:r w:rsidRPr="00FD7E86">
        <w:rPr>
          <w:rFonts w:cs="Arial"/>
          <w:szCs w:val="20"/>
        </w:rPr>
        <w:t xml:space="preserve">During 2014–15, the ACMA decided to extend community television trials in Adelaide and Perth for a further 12-month period from 1 January 2015 to 31 December 2015. </w:t>
      </w:r>
    </w:p>
    <w:p w14:paraId="207BADE8" w14:textId="77777777" w:rsidR="00A42E26" w:rsidRPr="00FD7E86" w:rsidRDefault="00A42E26" w:rsidP="004E7430">
      <w:pPr>
        <w:pStyle w:val="ACMAHeading2"/>
      </w:pPr>
      <w:bookmarkStart w:id="212" w:name="_Toc433790323"/>
      <w:bookmarkEnd w:id="190"/>
      <w:r w:rsidRPr="00FD7E86">
        <w:t>Advertising expenditure in main media</w:t>
      </w:r>
      <w:bookmarkEnd w:id="212"/>
    </w:p>
    <w:p w14:paraId="43CB71E0" w14:textId="77777777" w:rsidR="00A42E26" w:rsidRPr="00FD7E86" w:rsidRDefault="00A42E26" w:rsidP="00A42E26">
      <w:pPr>
        <w:rPr>
          <w:rFonts w:cs="Arial"/>
        </w:rPr>
      </w:pPr>
      <w:r w:rsidRPr="00FD7E86">
        <w:t xml:space="preserve">Commercial Economic Advisory Service of Australia (CEASA) data for the year ended 31 December 2014 shows that total advertising expenditure across the main media categories—print, television, radio, online, outdoor and cinema—decreased by </w:t>
      </w:r>
      <w:r w:rsidRPr="00FD7E86">
        <w:rPr>
          <w:rFonts w:cs="Arial"/>
        </w:rPr>
        <w:t>4.5 per cent in 2014 to $12.8 billion.</w:t>
      </w:r>
      <w:r w:rsidRPr="00FD7E86">
        <w:rPr>
          <w:rFonts w:cs="Arial"/>
          <w:vertAlign w:val="superscript"/>
        </w:rPr>
        <w:endnoteReference w:id="43"/>
      </w:r>
      <w:r w:rsidRPr="00FD7E86">
        <w:rPr>
          <w:rFonts w:cs="Arial"/>
        </w:rPr>
        <w:t xml:space="preserve"> </w:t>
      </w:r>
    </w:p>
    <w:p w14:paraId="6EDC7AFC" w14:textId="77777777" w:rsidR="00A42E26" w:rsidRPr="00FD7E86" w:rsidRDefault="00A42E26" w:rsidP="00A42E26">
      <w:pPr>
        <w:rPr>
          <w:rFonts w:cs="Arial"/>
        </w:rPr>
      </w:pPr>
      <w:r w:rsidRPr="00FD7E86">
        <w:rPr>
          <w:rFonts w:cs="Arial"/>
        </w:rPr>
        <w:t xml:space="preserve">Online and television media attracted the major share of advertising expenditure during this period, as shown in Figure 1.11. In 2014, these media platforms accounted for approximately a third of total advertising expenditure (36.2 and 30.7 per cent respectively). </w:t>
      </w:r>
      <w:r w:rsidRPr="00FD7E86">
        <w:t xml:space="preserve">The print media’s share of total advertising expenditure decreased to 19.3 per cent in 2014, compared </w:t>
      </w:r>
      <w:r w:rsidR="00005A09" w:rsidRPr="00FD7E86">
        <w:t>to</w:t>
      </w:r>
      <w:r w:rsidRPr="00FD7E86">
        <w:t xml:space="preserve"> 27.8 per cent in 2013. Over the same period, expenditure on online advertising grew by 16.2 per cent, followed by outdoor (10.8 per cent) and radio (2.6 per cent).</w:t>
      </w:r>
      <w:r w:rsidR="00DD2CE6" w:rsidRPr="00FD7E86">
        <w:t xml:space="preserve"> </w:t>
      </w:r>
    </w:p>
    <w:p w14:paraId="1B6702DF" w14:textId="77777777" w:rsidR="00A42E26" w:rsidRPr="003202FB" w:rsidRDefault="002A2406" w:rsidP="003202FB">
      <w:pPr>
        <w:pStyle w:val="ACMAFigureHeader"/>
        <w:keepNext/>
        <w:keepLines/>
        <w:numPr>
          <w:ilvl w:val="0"/>
          <w:numId w:val="0"/>
        </w:numPr>
      </w:pPr>
      <w:r w:rsidRPr="00A450AF">
        <w:lastRenderedPageBreak/>
        <w:t xml:space="preserve">Figure 1.11 </w:t>
      </w:r>
      <w:r w:rsidR="00A42E26" w:rsidRPr="00A450AF">
        <w:t>Advertising expenditure by main media category ($</w:t>
      </w:r>
      <w:r w:rsidR="00CF617E" w:rsidRPr="00A450AF">
        <w:t xml:space="preserve"> </w:t>
      </w:r>
      <w:r w:rsidR="00A42E26" w:rsidRPr="00A450AF">
        <w:t>m</w:t>
      </w:r>
      <w:r w:rsidR="005E33EB" w:rsidRPr="00A450AF">
        <w:t>illions</w:t>
      </w:r>
      <w:r w:rsidR="00A42E26" w:rsidRPr="00A450AF">
        <w:t>)</w:t>
      </w:r>
    </w:p>
    <w:p w14:paraId="59E5D916" w14:textId="6C4DD3BC" w:rsidR="00A42E26" w:rsidRPr="00FD7E86" w:rsidRDefault="009D4CC5" w:rsidP="00C05F4C">
      <w:pPr>
        <w:keepNext/>
        <w:spacing w:before="60" w:after="0"/>
        <w:outlineLvl w:val="2"/>
        <w:rPr>
          <w:rFonts w:cs="Arial"/>
          <w:b/>
          <w:bCs/>
          <w:noProof/>
          <w:szCs w:val="26"/>
        </w:rPr>
      </w:pPr>
      <w:r>
        <w:rPr>
          <w:rFonts w:cs="Arial"/>
          <w:b/>
          <w:bCs/>
          <w:noProof/>
          <w:szCs w:val="26"/>
        </w:rPr>
        <w:drawing>
          <wp:inline distT="0" distB="0" distL="0" distR="0" wp14:anchorId="00C0BA07" wp14:editId="7219E04B">
            <wp:extent cx="5939790" cy="4937760"/>
            <wp:effectExtent l="0" t="0" r="0" b="0"/>
            <wp:docPr id="53" name="Picture 53" descr="A .csv file of Figure 1.11 is available on the landing page ‘Communications report 2014–15’, available from the ACMA website. " title="Figure 1.11 Advertising expenditure by main media category ($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Chapter 1_Figure 1.11.png"/>
                    <pic:cNvPicPr/>
                  </pic:nvPicPr>
                  <pic:blipFill>
                    <a:blip r:embed="rId51">
                      <a:extLst>
                        <a:ext uri="{28A0092B-C50C-407E-A947-70E740481C1C}">
                          <a14:useLocalDpi xmlns:a14="http://schemas.microsoft.com/office/drawing/2010/main" val="0"/>
                        </a:ext>
                      </a:extLst>
                    </a:blip>
                    <a:stretch>
                      <a:fillRect/>
                    </a:stretch>
                  </pic:blipFill>
                  <pic:spPr>
                    <a:xfrm>
                      <a:off x="0" y="0"/>
                      <a:ext cx="5939790" cy="4937760"/>
                    </a:xfrm>
                    <a:prstGeom prst="rect">
                      <a:avLst/>
                    </a:prstGeom>
                  </pic:spPr>
                </pic:pic>
              </a:graphicData>
            </a:graphic>
          </wp:inline>
        </w:drawing>
      </w:r>
    </w:p>
    <w:p w14:paraId="61C6040C" w14:textId="77777777" w:rsidR="00A42E26" w:rsidRPr="00FD7E86" w:rsidRDefault="00A42E26" w:rsidP="000E4F20">
      <w:pPr>
        <w:pStyle w:val="ACMANotes"/>
      </w:pPr>
      <w:r w:rsidRPr="00FD7E86">
        <w:t>Source: CEASA.</w:t>
      </w:r>
    </w:p>
    <w:p w14:paraId="04961F26" w14:textId="77777777" w:rsidR="008836B1" w:rsidRPr="00FD7E86" w:rsidRDefault="008836B1" w:rsidP="00893AAD">
      <w:pPr>
        <w:pStyle w:val="ACMASpaceaftertable"/>
        <w:rPr>
          <w:i/>
          <w:sz w:val="16"/>
          <w:szCs w:val="16"/>
        </w:rPr>
      </w:pPr>
    </w:p>
    <w:p w14:paraId="0E359FAB" w14:textId="77777777" w:rsidR="00A42E26" w:rsidRPr="00FD7E86" w:rsidRDefault="00A42E26" w:rsidP="00A42E26">
      <w:r w:rsidRPr="00FD7E86">
        <w:t>Figure 1.12 demonstrates the relative stability of the television and radio sectors’ share of the advertising expenditure market over the last five years, according to CEASA. Despite the overall decline in advertising expenditure in 2014, television’s share has remained relatively steady—increasing slightly from 29.9 per cent in 2013 to 30.7 per cent in 2014. Radio saw its share of total advertising expenditure increase from 7.7 per cent in 2013 to 8.3 per cent in 2014.</w:t>
      </w:r>
    </w:p>
    <w:p w14:paraId="3A3B12B4" w14:textId="77777777" w:rsidR="00A42E26" w:rsidRPr="00FF451F" w:rsidRDefault="00A42E26" w:rsidP="00FF451F">
      <w:pPr>
        <w:pStyle w:val="ACMAFigureHeader"/>
        <w:keepNext/>
        <w:keepLines/>
        <w:numPr>
          <w:ilvl w:val="0"/>
          <w:numId w:val="0"/>
        </w:numPr>
      </w:pPr>
      <w:r w:rsidRPr="00A450AF">
        <w:lastRenderedPageBreak/>
        <w:t>Figure 1.12 Television and radio advertising expenditure ($</w:t>
      </w:r>
      <w:r w:rsidR="00CF617E" w:rsidRPr="00A450AF">
        <w:t xml:space="preserve"> </w:t>
      </w:r>
      <w:r w:rsidRPr="00A450AF">
        <w:t>millions)</w:t>
      </w:r>
    </w:p>
    <w:p w14:paraId="074943FC" w14:textId="77777777" w:rsidR="00A42E26" w:rsidRPr="00FD7E86" w:rsidRDefault="00D51FD5" w:rsidP="000A7AE7">
      <w:pPr>
        <w:pStyle w:val="ACMANotes"/>
      </w:pPr>
      <w:r>
        <w:rPr>
          <w:noProof/>
        </w:rPr>
        <w:drawing>
          <wp:inline distT="0" distB="0" distL="0" distR="0" wp14:anchorId="1822A1FA" wp14:editId="402E78B7">
            <wp:extent cx="5939790" cy="2466975"/>
            <wp:effectExtent l="0" t="0" r="3810" b="0"/>
            <wp:docPr id="33" name="Picture 33" descr="A .csv file of Figure 1.12 is available on the landing page ‘Communications report 2014–15’, available from the ACMA website. " title="Figure 1.12 Television and radio advertising expenditure ($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Chapter 1_Figure 1.12.png"/>
                    <pic:cNvPicPr/>
                  </pic:nvPicPr>
                  <pic:blipFill>
                    <a:blip r:embed="rId52">
                      <a:extLst>
                        <a:ext uri="{28A0092B-C50C-407E-A947-70E740481C1C}">
                          <a14:useLocalDpi xmlns:a14="http://schemas.microsoft.com/office/drawing/2010/main" val="0"/>
                        </a:ext>
                      </a:extLst>
                    </a:blip>
                    <a:stretch>
                      <a:fillRect/>
                    </a:stretch>
                  </pic:blipFill>
                  <pic:spPr>
                    <a:xfrm>
                      <a:off x="0" y="0"/>
                      <a:ext cx="5939790" cy="2466975"/>
                    </a:xfrm>
                    <a:prstGeom prst="rect">
                      <a:avLst/>
                    </a:prstGeom>
                  </pic:spPr>
                </pic:pic>
              </a:graphicData>
            </a:graphic>
          </wp:inline>
        </w:drawing>
      </w:r>
      <w:r w:rsidR="00A5352C" w:rsidRPr="00FD7E86">
        <w:t>Source: CEASA</w:t>
      </w:r>
      <w:r w:rsidR="00E60641" w:rsidRPr="00FD7E86">
        <w:t>.</w:t>
      </w:r>
      <w:r w:rsidR="00A5352C" w:rsidRPr="00FD7E86">
        <w:t xml:space="preserve"> </w:t>
      </w:r>
    </w:p>
    <w:p w14:paraId="20C1BDB1" w14:textId="77777777" w:rsidR="000A7AE7" w:rsidRPr="00FD7E86" w:rsidRDefault="000A7AE7" w:rsidP="001158DF">
      <w:pPr>
        <w:pStyle w:val="ACMASpaceaftertable"/>
        <w:rPr>
          <w:i/>
          <w:sz w:val="16"/>
          <w:szCs w:val="16"/>
        </w:rPr>
      </w:pPr>
    </w:p>
    <w:p w14:paraId="4396EA0B" w14:textId="77777777" w:rsidR="00E60641" w:rsidRPr="00FD7E86" w:rsidRDefault="00A42E26" w:rsidP="00E60641">
      <w:pPr>
        <w:spacing w:line="240" w:lineRule="auto"/>
        <w:rPr>
          <w:rFonts w:cs="Arial"/>
        </w:rPr>
      </w:pPr>
      <w:r w:rsidRPr="00FD7E86">
        <w:rPr>
          <w:rFonts w:cs="Arial"/>
        </w:rPr>
        <w:t>Expenditure on online advertising grew by 16.2 per cent to total $4.63 billion over the 2014 calendar year. This represented a 36.2 per cent share of total media advertising expenditure compared to 29.8 per cent in 2013 (Figure 1.13). The 2014 calendar year was characterised by significant growth in all online advertising categories with the online general category exhibiting the greatest proportional increase. Revenue in the classifieds and search and directories online categories increased by 24 per cent and nine per cent respectively, with the online general category reporting a year-on-year revenue increase of 25 per cent.</w:t>
      </w:r>
    </w:p>
    <w:p w14:paraId="0F9D916C" w14:textId="77777777" w:rsidR="00A42E26" w:rsidRPr="00FF451F" w:rsidRDefault="00A42E26" w:rsidP="00FF451F">
      <w:pPr>
        <w:pStyle w:val="ACMAFigureHeader"/>
        <w:keepNext/>
        <w:keepLines/>
        <w:numPr>
          <w:ilvl w:val="0"/>
          <w:numId w:val="0"/>
        </w:numPr>
      </w:pPr>
      <w:r w:rsidRPr="00C322FB">
        <w:lastRenderedPageBreak/>
        <w:t>Figure 1.13 Online advertising expenditure ($</w:t>
      </w:r>
      <w:r w:rsidR="00CF617E" w:rsidRPr="00C322FB">
        <w:t xml:space="preserve"> </w:t>
      </w:r>
      <w:r w:rsidRPr="00C322FB">
        <w:t>millions)</w:t>
      </w:r>
    </w:p>
    <w:p w14:paraId="2AE0A584" w14:textId="77777777" w:rsidR="00A42E26" w:rsidRPr="00FD7E86" w:rsidRDefault="003F13DB" w:rsidP="00EE22A8">
      <w:pPr>
        <w:keepNext/>
        <w:keepLines/>
        <w:spacing w:after="0"/>
        <w:rPr>
          <w:rFonts w:cs="Arial"/>
          <w:b/>
          <w:bCs/>
          <w:szCs w:val="26"/>
        </w:rPr>
      </w:pPr>
      <w:r>
        <w:rPr>
          <w:rFonts w:cs="Arial"/>
          <w:b/>
          <w:bCs/>
          <w:noProof/>
          <w:szCs w:val="26"/>
        </w:rPr>
        <w:drawing>
          <wp:inline distT="0" distB="0" distL="0" distR="0" wp14:anchorId="156F142F" wp14:editId="1B2F93E8">
            <wp:extent cx="5939790" cy="4750435"/>
            <wp:effectExtent l="0" t="0" r="3810" b="0"/>
            <wp:docPr id="43" name="Picture 43" descr="A .csv file of Figure 1.13 is available on the landing page ‘Communications report 2014–15’, available from the ACMA website. " title="Figure 1.13 Online advertising expenditure ($ m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Chapter 1_Figure 1.13.png"/>
                    <pic:cNvPicPr/>
                  </pic:nvPicPr>
                  <pic:blipFill>
                    <a:blip r:embed="rId53">
                      <a:extLst>
                        <a:ext uri="{28A0092B-C50C-407E-A947-70E740481C1C}">
                          <a14:useLocalDpi xmlns:a14="http://schemas.microsoft.com/office/drawing/2010/main" val="0"/>
                        </a:ext>
                      </a:extLst>
                    </a:blip>
                    <a:stretch>
                      <a:fillRect/>
                    </a:stretch>
                  </pic:blipFill>
                  <pic:spPr>
                    <a:xfrm>
                      <a:off x="0" y="0"/>
                      <a:ext cx="5939790" cy="4750435"/>
                    </a:xfrm>
                    <a:prstGeom prst="rect">
                      <a:avLst/>
                    </a:prstGeom>
                  </pic:spPr>
                </pic:pic>
              </a:graphicData>
            </a:graphic>
          </wp:inline>
        </w:drawing>
      </w:r>
    </w:p>
    <w:p w14:paraId="073A8529" w14:textId="77777777" w:rsidR="00A42E26" w:rsidRPr="00FD7E86" w:rsidRDefault="00A42E26" w:rsidP="001D2F67">
      <w:pPr>
        <w:pStyle w:val="ACMANotes"/>
        <w:keepNext/>
        <w:keepLines/>
      </w:pPr>
      <w:r w:rsidRPr="00FD7E86">
        <w:t>Note: Numbers may not add up to total due to rounding.</w:t>
      </w:r>
    </w:p>
    <w:p w14:paraId="6B131EF4" w14:textId="77777777" w:rsidR="000A7AE7" w:rsidRPr="00FD7E86" w:rsidRDefault="00A42E26" w:rsidP="001D2F67">
      <w:pPr>
        <w:pStyle w:val="ACMANotes"/>
        <w:keepNext/>
        <w:keepLines/>
        <w:rPr>
          <w:szCs w:val="16"/>
        </w:rPr>
      </w:pPr>
      <w:r w:rsidRPr="00FD7E86">
        <w:rPr>
          <w:szCs w:val="16"/>
        </w:rPr>
        <w:t>Source: CEASA</w:t>
      </w:r>
      <w:r w:rsidR="000A7AE7" w:rsidRPr="00FD7E86">
        <w:rPr>
          <w:szCs w:val="16"/>
        </w:rPr>
        <w:t>.</w:t>
      </w:r>
    </w:p>
    <w:p w14:paraId="57976529" w14:textId="77777777" w:rsidR="008836B1" w:rsidRPr="00FD7E86" w:rsidRDefault="008836B1" w:rsidP="000E4F20">
      <w:pPr>
        <w:pStyle w:val="ACMASpaceaftertable"/>
      </w:pPr>
    </w:p>
    <w:p w14:paraId="6610ACBC" w14:textId="77777777" w:rsidR="005107CA" w:rsidRPr="00FD7E86" w:rsidRDefault="005107CA" w:rsidP="007F0D56">
      <w:pPr>
        <w:pStyle w:val="Heading1"/>
        <w:pageBreakBefore w:val="0"/>
        <w:rPr>
          <w:i/>
          <w:sz w:val="16"/>
          <w:szCs w:val="16"/>
        </w:rPr>
        <w:sectPr w:rsidR="005107CA" w:rsidRPr="00FD7E86" w:rsidSect="0020744B">
          <w:headerReference w:type="even" r:id="rId54"/>
          <w:headerReference w:type="default" r:id="rId55"/>
          <w:footerReference w:type="even" r:id="rId56"/>
          <w:footerReference w:type="default" r:id="rId57"/>
          <w:endnotePr>
            <w:numFmt w:val="decimal"/>
            <w:numRestart w:val="eachSect"/>
          </w:endnotePr>
          <w:pgSz w:w="11906" w:h="16838" w:code="9"/>
          <w:pgMar w:top="1945" w:right="1134" w:bottom="1134" w:left="1134" w:header="709" w:footer="119" w:gutter="284"/>
          <w:pgNumType w:start="1"/>
          <w:cols w:space="708"/>
          <w:docGrid w:linePitch="360"/>
        </w:sectPr>
      </w:pPr>
    </w:p>
    <w:p w14:paraId="28BF9625" w14:textId="77777777" w:rsidR="000317E5" w:rsidRPr="00FD7E86" w:rsidRDefault="000317E5" w:rsidP="00087D06">
      <w:pPr>
        <w:pStyle w:val="Heading1"/>
        <w:keepNext w:val="0"/>
        <w:pageBreakBefore w:val="0"/>
      </w:pPr>
      <w:bookmarkStart w:id="213" w:name="_Toc433790324"/>
      <w:bookmarkStart w:id="214" w:name="_Toc348105641"/>
      <w:bookmarkEnd w:id="5"/>
      <w:bookmarkEnd w:id="6"/>
      <w:r w:rsidRPr="00FD7E86">
        <w:lastRenderedPageBreak/>
        <w:t>Chapter 2: Engagement with communications and media</w:t>
      </w:r>
      <w:bookmarkEnd w:id="213"/>
    </w:p>
    <w:p w14:paraId="58EFC7DB" w14:textId="77777777" w:rsidR="000317E5" w:rsidRPr="00FD7E86" w:rsidRDefault="000B3AFF" w:rsidP="000B3AFF">
      <w:pPr>
        <w:pStyle w:val="ACMAHeading1"/>
      </w:pPr>
      <w:bookmarkStart w:id="215" w:name="_Toc433790325"/>
      <w:r w:rsidRPr="00FD7E86">
        <w:t>2.1</w:t>
      </w:r>
      <w:r w:rsidRPr="00FD7E86">
        <w:tab/>
      </w:r>
      <w:r w:rsidRPr="00FD7E86">
        <w:tab/>
      </w:r>
      <w:r w:rsidR="000317E5" w:rsidRPr="00FD7E86">
        <w:t>Overview</w:t>
      </w:r>
      <w:bookmarkEnd w:id="215"/>
    </w:p>
    <w:p w14:paraId="01D3022A" w14:textId="77777777" w:rsidR="000317E5" w:rsidRPr="00FD7E86" w:rsidRDefault="000317E5" w:rsidP="000317E5">
      <w:r w:rsidRPr="00FD7E86">
        <w:t xml:space="preserve">This chapter addresses regulatory requirements to report on the efficiency, adequacy and quality of services supplied by carriage service providers by examining Australians’ participation in communications and media services. It focuses on Australians’ online activities, their take-up and use of devices that connect to the internet and </w:t>
      </w:r>
      <w:r w:rsidR="00C46F98" w:rsidRPr="00FD7E86">
        <w:t xml:space="preserve">other </w:t>
      </w:r>
      <w:r w:rsidRPr="00FD7E86">
        <w:t>communications services, as well as the behaviours that Australian internet users adopt in an online environment. This chapter</w:t>
      </w:r>
      <w:r w:rsidRPr="00FD7E86" w:rsidDel="009009F9">
        <w:t xml:space="preserve"> </w:t>
      </w:r>
      <w:r w:rsidRPr="00FD7E86">
        <w:t>considers consumer benefits and engagement including</w:t>
      </w:r>
      <w:r w:rsidRPr="00FD7E86" w:rsidDel="009009F9">
        <w:t xml:space="preserve"> </w:t>
      </w:r>
      <w:r w:rsidRPr="00FD7E86">
        <w:t>satisfaction with communication</w:t>
      </w:r>
      <w:r w:rsidR="00E353DA" w:rsidRPr="00FD7E86">
        <w:t>s</w:t>
      </w:r>
      <w:r w:rsidRPr="00FD7E86">
        <w:t xml:space="preserve"> services. </w:t>
      </w:r>
    </w:p>
    <w:p w14:paraId="1706C46D" w14:textId="77777777" w:rsidR="00C46F98" w:rsidRPr="00FD7E86" w:rsidRDefault="00C46F98" w:rsidP="000317E5">
      <w:r w:rsidRPr="00FD7E86">
        <w:t xml:space="preserve">An overwhelming majority of Australians </w:t>
      </w:r>
      <w:r w:rsidR="000E4F20" w:rsidRPr="00FD7E86">
        <w:t>are</w:t>
      </w:r>
      <w:r w:rsidRPr="00FD7E86">
        <w:t xml:space="preserve"> internet</w:t>
      </w:r>
      <w:r w:rsidR="000E4F20" w:rsidRPr="00FD7E86">
        <w:t xml:space="preserve"> users</w:t>
      </w:r>
      <w:r w:rsidRPr="00FD7E86">
        <w:t>, with 92 per cent going online in the six months to May 2015.</w:t>
      </w:r>
      <w:r w:rsidR="00CC51DA" w:rsidRPr="00FD7E86">
        <w:t xml:space="preserve"> </w:t>
      </w:r>
    </w:p>
    <w:p w14:paraId="79AA41CB" w14:textId="77777777" w:rsidR="000317E5" w:rsidRPr="00FD7E86" w:rsidRDefault="000317E5" w:rsidP="000317E5">
      <w:r w:rsidRPr="00FD7E86">
        <w:t xml:space="preserve">There has been an increase in the growth of internet connections to the home, with approximately 86 per cent of adult Australians (15.8 million) having an internet connection in the home (up three percentage points on last year). </w:t>
      </w:r>
    </w:p>
    <w:p w14:paraId="13AB026F" w14:textId="77777777" w:rsidR="000317E5" w:rsidRPr="00FD7E86" w:rsidRDefault="000317E5" w:rsidP="000317E5">
      <w:pPr>
        <w:rPr>
          <w:rFonts w:cs="Arial"/>
        </w:rPr>
      </w:pPr>
      <w:r w:rsidRPr="00FD7E86">
        <w:t xml:space="preserve">Australians are also using more devices to connect to the internet. In the six months to May 2015, </w:t>
      </w:r>
      <w:r w:rsidRPr="00FD7E86">
        <w:rPr>
          <w:rFonts w:cs="Arial"/>
        </w:rPr>
        <w:t xml:space="preserve">26 per cent of internet users accessed the internet via five or more devices, compared to 23 per cent in the six months to May 2014. </w:t>
      </w:r>
    </w:p>
    <w:p w14:paraId="22890F34" w14:textId="77777777" w:rsidR="000317E5" w:rsidRPr="00FD7E86" w:rsidRDefault="000317E5" w:rsidP="000317E5">
      <w:r w:rsidRPr="00FD7E86">
        <w:t xml:space="preserve">Australians engage </w:t>
      </w:r>
      <w:r w:rsidR="00C46F98" w:rsidRPr="00FD7E86">
        <w:t>in a broad range of activities</w:t>
      </w:r>
      <w:r w:rsidR="00C46F98" w:rsidRPr="00FD7E86" w:rsidDel="00A059CD">
        <w:t xml:space="preserve"> </w:t>
      </w:r>
      <w:r w:rsidRPr="00FD7E86">
        <w:t>online. At June 2015, half of the adult population (50 per cent) undertook five or more online activities in the previous four weeks, ranging from email and general browsing activities, social networking, and accessing government websites through to work and education, online shopping and accessing online audio and video content</w:t>
      </w:r>
      <w:r w:rsidRPr="00FD7E86" w:rsidDel="00C45BC5">
        <w:t>.</w:t>
      </w:r>
      <w:r w:rsidR="00CC51DA" w:rsidRPr="00FD7E86">
        <w:t xml:space="preserve"> </w:t>
      </w:r>
    </w:p>
    <w:p w14:paraId="7F18FE2D" w14:textId="77777777" w:rsidR="000317E5" w:rsidRPr="00FD7E86" w:rsidRDefault="000317E5" w:rsidP="000317E5">
      <w:r w:rsidRPr="00FD7E86">
        <w:t>Research continues to show that Australians experience high satisfaction with communication</w:t>
      </w:r>
      <w:r w:rsidR="00E353DA" w:rsidRPr="00FD7E86">
        <w:t>s</w:t>
      </w:r>
      <w:r w:rsidRPr="00FD7E86">
        <w:t xml:space="preserve"> services, including fixed telephone, mobile and internet. </w:t>
      </w:r>
    </w:p>
    <w:p w14:paraId="7CDBFEB4" w14:textId="77777777" w:rsidR="000317E5" w:rsidRPr="00FD7E86" w:rsidRDefault="009234D0" w:rsidP="001D2F67">
      <w:pPr>
        <w:spacing w:after="80"/>
      </w:pPr>
      <w:r w:rsidRPr="00FD7E86">
        <w:t>In summary</w:t>
      </w:r>
      <w:r w:rsidR="000317E5" w:rsidRPr="00FD7E86">
        <w:t>:</w:t>
      </w:r>
    </w:p>
    <w:p w14:paraId="1EC7310F" w14:textId="77777777" w:rsidR="000317E5" w:rsidRPr="00FD7E86" w:rsidRDefault="00B04DC0" w:rsidP="007F0D56">
      <w:pPr>
        <w:pStyle w:val="ListBullet"/>
      </w:pPr>
      <w:r w:rsidRPr="00FD7E86">
        <w:t>seventy-</w:t>
      </w:r>
      <w:r w:rsidR="00453B40" w:rsidRPr="00FD7E86">
        <w:t>nine</w:t>
      </w:r>
      <w:r w:rsidRPr="00FD7E86">
        <w:t xml:space="preserve"> </w:t>
      </w:r>
      <w:r w:rsidR="000317E5" w:rsidRPr="00FD7E86">
        <w:t xml:space="preserve">per cent of </w:t>
      </w:r>
      <w:r w:rsidR="00453B40" w:rsidRPr="00FD7E86">
        <w:t xml:space="preserve">online </w:t>
      </w:r>
      <w:r w:rsidR="000317E5" w:rsidRPr="00FD7E86">
        <w:t xml:space="preserve">adults used a mobile phone to access the internet in the last six months—an increase of three percentage points </w:t>
      </w:r>
      <w:r w:rsidR="00C5201C" w:rsidRPr="00FD7E86">
        <w:t xml:space="preserve">since </w:t>
      </w:r>
      <w:r w:rsidR="000317E5" w:rsidRPr="00FD7E86">
        <w:t>May 2014</w:t>
      </w:r>
    </w:p>
    <w:p w14:paraId="5AB1D50E" w14:textId="77777777" w:rsidR="000317E5" w:rsidRPr="00FD7E86" w:rsidRDefault="000317E5" w:rsidP="007F0D56">
      <w:pPr>
        <w:pStyle w:val="ListBullet"/>
      </w:pPr>
      <w:r w:rsidRPr="00FD7E86">
        <w:t xml:space="preserve">the use of a desktop computer to access the internet continued to decline—down six percentage points to </w:t>
      </w:r>
      <w:r w:rsidR="00453B40" w:rsidRPr="00FD7E86">
        <w:t xml:space="preserve">61 </w:t>
      </w:r>
      <w:r w:rsidRPr="00FD7E86">
        <w:t>per cent</w:t>
      </w:r>
      <w:r w:rsidR="004C638B" w:rsidRPr="00FD7E86">
        <w:t xml:space="preserve"> of </w:t>
      </w:r>
      <w:r w:rsidR="00453B40" w:rsidRPr="00FD7E86">
        <w:t xml:space="preserve">online </w:t>
      </w:r>
      <w:r w:rsidR="004C638B" w:rsidRPr="00FD7E86">
        <w:t>adults</w:t>
      </w:r>
      <w:r w:rsidRPr="00FD7E86">
        <w:t xml:space="preserve"> at May 2015 </w:t>
      </w:r>
    </w:p>
    <w:p w14:paraId="7347544C" w14:textId="77777777" w:rsidR="000317E5" w:rsidRPr="00FD7E86" w:rsidRDefault="00370F4E" w:rsidP="007F0D56">
      <w:pPr>
        <w:pStyle w:val="ListBullet"/>
      </w:pPr>
      <w:r w:rsidRPr="00FD7E86">
        <w:t xml:space="preserve">the use of </w:t>
      </w:r>
      <w:r w:rsidR="000317E5" w:rsidRPr="00FD7E86">
        <w:t>fixed-line telephony</w:t>
      </w:r>
      <w:r w:rsidR="00432EBB" w:rsidRPr="00FD7E86">
        <w:t xml:space="preserve"> </w:t>
      </w:r>
      <w:r w:rsidR="00B04DC0" w:rsidRPr="00FD7E86">
        <w:t xml:space="preserve">also </w:t>
      </w:r>
      <w:r w:rsidR="00432EBB" w:rsidRPr="00FD7E86">
        <w:t>continued to decline</w:t>
      </w:r>
      <w:r w:rsidR="000317E5" w:rsidRPr="00FD7E86">
        <w:t>, with 68 per cent of adults making a fixed-line call in the six months to May 2015, down 10 percentage points from 78 per cent three years ago at May 2012</w:t>
      </w:r>
    </w:p>
    <w:p w14:paraId="1279DC20" w14:textId="77777777" w:rsidR="000317E5" w:rsidRPr="00FD7E86" w:rsidRDefault="000317E5" w:rsidP="007F0D56">
      <w:pPr>
        <w:pStyle w:val="ListBullet"/>
      </w:pPr>
      <w:r w:rsidRPr="00FD7E86">
        <w:t xml:space="preserve">strong growth </w:t>
      </w:r>
      <w:r w:rsidR="00432EBB" w:rsidRPr="00FD7E86">
        <w:t xml:space="preserve">continued </w:t>
      </w:r>
      <w:r w:rsidRPr="00FD7E86">
        <w:t>(</w:t>
      </w:r>
      <w:r w:rsidR="00190316" w:rsidRPr="00FD7E86">
        <w:t>41</w:t>
      </w:r>
      <w:r w:rsidRPr="00FD7E86">
        <w:t xml:space="preserve"> per cent) in the volume of data being downloaded in Australia indicating </w:t>
      </w:r>
      <w:r w:rsidR="00DD3CE9" w:rsidRPr="00FD7E86">
        <w:t>a continued</w:t>
      </w:r>
      <w:r w:rsidR="00432EBB" w:rsidRPr="00FD7E86">
        <w:t xml:space="preserve"> </w:t>
      </w:r>
      <w:r w:rsidRPr="00FD7E86">
        <w:t xml:space="preserve">increase in online </w:t>
      </w:r>
      <w:r w:rsidR="00C100BD" w:rsidRPr="00FD7E86">
        <w:t>engagement</w:t>
      </w:r>
    </w:p>
    <w:p w14:paraId="67FE7C7B" w14:textId="77777777" w:rsidR="000317E5" w:rsidRPr="00FD7E86" w:rsidRDefault="000317E5" w:rsidP="007F0D56">
      <w:pPr>
        <w:pStyle w:val="ListBullet"/>
      </w:pPr>
      <w:r w:rsidRPr="00FD7E86">
        <w:t>use of over-the-top (OTT) communication</w:t>
      </w:r>
      <w:r w:rsidR="0021038D" w:rsidRPr="00FD7E86">
        <w:t>s</w:t>
      </w:r>
      <w:r w:rsidRPr="00FD7E86">
        <w:t xml:space="preserve"> services</w:t>
      </w:r>
      <w:r w:rsidR="00432EBB" w:rsidRPr="00FD7E86">
        <w:t xml:space="preserve"> continued to increase</w:t>
      </w:r>
      <w:r w:rsidRPr="00FD7E86">
        <w:t xml:space="preserve">: </w:t>
      </w:r>
    </w:p>
    <w:p w14:paraId="28FA781E" w14:textId="77777777" w:rsidR="000317E5" w:rsidRPr="00FD7E86" w:rsidRDefault="000317E5" w:rsidP="00956199">
      <w:pPr>
        <w:pStyle w:val="ListBullet2"/>
      </w:pPr>
      <w:r w:rsidRPr="00FD7E86">
        <w:t xml:space="preserve">65 per cent of adults used social networking communications services, an increase of four percentage points </w:t>
      </w:r>
      <w:r w:rsidR="00C5201C" w:rsidRPr="00FD7E86">
        <w:t xml:space="preserve">since </w:t>
      </w:r>
      <w:r w:rsidRPr="00FD7E86">
        <w:t>May 2014</w:t>
      </w:r>
    </w:p>
    <w:p w14:paraId="2BDECCEC" w14:textId="77777777" w:rsidR="00BA700B" w:rsidRPr="00FD7E86" w:rsidRDefault="00BA700B" w:rsidP="00956199">
      <w:pPr>
        <w:pStyle w:val="ListBullet2"/>
      </w:pPr>
      <w:r w:rsidRPr="00FD7E86">
        <w:t>42 per cent of adults used instant messaging, an increase of four percentage points since May 2014</w:t>
      </w:r>
    </w:p>
    <w:p w14:paraId="1D685227" w14:textId="77777777" w:rsidR="000317E5" w:rsidRPr="00FD7E86" w:rsidRDefault="00956199" w:rsidP="001D2F67">
      <w:pPr>
        <w:pStyle w:val="ListBullet2"/>
      </w:pPr>
      <w:r w:rsidRPr="00FD7E86">
        <w:t>i</w:t>
      </w:r>
      <w:r w:rsidR="00BA700B" w:rsidRPr="00FD7E86">
        <w:t>n terms of communicating via apps, s</w:t>
      </w:r>
      <w:r w:rsidR="000317E5" w:rsidRPr="00FD7E86">
        <w:t xml:space="preserve">ending messages </w:t>
      </w:r>
      <w:r w:rsidR="00305650" w:rsidRPr="00FD7E86">
        <w:t>was</w:t>
      </w:r>
      <w:r w:rsidR="000317E5" w:rsidRPr="00FD7E86">
        <w:t xml:space="preserve"> the preferred way to stay in touch online with Facebook </w:t>
      </w:r>
      <w:r w:rsidR="00AE7D93" w:rsidRPr="00FD7E86">
        <w:t xml:space="preserve">Messenger </w:t>
      </w:r>
      <w:r w:rsidR="000317E5" w:rsidRPr="00FD7E86">
        <w:t>and Skype the m</w:t>
      </w:r>
      <w:r w:rsidR="001D2F67">
        <w:t>ost popular communications apps</w:t>
      </w:r>
    </w:p>
    <w:p w14:paraId="46246288" w14:textId="77777777" w:rsidR="000317E5" w:rsidRPr="00FD7E86" w:rsidRDefault="000317E5" w:rsidP="00956199">
      <w:pPr>
        <w:pStyle w:val="ListBullet"/>
      </w:pPr>
      <w:r w:rsidRPr="00FD7E86">
        <w:t xml:space="preserve">the majority of Australians were generally satisfied with their communications services. </w:t>
      </w:r>
      <w:r w:rsidR="00A428A9" w:rsidRPr="00FD7E86">
        <w:t xml:space="preserve">Eighty-nine </w:t>
      </w:r>
      <w:r w:rsidRPr="00FD7E86">
        <w:t>per cent were satisfied or very satisfied with their fixed-line telephone services, and 88 per cent were satisfied or very satisfied with their mobile phone service</w:t>
      </w:r>
    </w:p>
    <w:p w14:paraId="7CE4D65E" w14:textId="77777777" w:rsidR="000317E5" w:rsidRPr="00FD7E86" w:rsidRDefault="000317E5" w:rsidP="00956199">
      <w:pPr>
        <w:pStyle w:val="ListBullet"/>
      </w:pPr>
      <w:r w:rsidRPr="00FD7E86">
        <w:lastRenderedPageBreak/>
        <w:t xml:space="preserve">more than seven million adults made a purchase </w:t>
      </w:r>
      <w:r w:rsidR="009A1898" w:rsidRPr="00FD7E86">
        <w:t xml:space="preserve">or sold something </w:t>
      </w:r>
      <w:r w:rsidRPr="00FD7E86">
        <w:t>online in the four weeks to June 2015</w:t>
      </w:r>
    </w:p>
    <w:p w14:paraId="7200C19E" w14:textId="77777777" w:rsidR="000317E5" w:rsidRPr="00FD7E86" w:rsidRDefault="000317E5" w:rsidP="00956199">
      <w:pPr>
        <w:pStyle w:val="ListBulletLast"/>
      </w:pPr>
      <w:r w:rsidRPr="00FD7E86">
        <w:t xml:space="preserve">Australian businesses generated an increased economic value from the internet </w:t>
      </w:r>
      <w:r w:rsidR="00A428A9" w:rsidRPr="00FD7E86">
        <w:t xml:space="preserve">earning </w:t>
      </w:r>
      <w:r w:rsidRPr="00FD7E86">
        <w:t>an estimated $266.8 billion in revenue from the online sales of goods and services during 2013–14, a $20 billion increase over 2012–13.</w:t>
      </w:r>
    </w:p>
    <w:p w14:paraId="2210B2C7" w14:textId="77777777" w:rsidR="000317E5" w:rsidRPr="00FD7E86" w:rsidRDefault="000B3AFF" w:rsidP="000B3AFF">
      <w:pPr>
        <w:pStyle w:val="ACMAHeading1"/>
      </w:pPr>
      <w:bookmarkStart w:id="216" w:name="_Toc433790326"/>
      <w:r w:rsidRPr="00FD7E86">
        <w:t>2.2</w:t>
      </w:r>
      <w:r w:rsidRPr="00FD7E86">
        <w:tab/>
      </w:r>
      <w:r w:rsidRPr="00FD7E86">
        <w:tab/>
      </w:r>
      <w:r w:rsidR="000317E5" w:rsidRPr="00FD7E86">
        <w:t>Consumer take</w:t>
      </w:r>
      <w:r w:rsidR="00A428A9" w:rsidRPr="00FD7E86">
        <w:t>-</w:t>
      </w:r>
      <w:r w:rsidR="000317E5" w:rsidRPr="00FD7E86">
        <w:t>up of communications services</w:t>
      </w:r>
      <w:bookmarkEnd w:id="216"/>
    </w:p>
    <w:p w14:paraId="75A730D1" w14:textId="77777777" w:rsidR="000317E5" w:rsidRPr="00FD7E86" w:rsidRDefault="000317E5" w:rsidP="000664F7">
      <w:pPr>
        <w:pStyle w:val="ACMAHeading2"/>
      </w:pPr>
      <w:bookmarkStart w:id="217" w:name="_Toc433790327"/>
      <w:r w:rsidRPr="00FD7E86">
        <w:t>Connectivity—take-up of the internet</w:t>
      </w:r>
      <w:bookmarkEnd w:id="217"/>
    </w:p>
    <w:p w14:paraId="2A08A86E" w14:textId="77777777" w:rsidR="000317E5" w:rsidRPr="00FD7E86" w:rsidRDefault="000317E5" w:rsidP="000317E5">
      <w:r w:rsidRPr="00FD7E86">
        <w:t>Internet access is available to Australians via a range of networks, devices and locations. In the six months to May 2015, 92 per cent of adult Australians accessed the internet, unchanged from the previous year. The rate of internet use is above 90 per cent among all adults under 65, and drops to 69 per cent for those aged 65 and over.</w:t>
      </w:r>
      <w:r w:rsidRPr="00FD7E86">
        <w:rPr>
          <w:rStyle w:val="EndnoteReference"/>
        </w:rPr>
        <w:endnoteReference w:id="44"/>
      </w:r>
    </w:p>
    <w:p w14:paraId="29324A05" w14:textId="77777777" w:rsidR="000317E5" w:rsidRPr="00FD7E86" w:rsidRDefault="000317E5" w:rsidP="001D2F67">
      <w:pPr>
        <w:spacing w:after="80"/>
      </w:pPr>
      <w:r w:rsidRPr="00FD7E86">
        <w:t>While evidence indicates the levels of internet access are stabilising, the intensity of Australians’ digital engagement continued to develop through the use of increasing numbers of devices to connect to the internet, including growth in the number of portable devices used to access the internet</w:t>
      </w:r>
      <w:r w:rsidR="001A0A4A" w:rsidRPr="00FD7E86">
        <w:t xml:space="preserve"> (Figure 2.1)</w:t>
      </w:r>
      <w:r w:rsidRPr="00FD7E86">
        <w:t xml:space="preserve">: </w:t>
      </w:r>
    </w:p>
    <w:p w14:paraId="094E754A" w14:textId="77777777" w:rsidR="000317E5" w:rsidRPr="00FD7E86" w:rsidRDefault="000317E5" w:rsidP="00DF60F1">
      <w:pPr>
        <w:pStyle w:val="ListBullet"/>
      </w:pPr>
      <w:r w:rsidRPr="00FD7E86">
        <w:t>approximately 86 per cent of Australians (15.8 million) have an internet connection in the home</w:t>
      </w:r>
      <w:r w:rsidR="0019393B" w:rsidRPr="00FD7E86">
        <w:t xml:space="preserve">, </w:t>
      </w:r>
      <w:r w:rsidRPr="00FD7E86">
        <w:t>up three percentage points on last year’s figure</w:t>
      </w:r>
    </w:p>
    <w:p w14:paraId="21F658B3" w14:textId="77777777" w:rsidR="000317E5" w:rsidRPr="00FD7E86" w:rsidRDefault="000317E5" w:rsidP="00DF60F1">
      <w:pPr>
        <w:pStyle w:val="ListBullet"/>
      </w:pPr>
      <w:r w:rsidRPr="00FD7E86">
        <w:t>85 per cent (15.7 million) of Australians have a home broadband connection</w:t>
      </w:r>
      <w:r w:rsidR="0019393B" w:rsidRPr="00FD7E86">
        <w:t>. T</w:t>
      </w:r>
      <w:r w:rsidRPr="00FD7E86">
        <w:t xml:space="preserve">his figure has increased by two percentage points </w:t>
      </w:r>
      <w:r w:rsidR="00C5201C" w:rsidRPr="00FD7E86">
        <w:t xml:space="preserve">since </w:t>
      </w:r>
      <w:r w:rsidRPr="00FD7E86">
        <w:t>last year, and reflects that almost all home internet connections are now broadband</w:t>
      </w:r>
    </w:p>
    <w:p w14:paraId="02B58314" w14:textId="77777777" w:rsidR="000317E5" w:rsidRPr="00FD7E86" w:rsidRDefault="000317E5" w:rsidP="00DF60F1">
      <w:pPr>
        <w:pStyle w:val="ListBullet"/>
      </w:pPr>
      <w:r w:rsidRPr="00FD7E86">
        <w:t xml:space="preserve">73 per cent (13.2 million) of Australians accessed the internet via </w:t>
      </w:r>
      <w:r w:rsidR="0019393B" w:rsidRPr="00FD7E86">
        <w:t xml:space="preserve">their </w:t>
      </w:r>
      <w:r w:rsidRPr="00FD7E86">
        <w:t>mobile phone</w:t>
      </w:r>
      <w:r w:rsidR="0019393B" w:rsidRPr="00FD7E86">
        <w:t>, an</w:t>
      </w:r>
      <w:r w:rsidRPr="00FD7E86">
        <w:t xml:space="preserve"> increase</w:t>
      </w:r>
      <w:r w:rsidR="0019393B" w:rsidRPr="00FD7E86">
        <w:t xml:space="preserve"> of</w:t>
      </w:r>
      <w:r w:rsidRPr="00FD7E86">
        <w:t xml:space="preserve"> three percentage points </w:t>
      </w:r>
      <w:r w:rsidR="00C5201C" w:rsidRPr="00FD7E86">
        <w:t xml:space="preserve">since </w:t>
      </w:r>
      <w:r w:rsidRPr="00FD7E86">
        <w:t xml:space="preserve">May 2014 </w:t>
      </w:r>
    </w:p>
    <w:p w14:paraId="087244A6" w14:textId="77777777" w:rsidR="000317E5" w:rsidRPr="00FD7E86" w:rsidRDefault="000317E5" w:rsidP="00DF60F1">
      <w:pPr>
        <w:pStyle w:val="ListBullet"/>
      </w:pPr>
      <w:r w:rsidRPr="00FD7E86">
        <w:t>the number of people accessing the internet via a tablet grew to 53 per cent at May 2015 to reach 9.</w:t>
      </w:r>
      <w:r w:rsidR="00F9676E" w:rsidRPr="00FD7E86">
        <w:t>7</w:t>
      </w:r>
      <w:r w:rsidR="00F9676E">
        <w:t> </w:t>
      </w:r>
      <w:r w:rsidRPr="00FD7E86">
        <w:t xml:space="preserve">million adult Australians (up three percentage points on </w:t>
      </w:r>
      <w:r w:rsidR="0072537B" w:rsidRPr="00FD7E86">
        <w:t xml:space="preserve">the </w:t>
      </w:r>
      <w:r w:rsidRPr="00FD7E86">
        <w:t xml:space="preserve">previous year) </w:t>
      </w:r>
    </w:p>
    <w:p w14:paraId="22C0587E" w14:textId="77777777" w:rsidR="00DF60F1" w:rsidRPr="00FD7E86" w:rsidRDefault="00380071" w:rsidP="000E4F20">
      <w:pPr>
        <w:pStyle w:val="ListBulletLast"/>
        <w:rPr>
          <w:b/>
          <w:bCs/>
          <w:color w:val="323232"/>
          <w:szCs w:val="20"/>
        </w:rPr>
      </w:pPr>
      <w:r w:rsidRPr="00FD7E86">
        <w:t>the</w:t>
      </w:r>
      <w:r w:rsidR="000317E5" w:rsidRPr="00FD7E86">
        <w:t xml:space="preserve"> mobile phone is now on par with </w:t>
      </w:r>
      <w:r w:rsidRPr="00FD7E86">
        <w:t>the</w:t>
      </w:r>
      <w:r w:rsidR="000317E5" w:rsidRPr="00FD7E86">
        <w:t xml:space="preserve"> laptop computer as the most often used device to access the internet.</w:t>
      </w:r>
    </w:p>
    <w:p w14:paraId="480FAF7B" w14:textId="77777777" w:rsidR="000317E5" w:rsidRPr="00FD7E86" w:rsidRDefault="008803A5" w:rsidP="001D2F67">
      <w:pPr>
        <w:pStyle w:val="ACMAFigureHeader"/>
        <w:keepNext/>
        <w:keepLines/>
        <w:numPr>
          <w:ilvl w:val="0"/>
          <w:numId w:val="0"/>
        </w:numPr>
        <w:ind w:left="1021" w:hanging="1021"/>
      </w:pPr>
      <w:r w:rsidRPr="00FD7E86">
        <w:lastRenderedPageBreak/>
        <w:t xml:space="preserve">Figure </w:t>
      </w:r>
      <w:r w:rsidR="000317E5" w:rsidRPr="00FD7E86">
        <w:t xml:space="preserve">2.1 </w:t>
      </w:r>
      <w:r w:rsidR="00380071" w:rsidRPr="00FD7E86">
        <w:t>How consumers access</w:t>
      </w:r>
      <w:r w:rsidR="000317E5" w:rsidRPr="00FD7E86">
        <w:t xml:space="preserve"> the internet</w:t>
      </w:r>
      <w:r w:rsidR="005E33EB" w:rsidRPr="00FD7E86">
        <w:t xml:space="preserve"> (percentage)</w:t>
      </w:r>
    </w:p>
    <w:p w14:paraId="1CCBEAD9" w14:textId="42314EA2" w:rsidR="000317E5" w:rsidRPr="00FD7E86" w:rsidRDefault="00091E76" w:rsidP="00C05F4C">
      <w:pPr>
        <w:keepNext/>
        <w:keepLines/>
        <w:spacing w:after="0"/>
      </w:pPr>
      <w:r>
        <w:rPr>
          <w:noProof/>
        </w:rPr>
        <w:drawing>
          <wp:inline distT="0" distB="0" distL="0" distR="0" wp14:anchorId="78A273C4" wp14:editId="569F650B">
            <wp:extent cx="5939790" cy="3702685"/>
            <wp:effectExtent l="0" t="0" r="3810" b="0"/>
            <wp:docPr id="93" name="Picture 93" descr="A .csv file of Figure 2.1 is available on the landing page ‘Communications report 2014–15’, available from the ACMA website. " title="Figure 2.1 How consumers access the internet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Chapter 2_Figure 2.1.png"/>
                    <pic:cNvPicPr/>
                  </pic:nvPicPr>
                  <pic:blipFill>
                    <a:blip r:embed="rId58">
                      <a:extLst>
                        <a:ext uri="{28A0092B-C50C-407E-A947-70E740481C1C}">
                          <a14:useLocalDpi xmlns:a14="http://schemas.microsoft.com/office/drawing/2010/main" val="0"/>
                        </a:ext>
                      </a:extLst>
                    </a:blip>
                    <a:stretch>
                      <a:fillRect/>
                    </a:stretch>
                  </pic:blipFill>
                  <pic:spPr>
                    <a:xfrm>
                      <a:off x="0" y="0"/>
                      <a:ext cx="5939790" cy="3702685"/>
                    </a:xfrm>
                    <a:prstGeom prst="rect">
                      <a:avLst/>
                    </a:prstGeom>
                  </pic:spPr>
                </pic:pic>
              </a:graphicData>
            </a:graphic>
          </wp:inline>
        </w:drawing>
      </w:r>
    </w:p>
    <w:p w14:paraId="55FD4ADE" w14:textId="77777777" w:rsidR="000317E5" w:rsidRPr="00FD7E86" w:rsidRDefault="000317E5" w:rsidP="001D2F67">
      <w:pPr>
        <w:pStyle w:val="ACMANotes"/>
        <w:keepNext/>
        <w:keepLines/>
      </w:pPr>
      <w:r w:rsidRPr="00FD7E86">
        <w:t>*Includes ADSL, cable, fibre, satellite, fixed wireless, mobile wireless internet services—using dongles, datacards or USB modems. It excludes mobile handset internet.</w:t>
      </w:r>
    </w:p>
    <w:p w14:paraId="712DFDCA" w14:textId="77777777" w:rsidR="000317E5" w:rsidRPr="00FD7E86" w:rsidRDefault="000317E5" w:rsidP="001D2F67">
      <w:pPr>
        <w:pStyle w:val="ACMANotes"/>
        <w:keepNext/>
        <w:keepLines/>
      </w:pPr>
      <w:r w:rsidRPr="00FD7E86">
        <w:rPr>
          <w:vertAlign w:val="superscript"/>
        </w:rPr>
        <w:t>†</w:t>
      </w:r>
      <w:r w:rsidRPr="00FD7E86">
        <w:t>Relates to use of the internet via a mobile phone handset in the six months to May. Data not available prior to May 2012.</w:t>
      </w:r>
    </w:p>
    <w:p w14:paraId="0C6E11BE" w14:textId="77777777" w:rsidR="000317E5" w:rsidRPr="00FD7E86" w:rsidRDefault="000317E5" w:rsidP="001D2F67">
      <w:pPr>
        <w:pStyle w:val="ACMANotes"/>
        <w:keepNext/>
        <w:keepLines/>
      </w:pPr>
      <w:r w:rsidRPr="00FD7E86">
        <w:t>Base: Australians aged 18 and over</w:t>
      </w:r>
      <w:r w:rsidR="00754C6A" w:rsidRPr="00FD7E86">
        <w:t>.</w:t>
      </w:r>
    </w:p>
    <w:p w14:paraId="75AB541A" w14:textId="77777777" w:rsidR="000317E5" w:rsidRPr="00FD7E86" w:rsidRDefault="000317E5" w:rsidP="001D2F67">
      <w:pPr>
        <w:pStyle w:val="ACMANotes"/>
        <w:keepNext/>
        <w:keepLines/>
      </w:pPr>
      <w:r w:rsidRPr="00FD7E86">
        <w:t>Notes:</w:t>
      </w:r>
      <w:r w:rsidRPr="00FD7E86" w:rsidDel="00B83A00">
        <w:t xml:space="preserve"> </w:t>
      </w:r>
      <w:r w:rsidRPr="00FD7E86">
        <w:t>June 2014 data for Home internet connection and Home broadband connection have been updated from the 2013</w:t>
      </w:r>
      <w:r w:rsidR="00EA1C2A" w:rsidRPr="00FD7E86">
        <w:t>–</w:t>
      </w:r>
      <w:r w:rsidR="00FC7E5C">
        <w:t>14 Communications r</w:t>
      </w:r>
      <w:r w:rsidRPr="00FD7E86">
        <w:t>eport due to a change in methodology by Roy Morgan.</w:t>
      </w:r>
      <w:r w:rsidR="00815F51" w:rsidRPr="00FD7E86">
        <w:t xml:space="preserve"> June 2014 and June 2015 broadband definitions include; ADSL, cable, </w:t>
      </w:r>
      <w:r w:rsidR="000B7653" w:rsidRPr="00FD7E86">
        <w:t>nbn</w:t>
      </w:r>
      <w:r w:rsidR="00815F51" w:rsidRPr="00FD7E86">
        <w:t>, USB modem, portable Wi-Fi modem, SIM card for tablet, internet key. June</w:t>
      </w:r>
      <w:r w:rsidRPr="00FD7E86">
        <w:t xml:space="preserve"> </w:t>
      </w:r>
      <w:r w:rsidR="00815F51" w:rsidRPr="00FD7E86">
        <w:t xml:space="preserve">2014 and June 2015 internet definitions include; ADSL, cable, </w:t>
      </w:r>
      <w:r w:rsidR="000B7653" w:rsidRPr="00FD7E86">
        <w:t>nbn</w:t>
      </w:r>
      <w:r w:rsidR="00815F51" w:rsidRPr="00FD7E86">
        <w:t>, USB modem, portable Wi-Fi modem, SIM card for tablet, internet key and dial-up.</w:t>
      </w:r>
    </w:p>
    <w:p w14:paraId="48C65E7C" w14:textId="77777777" w:rsidR="000317E5" w:rsidRPr="00FD7E86" w:rsidRDefault="000317E5" w:rsidP="001D2F67">
      <w:pPr>
        <w:pStyle w:val="ACMANotes"/>
        <w:keepNext/>
        <w:keepLines/>
      </w:pPr>
      <w:r w:rsidRPr="00FD7E86">
        <w:t>Source: Roy Morgan Single Source (Home internet connection and Home broadband connection), in the 12 months to June of each year and ACMA-commissioned survey (used the internet via a mobile phone).</w:t>
      </w:r>
    </w:p>
    <w:p w14:paraId="7D238A64" w14:textId="77777777" w:rsidR="00DD32C6" w:rsidRPr="00FD7E86" w:rsidRDefault="00DD32C6" w:rsidP="00B60B42">
      <w:pPr>
        <w:pStyle w:val="ACMASpaceaftertable"/>
        <w:rPr>
          <w:i/>
          <w:sz w:val="16"/>
          <w:szCs w:val="16"/>
        </w:rPr>
      </w:pPr>
    </w:p>
    <w:p w14:paraId="57812C3E" w14:textId="77777777" w:rsidR="000317E5" w:rsidRPr="00FD7E86" w:rsidRDefault="000317E5" w:rsidP="00DF60F1">
      <w:pPr>
        <w:pStyle w:val="ACMAHeading2"/>
      </w:pPr>
      <w:bookmarkStart w:id="218" w:name="_Toc433790328"/>
      <w:r w:rsidRPr="00FD7E86">
        <w:t>Offline Australians</w:t>
      </w:r>
      <w:bookmarkEnd w:id="218"/>
      <w:r w:rsidRPr="00FD7E86">
        <w:t xml:space="preserve"> </w:t>
      </w:r>
    </w:p>
    <w:p w14:paraId="118B2191" w14:textId="77777777" w:rsidR="000317E5" w:rsidRPr="00FD7E86" w:rsidRDefault="000317E5" w:rsidP="001D2F67">
      <w:r w:rsidRPr="00FD7E86">
        <w:t>While 92 per cent of adult Australians accessed the internet in the six months to May 2015</w:t>
      </w:r>
      <w:r w:rsidRPr="00FD7E86">
        <w:rPr>
          <w:rStyle w:val="EndnoteReference"/>
        </w:rPr>
        <w:endnoteReference w:id="45"/>
      </w:r>
      <w:r w:rsidRPr="00FD7E86">
        <w:t xml:space="preserve">, an estimated 1.1 million (six per cent) </w:t>
      </w:r>
      <w:r w:rsidR="000E3AEA" w:rsidRPr="00FD7E86">
        <w:t>had never been online (as at June 2015).</w:t>
      </w:r>
      <w:r w:rsidR="000E3AEA" w:rsidRPr="00FD7E86">
        <w:rPr>
          <w:vertAlign w:val="superscript"/>
        </w:rPr>
        <w:endnoteReference w:id="46"/>
      </w:r>
      <w:r w:rsidR="000E3AEA" w:rsidRPr="00FD7E86">
        <w:t xml:space="preserve"> This has remained unchanged from June 2014, though represents a significant drop from five years ago, when the figure was 12 per cent.</w:t>
      </w:r>
    </w:p>
    <w:p w14:paraId="21935F64" w14:textId="77777777" w:rsidR="000317E5" w:rsidRPr="00FD7E86" w:rsidRDefault="000B3AFF" w:rsidP="000B3AFF">
      <w:pPr>
        <w:pStyle w:val="ACMAHeading1"/>
      </w:pPr>
      <w:bookmarkStart w:id="219" w:name="_Toc433790329"/>
      <w:r w:rsidRPr="00FD7E86">
        <w:t>2.3</w:t>
      </w:r>
      <w:r w:rsidRPr="00FD7E86">
        <w:tab/>
      </w:r>
      <w:r w:rsidRPr="00FD7E86">
        <w:tab/>
      </w:r>
      <w:r w:rsidR="000317E5" w:rsidRPr="00FD7E86">
        <w:t>Accessing communications services</w:t>
      </w:r>
      <w:bookmarkEnd w:id="219"/>
    </w:p>
    <w:p w14:paraId="2DBF3D25" w14:textId="77777777" w:rsidR="000317E5" w:rsidRPr="00FD7E86" w:rsidRDefault="000317E5" w:rsidP="00DF60F1">
      <w:pPr>
        <w:pStyle w:val="ACMAHeading2"/>
      </w:pPr>
      <w:bookmarkStart w:id="220" w:name="_Toc433790330"/>
      <w:r w:rsidRPr="00FD7E86">
        <w:t>Variety of internet access devices</w:t>
      </w:r>
      <w:bookmarkEnd w:id="220"/>
    </w:p>
    <w:p w14:paraId="1C9988AA" w14:textId="77777777" w:rsidR="00DF60F1" w:rsidRPr="00FD7E86" w:rsidRDefault="000317E5" w:rsidP="000E4F20">
      <w:pPr>
        <w:rPr>
          <w:b/>
          <w:bCs/>
          <w:color w:val="323232"/>
          <w:szCs w:val="20"/>
        </w:rPr>
      </w:pPr>
      <w:r w:rsidRPr="00FD7E86">
        <w:t xml:space="preserve">Australians are </w:t>
      </w:r>
      <w:r w:rsidRPr="00FD7E86">
        <w:rPr>
          <w:rFonts w:cs="Arial"/>
        </w:rPr>
        <w:t xml:space="preserve">increasingly using more communications devices to go online. In the six months to May 2015, 26 per cent of internet users accessed the internet via five or more devices, compared to 23 per cent in the six months to May 2014 (Figure 2.2). </w:t>
      </w:r>
    </w:p>
    <w:p w14:paraId="491C9B87" w14:textId="77777777" w:rsidR="000317E5" w:rsidRPr="00FD7E86" w:rsidRDefault="000317E5" w:rsidP="001D2F67">
      <w:pPr>
        <w:pStyle w:val="ACMAFigureHeader"/>
        <w:keepNext/>
        <w:numPr>
          <w:ilvl w:val="0"/>
          <w:numId w:val="0"/>
        </w:numPr>
      </w:pPr>
      <w:r w:rsidRPr="00FD7E86">
        <w:lastRenderedPageBreak/>
        <w:t>Figure 2.2 Number of devices used to access the internet</w:t>
      </w:r>
      <w:r w:rsidR="00B51AAF" w:rsidRPr="00FD7E86">
        <w:t>,</w:t>
      </w:r>
      <w:r w:rsidRPr="00FD7E86">
        <w:t xml:space="preserve"> in the six months to May</w:t>
      </w:r>
      <w:r w:rsidR="005E33EB" w:rsidRPr="00FD7E86">
        <w:t xml:space="preserve"> (percentage)</w:t>
      </w:r>
    </w:p>
    <w:p w14:paraId="6987659A" w14:textId="77777777" w:rsidR="000317E5" w:rsidRPr="00FD7E86" w:rsidRDefault="000E02E0" w:rsidP="00C05F4C">
      <w:pPr>
        <w:spacing w:after="0"/>
      </w:pPr>
      <w:r>
        <w:rPr>
          <w:noProof/>
        </w:rPr>
        <w:drawing>
          <wp:inline distT="0" distB="0" distL="0" distR="0" wp14:anchorId="00EDC577" wp14:editId="3415915F">
            <wp:extent cx="5939790" cy="1797685"/>
            <wp:effectExtent l="0" t="0" r="0" b="0"/>
            <wp:docPr id="31" name="Picture 31" descr="A .csv file of Figure 2.2 is available on the landing page ‘Communications report 2014–15’, available from the ACMA website. " title="Figure 2.2 Number of devices used to access the internet, in the six months to May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hapter 2_Figure 2.2.png"/>
                    <pic:cNvPicPr/>
                  </pic:nvPicPr>
                  <pic:blipFill>
                    <a:blip r:embed="rId59">
                      <a:extLst>
                        <a:ext uri="{28A0092B-C50C-407E-A947-70E740481C1C}">
                          <a14:useLocalDpi xmlns:a14="http://schemas.microsoft.com/office/drawing/2010/main" val="0"/>
                        </a:ext>
                      </a:extLst>
                    </a:blip>
                    <a:stretch>
                      <a:fillRect/>
                    </a:stretch>
                  </pic:blipFill>
                  <pic:spPr>
                    <a:xfrm>
                      <a:off x="0" y="0"/>
                      <a:ext cx="5939790" cy="1797685"/>
                    </a:xfrm>
                    <a:prstGeom prst="rect">
                      <a:avLst/>
                    </a:prstGeom>
                  </pic:spPr>
                </pic:pic>
              </a:graphicData>
            </a:graphic>
          </wp:inline>
        </w:drawing>
      </w:r>
    </w:p>
    <w:p w14:paraId="0A51C3CD" w14:textId="77777777" w:rsidR="000317E5" w:rsidRPr="00FD7E86" w:rsidRDefault="000317E5" w:rsidP="000317E5">
      <w:pPr>
        <w:pStyle w:val="ACMANotes"/>
      </w:pPr>
      <w:r w:rsidRPr="00FD7E86">
        <w:t>Base: Australians aged 18 and over who accessed the internet</w:t>
      </w:r>
      <w:r w:rsidR="001821F9" w:rsidRPr="00FD7E86">
        <w:t>.</w:t>
      </w:r>
    </w:p>
    <w:p w14:paraId="7DD156CD" w14:textId="77777777" w:rsidR="000317E5" w:rsidRPr="00FD7E86" w:rsidRDefault="000317E5" w:rsidP="000A7AE7">
      <w:pPr>
        <w:pStyle w:val="ACMANotes"/>
      </w:pPr>
      <w:r w:rsidRPr="00FD7E86">
        <w:t>Source: ACMA-commissioned survey, May 2014 and 2015</w:t>
      </w:r>
      <w:r w:rsidR="00DF60F1" w:rsidRPr="00FD7E86">
        <w:t xml:space="preserve">. </w:t>
      </w:r>
    </w:p>
    <w:p w14:paraId="62FBF3AD" w14:textId="77777777" w:rsidR="000A7AE7" w:rsidRPr="00FD7E86" w:rsidRDefault="000A7AE7" w:rsidP="00B60B42">
      <w:pPr>
        <w:pStyle w:val="ACMASpaceaftertable"/>
        <w:rPr>
          <w:i/>
          <w:sz w:val="16"/>
          <w:szCs w:val="16"/>
        </w:rPr>
      </w:pPr>
    </w:p>
    <w:p w14:paraId="76C021C4" w14:textId="77777777" w:rsidR="000317E5" w:rsidRPr="00FD7E86" w:rsidRDefault="000317E5" w:rsidP="00DF60F1">
      <w:pPr>
        <w:pStyle w:val="ACMAHeading2"/>
      </w:pPr>
      <w:bookmarkStart w:id="221" w:name="_Toc433790331"/>
      <w:r w:rsidRPr="00FD7E86">
        <w:t>Diversification of consumer internet access devices</w:t>
      </w:r>
      <w:bookmarkEnd w:id="221"/>
    </w:p>
    <w:p w14:paraId="43DC47F3" w14:textId="77777777" w:rsidR="000317E5" w:rsidRPr="00FD7E86" w:rsidRDefault="000317E5" w:rsidP="000317E5">
      <w:r w:rsidRPr="00FD7E86">
        <w:t>As illustrated in Figure 2.3, online Australians have a number of devices to choose from to access the internet. As at May 2015, mobile phones continued to be the most popular device used to go online (</w:t>
      </w:r>
      <w:r w:rsidR="00F9676E" w:rsidRPr="00FD7E86">
        <w:t>79</w:t>
      </w:r>
      <w:r w:rsidR="00F9676E">
        <w:t> </w:t>
      </w:r>
      <w:r w:rsidRPr="00FD7E86">
        <w:t>per cent of adults), followed by laptop computers (74 per cent), desktop computers (61 per cent) and tablet computer</w:t>
      </w:r>
      <w:r w:rsidR="001A0A4A" w:rsidRPr="00FD7E86">
        <w:t>s</w:t>
      </w:r>
      <w:r w:rsidRPr="00FD7E86">
        <w:t xml:space="preserve"> (58 per cent). </w:t>
      </w:r>
    </w:p>
    <w:p w14:paraId="74C116E8" w14:textId="77777777" w:rsidR="000317E5" w:rsidRPr="00FD7E86" w:rsidRDefault="00A35ABA" w:rsidP="000317E5">
      <w:r w:rsidRPr="00FD7E86">
        <w:t>The largest increase was observed in the use of tablets and mobile phones to go online, which grew by four and three percentage points</w:t>
      </w:r>
      <w:r w:rsidR="00D71E35" w:rsidRPr="00FD7E86">
        <w:t>,</w:t>
      </w:r>
      <w:r w:rsidRPr="00FD7E86">
        <w:t xml:space="preserve"> respectively, in the year to May 2015. This growth has occurred at the expense of desktop computers, which declined by six percentage points from May 2014. </w:t>
      </w:r>
    </w:p>
    <w:p w14:paraId="2E98B61F" w14:textId="77777777" w:rsidR="000317E5" w:rsidRPr="00FD7E86" w:rsidRDefault="000317E5" w:rsidP="001D2F67">
      <w:pPr>
        <w:pStyle w:val="ACMAFigureHeader"/>
        <w:keepNext/>
        <w:keepLines/>
        <w:numPr>
          <w:ilvl w:val="0"/>
          <w:numId w:val="0"/>
        </w:numPr>
      </w:pPr>
      <w:r w:rsidRPr="00FD7E86">
        <w:lastRenderedPageBreak/>
        <w:t>Figure 2.3 Devices used to access the internet</w:t>
      </w:r>
      <w:r w:rsidR="00DD32C6" w:rsidRPr="00FD7E86">
        <w:t xml:space="preserve"> in the</w:t>
      </w:r>
      <w:r w:rsidRPr="00FD7E86">
        <w:t xml:space="preserve"> six months to May</w:t>
      </w:r>
      <w:r w:rsidR="005E33EB" w:rsidRPr="00FD7E86">
        <w:t xml:space="preserve"> </w:t>
      </w:r>
      <w:r w:rsidR="003F0613" w:rsidRPr="00FD7E86">
        <w:t xml:space="preserve">2015 </w:t>
      </w:r>
      <w:r w:rsidR="005E33EB" w:rsidRPr="00FD7E86">
        <w:t>(percentage)</w:t>
      </w:r>
    </w:p>
    <w:p w14:paraId="338F9635" w14:textId="77777777" w:rsidR="000317E5" w:rsidRPr="00FD7E86" w:rsidRDefault="00553AFF" w:rsidP="001D2F67">
      <w:pPr>
        <w:keepNext/>
        <w:keepLines/>
        <w:spacing w:after="0"/>
      </w:pPr>
      <w:r>
        <w:rPr>
          <w:noProof/>
        </w:rPr>
        <w:drawing>
          <wp:inline distT="0" distB="0" distL="0" distR="0" wp14:anchorId="3C9BB16C" wp14:editId="72650F22">
            <wp:extent cx="5939790" cy="6170295"/>
            <wp:effectExtent l="0" t="0" r="0" b="1905"/>
            <wp:docPr id="42" name="Picture 42" descr="A .csv file of Figure 2.3 is available on the landing page ‘Communications report 2014–15’, available from the ACMA website. " title="Figure 2.3 Devices used to access the internet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Chapter 2_Figure 2.3.png"/>
                    <pic:cNvPicPr/>
                  </pic:nvPicPr>
                  <pic:blipFill>
                    <a:blip r:embed="rId60">
                      <a:extLst>
                        <a:ext uri="{28A0092B-C50C-407E-A947-70E740481C1C}">
                          <a14:useLocalDpi xmlns:a14="http://schemas.microsoft.com/office/drawing/2010/main" val="0"/>
                        </a:ext>
                      </a:extLst>
                    </a:blip>
                    <a:stretch>
                      <a:fillRect/>
                    </a:stretch>
                  </pic:blipFill>
                  <pic:spPr>
                    <a:xfrm>
                      <a:off x="0" y="0"/>
                      <a:ext cx="5939790" cy="6170295"/>
                    </a:xfrm>
                    <a:prstGeom prst="rect">
                      <a:avLst/>
                    </a:prstGeom>
                  </pic:spPr>
                </pic:pic>
              </a:graphicData>
            </a:graphic>
          </wp:inline>
        </w:drawing>
      </w:r>
    </w:p>
    <w:p w14:paraId="26824C04" w14:textId="77777777" w:rsidR="000317E5" w:rsidRPr="00FD7E86" w:rsidRDefault="000317E5" w:rsidP="001D2F67">
      <w:pPr>
        <w:pStyle w:val="ACMANotes"/>
        <w:keepNext/>
        <w:keepLines/>
      </w:pPr>
      <w:r w:rsidRPr="00FD7E86">
        <w:t>Base: Australians aged 18 and over who accessed the internet.</w:t>
      </w:r>
    </w:p>
    <w:p w14:paraId="6FAB0A58" w14:textId="77777777" w:rsidR="000317E5" w:rsidRPr="00FD7E86" w:rsidRDefault="000317E5" w:rsidP="001D2F67">
      <w:pPr>
        <w:pStyle w:val="ACMANotes"/>
        <w:keepNext/>
        <w:keepLines/>
      </w:pPr>
      <w:r w:rsidRPr="00FD7E86">
        <w:t xml:space="preserve">Source: ACMA-commissioned surveys, May 2013, 2014 and 2015. </w:t>
      </w:r>
    </w:p>
    <w:p w14:paraId="0FB8CA75" w14:textId="77777777" w:rsidR="000A7AE7" w:rsidRPr="00FD7E86" w:rsidRDefault="000A7AE7" w:rsidP="008C5490">
      <w:pPr>
        <w:pStyle w:val="ACMASpaceaftertable"/>
        <w:rPr>
          <w:i/>
          <w:sz w:val="16"/>
          <w:szCs w:val="16"/>
        </w:rPr>
      </w:pPr>
    </w:p>
    <w:p w14:paraId="3F3BA0FA" w14:textId="77777777" w:rsidR="000317E5" w:rsidRPr="00FD7E86" w:rsidRDefault="000317E5" w:rsidP="000317E5">
      <w:r w:rsidRPr="00FD7E86">
        <w:t xml:space="preserve">A mobile phone and laptop are now on par as the most often used devices to access the internet. In the six months to May 2015, 28 per cent of adult Australians said a mobile phone was the device used most often for accessing the internet, </w:t>
      </w:r>
      <w:r w:rsidR="00616F99" w:rsidRPr="00FD7E86">
        <w:t xml:space="preserve">while </w:t>
      </w:r>
      <w:r w:rsidRPr="00FD7E86">
        <w:t xml:space="preserve">28 per cent </w:t>
      </w:r>
      <w:r w:rsidR="00616F99" w:rsidRPr="00FD7E86">
        <w:t xml:space="preserve">used their </w:t>
      </w:r>
      <w:r w:rsidRPr="00FD7E86">
        <w:t>laptop.</w:t>
      </w:r>
    </w:p>
    <w:p w14:paraId="6D9B72AE" w14:textId="77777777" w:rsidR="000317E5" w:rsidRPr="00FD7E86" w:rsidRDefault="000317E5" w:rsidP="000317E5">
      <w:pPr>
        <w:spacing w:after="0"/>
      </w:pPr>
      <w:r w:rsidRPr="00FD7E86">
        <w:t>While a mobile phone is a popular internet access device for younger people, particularly those aged 18 to 44, it was the least-preferred internet access device for older Australians, particularly those aged 65 and over (Figure 2.4). Nonetheless, a year</w:t>
      </w:r>
      <w:r w:rsidR="0072537B" w:rsidRPr="00FD7E86">
        <w:t>-</w:t>
      </w:r>
      <w:r w:rsidRPr="00FD7E86">
        <w:t>on</w:t>
      </w:r>
      <w:r w:rsidR="0072537B" w:rsidRPr="00FD7E86">
        <w:t>-</w:t>
      </w:r>
      <w:r w:rsidRPr="00FD7E86">
        <w:t>year increase in mobile phone use was seen across all age groups.</w:t>
      </w:r>
    </w:p>
    <w:p w14:paraId="7F8B7192" w14:textId="77777777" w:rsidR="000317E5" w:rsidRPr="00FD7E86" w:rsidRDefault="000317E5" w:rsidP="000317E5">
      <w:pPr>
        <w:spacing w:after="0"/>
      </w:pPr>
    </w:p>
    <w:p w14:paraId="2390F1B1" w14:textId="77777777" w:rsidR="000317E5" w:rsidRPr="00FD7E86" w:rsidRDefault="008911A7" w:rsidP="00E51C3A">
      <w:r w:rsidRPr="00FD7E86">
        <w:lastRenderedPageBreak/>
        <w:t xml:space="preserve">Although </w:t>
      </w:r>
      <w:r w:rsidR="000317E5" w:rsidRPr="00FD7E86">
        <w:t xml:space="preserve">mobile phones </w:t>
      </w:r>
      <w:r w:rsidRPr="00FD7E86">
        <w:t xml:space="preserve">were </w:t>
      </w:r>
      <w:r w:rsidR="000317E5" w:rsidRPr="00FD7E86">
        <w:t xml:space="preserve">preferred to tablets as internet access devices across all age groups, tablets were </w:t>
      </w:r>
      <w:r w:rsidRPr="00FD7E86">
        <w:t xml:space="preserve">especially </w:t>
      </w:r>
      <w:r w:rsidR="000317E5" w:rsidRPr="00FD7E86">
        <w:t>popular for internet access among Australians aged 25</w:t>
      </w:r>
      <w:r w:rsidR="00DD32C6" w:rsidRPr="00FD7E86">
        <w:t xml:space="preserve"> to </w:t>
      </w:r>
      <w:r w:rsidR="000317E5" w:rsidRPr="00FD7E86">
        <w:t xml:space="preserve">54. This age group also </w:t>
      </w:r>
      <w:r w:rsidR="00F24B76" w:rsidRPr="00FD7E86">
        <w:t xml:space="preserve">showed </w:t>
      </w:r>
      <w:r w:rsidR="000317E5" w:rsidRPr="00FD7E86">
        <w:t xml:space="preserve">the strongest growth in tablet internet use over the last two years. </w:t>
      </w:r>
    </w:p>
    <w:p w14:paraId="0A94CC53" w14:textId="77777777" w:rsidR="000317E5" w:rsidRPr="00FD7E86" w:rsidRDefault="000317E5" w:rsidP="00E51C3A">
      <w:pPr>
        <w:pStyle w:val="ACMAFigureHeader"/>
        <w:numPr>
          <w:ilvl w:val="0"/>
          <w:numId w:val="0"/>
        </w:numPr>
      </w:pPr>
      <w:r w:rsidRPr="00FD7E86">
        <w:t>Figure 2.4 Portable internet access devices by age, six months to May 2015</w:t>
      </w:r>
      <w:r w:rsidR="00E51C3A" w:rsidRPr="00FD7E86">
        <w:t xml:space="preserve"> (percentage)</w:t>
      </w:r>
    </w:p>
    <w:p w14:paraId="096F4866" w14:textId="77777777" w:rsidR="000317E5" w:rsidRPr="00FD7E86" w:rsidRDefault="0013238F" w:rsidP="00C05F4C">
      <w:pPr>
        <w:pStyle w:val="ACMAFigureHeader"/>
        <w:numPr>
          <w:ilvl w:val="0"/>
          <w:numId w:val="0"/>
        </w:numPr>
        <w:spacing w:after="0"/>
      </w:pPr>
      <w:r>
        <w:rPr>
          <w:noProof/>
        </w:rPr>
        <w:drawing>
          <wp:inline distT="0" distB="0" distL="0" distR="0" wp14:anchorId="57844F1D" wp14:editId="19D00D79">
            <wp:extent cx="5939790" cy="2676525"/>
            <wp:effectExtent l="0" t="0" r="3810" b="9525"/>
            <wp:docPr id="47" name="Picture 47" descr="A .csv file of Figure 2.4 is available on the landing page ‘Communications report 2014–15’, available from the ACMA website. " title="Figure 2.4 Portable internet access devices by ag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hapter 2_Figure 2.4.png"/>
                    <pic:cNvPicPr/>
                  </pic:nvPicPr>
                  <pic:blipFill>
                    <a:blip r:embed="rId61">
                      <a:extLst>
                        <a:ext uri="{28A0092B-C50C-407E-A947-70E740481C1C}">
                          <a14:useLocalDpi xmlns:a14="http://schemas.microsoft.com/office/drawing/2010/main" val="0"/>
                        </a:ext>
                      </a:extLst>
                    </a:blip>
                    <a:stretch>
                      <a:fillRect/>
                    </a:stretch>
                  </pic:blipFill>
                  <pic:spPr>
                    <a:xfrm>
                      <a:off x="0" y="0"/>
                      <a:ext cx="5939790" cy="2676525"/>
                    </a:xfrm>
                    <a:prstGeom prst="rect">
                      <a:avLst/>
                    </a:prstGeom>
                  </pic:spPr>
                </pic:pic>
              </a:graphicData>
            </a:graphic>
          </wp:inline>
        </w:drawing>
      </w:r>
    </w:p>
    <w:p w14:paraId="0D392608" w14:textId="77777777" w:rsidR="000317E5" w:rsidRPr="00FD7E86" w:rsidRDefault="000317E5" w:rsidP="000317E5">
      <w:pPr>
        <w:pStyle w:val="ACMANotes"/>
      </w:pPr>
      <w:r w:rsidRPr="00FD7E86">
        <w:t>Base: Australians aged 18 and over.</w:t>
      </w:r>
      <w:r w:rsidR="00CC51DA" w:rsidRPr="00FD7E86">
        <w:t xml:space="preserve"> </w:t>
      </w:r>
    </w:p>
    <w:p w14:paraId="6474C47D" w14:textId="77777777" w:rsidR="000317E5" w:rsidRPr="00FD7E86" w:rsidRDefault="000317E5" w:rsidP="009E26DA">
      <w:pPr>
        <w:pStyle w:val="ACMANotes"/>
      </w:pPr>
      <w:r w:rsidRPr="00FD7E86">
        <w:t xml:space="preserve">Note: Relates to the use of devices to access the internet in the six months to May 2015. </w:t>
      </w:r>
    </w:p>
    <w:p w14:paraId="6EA2E977" w14:textId="77777777" w:rsidR="000317E5" w:rsidRPr="00FD7E86" w:rsidRDefault="000317E5" w:rsidP="000A7AE7">
      <w:pPr>
        <w:pStyle w:val="ACMANotes"/>
      </w:pPr>
      <w:r w:rsidRPr="00FD7E86">
        <w:t>Source: ACMA</w:t>
      </w:r>
      <w:r w:rsidR="00E51C3A" w:rsidRPr="00FD7E86">
        <w:t>-commissioned survey, May 2015.</w:t>
      </w:r>
      <w:r w:rsidR="00CC51DA" w:rsidRPr="00FD7E86">
        <w:t xml:space="preserve"> </w:t>
      </w:r>
    </w:p>
    <w:p w14:paraId="7AE3764F" w14:textId="77777777" w:rsidR="000A7AE7" w:rsidRPr="00FD7E86" w:rsidRDefault="000A7AE7" w:rsidP="001952CF">
      <w:pPr>
        <w:pStyle w:val="ACMASpaceaftertable"/>
        <w:rPr>
          <w:i/>
          <w:sz w:val="16"/>
          <w:szCs w:val="16"/>
        </w:rPr>
      </w:pPr>
    </w:p>
    <w:p w14:paraId="033EAD1D" w14:textId="77777777" w:rsidR="000317E5" w:rsidRPr="00FD7E86" w:rsidRDefault="000317E5" w:rsidP="00E51C3A">
      <w:pPr>
        <w:pStyle w:val="ACMAHeading2"/>
      </w:pPr>
      <w:bookmarkStart w:id="222" w:name="_Toc433790332"/>
      <w:r w:rsidRPr="00FD7E86">
        <w:t>Volume of data downloaded continues to increase</w:t>
      </w:r>
      <w:bookmarkEnd w:id="222"/>
    </w:p>
    <w:p w14:paraId="1683E11E" w14:textId="77777777" w:rsidR="000317E5" w:rsidRPr="00FD7E86" w:rsidRDefault="00C6703F" w:rsidP="000317E5">
      <w:pPr>
        <w:rPr>
          <w:bCs/>
        </w:rPr>
      </w:pPr>
      <w:r w:rsidRPr="00FD7E86">
        <w:rPr>
          <w:bCs/>
        </w:rPr>
        <w:t xml:space="preserve">While the take-up of mobile phones has been steady over the previous year, and the growth in take-up of internet services has slowed in recent years, the amount of data Australians consumed via these services is </w:t>
      </w:r>
      <w:r w:rsidRPr="00FD7E86">
        <w:t>increasing significantly, particularly over mobile handsets</w:t>
      </w:r>
      <w:r w:rsidR="000317E5" w:rsidRPr="00FD7E86">
        <w:t>.</w:t>
      </w:r>
      <w:r w:rsidR="000317E5" w:rsidRPr="00FD7E86">
        <w:rPr>
          <w:bCs/>
        </w:rPr>
        <w:t xml:space="preserve"> </w:t>
      </w:r>
    </w:p>
    <w:p w14:paraId="5C5FFC7D" w14:textId="77777777" w:rsidR="000317E5" w:rsidRPr="00FD7E86" w:rsidRDefault="000317E5" w:rsidP="000317E5">
      <w:r w:rsidRPr="00FD7E86">
        <w:t xml:space="preserve">The total volume of data downloaded in Australia during the June quarter of 2015 was </w:t>
      </w:r>
      <w:r w:rsidR="00E454BF" w:rsidRPr="00FD7E86">
        <w:t xml:space="preserve">41 </w:t>
      </w:r>
      <w:r w:rsidRPr="00FD7E86">
        <w:t xml:space="preserve">per cent higher than the volume downloaded during the June quarter of 2014 </w:t>
      </w:r>
      <w:r w:rsidRPr="00FD7E86">
        <w:rPr>
          <w:bCs/>
        </w:rPr>
        <w:t>(Figure 2.5)</w:t>
      </w:r>
      <w:r w:rsidRPr="00FD7E86">
        <w:t xml:space="preserve">. </w:t>
      </w:r>
    </w:p>
    <w:p w14:paraId="696627EA" w14:textId="77777777" w:rsidR="000317E5" w:rsidRPr="00FD7E86" w:rsidRDefault="00E76549" w:rsidP="001D2F67">
      <w:pPr>
        <w:spacing w:after="80"/>
      </w:pPr>
      <w:r w:rsidRPr="00FD7E86">
        <w:t xml:space="preserve">There is sizeable growth in data downloaded </w:t>
      </w:r>
      <w:r w:rsidR="00F24B76" w:rsidRPr="00FD7E86">
        <w:t xml:space="preserve">by </w:t>
      </w:r>
      <w:r w:rsidRPr="00FD7E86">
        <w:t>fixed-line broadband users, with fixed connections generally offering fast download speeds and large data plans, contributing to 9</w:t>
      </w:r>
      <w:r w:rsidR="00A95B3A" w:rsidRPr="00FD7E86">
        <w:t>1</w:t>
      </w:r>
      <w:r w:rsidRPr="00FD7E86">
        <w:t xml:space="preserve"> per cent of total growth during the June quarter to 2015. During the June quarter to 2015, the volume of data downloaded over</w:t>
      </w:r>
      <w:r w:rsidR="000317E5" w:rsidRPr="00FD7E86">
        <w:t>:</w:t>
      </w:r>
    </w:p>
    <w:p w14:paraId="0F163A6A" w14:textId="77777777" w:rsidR="000317E5" w:rsidRPr="00FD7E86" w:rsidRDefault="000317E5" w:rsidP="000E4F20">
      <w:pPr>
        <w:pStyle w:val="ListBullet"/>
      </w:pPr>
      <w:r w:rsidRPr="00FD7E86">
        <w:t xml:space="preserve">wireless broadband increased by </w:t>
      </w:r>
      <w:r w:rsidR="00E454BF" w:rsidRPr="00FD7E86">
        <w:t>18</w:t>
      </w:r>
      <w:r w:rsidRPr="00FD7E86">
        <w:t xml:space="preserve"> per cent</w:t>
      </w:r>
    </w:p>
    <w:p w14:paraId="62CBB864" w14:textId="77777777" w:rsidR="000317E5" w:rsidRPr="00FD7E86" w:rsidRDefault="000317E5" w:rsidP="000E4F20">
      <w:pPr>
        <w:pStyle w:val="ListBullet"/>
      </w:pPr>
      <w:r w:rsidRPr="00FD7E86">
        <w:t xml:space="preserve">mobile handsets increased by </w:t>
      </w:r>
      <w:r w:rsidR="00E454BF" w:rsidRPr="00FD7E86">
        <w:t>85</w:t>
      </w:r>
      <w:r w:rsidRPr="00FD7E86">
        <w:t xml:space="preserve"> per cent</w:t>
      </w:r>
    </w:p>
    <w:p w14:paraId="3C6DC3E6" w14:textId="77777777" w:rsidR="000317E5" w:rsidRPr="00FD7E86" w:rsidRDefault="000317E5" w:rsidP="000E4F20">
      <w:pPr>
        <w:pStyle w:val="ListBullet"/>
      </w:pPr>
      <w:r w:rsidRPr="00FD7E86">
        <w:t xml:space="preserve">fixed-line broadband increased by </w:t>
      </w:r>
      <w:r w:rsidR="00E454BF" w:rsidRPr="00FD7E86">
        <w:t>40</w:t>
      </w:r>
      <w:r w:rsidRPr="00FD7E86">
        <w:t xml:space="preserve"> per cent</w:t>
      </w:r>
    </w:p>
    <w:p w14:paraId="5A0113CA" w14:textId="77777777" w:rsidR="000317E5" w:rsidRPr="00FD7E86" w:rsidRDefault="000317E5" w:rsidP="000E4F20">
      <w:pPr>
        <w:pStyle w:val="ListBulletLast"/>
      </w:pPr>
      <w:r w:rsidRPr="00FD7E86">
        <w:t xml:space="preserve">dial-up decreased by </w:t>
      </w:r>
      <w:r w:rsidR="00E454BF" w:rsidRPr="00FD7E86">
        <w:t>25</w:t>
      </w:r>
      <w:r w:rsidRPr="00FD7E86">
        <w:t xml:space="preserve"> per cent.</w:t>
      </w:r>
    </w:p>
    <w:p w14:paraId="7660FFED" w14:textId="77777777" w:rsidR="000317E5" w:rsidRPr="00FD7E86" w:rsidRDefault="000317E5" w:rsidP="001D2F67">
      <w:pPr>
        <w:pStyle w:val="ACMAFigureHeader"/>
        <w:keepNext/>
        <w:numPr>
          <w:ilvl w:val="0"/>
          <w:numId w:val="0"/>
        </w:numPr>
      </w:pPr>
      <w:r w:rsidRPr="00FD7E86">
        <w:lastRenderedPageBreak/>
        <w:t>Figure 2.5 Volume of data downloaded by Australian internet users in the quarter to June (terabytes)</w:t>
      </w:r>
    </w:p>
    <w:p w14:paraId="0247153F" w14:textId="77777777" w:rsidR="000317E5" w:rsidRPr="00FD7E86" w:rsidRDefault="00251A3E" w:rsidP="00C05F4C">
      <w:pPr>
        <w:spacing w:after="0"/>
      </w:pPr>
      <w:r>
        <w:rPr>
          <w:noProof/>
        </w:rPr>
        <w:drawing>
          <wp:inline distT="0" distB="0" distL="0" distR="0" wp14:anchorId="53FB658C" wp14:editId="0DC68110">
            <wp:extent cx="5939790" cy="3804920"/>
            <wp:effectExtent l="0" t="0" r="3810" b="5080"/>
            <wp:docPr id="48" name="Picture 48" descr="A .csv file of Figure 2.5 is available on the landing page ‘Communications report 2014–15’, available from the ACMA website. " title="Figure 2.5 Volume of data downloaded by Australian internet users in the quarter to June (teraby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Chapter 2_Figure 2.5.png"/>
                    <pic:cNvPicPr/>
                  </pic:nvPicPr>
                  <pic:blipFill>
                    <a:blip r:embed="rId62">
                      <a:extLst>
                        <a:ext uri="{28A0092B-C50C-407E-A947-70E740481C1C}">
                          <a14:useLocalDpi xmlns:a14="http://schemas.microsoft.com/office/drawing/2010/main" val="0"/>
                        </a:ext>
                      </a:extLst>
                    </a:blip>
                    <a:stretch>
                      <a:fillRect/>
                    </a:stretch>
                  </pic:blipFill>
                  <pic:spPr>
                    <a:xfrm>
                      <a:off x="0" y="0"/>
                      <a:ext cx="5939790" cy="3804920"/>
                    </a:xfrm>
                    <a:prstGeom prst="rect">
                      <a:avLst/>
                    </a:prstGeom>
                  </pic:spPr>
                </pic:pic>
              </a:graphicData>
            </a:graphic>
          </wp:inline>
        </w:drawing>
      </w:r>
    </w:p>
    <w:p w14:paraId="7C06C5F5" w14:textId="77777777" w:rsidR="000317E5" w:rsidRPr="00FD7E86" w:rsidRDefault="000317E5" w:rsidP="000317E5">
      <w:pPr>
        <w:pStyle w:val="ACMANotes"/>
      </w:pPr>
      <w:r w:rsidRPr="00FD7E86">
        <w:t>*Excludes downloads via mobile phone handsets. Includes mobile wireless services using dongle, USB modems and datacards, satellite, and fixed wireless.</w:t>
      </w:r>
      <w:r w:rsidR="00E454BF" w:rsidRPr="00FD7E86">
        <w:t xml:space="preserve"> </w:t>
      </w:r>
    </w:p>
    <w:p w14:paraId="2AE5516D" w14:textId="77777777" w:rsidR="000317E5" w:rsidRPr="00FD7E86" w:rsidRDefault="000317E5" w:rsidP="000317E5">
      <w:pPr>
        <w:pStyle w:val="ACMANotes"/>
      </w:pPr>
      <w:r w:rsidRPr="00FD7E86">
        <w:t>Note: Total volume of data downloaded is based on ABS published numbers and components may not add up due to rounding. The ABS reports that ‘</w:t>
      </w:r>
      <w:r w:rsidR="00F24B76" w:rsidRPr="00FD7E86">
        <w:t xml:space="preserve">… </w:t>
      </w:r>
      <w:r w:rsidRPr="00FD7E86">
        <w:t>download data presented should only be considered an indicative measure of internet activity during the reference period.’</w:t>
      </w:r>
    </w:p>
    <w:p w14:paraId="3A719219" w14:textId="77777777" w:rsidR="000317E5" w:rsidRPr="00FD7E86" w:rsidRDefault="000317E5" w:rsidP="000A7AE7">
      <w:pPr>
        <w:pStyle w:val="ACMANotes"/>
        <w:rPr>
          <w:szCs w:val="16"/>
        </w:rPr>
      </w:pPr>
      <w:r w:rsidRPr="00FD7E86">
        <w:rPr>
          <w:szCs w:val="16"/>
        </w:rPr>
        <w:t xml:space="preserve">Source: ABS, </w:t>
      </w:r>
      <w:hyperlink r:id="rId63" w:history="1">
        <w:r w:rsidRPr="00FD7E86">
          <w:rPr>
            <w:rStyle w:val="Hyperlink"/>
            <w:szCs w:val="16"/>
          </w:rPr>
          <w:t>8153.0—Internet Activity, Australia</w:t>
        </w:r>
      </w:hyperlink>
      <w:r w:rsidRPr="00FD7E86">
        <w:rPr>
          <w:szCs w:val="16"/>
        </w:rPr>
        <w:t>, June 2015.</w:t>
      </w:r>
    </w:p>
    <w:p w14:paraId="31FE9835" w14:textId="77777777" w:rsidR="000A7AE7" w:rsidRPr="00FD7E86" w:rsidRDefault="000A7AE7" w:rsidP="00D46DE2">
      <w:pPr>
        <w:pStyle w:val="ACMASpaceaftertable"/>
        <w:rPr>
          <w:i/>
          <w:sz w:val="16"/>
          <w:szCs w:val="16"/>
        </w:rPr>
      </w:pPr>
    </w:p>
    <w:p w14:paraId="0F21FBE7" w14:textId="77777777" w:rsidR="000317E5" w:rsidRPr="00FD7E86" w:rsidRDefault="000317E5" w:rsidP="001D2F67">
      <w:pPr>
        <w:spacing w:after="80"/>
      </w:pPr>
      <w:r w:rsidRPr="00FD7E86">
        <w:rPr>
          <w:bCs/>
        </w:rPr>
        <w:t>D</w:t>
      </w:r>
      <w:r w:rsidRPr="00FD7E86">
        <w:t xml:space="preserve">uring the June quarter of 2014–15, </w:t>
      </w:r>
      <w:r w:rsidRPr="00FD7E86">
        <w:rPr>
          <w:bCs/>
        </w:rPr>
        <w:t>fixed-line broadband subscribers were downloading</w:t>
      </w:r>
      <w:r w:rsidR="00F24B76" w:rsidRPr="00FD7E86">
        <w:rPr>
          <w:bCs/>
        </w:rPr>
        <w:t>,</w:t>
      </w:r>
      <w:r w:rsidRPr="00FD7E86">
        <w:rPr>
          <w:bCs/>
        </w:rPr>
        <w:t xml:space="preserve"> on average</w:t>
      </w:r>
      <w:r w:rsidR="00F24B76" w:rsidRPr="00FD7E86">
        <w:rPr>
          <w:bCs/>
        </w:rPr>
        <w:t>,</w:t>
      </w:r>
      <w:r w:rsidRPr="00FD7E86">
        <w:rPr>
          <w:bCs/>
        </w:rPr>
        <w:t xml:space="preserve"> </w:t>
      </w:r>
      <w:r w:rsidR="00E454BF" w:rsidRPr="00FD7E86">
        <w:rPr>
          <w:bCs/>
        </w:rPr>
        <w:t>over 30</w:t>
      </w:r>
      <w:r w:rsidRPr="00FD7E86">
        <w:rPr>
          <w:bCs/>
        </w:rPr>
        <w:t xml:space="preserve"> times the amount of data compared to wireless broadband subscribers, and over </w:t>
      </w:r>
      <w:r w:rsidR="00E454BF" w:rsidRPr="00FD7E86">
        <w:rPr>
          <w:bCs/>
        </w:rPr>
        <w:t xml:space="preserve">60 </w:t>
      </w:r>
      <w:r w:rsidRPr="00FD7E86">
        <w:rPr>
          <w:bCs/>
        </w:rPr>
        <w:t xml:space="preserve">times that of mobile handset internet subscribers. </w:t>
      </w:r>
      <w:r w:rsidRPr="00FD7E86">
        <w:t>During this period, the average amount of data downloaded by a subscriber over:</w:t>
      </w:r>
    </w:p>
    <w:p w14:paraId="25C98DCF" w14:textId="77777777" w:rsidR="000317E5" w:rsidRPr="00FD7E86" w:rsidRDefault="000317E5" w:rsidP="00E51C3A">
      <w:pPr>
        <w:pStyle w:val="ListBullet"/>
      </w:pPr>
      <w:r w:rsidRPr="00FD7E86">
        <w:t xml:space="preserve">fixed-line broadband increased by </w:t>
      </w:r>
      <w:r w:rsidR="00E454BF" w:rsidRPr="00FD7E86">
        <w:t>34</w:t>
      </w:r>
      <w:r w:rsidRPr="00FD7E86">
        <w:t xml:space="preserve"> per cent to </w:t>
      </w:r>
      <w:r w:rsidR="00E454BF" w:rsidRPr="00FD7E86">
        <w:t>207</w:t>
      </w:r>
      <w:r w:rsidRPr="00FD7E86">
        <w:t xml:space="preserve"> gigabytes</w:t>
      </w:r>
    </w:p>
    <w:p w14:paraId="4051FD37" w14:textId="77777777" w:rsidR="000317E5" w:rsidRPr="00FD7E86" w:rsidRDefault="000317E5" w:rsidP="00E51C3A">
      <w:pPr>
        <w:pStyle w:val="ListBulletLast"/>
      </w:pPr>
      <w:r w:rsidRPr="00FD7E86">
        <w:t xml:space="preserve">mobile handset internet increased by </w:t>
      </w:r>
      <w:r w:rsidR="00E454BF" w:rsidRPr="00FD7E86">
        <w:t xml:space="preserve">79 </w:t>
      </w:r>
      <w:r w:rsidRPr="00FD7E86">
        <w:t xml:space="preserve">per cent to </w:t>
      </w:r>
      <w:r w:rsidR="00E454BF" w:rsidRPr="00FD7E86">
        <w:t>3.4</w:t>
      </w:r>
      <w:r w:rsidRPr="00FD7E86">
        <w:t xml:space="preserve"> gigabytes. </w:t>
      </w:r>
    </w:p>
    <w:p w14:paraId="246BF79B" w14:textId="77777777" w:rsidR="000317E5" w:rsidRPr="00FD7E86" w:rsidRDefault="000317E5" w:rsidP="000664F7">
      <w:pPr>
        <w:pStyle w:val="ACMAHeading2"/>
      </w:pPr>
      <w:bookmarkStart w:id="223" w:name="_Toc433790333"/>
      <w:r w:rsidRPr="00FD7E86">
        <w:t>Data allowance—mobile and tablet</w:t>
      </w:r>
      <w:bookmarkEnd w:id="223"/>
      <w:r w:rsidRPr="00FD7E86">
        <w:t xml:space="preserve"> </w:t>
      </w:r>
    </w:p>
    <w:p w14:paraId="5D06B9DE" w14:textId="77777777" w:rsidR="000317E5" w:rsidRPr="00FD7E86" w:rsidRDefault="000317E5" w:rsidP="000317E5">
      <w:pPr>
        <w:ind w:right="16"/>
      </w:pPr>
      <w:r w:rsidRPr="00FD7E86">
        <w:t xml:space="preserve">As noted above, Australians continued to download more data, with particularly strong growth in data downloads over mobile phone handsets. </w:t>
      </w:r>
    </w:p>
    <w:p w14:paraId="66155B34" w14:textId="77777777" w:rsidR="000317E5" w:rsidRPr="00FD7E86" w:rsidRDefault="000317E5" w:rsidP="000317E5">
      <w:pPr>
        <w:ind w:right="16"/>
      </w:pPr>
      <w:r w:rsidRPr="00FD7E86">
        <w:t xml:space="preserve">Mobile </w:t>
      </w:r>
      <w:r w:rsidR="00453A29" w:rsidRPr="00FD7E86">
        <w:t xml:space="preserve">devices </w:t>
      </w:r>
      <w:r w:rsidRPr="00FD7E86">
        <w:t>are entrenched in the lives of most Australians—94 per cent of adults use these portable devices to either send text messages or make calls. More than half (55 per cent) own or use a tablet.</w:t>
      </w:r>
      <w:r w:rsidR="00455125">
        <w:rPr>
          <w:rStyle w:val="EndnoteReference"/>
        </w:rPr>
        <w:endnoteReference w:id="47"/>
      </w:r>
      <w:r w:rsidRPr="00FD7E86">
        <w:t xml:space="preserve"> </w:t>
      </w:r>
    </w:p>
    <w:p w14:paraId="5C58C6C3" w14:textId="77777777" w:rsidR="000317E5" w:rsidRPr="00FD7E86" w:rsidRDefault="000317E5" w:rsidP="000317E5">
      <w:pPr>
        <w:ind w:right="16"/>
      </w:pPr>
      <w:r w:rsidRPr="00FD7E86">
        <w:t xml:space="preserve">In terms of monthly data allowance, for the majority of mobile phone users with a data plan, the allowance is less than two gigabytes (59 per cent). Only a small proportion of mobile phone users has an allowance of more than six gigabytes, or </w:t>
      </w:r>
      <w:r w:rsidR="00F24B76" w:rsidRPr="00FD7E86">
        <w:t xml:space="preserve">an </w:t>
      </w:r>
      <w:r w:rsidRPr="00FD7E86">
        <w:t xml:space="preserve">unlimited </w:t>
      </w:r>
      <w:r w:rsidR="00F24B76" w:rsidRPr="00FD7E86">
        <w:t xml:space="preserve">allowance </w:t>
      </w:r>
      <w:r w:rsidRPr="00FD7E86">
        <w:t xml:space="preserve">(nine per cent). </w:t>
      </w:r>
    </w:p>
    <w:p w14:paraId="54CDFDC1" w14:textId="77777777" w:rsidR="00E51C3A" w:rsidRPr="00FD7E86" w:rsidRDefault="000317E5" w:rsidP="00455125">
      <w:pPr>
        <w:keepNext/>
        <w:keepLines/>
        <w:ind w:right="17"/>
        <w:rPr>
          <w:b/>
          <w:bCs/>
          <w:color w:val="323232"/>
          <w:szCs w:val="20"/>
        </w:rPr>
      </w:pPr>
      <w:r w:rsidRPr="00FD7E86">
        <w:lastRenderedPageBreak/>
        <w:t xml:space="preserve">A different pattern </w:t>
      </w:r>
      <w:r w:rsidR="00453A29" w:rsidRPr="00FD7E86">
        <w:t xml:space="preserve">was </w:t>
      </w:r>
      <w:r w:rsidRPr="00FD7E86">
        <w:t xml:space="preserve">observed among tablet users with a data plan. A larger proportion reported </w:t>
      </w:r>
      <w:r w:rsidR="00453A29" w:rsidRPr="00FD7E86">
        <w:t>that they had a</w:t>
      </w:r>
      <w:r w:rsidRPr="00FD7E86">
        <w:t xml:space="preserve"> higher data allowances on their tablets, in comparison to mobile phone users. More than a quarter (28 per cent) of tablet users </w:t>
      </w:r>
      <w:r w:rsidR="00453A29" w:rsidRPr="00FD7E86">
        <w:t xml:space="preserve">had </w:t>
      </w:r>
      <w:r w:rsidRPr="00FD7E86">
        <w:t xml:space="preserve">an allowance of </w:t>
      </w:r>
      <w:r w:rsidR="00453A29" w:rsidRPr="00FD7E86">
        <w:t>over</w:t>
      </w:r>
      <w:r w:rsidRPr="00FD7E86">
        <w:t xml:space="preserve"> six gigabytes, or </w:t>
      </w:r>
      <w:r w:rsidR="00F24B76" w:rsidRPr="00FD7E86">
        <w:t xml:space="preserve">an </w:t>
      </w:r>
      <w:r w:rsidRPr="00FD7E86">
        <w:t xml:space="preserve">unlimited </w:t>
      </w:r>
      <w:r w:rsidR="00F24B76" w:rsidRPr="00FD7E86">
        <w:t xml:space="preserve">allowance </w:t>
      </w:r>
      <w:r w:rsidRPr="00FD7E86">
        <w:t xml:space="preserve">(Figure 2.6). </w:t>
      </w:r>
    </w:p>
    <w:p w14:paraId="7D8CC9EC" w14:textId="77777777" w:rsidR="000317E5" w:rsidRPr="00FD7E86" w:rsidRDefault="000317E5" w:rsidP="000317E5">
      <w:pPr>
        <w:pStyle w:val="ACMAFigureHeader"/>
        <w:numPr>
          <w:ilvl w:val="0"/>
          <w:numId w:val="0"/>
        </w:numPr>
      </w:pPr>
      <w:r w:rsidRPr="00FD7E86">
        <w:t>Figure 2.6 Monthly data allowance on a mobile phone and tablet, May 2015</w:t>
      </w:r>
      <w:r w:rsidR="00E51C3A" w:rsidRPr="00FD7E86">
        <w:t xml:space="preserve"> (percentage)</w:t>
      </w:r>
    </w:p>
    <w:p w14:paraId="1D2B69C2" w14:textId="77777777" w:rsidR="000317E5" w:rsidRPr="00FD7E86" w:rsidRDefault="004C71DC" w:rsidP="00C05F4C">
      <w:pPr>
        <w:pStyle w:val="ACMAFigureHeader"/>
        <w:numPr>
          <w:ilvl w:val="0"/>
          <w:numId w:val="0"/>
        </w:numPr>
        <w:spacing w:after="0"/>
      </w:pPr>
      <w:r>
        <w:rPr>
          <w:noProof/>
        </w:rPr>
        <w:drawing>
          <wp:inline distT="0" distB="0" distL="0" distR="0" wp14:anchorId="60CBB679" wp14:editId="093929BD">
            <wp:extent cx="5939790" cy="3297555"/>
            <wp:effectExtent l="0" t="0" r="0" b="0"/>
            <wp:docPr id="9" name="Picture 9" descr="A .csv file of Figure 2.6 is available on the landing page ‘Communications report 2014–15’, available from the ACMA website. " title="Figure 2.6 Monthly data allowance on a mobile phone and tablet,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hapter 2_Figure 2.6.png"/>
                    <pic:cNvPicPr/>
                  </pic:nvPicPr>
                  <pic:blipFill>
                    <a:blip r:embed="rId64">
                      <a:extLst>
                        <a:ext uri="{28A0092B-C50C-407E-A947-70E740481C1C}">
                          <a14:useLocalDpi xmlns:a14="http://schemas.microsoft.com/office/drawing/2010/main" val="0"/>
                        </a:ext>
                      </a:extLst>
                    </a:blip>
                    <a:stretch>
                      <a:fillRect/>
                    </a:stretch>
                  </pic:blipFill>
                  <pic:spPr>
                    <a:xfrm>
                      <a:off x="0" y="0"/>
                      <a:ext cx="5939790" cy="3297555"/>
                    </a:xfrm>
                    <a:prstGeom prst="rect">
                      <a:avLst/>
                    </a:prstGeom>
                  </pic:spPr>
                </pic:pic>
              </a:graphicData>
            </a:graphic>
          </wp:inline>
        </w:drawing>
      </w:r>
    </w:p>
    <w:p w14:paraId="2584F73E" w14:textId="77777777" w:rsidR="000317E5" w:rsidRPr="00FD7E86" w:rsidRDefault="000317E5" w:rsidP="009E26DA">
      <w:pPr>
        <w:pStyle w:val="ACMANotes"/>
      </w:pPr>
      <w:r w:rsidRPr="00FD7E86">
        <w:t xml:space="preserve">Base: Australians aged 18 and over with a monthly data allowance on their: </w:t>
      </w:r>
      <w:r w:rsidR="00B04548" w:rsidRPr="00FD7E86">
        <w:t>m</w:t>
      </w:r>
      <w:r w:rsidRPr="00FD7E86">
        <w:t xml:space="preserve">obile phone (n=979), </w:t>
      </w:r>
      <w:r w:rsidR="00B04548" w:rsidRPr="00FD7E86">
        <w:t>t</w:t>
      </w:r>
      <w:r w:rsidRPr="00FD7E86">
        <w:t>ablet’s broadband plan (n=111).</w:t>
      </w:r>
    </w:p>
    <w:p w14:paraId="790DCF1A" w14:textId="77777777" w:rsidR="000317E5" w:rsidRPr="00FD7E86" w:rsidRDefault="000317E5" w:rsidP="00526CBC">
      <w:pPr>
        <w:pStyle w:val="ACMANotes"/>
      </w:pPr>
      <w:r w:rsidRPr="00FD7E86">
        <w:t xml:space="preserve">Note: ‘Don’t knows’ are excluded from both categories. </w:t>
      </w:r>
    </w:p>
    <w:p w14:paraId="21CF0086" w14:textId="77777777" w:rsidR="000317E5" w:rsidRPr="00FD7E86" w:rsidRDefault="000317E5" w:rsidP="000A7AE7">
      <w:pPr>
        <w:pStyle w:val="ACMANotes"/>
      </w:pPr>
      <w:r w:rsidRPr="00FD7E86">
        <w:t>Source: ACMA</w:t>
      </w:r>
      <w:r w:rsidR="00E51C3A" w:rsidRPr="00FD7E86">
        <w:t>-commissioned survey, May 2015.</w:t>
      </w:r>
    </w:p>
    <w:p w14:paraId="1D53D3B2" w14:textId="77777777" w:rsidR="000A7AE7" w:rsidRPr="00FD7E86" w:rsidRDefault="000A7AE7" w:rsidP="00547474">
      <w:pPr>
        <w:pStyle w:val="ACMASpaceaftertable"/>
        <w:rPr>
          <w:i/>
          <w:sz w:val="16"/>
          <w:szCs w:val="16"/>
        </w:rPr>
      </w:pPr>
    </w:p>
    <w:p w14:paraId="33ED244A" w14:textId="77777777" w:rsidR="000317E5" w:rsidRPr="00FD7E86" w:rsidRDefault="000317E5" w:rsidP="000664F7">
      <w:pPr>
        <w:pStyle w:val="ACMAHeading2"/>
      </w:pPr>
      <w:bookmarkStart w:id="224" w:name="_Toc433790334"/>
      <w:r w:rsidRPr="00FD7E86">
        <w:t>Frequency of internet use</w:t>
      </w:r>
      <w:bookmarkEnd w:id="224"/>
    </w:p>
    <w:p w14:paraId="2B95EF72" w14:textId="77777777" w:rsidR="000317E5" w:rsidRPr="00FD7E86" w:rsidRDefault="000317E5" w:rsidP="000317E5">
      <w:r w:rsidRPr="00FD7E86">
        <w:t xml:space="preserve">The majority of adult Australians are frequent internet users and access the internet several times a day—12.2 million (66 per cent) went online three or more times a day as at June 2015. </w:t>
      </w:r>
    </w:p>
    <w:p w14:paraId="320FA39C" w14:textId="77777777" w:rsidR="000317E5" w:rsidRPr="00FD7E86" w:rsidRDefault="000317E5" w:rsidP="000317E5">
      <w:r w:rsidRPr="00FD7E86">
        <w:t xml:space="preserve">As illustrated in Figure 2.7, computers and mobile phones </w:t>
      </w:r>
      <w:r w:rsidR="003A56B9" w:rsidRPr="00FD7E86">
        <w:t xml:space="preserve">were </w:t>
      </w:r>
      <w:r w:rsidRPr="00FD7E86">
        <w:t>commonly used to access the internet three or more times a day (44 and 43 per cent, respectively). However, a comparatively smaller proportion of people use tablets this frequently (18 per cent).</w:t>
      </w:r>
      <w:r w:rsidR="00882E8D" w:rsidRPr="00FD7E86">
        <w:t xml:space="preserve"> </w:t>
      </w:r>
    </w:p>
    <w:p w14:paraId="1D045E2F" w14:textId="77777777" w:rsidR="000317E5" w:rsidRPr="00FD7E86" w:rsidRDefault="000317E5" w:rsidP="001D2F67">
      <w:pPr>
        <w:pStyle w:val="ACMAFigureHeader"/>
        <w:keepNext/>
        <w:numPr>
          <w:ilvl w:val="0"/>
          <w:numId w:val="0"/>
        </w:numPr>
      </w:pPr>
      <w:r w:rsidRPr="00FD7E86">
        <w:lastRenderedPageBreak/>
        <w:t xml:space="preserve">Figure 2.7 </w:t>
      </w:r>
      <w:r w:rsidR="003A56B9" w:rsidRPr="00FD7E86">
        <w:t>Australians a</w:t>
      </w:r>
      <w:r w:rsidRPr="00FD7E86">
        <w:t xml:space="preserve">ccessing </w:t>
      </w:r>
      <w:r w:rsidR="003A56B9" w:rsidRPr="00FD7E86">
        <w:t xml:space="preserve">the </w:t>
      </w:r>
      <w:r w:rsidRPr="00FD7E86">
        <w:t xml:space="preserve">internet </w:t>
      </w:r>
      <w:r w:rsidR="00F27947" w:rsidRPr="00FD7E86">
        <w:t>three</w:t>
      </w:r>
      <w:r w:rsidR="00EA1C2A" w:rsidRPr="00FD7E86">
        <w:t xml:space="preserve"> or more</w:t>
      </w:r>
      <w:r w:rsidRPr="00FD7E86">
        <w:t xml:space="preserve"> times a day, June 2015</w:t>
      </w:r>
      <w:r w:rsidR="00E51C3A" w:rsidRPr="00FD7E86">
        <w:t xml:space="preserve"> (percentage)</w:t>
      </w:r>
    </w:p>
    <w:p w14:paraId="4B9DE1A1" w14:textId="77777777" w:rsidR="000317E5" w:rsidRPr="00FD7E86" w:rsidRDefault="007D00A0" w:rsidP="00C05F4C">
      <w:pPr>
        <w:spacing w:after="0"/>
      </w:pPr>
      <w:r>
        <w:rPr>
          <w:noProof/>
        </w:rPr>
        <w:drawing>
          <wp:inline distT="0" distB="0" distL="0" distR="0" wp14:anchorId="41A1CEE1" wp14:editId="6BDE415B">
            <wp:extent cx="5939790" cy="2322830"/>
            <wp:effectExtent l="0" t="0" r="0" b="1270"/>
            <wp:docPr id="29" name="Picture 29" descr="A .csv file of Figure 2.7 is available on the landing page ‘Communications report 2014–15’, available from the ACMA website. " title="Figure 2.7 Australians accessing the internet three or more times a day, June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Chapter 2_Figure 2.7.png"/>
                    <pic:cNvPicPr/>
                  </pic:nvPicPr>
                  <pic:blipFill>
                    <a:blip r:embed="rId65">
                      <a:extLst>
                        <a:ext uri="{28A0092B-C50C-407E-A947-70E740481C1C}">
                          <a14:useLocalDpi xmlns:a14="http://schemas.microsoft.com/office/drawing/2010/main" val="0"/>
                        </a:ext>
                      </a:extLst>
                    </a:blip>
                    <a:stretch>
                      <a:fillRect/>
                    </a:stretch>
                  </pic:blipFill>
                  <pic:spPr>
                    <a:xfrm>
                      <a:off x="0" y="0"/>
                      <a:ext cx="5939790" cy="2322830"/>
                    </a:xfrm>
                    <a:prstGeom prst="rect">
                      <a:avLst/>
                    </a:prstGeom>
                  </pic:spPr>
                </pic:pic>
              </a:graphicData>
            </a:graphic>
          </wp:inline>
        </w:drawing>
      </w:r>
    </w:p>
    <w:p w14:paraId="02E5ABF1" w14:textId="77777777" w:rsidR="00C458B5" w:rsidRPr="00FD7E86" w:rsidRDefault="00C458B5" w:rsidP="00C458B5">
      <w:pPr>
        <w:pStyle w:val="ACMANotes"/>
      </w:pPr>
      <w:r w:rsidRPr="00FD7E86">
        <w:t xml:space="preserve">*‘Other device’ may include Smart TV or Xbox. </w:t>
      </w:r>
    </w:p>
    <w:p w14:paraId="4001F6D8" w14:textId="77777777" w:rsidR="000317E5" w:rsidRPr="00FD7E86" w:rsidRDefault="000317E5" w:rsidP="00C458B5">
      <w:pPr>
        <w:pStyle w:val="ACMANotes"/>
      </w:pPr>
      <w:r w:rsidRPr="00FD7E86">
        <w:t>Base: Australians aged 18 and over.</w:t>
      </w:r>
    </w:p>
    <w:p w14:paraId="2667A273" w14:textId="77777777" w:rsidR="000317E5" w:rsidRPr="00FD7E86" w:rsidRDefault="000317E5" w:rsidP="000A7AE7">
      <w:pPr>
        <w:pStyle w:val="ACMANotes"/>
        <w:rPr>
          <w:szCs w:val="16"/>
        </w:rPr>
      </w:pPr>
      <w:r w:rsidRPr="00FD7E86">
        <w:rPr>
          <w:szCs w:val="16"/>
        </w:rPr>
        <w:t>Source: Roy Mo</w:t>
      </w:r>
      <w:r w:rsidR="00E51C3A" w:rsidRPr="00FD7E86">
        <w:rPr>
          <w:szCs w:val="16"/>
        </w:rPr>
        <w:t xml:space="preserve">rgan Single Source, June 2015. </w:t>
      </w:r>
    </w:p>
    <w:p w14:paraId="70CFE86C" w14:textId="77777777" w:rsidR="00C458B5" w:rsidRPr="00FD7E86" w:rsidRDefault="00C458B5" w:rsidP="00C458B5">
      <w:pPr>
        <w:pStyle w:val="ACMASpaceaftertable"/>
      </w:pPr>
    </w:p>
    <w:p w14:paraId="73145E7C" w14:textId="77777777" w:rsidR="000317E5" w:rsidRPr="00FD7E86" w:rsidRDefault="000317E5" w:rsidP="00E51C3A">
      <w:pPr>
        <w:pStyle w:val="ACMAHeading2"/>
      </w:pPr>
      <w:bookmarkStart w:id="225" w:name="_Toc433790335"/>
      <w:r w:rsidRPr="00FD7E86">
        <w:t>Australians’ diverse use of communications services</w:t>
      </w:r>
      <w:bookmarkEnd w:id="225"/>
    </w:p>
    <w:p w14:paraId="6F79A092" w14:textId="77777777" w:rsidR="000317E5" w:rsidRPr="00FD7E86" w:rsidRDefault="000317E5" w:rsidP="000317E5">
      <w:r w:rsidRPr="00FD7E86">
        <w:t xml:space="preserve">Australians use a diverse range of communications services to fulfil their needs, most combining multiple communications technologies and services to provide flexibility to use services at any time and any place. </w:t>
      </w:r>
    </w:p>
    <w:p w14:paraId="2812060A" w14:textId="77777777" w:rsidR="005878D6" w:rsidRPr="00FD7E86" w:rsidRDefault="005878D6" w:rsidP="005878D6">
      <w:r w:rsidRPr="00FD7E86">
        <w:t xml:space="preserve">Mobile phone calls continued to be at the forefront of consumer communications activity. At May 2015, </w:t>
      </w:r>
      <w:r w:rsidR="00F9676E" w:rsidRPr="00FD7E86">
        <w:t>94</w:t>
      </w:r>
      <w:r w:rsidR="00F9676E">
        <w:t> </w:t>
      </w:r>
      <w:r w:rsidRPr="00FD7E86">
        <w:t xml:space="preserve">per cent of adult Australians said they had used a mobile phone to make a phone call in the last six months while 86 per cent of adult Australians used email. Eighty-four per cent sent an SMS from their mobile handset. </w:t>
      </w:r>
    </w:p>
    <w:p w14:paraId="567E70FE" w14:textId="77777777" w:rsidR="000317E5" w:rsidRPr="00FD7E86" w:rsidRDefault="005878D6" w:rsidP="005878D6">
      <w:pPr>
        <w:rPr>
          <w:rFonts w:cs="Arial"/>
        </w:rPr>
      </w:pPr>
      <w:r w:rsidRPr="00FD7E86">
        <w:rPr>
          <w:rFonts w:cs="Arial"/>
        </w:rPr>
        <w:t>Over-the-top (OTT) communications services such as Facebook and Twitter have shown strong and consistent growth over the past four years. At May 2015, 65 per cent of adults had used social networking communications services and 42 per cent of adult Australians had used instant messaging in the previous six months, an increase of four percentage points on the same period last year.</w:t>
      </w:r>
      <w:r w:rsidR="000317E5" w:rsidRPr="00FD7E86">
        <w:rPr>
          <w:rFonts w:cs="Arial"/>
        </w:rPr>
        <w:t xml:space="preserve"> </w:t>
      </w:r>
    </w:p>
    <w:p w14:paraId="4BC1A56D" w14:textId="77777777" w:rsidR="000317E5" w:rsidRPr="00FD7E86" w:rsidRDefault="006F15A3" w:rsidP="000317E5">
      <w:r w:rsidRPr="00FD7E86">
        <w:t xml:space="preserve">Conversely, the </w:t>
      </w:r>
      <w:r w:rsidR="000317E5" w:rsidRPr="00FD7E86">
        <w:t xml:space="preserve">use of fixed-line telephony continued to decline. At May 2015, 68 per cent of adult Australians </w:t>
      </w:r>
      <w:r w:rsidR="006A2FDE" w:rsidRPr="00FD7E86">
        <w:t xml:space="preserve">(13.07 million) </w:t>
      </w:r>
      <w:r w:rsidR="000317E5" w:rsidRPr="00FD7E86">
        <w:t>used a fixed-line telephone to make phone calls over the previous six months, down five percentage points from May 2014 (Figure 2.8).</w:t>
      </w:r>
    </w:p>
    <w:p w14:paraId="5EF428AD" w14:textId="77777777" w:rsidR="000317E5" w:rsidRPr="00FD7E86" w:rsidRDefault="000317E5" w:rsidP="001D2F67">
      <w:pPr>
        <w:pStyle w:val="ACMAFigureHeader"/>
        <w:keepNext/>
        <w:numPr>
          <w:ilvl w:val="0"/>
          <w:numId w:val="0"/>
        </w:numPr>
      </w:pPr>
      <w:r w:rsidRPr="00FD7E86">
        <w:lastRenderedPageBreak/>
        <w:t>Figure 2.8 Communications services used in the six months to May</w:t>
      </w:r>
      <w:r w:rsidR="00E51C3A" w:rsidRPr="00FD7E86">
        <w:t xml:space="preserve"> (percentage)</w:t>
      </w:r>
    </w:p>
    <w:p w14:paraId="57C96C22" w14:textId="0ACF7CEA" w:rsidR="000317E5" w:rsidRPr="00FD7E86" w:rsidRDefault="005F1038" w:rsidP="00C05F4C">
      <w:pPr>
        <w:spacing w:after="0"/>
      </w:pPr>
      <w:r>
        <w:rPr>
          <w:noProof/>
        </w:rPr>
        <w:drawing>
          <wp:inline distT="0" distB="0" distL="0" distR="0" wp14:anchorId="54F7DBF2" wp14:editId="3506EFAF">
            <wp:extent cx="5939790" cy="6987540"/>
            <wp:effectExtent l="0" t="0" r="0" b="3810"/>
            <wp:docPr id="30" name="Picture 30" descr="A .csv file of Figure 2.8 is available on the landing page ‘Communications report 2014–15’, available from the ACMA website. " title="Figure 2.8 Communications services used in the six months to May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hapter 2_Figure 2.8.png"/>
                    <pic:cNvPicPr/>
                  </pic:nvPicPr>
                  <pic:blipFill>
                    <a:blip r:embed="rId66">
                      <a:extLst>
                        <a:ext uri="{28A0092B-C50C-407E-A947-70E740481C1C}">
                          <a14:useLocalDpi xmlns:a14="http://schemas.microsoft.com/office/drawing/2010/main" val="0"/>
                        </a:ext>
                      </a:extLst>
                    </a:blip>
                    <a:stretch>
                      <a:fillRect/>
                    </a:stretch>
                  </pic:blipFill>
                  <pic:spPr>
                    <a:xfrm>
                      <a:off x="0" y="0"/>
                      <a:ext cx="5939790" cy="6987540"/>
                    </a:xfrm>
                    <a:prstGeom prst="rect">
                      <a:avLst/>
                    </a:prstGeom>
                  </pic:spPr>
                </pic:pic>
              </a:graphicData>
            </a:graphic>
          </wp:inline>
        </w:drawing>
      </w:r>
    </w:p>
    <w:p w14:paraId="654634C8" w14:textId="77777777" w:rsidR="000317E5" w:rsidRPr="00FD7E86" w:rsidRDefault="000317E5" w:rsidP="000317E5">
      <w:pPr>
        <w:pStyle w:val="ACMANotes"/>
      </w:pPr>
      <w:r w:rsidRPr="00FD7E86">
        <w:t xml:space="preserve">*Data not available prior to May 2012. </w:t>
      </w:r>
    </w:p>
    <w:p w14:paraId="5163D417" w14:textId="77777777" w:rsidR="000317E5" w:rsidRPr="00FD7E86" w:rsidRDefault="000317E5" w:rsidP="000317E5">
      <w:pPr>
        <w:pStyle w:val="ACMANotes"/>
      </w:pPr>
      <w:r w:rsidRPr="00FD7E86">
        <w:t>Base: Australians aged 18 and over.</w:t>
      </w:r>
    </w:p>
    <w:p w14:paraId="7DCC64B9" w14:textId="77777777" w:rsidR="000317E5" w:rsidRPr="00FD7E86" w:rsidRDefault="000317E5" w:rsidP="000A7AE7">
      <w:pPr>
        <w:pStyle w:val="ACMANotes"/>
      </w:pPr>
      <w:r w:rsidRPr="00FD7E86">
        <w:t>Source: ACMA-commissioned surveys, May 2011, 2012, 2013, 2014 and 2015.</w:t>
      </w:r>
    </w:p>
    <w:p w14:paraId="2540FC67" w14:textId="77777777" w:rsidR="000A7AE7" w:rsidRPr="00FD7E86" w:rsidRDefault="000A7AE7" w:rsidP="0016371D">
      <w:pPr>
        <w:pStyle w:val="ACMASpaceaftertable"/>
        <w:rPr>
          <w:i/>
          <w:sz w:val="16"/>
          <w:szCs w:val="16"/>
        </w:rPr>
      </w:pPr>
    </w:p>
    <w:p w14:paraId="491FC42C" w14:textId="77777777" w:rsidR="000317E5" w:rsidRPr="00FD7E86" w:rsidRDefault="00115E24" w:rsidP="000317E5">
      <w:r w:rsidRPr="00FD7E86">
        <w:t xml:space="preserve">In the six months to May 2015, 64 per cent of consumers used five or more separate communications services, a similar figure to that seen in 2014. </w:t>
      </w:r>
    </w:p>
    <w:p w14:paraId="62B5B422" w14:textId="77777777" w:rsidR="000317E5" w:rsidRPr="00FD7E86" w:rsidRDefault="000317E5" w:rsidP="00C05F4C">
      <w:pPr>
        <w:pStyle w:val="Captionfigure"/>
        <w:numPr>
          <w:ilvl w:val="0"/>
          <w:numId w:val="0"/>
        </w:numPr>
        <w:spacing w:after="160"/>
        <w:ind w:left="1021" w:hanging="1021"/>
      </w:pPr>
      <w:r w:rsidRPr="00FD7E86">
        <w:lastRenderedPageBreak/>
        <w:t>Figure 2.9 Number of communications services used in the six months to May</w:t>
      </w:r>
      <w:r w:rsidR="004E7751" w:rsidRPr="00FD7E86">
        <w:t xml:space="preserve"> (percentage)</w:t>
      </w:r>
    </w:p>
    <w:p w14:paraId="6FCC689F" w14:textId="77777777" w:rsidR="000317E5" w:rsidRPr="00FD7E86" w:rsidRDefault="008B382A" w:rsidP="00C05F4C">
      <w:pPr>
        <w:spacing w:after="0"/>
      </w:pPr>
      <w:r>
        <w:rPr>
          <w:noProof/>
        </w:rPr>
        <w:drawing>
          <wp:inline distT="0" distB="0" distL="0" distR="0" wp14:anchorId="104230DC" wp14:editId="4BDD3282">
            <wp:extent cx="5939790" cy="1770380"/>
            <wp:effectExtent l="0" t="0" r="0" b="0"/>
            <wp:docPr id="50" name="Picture 50" descr="A .csv file of Figure 2.9 is available on the landing page ‘Communications report 2014–15’, available from the ACMA website. " title="Figure 2.9 Number of communications services used in the six months to May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Chapter 2_Figure 2.9.png"/>
                    <pic:cNvPicPr/>
                  </pic:nvPicPr>
                  <pic:blipFill>
                    <a:blip r:embed="rId67">
                      <a:extLst>
                        <a:ext uri="{28A0092B-C50C-407E-A947-70E740481C1C}">
                          <a14:useLocalDpi xmlns:a14="http://schemas.microsoft.com/office/drawing/2010/main" val="0"/>
                        </a:ext>
                      </a:extLst>
                    </a:blip>
                    <a:stretch>
                      <a:fillRect/>
                    </a:stretch>
                  </pic:blipFill>
                  <pic:spPr>
                    <a:xfrm>
                      <a:off x="0" y="0"/>
                      <a:ext cx="5939790" cy="1770380"/>
                    </a:xfrm>
                    <a:prstGeom prst="rect">
                      <a:avLst/>
                    </a:prstGeom>
                  </pic:spPr>
                </pic:pic>
              </a:graphicData>
            </a:graphic>
          </wp:inline>
        </w:drawing>
      </w:r>
    </w:p>
    <w:p w14:paraId="0FD687A9" w14:textId="77777777" w:rsidR="000317E5" w:rsidRPr="00FD7E86" w:rsidRDefault="000317E5" w:rsidP="00EA1C2A">
      <w:pPr>
        <w:pStyle w:val="ACMANotes"/>
      </w:pPr>
      <w:r w:rsidRPr="00FD7E86">
        <w:t>Base: Australians aged 18 and over</w:t>
      </w:r>
      <w:r w:rsidR="002B4AC6" w:rsidRPr="00FD7E86">
        <w:t>.</w:t>
      </w:r>
    </w:p>
    <w:p w14:paraId="341F2773" w14:textId="77777777" w:rsidR="000317E5" w:rsidRPr="00FD7E86" w:rsidRDefault="000317E5" w:rsidP="000A7AE7">
      <w:pPr>
        <w:pStyle w:val="ACMANotes"/>
      </w:pPr>
      <w:r w:rsidRPr="00FD7E86">
        <w:t>Source: ACMA-commissioned survey</w:t>
      </w:r>
      <w:r w:rsidR="004E7751" w:rsidRPr="00FD7E86">
        <w:t xml:space="preserve">s, May 2014 and 2015. </w:t>
      </w:r>
    </w:p>
    <w:p w14:paraId="2A394470" w14:textId="77777777" w:rsidR="000A7AE7" w:rsidRPr="00FD7E86" w:rsidRDefault="000A7AE7" w:rsidP="0016371D">
      <w:pPr>
        <w:pStyle w:val="ACMASpaceaftertable"/>
        <w:rPr>
          <w:i/>
          <w:sz w:val="16"/>
          <w:szCs w:val="16"/>
        </w:rPr>
      </w:pPr>
    </w:p>
    <w:p w14:paraId="72035879" w14:textId="77777777" w:rsidR="000317E5" w:rsidRPr="00FD7E86" w:rsidRDefault="000317E5" w:rsidP="004E7751">
      <w:pPr>
        <w:pStyle w:val="ACMAHeading2"/>
      </w:pPr>
      <w:bookmarkStart w:id="226" w:name="_Toc433790336"/>
      <w:r w:rsidRPr="00FD7E86">
        <w:t>Mobile</w:t>
      </w:r>
      <w:r w:rsidR="00C011BD" w:rsidRPr="00FD7E86">
        <w:t>-</w:t>
      </w:r>
      <w:r w:rsidRPr="00FD7E86">
        <w:t>only users</w:t>
      </w:r>
      <w:bookmarkEnd w:id="226"/>
    </w:p>
    <w:p w14:paraId="0566075B" w14:textId="77777777" w:rsidR="000317E5" w:rsidRPr="00FD7E86" w:rsidRDefault="000317E5" w:rsidP="001D2F67">
      <w:r w:rsidRPr="00FD7E86">
        <w:t>The mobile phone is increasingly at the centre of online interaction and communication</w:t>
      </w:r>
      <w:r w:rsidR="00CB3AB2" w:rsidRPr="00FD7E86">
        <w:t>s,</w:t>
      </w:r>
      <w:r w:rsidRPr="00FD7E86">
        <w:t xml:space="preserve"> and its growing popularity has resulted in an increased proportion of Australian adults (29 per cent) </w:t>
      </w:r>
      <w:r w:rsidR="00CB3AB2" w:rsidRPr="00FD7E86">
        <w:t xml:space="preserve">having only </w:t>
      </w:r>
      <w:r w:rsidRPr="00FD7E86">
        <w:t>a mobile phone and no fixed-line telephone at home</w:t>
      </w:r>
      <w:r w:rsidR="007010A8" w:rsidRPr="00FD7E86">
        <w:t xml:space="preserve"> (mobile-only)</w:t>
      </w:r>
      <w:r w:rsidRPr="00FD7E86">
        <w:t xml:space="preserve">. </w:t>
      </w:r>
    </w:p>
    <w:p w14:paraId="3634E907" w14:textId="77777777" w:rsidR="000317E5" w:rsidRPr="00FD7E86" w:rsidRDefault="004E07BC" w:rsidP="001D2F67">
      <w:r w:rsidRPr="00FD7E86">
        <w:t>At June 2015, mobile-</w:t>
      </w:r>
      <w:r w:rsidR="00D35B71" w:rsidRPr="00FD7E86">
        <w:t xml:space="preserve">only use was most prevalent among adults </w:t>
      </w:r>
      <w:r w:rsidR="0006141E">
        <w:t>aged</w:t>
      </w:r>
      <w:r w:rsidR="001C2DB0" w:rsidRPr="00FD7E86">
        <w:t xml:space="preserve"> 25 to 34, with 56 per cent of </w:t>
      </w:r>
      <w:r w:rsidR="00D35B71" w:rsidRPr="00FD7E86">
        <w:t>this age group using only a mobile phone and having no fixed-line telephone at home. Those aged 18 to 24 showed the next largest prevalence, with 45 per cent of this group being mobile-only users (Figure 2.10)</w:t>
      </w:r>
      <w:r w:rsidR="001D2F67">
        <w:t>.</w:t>
      </w:r>
    </w:p>
    <w:p w14:paraId="26DC8983" w14:textId="77777777" w:rsidR="000317E5" w:rsidRPr="00FD7E86" w:rsidRDefault="000317E5" w:rsidP="001D2F67">
      <w:r w:rsidRPr="00FD7E86">
        <w:t>Older Australians continued to use fixed-line telephones, particularly those aged 65 and over—just nine per cent are mobile</w:t>
      </w:r>
      <w:r w:rsidR="00C011BD" w:rsidRPr="00FD7E86">
        <w:t>-</w:t>
      </w:r>
      <w:r w:rsidR="001D2F67">
        <w:t xml:space="preserve">only. </w:t>
      </w:r>
    </w:p>
    <w:p w14:paraId="75942381" w14:textId="77777777" w:rsidR="000317E5" w:rsidRPr="00FD7E86" w:rsidRDefault="000317E5" w:rsidP="000317E5">
      <w:pPr>
        <w:pStyle w:val="ACMAFigureHeader"/>
        <w:numPr>
          <w:ilvl w:val="0"/>
          <w:numId w:val="0"/>
        </w:numPr>
      </w:pPr>
      <w:r w:rsidRPr="00FD7E86">
        <w:t>Figure 2.10 Mobile-only users, by age, June 2015</w:t>
      </w:r>
      <w:r w:rsidR="004E7751" w:rsidRPr="00FD7E86">
        <w:t xml:space="preserve"> (percentage)</w:t>
      </w:r>
    </w:p>
    <w:p w14:paraId="4F22FF8D" w14:textId="77777777" w:rsidR="000317E5" w:rsidRPr="00FD7E86" w:rsidRDefault="00E249E6" w:rsidP="00C05F4C">
      <w:pPr>
        <w:pStyle w:val="ACMAFigureHeader"/>
        <w:numPr>
          <w:ilvl w:val="0"/>
          <w:numId w:val="0"/>
        </w:numPr>
        <w:spacing w:after="0"/>
      </w:pPr>
      <w:r>
        <w:rPr>
          <w:noProof/>
        </w:rPr>
        <w:drawing>
          <wp:inline distT="0" distB="0" distL="0" distR="0" wp14:anchorId="32E1B0B6" wp14:editId="480F4589">
            <wp:extent cx="5939790" cy="2089785"/>
            <wp:effectExtent l="0" t="0" r="0" b="0"/>
            <wp:docPr id="54" name="Picture 54" descr="A .csv file of Figure 2.10 is available on the landing page ‘Communications report 2014–15’, available from the ACMA website. " title="Figure 2.10 Mobile-only users, by age, June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Chapter 2_Figure 2.10.png"/>
                    <pic:cNvPicPr/>
                  </pic:nvPicPr>
                  <pic:blipFill>
                    <a:blip r:embed="rId68">
                      <a:extLst>
                        <a:ext uri="{28A0092B-C50C-407E-A947-70E740481C1C}">
                          <a14:useLocalDpi xmlns:a14="http://schemas.microsoft.com/office/drawing/2010/main" val="0"/>
                        </a:ext>
                      </a:extLst>
                    </a:blip>
                    <a:stretch>
                      <a:fillRect/>
                    </a:stretch>
                  </pic:blipFill>
                  <pic:spPr>
                    <a:xfrm>
                      <a:off x="0" y="0"/>
                      <a:ext cx="5939790" cy="2089785"/>
                    </a:xfrm>
                    <a:prstGeom prst="rect">
                      <a:avLst/>
                    </a:prstGeom>
                  </pic:spPr>
                </pic:pic>
              </a:graphicData>
            </a:graphic>
          </wp:inline>
        </w:drawing>
      </w:r>
    </w:p>
    <w:p w14:paraId="0CB2AF73" w14:textId="77777777" w:rsidR="000317E5" w:rsidRPr="00FD7E86" w:rsidRDefault="000317E5" w:rsidP="000317E5">
      <w:pPr>
        <w:pStyle w:val="ACMANotes"/>
      </w:pPr>
      <w:r w:rsidRPr="00FD7E86">
        <w:t xml:space="preserve">Base: Australians aged 18 and over. </w:t>
      </w:r>
    </w:p>
    <w:p w14:paraId="3E017F7B" w14:textId="77777777" w:rsidR="000317E5" w:rsidRPr="00FD7E86" w:rsidRDefault="000317E5" w:rsidP="000317E5">
      <w:pPr>
        <w:pStyle w:val="ACMANotes"/>
      </w:pPr>
      <w:r w:rsidRPr="00FD7E86">
        <w:t>Note: Relates to users of a mobile phone but no fixed-line telephone at home for the 12 months to June 2015.</w:t>
      </w:r>
      <w:r w:rsidR="004E07BC" w:rsidRPr="00FD7E86">
        <w:t xml:space="preserve"> </w:t>
      </w:r>
    </w:p>
    <w:p w14:paraId="5A846E12" w14:textId="77777777" w:rsidR="00EA1C2A" w:rsidRPr="00FD7E86" w:rsidRDefault="000317E5" w:rsidP="000A7AE7">
      <w:pPr>
        <w:pStyle w:val="ACMANotes"/>
      </w:pPr>
      <w:r w:rsidRPr="00FD7E86">
        <w:t>Source: Roy Morgan Single Source, June 2015.</w:t>
      </w:r>
      <w:r w:rsidR="004E07BC" w:rsidRPr="00FD7E86">
        <w:t xml:space="preserve"> </w:t>
      </w:r>
    </w:p>
    <w:p w14:paraId="257F80F5" w14:textId="77777777" w:rsidR="000A7AE7" w:rsidRPr="00FD7E86" w:rsidRDefault="000A7AE7" w:rsidP="000664F7">
      <w:pPr>
        <w:pStyle w:val="ACMASpaceaftertable"/>
        <w:rPr>
          <w:i/>
          <w:sz w:val="16"/>
          <w:szCs w:val="16"/>
        </w:rPr>
      </w:pPr>
    </w:p>
    <w:p w14:paraId="2782F75E" w14:textId="77777777" w:rsidR="000317E5" w:rsidRPr="00FD7E86" w:rsidRDefault="00F87755" w:rsidP="000B3AFF">
      <w:pPr>
        <w:pStyle w:val="ACMAHeading1"/>
      </w:pPr>
      <w:bookmarkStart w:id="227" w:name="_Toc433790337"/>
      <w:r w:rsidRPr="00FD7E86">
        <w:t>2.4</w:t>
      </w:r>
      <w:r w:rsidRPr="00FD7E86">
        <w:tab/>
      </w:r>
      <w:r w:rsidRPr="00FD7E86">
        <w:tab/>
      </w:r>
      <w:r w:rsidR="000317E5" w:rsidRPr="00FD7E86">
        <w:t>Use of communications services</w:t>
      </w:r>
      <w:bookmarkEnd w:id="227"/>
    </w:p>
    <w:p w14:paraId="6658AC1C" w14:textId="77777777" w:rsidR="000317E5" w:rsidRPr="00FD7E86" w:rsidRDefault="000317E5" w:rsidP="004E7751">
      <w:pPr>
        <w:pStyle w:val="ACMAHeading2"/>
      </w:pPr>
      <w:bookmarkStart w:id="228" w:name="_Toc433790338"/>
      <w:r w:rsidRPr="00FD7E86">
        <w:t>Social networking activities</w:t>
      </w:r>
      <w:bookmarkEnd w:id="228"/>
      <w:r w:rsidRPr="00FD7E86">
        <w:t xml:space="preserve"> </w:t>
      </w:r>
    </w:p>
    <w:p w14:paraId="72CF9BA4" w14:textId="77777777" w:rsidR="000317E5" w:rsidRPr="00FD7E86" w:rsidRDefault="000317E5" w:rsidP="004E7751">
      <w:r w:rsidRPr="00FD7E86">
        <w:t>The majority of online Australians aged 18 and over (72 per cent) use social networking sites (</w:t>
      </w:r>
      <w:r w:rsidR="0010217F" w:rsidRPr="00FD7E86">
        <w:t>for example</w:t>
      </w:r>
      <w:r w:rsidR="00C11EC6" w:rsidRPr="00FD7E86">
        <w:t>,</w:t>
      </w:r>
      <w:r w:rsidRPr="00FD7E86">
        <w:t xml:space="preserve"> Facebook) and the prevalence is directly linked to age. </w:t>
      </w:r>
      <w:r w:rsidR="008F1C30" w:rsidRPr="00FD7E86">
        <w:t>In the six months to May 2015, a</w:t>
      </w:r>
      <w:r w:rsidRPr="00FD7E86">
        <w:t xml:space="preserve">lmost </w:t>
      </w:r>
      <w:r w:rsidRPr="00FD7E86">
        <w:lastRenderedPageBreak/>
        <w:t>the entire group of internet users aged 18</w:t>
      </w:r>
      <w:r w:rsidR="00B51AAF" w:rsidRPr="00FD7E86">
        <w:t xml:space="preserve"> to </w:t>
      </w:r>
      <w:r w:rsidRPr="00FD7E86">
        <w:t>24 used social networking sites (99 per cent</w:t>
      </w:r>
      <w:r w:rsidR="008F1C30" w:rsidRPr="00FD7E86">
        <w:t>),</w:t>
      </w:r>
      <w:r w:rsidRPr="00FD7E86">
        <w:t xml:space="preserve"> compared to 34 per cent of internet users aged 65 and over. Females (76 per cent) are more likely to use social networking sites than males (68 per cent).</w:t>
      </w:r>
      <w:r w:rsidRPr="00FD7E86">
        <w:rPr>
          <w:vertAlign w:val="superscript"/>
        </w:rPr>
        <w:endnoteReference w:id="48"/>
      </w:r>
      <w:r w:rsidRPr="00FD7E86">
        <w:t xml:space="preserve"> </w:t>
      </w:r>
    </w:p>
    <w:p w14:paraId="2192CAE1" w14:textId="77777777" w:rsidR="000317E5" w:rsidRPr="00FD7E86" w:rsidRDefault="000317E5" w:rsidP="004E7751">
      <w:r w:rsidRPr="00FD7E86">
        <w:t xml:space="preserve">Of those </w:t>
      </w:r>
      <w:r w:rsidR="008F1C30" w:rsidRPr="00FD7E86">
        <w:t xml:space="preserve">who </w:t>
      </w:r>
      <w:r w:rsidRPr="00FD7E86">
        <w:t xml:space="preserve">use social networking sites, the majority (98 per cent) performed at least one of the specified social networking activities listed in Figure 2.11, with one in two (49 per cent) performing all five activities. Viewing others’ profiles or updates and posting a comment were the two most popular activities. </w:t>
      </w:r>
    </w:p>
    <w:p w14:paraId="177DED96" w14:textId="77777777" w:rsidR="000317E5" w:rsidRPr="00FD7E86" w:rsidRDefault="000317E5" w:rsidP="000317E5">
      <w:pPr>
        <w:pStyle w:val="ACMAFigureHeader"/>
        <w:numPr>
          <w:ilvl w:val="0"/>
          <w:numId w:val="0"/>
        </w:numPr>
      </w:pPr>
      <w:r w:rsidRPr="00FD7E86">
        <w:t xml:space="preserve">Figure 2.11 Social networking activities </w:t>
      </w:r>
      <w:r w:rsidR="008F1C30" w:rsidRPr="00FD7E86">
        <w:t xml:space="preserve">in the six months to </w:t>
      </w:r>
      <w:r w:rsidRPr="00FD7E86">
        <w:t>May 2015</w:t>
      </w:r>
      <w:r w:rsidR="004E7751" w:rsidRPr="00FD7E86">
        <w:t xml:space="preserve"> (percentage)</w:t>
      </w:r>
    </w:p>
    <w:p w14:paraId="551050C8" w14:textId="77777777" w:rsidR="000317E5" w:rsidRPr="00FD7E86" w:rsidRDefault="00F210E2" w:rsidP="00C05F4C">
      <w:pPr>
        <w:spacing w:after="0"/>
        <w:rPr>
          <w:b/>
          <w:bCs/>
          <w:color w:val="323232"/>
          <w:szCs w:val="20"/>
        </w:rPr>
      </w:pPr>
      <w:r>
        <w:rPr>
          <w:b/>
          <w:bCs/>
          <w:noProof/>
          <w:color w:val="323232"/>
          <w:szCs w:val="20"/>
        </w:rPr>
        <w:drawing>
          <wp:inline distT="0" distB="0" distL="0" distR="0" wp14:anchorId="4E4B89A4" wp14:editId="4310FA78">
            <wp:extent cx="5939790" cy="2550160"/>
            <wp:effectExtent l="0" t="0" r="0" b="0"/>
            <wp:docPr id="72" name="Picture 72" descr="A .csv file of Figure 2.11 is available on the landing page ‘Communications report 2014–15’, available from the ACMA website. " title="Figure 2.11 Social networking activities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Chapter 2_Figure 2.11.png"/>
                    <pic:cNvPicPr/>
                  </pic:nvPicPr>
                  <pic:blipFill>
                    <a:blip r:embed="rId69">
                      <a:extLst>
                        <a:ext uri="{28A0092B-C50C-407E-A947-70E740481C1C}">
                          <a14:useLocalDpi xmlns:a14="http://schemas.microsoft.com/office/drawing/2010/main" val="0"/>
                        </a:ext>
                      </a:extLst>
                    </a:blip>
                    <a:stretch>
                      <a:fillRect/>
                    </a:stretch>
                  </pic:blipFill>
                  <pic:spPr>
                    <a:xfrm>
                      <a:off x="0" y="0"/>
                      <a:ext cx="5939790" cy="2550160"/>
                    </a:xfrm>
                    <a:prstGeom prst="rect">
                      <a:avLst/>
                    </a:prstGeom>
                  </pic:spPr>
                </pic:pic>
              </a:graphicData>
            </a:graphic>
          </wp:inline>
        </w:drawing>
      </w:r>
    </w:p>
    <w:p w14:paraId="6DF7F8D2" w14:textId="77777777" w:rsidR="000317E5" w:rsidRPr="00FD7E86" w:rsidRDefault="000317E5" w:rsidP="000664F7">
      <w:pPr>
        <w:pStyle w:val="ACMANotes"/>
      </w:pPr>
      <w:r w:rsidRPr="00FD7E86">
        <w:t>Base: Australians aged 18 and over who used social networking sites in the six months to May 2015</w:t>
      </w:r>
      <w:r w:rsidRPr="00FD7E86">
        <w:tab/>
        <w:t xml:space="preserve"> (n=1,183).</w:t>
      </w:r>
    </w:p>
    <w:p w14:paraId="5D118D45" w14:textId="77777777" w:rsidR="000317E5" w:rsidRPr="00FD7E86" w:rsidRDefault="000317E5" w:rsidP="000A7AE7">
      <w:pPr>
        <w:pStyle w:val="ACMANotes"/>
      </w:pPr>
      <w:r w:rsidRPr="00FD7E86">
        <w:t xml:space="preserve">Source: ACMA-commissioned survey, May </w:t>
      </w:r>
      <w:r w:rsidR="004E7751" w:rsidRPr="00FD7E86">
        <w:t>2015.</w:t>
      </w:r>
    </w:p>
    <w:p w14:paraId="05656903" w14:textId="77777777" w:rsidR="000A7AE7" w:rsidRPr="00FD7E86" w:rsidRDefault="000A7AE7" w:rsidP="00CA72B8">
      <w:pPr>
        <w:pStyle w:val="ACMASpaceaftertable"/>
        <w:rPr>
          <w:i/>
          <w:sz w:val="16"/>
          <w:szCs w:val="16"/>
        </w:rPr>
      </w:pPr>
    </w:p>
    <w:p w14:paraId="1E7A3C82" w14:textId="77777777" w:rsidR="000317E5" w:rsidRPr="00FD7E86" w:rsidRDefault="000317E5" w:rsidP="004E7751">
      <w:pPr>
        <w:pStyle w:val="ACMAHeading2"/>
      </w:pPr>
      <w:bookmarkStart w:id="229" w:name="_Toc433790339"/>
      <w:r w:rsidRPr="00FD7E86">
        <w:t>Communications apps</w:t>
      </w:r>
      <w:bookmarkEnd w:id="229"/>
    </w:p>
    <w:p w14:paraId="52700557" w14:textId="77777777" w:rsidR="000317E5" w:rsidRPr="00FD7E86" w:rsidRDefault="009E1CAA" w:rsidP="004E7751">
      <w:r w:rsidRPr="00FD7E86">
        <w:t>Fifty-four</w:t>
      </w:r>
      <w:r w:rsidR="000317E5" w:rsidRPr="00FD7E86">
        <w:t xml:space="preserve"> per cent</w:t>
      </w:r>
      <w:r w:rsidRPr="00FD7E86">
        <w:t xml:space="preserve"> (8.74 million</w:t>
      </w:r>
      <w:r w:rsidR="000317E5" w:rsidRPr="00FD7E86">
        <w:t>) of online Australians had used an app to communicate with others online in the six months to May 2015. Those engaged in full-</w:t>
      </w:r>
      <w:r w:rsidR="00D71E35" w:rsidRPr="00FD7E86">
        <w:t>time</w:t>
      </w:r>
      <w:r w:rsidR="000317E5" w:rsidRPr="00FD7E86">
        <w:t xml:space="preserve"> or part-time work are significantly more likely to use communications apps (61 per cent) than those who are unemployed (39 per cent). </w:t>
      </w:r>
    </w:p>
    <w:p w14:paraId="2E89CAB3" w14:textId="77777777" w:rsidR="000317E5" w:rsidRPr="00FD7E86" w:rsidRDefault="000317E5" w:rsidP="004E7751">
      <w:r w:rsidRPr="00FD7E86">
        <w:t>When using apps to communicate with others, Australians prefer to send messages (49 per cent). More than a quarter of online Australians also ma</w:t>
      </w:r>
      <w:r w:rsidR="00B351F8" w:rsidRPr="00FD7E86">
        <w:t>d</w:t>
      </w:r>
      <w:r w:rsidRPr="00FD7E86">
        <w:t>e voice calls (28 per cent) and video calls (25 per cent). Sixteen per cent of Australians engage</w:t>
      </w:r>
      <w:r w:rsidR="00FE308A" w:rsidRPr="00FD7E86">
        <w:t>d</w:t>
      </w:r>
      <w:r w:rsidRPr="00FD7E86">
        <w:t xml:space="preserve"> in all three activities.</w:t>
      </w:r>
      <w:r w:rsidR="004E07BC" w:rsidRPr="00FD7E86">
        <w:t xml:space="preserve"> </w:t>
      </w:r>
    </w:p>
    <w:p w14:paraId="773204AC" w14:textId="77777777" w:rsidR="000317E5" w:rsidRPr="00FD7E86" w:rsidRDefault="000317E5" w:rsidP="004E7751">
      <w:r w:rsidRPr="00FD7E86">
        <w:t xml:space="preserve">Those aged 18 to 44 are the most active users of communications apps (Figure 2.12). </w:t>
      </w:r>
    </w:p>
    <w:p w14:paraId="54EA3DE8" w14:textId="77777777" w:rsidR="000317E5" w:rsidRPr="00FD7E86" w:rsidRDefault="000317E5" w:rsidP="001D2F67">
      <w:pPr>
        <w:pStyle w:val="ACMAFigureHeader"/>
        <w:keepNext/>
        <w:numPr>
          <w:ilvl w:val="0"/>
          <w:numId w:val="0"/>
        </w:numPr>
      </w:pPr>
      <w:r w:rsidRPr="00FD7E86">
        <w:lastRenderedPageBreak/>
        <w:t xml:space="preserve">Figure 2.12 Use of communications apps, by activity and age, </w:t>
      </w:r>
      <w:r w:rsidR="00277915" w:rsidRPr="00FD7E86">
        <w:t xml:space="preserve">in the six months to </w:t>
      </w:r>
      <w:r w:rsidRPr="00FD7E86">
        <w:t>May 2015</w:t>
      </w:r>
      <w:r w:rsidR="004E7751" w:rsidRPr="00FD7E86">
        <w:t xml:space="preserve"> (percentage)</w:t>
      </w:r>
    </w:p>
    <w:p w14:paraId="3955DE33" w14:textId="77777777" w:rsidR="000317E5" w:rsidRPr="00FD7E86" w:rsidRDefault="00C63FA2" w:rsidP="00C05F4C">
      <w:pPr>
        <w:spacing w:after="0"/>
        <w:ind w:left="1021" w:hanging="1021"/>
        <w:rPr>
          <w:b/>
          <w:bCs/>
          <w:color w:val="323232"/>
          <w:szCs w:val="20"/>
        </w:rPr>
      </w:pPr>
      <w:r>
        <w:rPr>
          <w:b/>
          <w:bCs/>
          <w:noProof/>
          <w:color w:val="323232"/>
          <w:szCs w:val="20"/>
        </w:rPr>
        <w:drawing>
          <wp:inline distT="0" distB="0" distL="0" distR="0" wp14:anchorId="7DBB1D7C" wp14:editId="3BDB9BB7">
            <wp:extent cx="5939790" cy="2325370"/>
            <wp:effectExtent l="0" t="0" r="0" b="0"/>
            <wp:docPr id="73" name="Picture 73" descr="A .csv file of Figure 2.12 is available on the landing page ‘Communications report 2014–15’, available from the ACMA website. " title="Figure 2.12 Use of communications apps, by activity and age,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Chapter 2_Figure 2.12.png"/>
                    <pic:cNvPicPr/>
                  </pic:nvPicPr>
                  <pic:blipFill>
                    <a:blip r:embed="rId70">
                      <a:extLst>
                        <a:ext uri="{28A0092B-C50C-407E-A947-70E740481C1C}">
                          <a14:useLocalDpi xmlns:a14="http://schemas.microsoft.com/office/drawing/2010/main" val="0"/>
                        </a:ext>
                      </a:extLst>
                    </a:blip>
                    <a:stretch>
                      <a:fillRect/>
                    </a:stretch>
                  </pic:blipFill>
                  <pic:spPr>
                    <a:xfrm>
                      <a:off x="0" y="0"/>
                      <a:ext cx="5939790" cy="2325370"/>
                    </a:xfrm>
                    <a:prstGeom prst="rect">
                      <a:avLst/>
                    </a:prstGeom>
                  </pic:spPr>
                </pic:pic>
              </a:graphicData>
            </a:graphic>
          </wp:inline>
        </w:drawing>
      </w:r>
    </w:p>
    <w:p w14:paraId="2E3A1A1A" w14:textId="77777777" w:rsidR="000317E5" w:rsidRPr="00FD7E86" w:rsidRDefault="000317E5" w:rsidP="000664F7">
      <w:pPr>
        <w:pStyle w:val="ACMANotes"/>
      </w:pPr>
      <w:r w:rsidRPr="00FD7E86">
        <w:t>Base: Australians aged 18 and over who accessed the internet</w:t>
      </w:r>
      <w:r w:rsidR="00277915" w:rsidRPr="00FD7E86">
        <w:t>.</w:t>
      </w:r>
    </w:p>
    <w:p w14:paraId="06082D8B" w14:textId="77777777" w:rsidR="000317E5" w:rsidRPr="00FD7E86" w:rsidRDefault="000317E5" w:rsidP="000A7AE7">
      <w:pPr>
        <w:pStyle w:val="ACMANotes"/>
      </w:pPr>
      <w:r w:rsidRPr="00FD7E86">
        <w:t xml:space="preserve">Source: ACMA-commissioned survey, May </w:t>
      </w:r>
      <w:r w:rsidR="004E7751" w:rsidRPr="00FD7E86">
        <w:t>2015.</w:t>
      </w:r>
    </w:p>
    <w:p w14:paraId="02C7D5A9" w14:textId="77777777" w:rsidR="000A7AE7" w:rsidRPr="00FD7E86" w:rsidRDefault="000A7AE7" w:rsidP="004B13BD">
      <w:pPr>
        <w:pStyle w:val="ACMASpaceaftertable"/>
        <w:rPr>
          <w:i/>
          <w:sz w:val="16"/>
          <w:szCs w:val="16"/>
        </w:rPr>
      </w:pPr>
    </w:p>
    <w:p w14:paraId="475C75A8" w14:textId="77777777" w:rsidR="000317E5" w:rsidRPr="00FD7E86" w:rsidRDefault="000317E5" w:rsidP="000664F7">
      <w:pPr>
        <w:pStyle w:val="ACMAHeading3"/>
      </w:pPr>
      <w:r w:rsidRPr="00FD7E86">
        <w:t xml:space="preserve">What communications apps are in use? </w:t>
      </w:r>
    </w:p>
    <w:p w14:paraId="411A8FE4" w14:textId="77777777" w:rsidR="000317E5" w:rsidRPr="00FD7E86" w:rsidRDefault="000317E5" w:rsidP="004E7751">
      <w:r w:rsidRPr="00FD7E86">
        <w:t>Facebook Messenger is the most preferred communications app—4</w:t>
      </w:r>
      <w:r w:rsidR="003C35D8" w:rsidRPr="00FD7E86">
        <w:t>6</w:t>
      </w:r>
      <w:r w:rsidRPr="00FD7E86">
        <w:t xml:space="preserve"> per cent of online Australians use it to either send messages or make voice or video calls (Figure 2.13). Skype is the next preferred, at 33 per cent, followed by Apple iMessage (23 per cent) and FaceTime (22 per cent). </w:t>
      </w:r>
    </w:p>
    <w:p w14:paraId="330EF0DA" w14:textId="77777777" w:rsidR="000317E5" w:rsidRPr="00FD7E86" w:rsidRDefault="000317E5" w:rsidP="004E7751">
      <w:r w:rsidRPr="00FD7E86">
        <w:t xml:space="preserve">The choice of app is influenced by age. Facebook Messenger is the most preferred communications app for those aged 18 to 54. Skype takes over as the most preferred for those aged 55 and over. </w:t>
      </w:r>
    </w:p>
    <w:p w14:paraId="5F3A988F" w14:textId="77777777" w:rsidR="000317E5" w:rsidRPr="00FD7E86" w:rsidRDefault="000317E5" w:rsidP="000317E5">
      <w:pPr>
        <w:pStyle w:val="ACMAFigureHeader"/>
        <w:numPr>
          <w:ilvl w:val="0"/>
          <w:numId w:val="0"/>
        </w:numPr>
      </w:pPr>
      <w:r w:rsidRPr="00FD7E86">
        <w:t>Figure 2.13 Top 10 communications apps</w:t>
      </w:r>
      <w:r w:rsidR="00CD0BA7" w:rsidRPr="00FD7E86">
        <w:t xml:space="preserve"> used</w:t>
      </w:r>
      <w:r w:rsidRPr="00FD7E86">
        <w:t xml:space="preserve"> </w:t>
      </w:r>
      <w:r w:rsidR="00277915" w:rsidRPr="00FD7E86">
        <w:t xml:space="preserve">in the six months to </w:t>
      </w:r>
      <w:r w:rsidRPr="00FD7E86">
        <w:t>May 2015</w:t>
      </w:r>
      <w:r w:rsidR="004E7751" w:rsidRPr="00FD7E86">
        <w:t xml:space="preserve"> (percentage)</w:t>
      </w:r>
    </w:p>
    <w:p w14:paraId="65FB9D15" w14:textId="77777777" w:rsidR="000317E5" w:rsidRPr="00FD7E86" w:rsidRDefault="004E0F4E" w:rsidP="00C05F4C">
      <w:pPr>
        <w:spacing w:after="0"/>
        <w:rPr>
          <w:b/>
          <w:bCs/>
          <w:color w:val="323232"/>
          <w:szCs w:val="20"/>
        </w:rPr>
      </w:pPr>
      <w:r>
        <w:rPr>
          <w:b/>
          <w:bCs/>
          <w:noProof/>
          <w:color w:val="323232"/>
          <w:szCs w:val="20"/>
        </w:rPr>
        <w:drawing>
          <wp:inline distT="0" distB="0" distL="0" distR="0" wp14:anchorId="22656D01" wp14:editId="29F20ED7">
            <wp:extent cx="5939790" cy="2928620"/>
            <wp:effectExtent l="0" t="0" r="0" b="5080"/>
            <wp:docPr id="74" name="Picture 74" descr="A .csv file of Figure 2.13 is available on the landing page ‘Communications report 2014–15’, available from the ACMA website. " title="Figure 2.13 Top 10 communications apps used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Chapter 2_Figure 2.13.png"/>
                    <pic:cNvPicPr/>
                  </pic:nvPicPr>
                  <pic:blipFill>
                    <a:blip r:embed="rId71">
                      <a:extLst>
                        <a:ext uri="{28A0092B-C50C-407E-A947-70E740481C1C}">
                          <a14:useLocalDpi xmlns:a14="http://schemas.microsoft.com/office/drawing/2010/main" val="0"/>
                        </a:ext>
                      </a:extLst>
                    </a:blip>
                    <a:stretch>
                      <a:fillRect/>
                    </a:stretch>
                  </pic:blipFill>
                  <pic:spPr>
                    <a:xfrm>
                      <a:off x="0" y="0"/>
                      <a:ext cx="5939790" cy="2928620"/>
                    </a:xfrm>
                    <a:prstGeom prst="rect">
                      <a:avLst/>
                    </a:prstGeom>
                  </pic:spPr>
                </pic:pic>
              </a:graphicData>
            </a:graphic>
          </wp:inline>
        </w:drawing>
      </w:r>
    </w:p>
    <w:p w14:paraId="00C6277E" w14:textId="77777777" w:rsidR="000317E5" w:rsidRPr="00FD7E86" w:rsidRDefault="000317E5" w:rsidP="000664F7">
      <w:pPr>
        <w:pStyle w:val="ACMANotes"/>
      </w:pPr>
      <w:r w:rsidRPr="00FD7E86">
        <w:t>Base: Australians aged 18 and over who accessed the internet.</w:t>
      </w:r>
    </w:p>
    <w:p w14:paraId="4CE5BFB9" w14:textId="77777777" w:rsidR="000317E5" w:rsidRPr="00FD7E86" w:rsidRDefault="000317E5" w:rsidP="000E4F20">
      <w:pPr>
        <w:pStyle w:val="ACMANotes"/>
      </w:pPr>
      <w:r w:rsidRPr="00FD7E86">
        <w:t xml:space="preserve">Source: ACMA-commissioned survey, May </w:t>
      </w:r>
      <w:r w:rsidR="004E7751" w:rsidRPr="00FD7E86">
        <w:t>2015.</w:t>
      </w:r>
    </w:p>
    <w:p w14:paraId="24F909D5" w14:textId="77777777" w:rsidR="00DD32C6" w:rsidRPr="00FD7E86" w:rsidRDefault="00DD32C6" w:rsidP="004B13BD">
      <w:pPr>
        <w:pStyle w:val="ACMASpaceaftertable"/>
        <w:rPr>
          <w:i/>
          <w:sz w:val="16"/>
          <w:szCs w:val="16"/>
        </w:rPr>
      </w:pPr>
    </w:p>
    <w:p w14:paraId="00FAE55B" w14:textId="77777777" w:rsidR="000317E5" w:rsidRPr="00FD7E86" w:rsidRDefault="00C117C7" w:rsidP="00EA1C2A">
      <w:r w:rsidRPr="00FD7E86">
        <w:lastRenderedPageBreak/>
        <w:t xml:space="preserve">At May 2015, </w:t>
      </w:r>
      <w:r w:rsidR="000317E5" w:rsidRPr="00FD7E86">
        <w:t>Australians prefer</w:t>
      </w:r>
      <w:r w:rsidRPr="00FD7E86">
        <w:t>red</w:t>
      </w:r>
      <w:r w:rsidR="000317E5" w:rsidRPr="00FD7E86">
        <w:t xml:space="preserve"> to use different apps for different type</w:t>
      </w:r>
      <w:r w:rsidR="00B2129B" w:rsidRPr="00FD7E86">
        <w:t>s</w:t>
      </w:r>
      <w:r w:rsidR="000317E5" w:rsidRPr="00FD7E86">
        <w:t xml:space="preserve"> of communication</w:t>
      </w:r>
      <w:r w:rsidR="005678D1" w:rsidRPr="00FD7E86">
        <w:t>s</w:t>
      </w:r>
      <w:r w:rsidR="000317E5" w:rsidRPr="00FD7E86">
        <w:t xml:space="preserve"> activit</w:t>
      </w:r>
      <w:r w:rsidR="005678D1" w:rsidRPr="00FD7E86">
        <w:t>ies</w:t>
      </w:r>
      <w:r w:rsidR="000317E5" w:rsidRPr="00FD7E86">
        <w:t xml:space="preserve"> (Figure 2.14). Facebook Messenger </w:t>
      </w:r>
      <w:r w:rsidRPr="00FD7E86">
        <w:t xml:space="preserve">was </w:t>
      </w:r>
      <w:r w:rsidR="000317E5" w:rsidRPr="00FD7E86">
        <w:t xml:space="preserve">by far the most popular app to send messages, preferred by 45 per cent of online Australians. Skype </w:t>
      </w:r>
      <w:r w:rsidRPr="00FD7E86">
        <w:t>w</w:t>
      </w:r>
      <w:r w:rsidR="003304F1" w:rsidRPr="00FD7E86">
        <w:t>as</w:t>
      </w:r>
      <w:r w:rsidRPr="00FD7E86">
        <w:t xml:space="preserve"> </w:t>
      </w:r>
      <w:r w:rsidR="000317E5" w:rsidRPr="00FD7E86">
        <w:t xml:space="preserve">the most used app for voice and video calls—26 and 22 per cent, respectively. </w:t>
      </w:r>
    </w:p>
    <w:p w14:paraId="343D97A5" w14:textId="77777777" w:rsidR="000317E5" w:rsidRPr="00FD7E86" w:rsidRDefault="000317E5" w:rsidP="000664F7">
      <w:pPr>
        <w:pStyle w:val="ACMAFigureHeader"/>
        <w:numPr>
          <w:ilvl w:val="0"/>
          <w:numId w:val="0"/>
        </w:numPr>
        <w:ind w:left="1021" w:hanging="1021"/>
      </w:pPr>
      <w:r w:rsidRPr="00FD7E86">
        <w:t xml:space="preserve">Figure 2.14 Top 10 communications apps, by activity, </w:t>
      </w:r>
      <w:r w:rsidR="00277915" w:rsidRPr="00FD7E86">
        <w:t xml:space="preserve">in the six months to </w:t>
      </w:r>
      <w:r w:rsidRPr="00FD7E86">
        <w:t>May 2015</w:t>
      </w:r>
      <w:r w:rsidR="00C74194" w:rsidRPr="00FD7E86">
        <w:t xml:space="preserve"> (percentage)</w:t>
      </w:r>
    </w:p>
    <w:p w14:paraId="39EF68A3" w14:textId="77777777" w:rsidR="000317E5" w:rsidRPr="00FD7E86" w:rsidRDefault="00B43744" w:rsidP="00C05F4C">
      <w:pPr>
        <w:spacing w:after="0"/>
        <w:rPr>
          <w:b/>
          <w:bCs/>
          <w:color w:val="323232"/>
          <w:szCs w:val="20"/>
        </w:rPr>
      </w:pPr>
      <w:r>
        <w:rPr>
          <w:b/>
          <w:bCs/>
          <w:noProof/>
          <w:color w:val="323232"/>
          <w:szCs w:val="20"/>
        </w:rPr>
        <w:drawing>
          <wp:inline distT="0" distB="0" distL="0" distR="0" wp14:anchorId="0DB08DB4" wp14:editId="52B520FE">
            <wp:extent cx="5939790" cy="3199130"/>
            <wp:effectExtent l="0" t="0" r="0" b="1270"/>
            <wp:docPr id="75" name="Picture 75" descr="A .csv file of Figure 2.14 is available on the landing page ‘Communications report 2014–15’, available from the ACMA website. " title="Figure 2.14 Top 10 communications apps, by activity,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Chapter 2_Figure 2.14.png"/>
                    <pic:cNvPicPr/>
                  </pic:nvPicPr>
                  <pic:blipFill>
                    <a:blip r:embed="rId72">
                      <a:extLst>
                        <a:ext uri="{28A0092B-C50C-407E-A947-70E740481C1C}">
                          <a14:useLocalDpi xmlns:a14="http://schemas.microsoft.com/office/drawing/2010/main" val="0"/>
                        </a:ext>
                      </a:extLst>
                    </a:blip>
                    <a:stretch>
                      <a:fillRect/>
                    </a:stretch>
                  </pic:blipFill>
                  <pic:spPr>
                    <a:xfrm>
                      <a:off x="0" y="0"/>
                      <a:ext cx="5939790" cy="3199130"/>
                    </a:xfrm>
                    <a:prstGeom prst="rect">
                      <a:avLst/>
                    </a:prstGeom>
                  </pic:spPr>
                </pic:pic>
              </a:graphicData>
            </a:graphic>
          </wp:inline>
        </w:drawing>
      </w:r>
    </w:p>
    <w:p w14:paraId="308E1670" w14:textId="77777777" w:rsidR="000317E5" w:rsidRPr="00FD7E86" w:rsidRDefault="000317E5" w:rsidP="000664F7">
      <w:pPr>
        <w:pStyle w:val="ACMANotes"/>
      </w:pPr>
      <w:r w:rsidRPr="00FD7E86">
        <w:t xml:space="preserve">*&lt;0.5 per cent. </w:t>
      </w:r>
    </w:p>
    <w:p w14:paraId="55FF80FB" w14:textId="77777777" w:rsidR="000317E5" w:rsidRPr="00FD7E86" w:rsidRDefault="000317E5" w:rsidP="000664F7">
      <w:pPr>
        <w:pStyle w:val="ACMANotes"/>
      </w:pPr>
      <w:r w:rsidRPr="00FD7E86">
        <w:t>Base: Australians aged 18 and over who accessed the internet</w:t>
      </w:r>
      <w:r w:rsidR="00277915" w:rsidRPr="00FD7E86">
        <w:t>.</w:t>
      </w:r>
    </w:p>
    <w:p w14:paraId="46040329" w14:textId="77777777" w:rsidR="000317E5" w:rsidRPr="00FD7E86" w:rsidRDefault="000317E5" w:rsidP="000A7AE7">
      <w:pPr>
        <w:pStyle w:val="ACMANotes"/>
      </w:pPr>
      <w:r w:rsidRPr="00FD7E86">
        <w:t>Source: ACMA-commissioned survey, May 2015.</w:t>
      </w:r>
    </w:p>
    <w:p w14:paraId="22FA1DE7" w14:textId="77777777" w:rsidR="000A7AE7" w:rsidRPr="00FD7E86" w:rsidRDefault="000A7AE7" w:rsidP="003A5FD7">
      <w:pPr>
        <w:pStyle w:val="ACMASpaceaftertable"/>
        <w:rPr>
          <w:i/>
          <w:sz w:val="16"/>
          <w:szCs w:val="16"/>
        </w:rPr>
      </w:pPr>
    </w:p>
    <w:p w14:paraId="7059F0DF" w14:textId="77777777" w:rsidR="000317E5" w:rsidRPr="00FD7E86" w:rsidRDefault="000317E5" w:rsidP="000664F7">
      <w:pPr>
        <w:pStyle w:val="ACMAHeading3"/>
      </w:pPr>
      <w:r w:rsidRPr="00FD7E86">
        <w:t>What devices are used for apps?</w:t>
      </w:r>
    </w:p>
    <w:p w14:paraId="457A7F91" w14:textId="77777777" w:rsidR="000317E5" w:rsidRPr="00FD7E86" w:rsidRDefault="000317E5" w:rsidP="004E7751">
      <w:r w:rsidRPr="00FD7E86">
        <w:t>Australians prefer to use a mobile phone when communicating with others using apps. It is the most preferred device for all three kinds of communications—voice calls, video calls and messages. Tablets are the next preferred device for communicating online via apps (Figure 2.15).</w:t>
      </w:r>
    </w:p>
    <w:p w14:paraId="077CAE87" w14:textId="77777777" w:rsidR="000317E5" w:rsidRPr="00FD7E86" w:rsidRDefault="000317E5" w:rsidP="004E7751">
      <w:r w:rsidRPr="00FD7E86">
        <w:t>For adults under 65 years of age, the mobile phone is the most preferred device to make voice calls and send messages with apps. However, a different pattern is observed among those aged 65 and over—this age group almost equally prefer</w:t>
      </w:r>
      <w:r w:rsidR="00D71E35" w:rsidRPr="00FD7E86">
        <w:t>s</w:t>
      </w:r>
      <w:r w:rsidRPr="00FD7E86">
        <w:t xml:space="preserve"> to use both a mobile phone and tablet for voice calls and messages with apps.</w:t>
      </w:r>
      <w:r w:rsidR="004E07BC" w:rsidRPr="00FD7E86">
        <w:t xml:space="preserve"> </w:t>
      </w:r>
    </w:p>
    <w:p w14:paraId="55402425" w14:textId="77777777" w:rsidR="000317E5" w:rsidRPr="00FD7E86" w:rsidRDefault="000317E5" w:rsidP="001D2F67">
      <w:pPr>
        <w:pStyle w:val="ACMAFigureHeader"/>
        <w:keepNext/>
        <w:numPr>
          <w:ilvl w:val="0"/>
          <w:numId w:val="0"/>
        </w:numPr>
      </w:pPr>
      <w:r w:rsidRPr="00FD7E86">
        <w:lastRenderedPageBreak/>
        <w:t>Figure 2.15 App use by device and communication</w:t>
      </w:r>
      <w:r w:rsidR="0021038D" w:rsidRPr="00FD7E86">
        <w:t>s</w:t>
      </w:r>
      <w:r w:rsidRPr="00FD7E86">
        <w:t xml:space="preserve"> activity</w:t>
      </w:r>
      <w:r w:rsidR="00277915" w:rsidRPr="00FD7E86">
        <w:t xml:space="preserve"> in the six months to</w:t>
      </w:r>
      <w:r w:rsidRPr="00FD7E86">
        <w:t xml:space="preserve"> May 2015</w:t>
      </w:r>
      <w:r w:rsidR="00C74194" w:rsidRPr="00FD7E86">
        <w:t xml:space="preserve"> (percentage)</w:t>
      </w:r>
    </w:p>
    <w:p w14:paraId="18B774A3" w14:textId="77777777" w:rsidR="000317E5" w:rsidRPr="00FD7E86" w:rsidRDefault="00F62D9D" w:rsidP="000317E5">
      <w:pPr>
        <w:spacing w:after="0"/>
        <w:ind w:left="1021" w:hanging="1021"/>
        <w:rPr>
          <w:b/>
          <w:bCs/>
          <w:color w:val="323232"/>
          <w:szCs w:val="20"/>
        </w:rPr>
      </w:pPr>
      <w:r>
        <w:rPr>
          <w:b/>
          <w:bCs/>
          <w:noProof/>
          <w:color w:val="323232"/>
          <w:szCs w:val="20"/>
        </w:rPr>
        <w:drawing>
          <wp:inline distT="0" distB="0" distL="0" distR="0" wp14:anchorId="267E2B55" wp14:editId="50D26FCC">
            <wp:extent cx="5939790" cy="1875790"/>
            <wp:effectExtent l="0" t="0" r="0" b="0"/>
            <wp:docPr id="83" name="Picture 83" descr="A .csv file of Figure 2.15 is available on the landing page ‘Communications report 2014–15’, available from the ACMA website. " title="Figure 2.15 App use by device and communications activity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Chapter 2_Figure 2.15.png"/>
                    <pic:cNvPicPr/>
                  </pic:nvPicPr>
                  <pic:blipFill>
                    <a:blip r:embed="rId73">
                      <a:extLst>
                        <a:ext uri="{28A0092B-C50C-407E-A947-70E740481C1C}">
                          <a14:useLocalDpi xmlns:a14="http://schemas.microsoft.com/office/drawing/2010/main" val="0"/>
                        </a:ext>
                      </a:extLst>
                    </a:blip>
                    <a:stretch>
                      <a:fillRect/>
                    </a:stretch>
                  </pic:blipFill>
                  <pic:spPr>
                    <a:xfrm>
                      <a:off x="0" y="0"/>
                      <a:ext cx="5939790" cy="1875790"/>
                    </a:xfrm>
                    <a:prstGeom prst="rect">
                      <a:avLst/>
                    </a:prstGeom>
                  </pic:spPr>
                </pic:pic>
              </a:graphicData>
            </a:graphic>
          </wp:inline>
        </w:drawing>
      </w:r>
    </w:p>
    <w:p w14:paraId="510258D8" w14:textId="77777777" w:rsidR="000317E5" w:rsidRPr="00FD7E86" w:rsidRDefault="000317E5" w:rsidP="000664F7">
      <w:pPr>
        <w:pStyle w:val="ACMANotes"/>
      </w:pPr>
      <w:r w:rsidRPr="00FD7E86">
        <w:t>*Data not applicable.</w:t>
      </w:r>
    </w:p>
    <w:p w14:paraId="6217492F" w14:textId="77777777" w:rsidR="000317E5" w:rsidRPr="00FD7E86" w:rsidRDefault="000317E5" w:rsidP="000664F7">
      <w:pPr>
        <w:pStyle w:val="ACMANotes"/>
      </w:pPr>
      <w:r w:rsidRPr="00FD7E86">
        <w:t xml:space="preserve">Base: Australians aged 18 and over who undertook the following activity: </w:t>
      </w:r>
      <w:r w:rsidR="00B51AAF" w:rsidRPr="00FD7E86">
        <w:t>s</w:t>
      </w:r>
      <w:r w:rsidRPr="00FD7E86">
        <w:t xml:space="preserve">end messages (n=1,015), </w:t>
      </w:r>
      <w:r w:rsidR="00B51AAF" w:rsidRPr="00FD7E86">
        <w:t>v</w:t>
      </w:r>
      <w:r w:rsidRPr="00FD7E86">
        <w:t xml:space="preserve">oice calls (n=757), </w:t>
      </w:r>
      <w:r w:rsidR="00B51AAF" w:rsidRPr="00FD7E86">
        <w:t>v</w:t>
      </w:r>
      <w:r w:rsidRPr="00FD7E86">
        <w:t>ideo calls (n=497).</w:t>
      </w:r>
    </w:p>
    <w:p w14:paraId="325F6D70" w14:textId="77777777" w:rsidR="000317E5" w:rsidRPr="00FD7E86" w:rsidRDefault="000317E5" w:rsidP="000A7AE7">
      <w:pPr>
        <w:pStyle w:val="ACMANotes"/>
      </w:pPr>
      <w:r w:rsidRPr="00FD7E86">
        <w:t>Source: ACMA-commissioned survey, May 2015.</w:t>
      </w:r>
    </w:p>
    <w:p w14:paraId="11F6219B" w14:textId="77777777" w:rsidR="000A7AE7" w:rsidRPr="00FD7E86" w:rsidRDefault="000A7AE7" w:rsidP="00DB47D3">
      <w:pPr>
        <w:pStyle w:val="ACMASpaceaftertable"/>
        <w:rPr>
          <w:i/>
          <w:sz w:val="16"/>
          <w:szCs w:val="16"/>
        </w:rPr>
      </w:pPr>
    </w:p>
    <w:p w14:paraId="2A73E877" w14:textId="77777777" w:rsidR="000317E5" w:rsidRPr="00FD7E86" w:rsidRDefault="000317E5" w:rsidP="004E7751">
      <w:pPr>
        <w:pStyle w:val="ACMAHeading2"/>
      </w:pPr>
      <w:bookmarkStart w:id="230" w:name="_Toc433790340"/>
      <w:r w:rsidRPr="00FD7E86">
        <w:t>Performing activities online</w:t>
      </w:r>
      <w:bookmarkEnd w:id="230"/>
    </w:p>
    <w:p w14:paraId="3BA9D6B3" w14:textId="77777777" w:rsidR="000317E5" w:rsidRPr="00FD7E86" w:rsidRDefault="000317E5" w:rsidP="000317E5">
      <w:r w:rsidRPr="00FD7E86">
        <w:t>Further confirmation of Australians’ growing online engagement is reflected in the number of activities undertaken online and high levels of take-up of a range of activities.</w:t>
      </w:r>
      <w:r w:rsidR="004E07BC" w:rsidRPr="00FD7E86">
        <w:t xml:space="preserve"> </w:t>
      </w:r>
    </w:p>
    <w:p w14:paraId="7D9E7714" w14:textId="77777777" w:rsidR="000317E5" w:rsidRPr="00FD7E86" w:rsidRDefault="000317E5" w:rsidP="001D2F67">
      <w:pPr>
        <w:spacing w:after="80"/>
      </w:pPr>
      <w:r w:rsidRPr="00FD7E86">
        <w:t>At June 2015, half of Australia’s adult population (50 per cent) undertook five or more online activities in the previous four weeks</w:t>
      </w:r>
      <w:r w:rsidR="00703BB6" w:rsidRPr="00FD7E86">
        <w:t>.</w:t>
      </w:r>
      <w:r w:rsidRPr="00FD7E86">
        <w:rPr>
          <w:rStyle w:val="EndnoteReference"/>
        </w:rPr>
        <w:endnoteReference w:id="49"/>
      </w:r>
      <w:r w:rsidRPr="00FD7E86">
        <w:t xml:space="preserve"> </w:t>
      </w:r>
      <w:r w:rsidR="00703BB6" w:rsidRPr="00FD7E86">
        <w:t>Australians</w:t>
      </w:r>
      <w:r w:rsidRPr="00FD7E86">
        <w:t xml:space="preserve"> continued to participate in a range of diverse online activities in significant proportions with more than 50 per cent of online Australian adults using the internet to:</w:t>
      </w:r>
    </w:p>
    <w:p w14:paraId="434B233E" w14:textId="77777777" w:rsidR="000317E5" w:rsidRPr="00FD7E86" w:rsidRDefault="000317E5" w:rsidP="000317E5">
      <w:pPr>
        <w:pStyle w:val="ListBullet"/>
      </w:pPr>
      <w:r w:rsidRPr="00FD7E86">
        <w:t>access video content (66 per cent)</w:t>
      </w:r>
    </w:p>
    <w:p w14:paraId="3493C76F" w14:textId="77777777" w:rsidR="000317E5" w:rsidRPr="00FD7E86" w:rsidRDefault="000317E5" w:rsidP="000317E5">
      <w:pPr>
        <w:pStyle w:val="ListBullet"/>
      </w:pPr>
      <w:r w:rsidRPr="00FD7E86">
        <w:t>buy or sell goods or services (60 per cent)</w:t>
      </w:r>
    </w:p>
    <w:p w14:paraId="2456B2DC" w14:textId="77777777" w:rsidR="000317E5" w:rsidRPr="00FD7E86" w:rsidRDefault="000317E5" w:rsidP="000E4F20">
      <w:pPr>
        <w:pStyle w:val="ListBulletLast"/>
      </w:pPr>
      <w:r w:rsidRPr="00FD7E86">
        <w:t>work or study from home (59 per cent)</w:t>
      </w:r>
      <w:r w:rsidR="00703BB6" w:rsidRPr="00FD7E86">
        <w:t>.</w:t>
      </w:r>
    </w:p>
    <w:p w14:paraId="2D186AFA" w14:textId="77777777" w:rsidR="00956040" w:rsidRPr="00FD7E86" w:rsidDel="0027564A" w:rsidRDefault="00956040" w:rsidP="000E4F20">
      <w:r w:rsidRPr="00FD7E86">
        <w:t>Fifty-two per cent of Australians (8.73 million) accessed audio online in the previous four weeks.</w:t>
      </w:r>
      <w:r w:rsidR="004E07BC" w:rsidRPr="00FD7E86">
        <w:t xml:space="preserve"> </w:t>
      </w:r>
    </w:p>
    <w:p w14:paraId="1CCCD67C" w14:textId="77777777" w:rsidR="000317E5" w:rsidRPr="00FD7E86" w:rsidRDefault="000317E5" w:rsidP="000317E5">
      <w:r w:rsidRPr="00FD7E86">
        <w:t xml:space="preserve">Figure 2.16 shows </w:t>
      </w:r>
      <w:r w:rsidR="00703BB6" w:rsidRPr="00FD7E86">
        <w:t xml:space="preserve">that </w:t>
      </w:r>
      <w:r w:rsidRPr="00FD7E86">
        <w:t xml:space="preserve">the three most popular online activities for Australian adult internet users at May 2015 were sending and receiving email (95 per cent), using the internet to research or gather information (93 per cent), and general internet browsing (91 per cent). These traditional online activities </w:t>
      </w:r>
      <w:r w:rsidR="00617158" w:rsidRPr="00FD7E86">
        <w:t xml:space="preserve">indicate </w:t>
      </w:r>
      <w:r w:rsidRPr="00FD7E86">
        <w:t xml:space="preserve">generally high levels of engagement across all age groups. Almost nine in </w:t>
      </w:r>
      <w:r w:rsidR="00277915" w:rsidRPr="00FD7E86">
        <w:t xml:space="preserve">10 </w:t>
      </w:r>
      <w:r w:rsidRPr="00FD7E86">
        <w:t>(88 per cent) internet users aged 65 and over communicated using email</w:t>
      </w:r>
      <w:r w:rsidR="00277915" w:rsidRPr="00FD7E86">
        <w:t>—</w:t>
      </w:r>
      <w:r w:rsidRPr="00FD7E86">
        <w:t>this represents 2.1 million people (at May 2015).</w:t>
      </w:r>
      <w:r w:rsidR="004E07BC" w:rsidRPr="00FD7E86">
        <w:t xml:space="preserve"> </w:t>
      </w:r>
    </w:p>
    <w:p w14:paraId="794D0878" w14:textId="77777777" w:rsidR="000317E5" w:rsidRPr="00FD7E86" w:rsidRDefault="000317E5" w:rsidP="001D2F67">
      <w:pPr>
        <w:spacing w:after="80"/>
      </w:pPr>
      <w:r w:rsidRPr="00FD7E86">
        <w:t>Seven in every 10 online Australians, or more, used the internet to:</w:t>
      </w:r>
    </w:p>
    <w:p w14:paraId="1B4AD0FE" w14:textId="77777777" w:rsidR="000317E5" w:rsidRPr="00FD7E86" w:rsidRDefault="000317E5" w:rsidP="000317E5">
      <w:pPr>
        <w:pStyle w:val="ListBullet"/>
      </w:pPr>
      <w:r w:rsidRPr="00FD7E86">
        <w:t>access government websites (71 per cent)</w:t>
      </w:r>
    </w:p>
    <w:p w14:paraId="20405B3F" w14:textId="77777777" w:rsidR="000317E5" w:rsidRPr="00FD7E86" w:rsidRDefault="000317E5" w:rsidP="000317E5">
      <w:pPr>
        <w:pStyle w:val="ListBullet"/>
      </w:pPr>
      <w:r w:rsidRPr="00FD7E86">
        <w:t>use social networking sites (72 per cent)</w:t>
      </w:r>
    </w:p>
    <w:p w14:paraId="5FF9317D" w14:textId="77777777" w:rsidR="000317E5" w:rsidRPr="00FD7E86" w:rsidRDefault="000317E5" w:rsidP="004E7751">
      <w:pPr>
        <w:pStyle w:val="ListBulletLast"/>
      </w:pPr>
      <w:r w:rsidRPr="00FD7E86">
        <w:t>do banking or pay bills (77 per cent).</w:t>
      </w:r>
    </w:p>
    <w:p w14:paraId="75EC6BB0" w14:textId="77777777" w:rsidR="000317E5" w:rsidRPr="00FD7E86" w:rsidRDefault="000317E5" w:rsidP="001D2F67">
      <w:pPr>
        <w:pStyle w:val="ACMAFigureHeader"/>
        <w:keepNext/>
        <w:numPr>
          <w:ilvl w:val="0"/>
          <w:numId w:val="0"/>
        </w:numPr>
      </w:pPr>
      <w:r w:rsidRPr="00FD7E86">
        <w:lastRenderedPageBreak/>
        <w:t>Figure 2.16 Performing activities online, six months to May 2015</w:t>
      </w:r>
      <w:r w:rsidR="004E7751" w:rsidRPr="00FD7E86">
        <w:t xml:space="preserve"> (percentage)</w:t>
      </w:r>
    </w:p>
    <w:p w14:paraId="09EC32A1" w14:textId="77777777" w:rsidR="000317E5" w:rsidRPr="00FD7E86" w:rsidRDefault="0016792F" w:rsidP="004E7751">
      <w:pPr>
        <w:spacing w:after="0"/>
      </w:pPr>
      <w:r>
        <w:rPr>
          <w:noProof/>
        </w:rPr>
        <w:drawing>
          <wp:inline distT="0" distB="0" distL="0" distR="0" wp14:anchorId="2F9B72A7" wp14:editId="56E182DA">
            <wp:extent cx="5939790" cy="4117975"/>
            <wp:effectExtent l="0" t="0" r="0" b="0"/>
            <wp:docPr id="35" name="Picture 35" descr="A .csv file of Figure 2.16 is available on the landing page ‘Communications report 2014–15’, available from the ACMA website. " title="Figure 2.16 Performing activities onlin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Chapter 2_Figure 2.16.png"/>
                    <pic:cNvPicPr/>
                  </pic:nvPicPr>
                  <pic:blipFill>
                    <a:blip r:embed="rId74">
                      <a:extLst>
                        <a:ext uri="{28A0092B-C50C-407E-A947-70E740481C1C}">
                          <a14:useLocalDpi xmlns:a14="http://schemas.microsoft.com/office/drawing/2010/main" val="0"/>
                        </a:ext>
                      </a:extLst>
                    </a:blip>
                    <a:stretch>
                      <a:fillRect/>
                    </a:stretch>
                  </pic:blipFill>
                  <pic:spPr>
                    <a:xfrm>
                      <a:off x="0" y="0"/>
                      <a:ext cx="5939790" cy="4117975"/>
                    </a:xfrm>
                    <a:prstGeom prst="rect">
                      <a:avLst/>
                    </a:prstGeom>
                  </pic:spPr>
                </pic:pic>
              </a:graphicData>
            </a:graphic>
          </wp:inline>
        </w:drawing>
      </w:r>
    </w:p>
    <w:p w14:paraId="455F0F59" w14:textId="77777777" w:rsidR="000317E5" w:rsidRPr="00FD7E86" w:rsidRDefault="000317E5" w:rsidP="00EA1C2A">
      <w:pPr>
        <w:pStyle w:val="ACMANotes"/>
      </w:pPr>
      <w:r w:rsidRPr="00FD7E86">
        <w:t>Base: Australian</w:t>
      </w:r>
      <w:r w:rsidR="00277915" w:rsidRPr="00FD7E86">
        <w:t>s aged 18 and over who accessed the</w:t>
      </w:r>
      <w:r w:rsidRPr="00FD7E86">
        <w:t xml:space="preserve"> interne</w:t>
      </w:r>
      <w:r w:rsidR="00277915" w:rsidRPr="00FD7E86">
        <w:t>t</w:t>
      </w:r>
      <w:r w:rsidRPr="00FD7E86">
        <w:t>.</w:t>
      </w:r>
    </w:p>
    <w:p w14:paraId="6ADCA065" w14:textId="77777777" w:rsidR="000317E5" w:rsidRPr="00FD7E86" w:rsidRDefault="000317E5" w:rsidP="000A7AE7">
      <w:pPr>
        <w:pStyle w:val="ACMANotes"/>
      </w:pPr>
      <w:r w:rsidRPr="00FD7E86">
        <w:t>Source: ACMA-commissioned survey, 2015.</w:t>
      </w:r>
    </w:p>
    <w:p w14:paraId="2D024571" w14:textId="77777777" w:rsidR="000A7AE7" w:rsidRPr="00FD7E86" w:rsidRDefault="000A7AE7" w:rsidP="00DB47D3">
      <w:pPr>
        <w:pStyle w:val="ACMASpaceaftertable"/>
        <w:rPr>
          <w:i/>
          <w:sz w:val="16"/>
          <w:szCs w:val="16"/>
        </w:rPr>
      </w:pPr>
    </w:p>
    <w:p w14:paraId="4B2ED88A" w14:textId="77777777" w:rsidR="000317E5" w:rsidRPr="00FD7E86" w:rsidRDefault="000317E5" w:rsidP="000664F7">
      <w:pPr>
        <w:pStyle w:val="ACMAHeading3"/>
      </w:pPr>
      <w:r w:rsidRPr="00FD7E86">
        <w:t>Online audio and video</w:t>
      </w:r>
    </w:p>
    <w:p w14:paraId="5F3613D4" w14:textId="77777777" w:rsidR="000317E5" w:rsidRPr="00FD7E86" w:rsidRDefault="00B87D10" w:rsidP="00693B7C">
      <w:r w:rsidRPr="00FD7E86">
        <w:t xml:space="preserve">While traditional free-to-air television continues to dominate content viewing, the way Australians access video and audio content is changing, with many now accessing a broader range of content at a time that suits them. </w:t>
      </w:r>
    </w:p>
    <w:p w14:paraId="38A382DC" w14:textId="77777777" w:rsidR="000317E5" w:rsidRPr="00FD7E86" w:rsidRDefault="000317E5" w:rsidP="00693B7C">
      <w:r w:rsidRPr="00FD7E86">
        <w:t xml:space="preserve">As shown in Figure 2.17, two-thirds of online Australian adults accessed </w:t>
      </w:r>
      <w:r w:rsidR="00D35B71" w:rsidRPr="00FD7E86">
        <w:t xml:space="preserve">online </w:t>
      </w:r>
      <w:r w:rsidRPr="00FD7E86">
        <w:t>video content and more than a half listened to audio content online. These activities are directly proportional to age. The vast majority of young people aged 18 to 24 accessed video content online (89 per cent)</w:t>
      </w:r>
      <w:r w:rsidR="00617158" w:rsidRPr="00FD7E86">
        <w:t>. T</w:t>
      </w:r>
      <w:r w:rsidRPr="00FD7E86">
        <w:t xml:space="preserve">his dropped to </w:t>
      </w:r>
      <w:r w:rsidR="00F9676E" w:rsidRPr="00FD7E86">
        <w:t>34</w:t>
      </w:r>
      <w:r w:rsidR="00F9676E">
        <w:t> </w:t>
      </w:r>
      <w:r w:rsidRPr="00FD7E86">
        <w:t xml:space="preserve">per cent for those aged 65 and over. A similar pattern of diminishing participation with age was also observed in accessing audio content online. </w:t>
      </w:r>
    </w:p>
    <w:p w14:paraId="73DFF967" w14:textId="77777777" w:rsidR="000317E5" w:rsidRPr="00FD7E86" w:rsidRDefault="000317E5" w:rsidP="001D2F67">
      <w:pPr>
        <w:pStyle w:val="ACMAFigureHeader"/>
        <w:keepNext/>
        <w:numPr>
          <w:ilvl w:val="0"/>
          <w:numId w:val="0"/>
        </w:numPr>
      </w:pPr>
      <w:r w:rsidRPr="00FD7E86">
        <w:lastRenderedPageBreak/>
        <w:t xml:space="preserve">Figure 2.17 Accessing </w:t>
      </w:r>
      <w:r w:rsidR="00A41630" w:rsidRPr="00FD7E86">
        <w:t xml:space="preserve">online </w:t>
      </w:r>
      <w:r w:rsidRPr="00FD7E86">
        <w:t xml:space="preserve">video and audio content, by age, </w:t>
      </w:r>
      <w:r w:rsidR="00277915" w:rsidRPr="00FD7E86">
        <w:t xml:space="preserve">in the six months to </w:t>
      </w:r>
      <w:r w:rsidRPr="00FD7E86">
        <w:t>May 2015</w:t>
      </w:r>
      <w:r w:rsidR="00C74194" w:rsidRPr="00FD7E86">
        <w:t xml:space="preserve"> (percentage)</w:t>
      </w:r>
    </w:p>
    <w:p w14:paraId="726FC932" w14:textId="77777777" w:rsidR="000317E5" w:rsidRPr="00FD7E86" w:rsidRDefault="009007BB" w:rsidP="00693B7C">
      <w:pPr>
        <w:keepNext/>
        <w:spacing w:after="0"/>
        <w:ind w:left="1021" w:hanging="1021"/>
        <w:rPr>
          <w:rFonts w:cs="Arial"/>
          <w:b/>
          <w:bCs/>
          <w:color w:val="323232"/>
        </w:rPr>
      </w:pPr>
      <w:r>
        <w:rPr>
          <w:rFonts w:cs="Arial"/>
          <w:b/>
          <w:bCs/>
          <w:noProof/>
          <w:color w:val="323232"/>
        </w:rPr>
        <w:drawing>
          <wp:inline distT="0" distB="0" distL="0" distR="0" wp14:anchorId="4659B16E" wp14:editId="71679478">
            <wp:extent cx="5939790" cy="3129280"/>
            <wp:effectExtent l="0" t="0" r="3810" b="0"/>
            <wp:docPr id="39" name="Picture 39" descr="A .csv file of Figure 2.17 is available on the landing page ‘Communications report 2014–15’, available from the ACMA website. " title="Figure 2.17 Accessing online video and audio content, by age, in the six months to May 2015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Chapter 2_Figure 2.17.png"/>
                    <pic:cNvPicPr/>
                  </pic:nvPicPr>
                  <pic:blipFill>
                    <a:blip r:embed="rId75">
                      <a:extLst>
                        <a:ext uri="{28A0092B-C50C-407E-A947-70E740481C1C}">
                          <a14:useLocalDpi xmlns:a14="http://schemas.microsoft.com/office/drawing/2010/main" val="0"/>
                        </a:ext>
                      </a:extLst>
                    </a:blip>
                    <a:stretch>
                      <a:fillRect/>
                    </a:stretch>
                  </pic:blipFill>
                  <pic:spPr>
                    <a:xfrm>
                      <a:off x="0" y="0"/>
                      <a:ext cx="5939790" cy="3129280"/>
                    </a:xfrm>
                    <a:prstGeom prst="rect">
                      <a:avLst/>
                    </a:prstGeom>
                  </pic:spPr>
                </pic:pic>
              </a:graphicData>
            </a:graphic>
          </wp:inline>
        </w:drawing>
      </w:r>
    </w:p>
    <w:p w14:paraId="458668D7" w14:textId="77777777" w:rsidR="000317E5" w:rsidRPr="00FD7E86" w:rsidRDefault="000317E5" w:rsidP="000664F7">
      <w:pPr>
        <w:pStyle w:val="ACMANotes"/>
      </w:pPr>
      <w:r w:rsidRPr="00FD7E86">
        <w:t>Base: Australians aged 18 and over who accessed the internet</w:t>
      </w:r>
      <w:r w:rsidR="00277915" w:rsidRPr="00FD7E86">
        <w:t>.</w:t>
      </w:r>
    </w:p>
    <w:p w14:paraId="5070ECAD" w14:textId="77777777" w:rsidR="000317E5" w:rsidRPr="00FD7E86" w:rsidRDefault="000317E5" w:rsidP="000664F7">
      <w:pPr>
        <w:pStyle w:val="ACMANotes"/>
      </w:pPr>
      <w:r w:rsidRPr="00FD7E86">
        <w:t>Note: ‘Accessing video content’ refers to downloading or streaming video</w:t>
      </w:r>
      <w:r w:rsidR="00617158" w:rsidRPr="00FD7E86">
        <w:t>.</w:t>
      </w:r>
      <w:r w:rsidRPr="00FD7E86">
        <w:t xml:space="preserve"> ‘Accessing audio content’ refers to downloading or streaming audio.</w:t>
      </w:r>
    </w:p>
    <w:p w14:paraId="17348A42" w14:textId="77777777" w:rsidR="000317E5" w:rsidRPr="00FD7E86" w:rsidRDefault="000317E5" w:rsidP="000A7AE7">
      <w:pPr>
        <w:pStyle w:val="ACMANotes"/>
      </w:pPr>
      <w:r w:rsidRPr="00FD7E86">
        <w:t xml:space="preserve">Source: ACMA-commissioned survey, May </w:t>
      </w:r>
      <w:r w:rsidR="00693B7C" w:rsidRPr="00FD7E86">
        <w:t>2015.</w:t>
      </w:r>
    </w:p>
    <w:p w14:paraId="55A8BE8C" w14:textId="77777777" w:rsidR="00BD4516" w:rsidRPr="00FD7E86" w:rsidRDefault="00BD4516" w:rsidP="00517B88">
      <w:pPr>
        <w:pStyle w:val="ACMASpaceaftertable"/>
        <w:rPr>
          <w:i/>
          <w:sz w:val="16"/>
          <w:szCs w:val="16"/>
        </w:rPr>
      </w:pPr>
    </w:p>
    <w:p w14:paraId="45A2E005" w14:textId="77777777" w:rsidR="00693B7C" w:rsidRPr="00FD7E86" w:rsidRDefault="000317E5" w:rsidP="007D2B2F">
      <w:r w:rsidRPr="00FD7E86">
        <w:t>More detail on online access to audio and video content can be found in the next chapter.</w:t>
      </w:r>
      <w:r w:rsidRPr="00FD7E86" w:rsidDel="00283ACA">
        <w:t xml:space="preserve"> </w:t>
      </w:r>
    </w:p>
    <w:p w14:paraId="1478ED85" w14:textId="77777777" w:rsidR="000317E5" w:rsidRPr="00FD7E86" w:rsidRDefault="000317E5" w:rsidP="000664F7">
      <w:pPr>
        <w:pStyle w:val="ACMAHeading3"/>
      </w:pPr>
      <w:r w:rsidRPr="00FD7E86">
        <w:t>Growth in e-commerce activity</w:t>
      </w:r>
    </w:p>
    <w:p w14:paraId="7E3CC8A7" w14:textId="77777777" w:rsidR="000317E5" w:rsidRPr="00FD7E86" w:rsidRDefault="000317E5" w:rsidP="000317E5">
      <w:pPr>
        <w:rPr>
          <w:rFonts w:cs="Arial"/>
        </w:rPr>
      </w:pPr>
      <w:r w:rsidRPr="00FD7E86">
        <w:rPr>
          <w:rFonts w:cs="Arial"/>
        </w:rPr>
        <w:t>The latest available data from the ABS shows that Australian businesses generated an estimated $266.</w:t>
      </w:r>
      <w:r w:rsidR="00F9676E" w:rsidRPr="00FD7E86">
        <w:rPr>
          <w:rFonts w:cs="Arial"/>
        </w:rPr>
        <w:t>8</w:t>
      </w:r>
      <w:r w:rsidR="00F9676E">
        <w:rPr>
          <w:rFonts w:cs="Arial"/>
        </w:rPr>
        <w:t> </w:t>
      </w:r>
      <w:r w:rsidRPr="00FD7E86">
        <w:rPr>
          <w:rFonts w:cs="Arial"/>
        </w:rPr>
        <w:t>billion in revenue from the online sales of goods and services during 2013–14. This is a $20 billion increase on revenue received in 2012–13.</w:t>
      </w:r>
      <w:r w:rsidRPr="00FD7E86">
        <w:rPr>
          <w:rStyle w:val="EndnoteReference"/>
        </w:rPr>
        <w:endnoteReference w:id="50"/>
      </w:r>
    </w:p>
    <w:p w14:paraId="7CEA977D" w14:textId="77777777" w:rsidR="000317E5" w:rsidRPr="00FD7E86" w:rsidRDefault="000317E5" w:rsidP="000317E5">
      <w:pPr>
        <w:rPr>
          <w:rFonts w:cs="Arial"/>
        </w:rPr>
      </w:pPr>
      <w:r w:rsidRPr="00FD7E86">
        <w:rPr>
          <w:rFonts w:cs="Arial"/>
        </w:rPr>
        <w:t xml:space="preserve">Growth in e-commerce activity was also reflected in the increase </w:t>
      </w:r>
      <w:r w:rsidR="00617158" w:rsidRPr="00FD7E86">
        <w:rPr>
          <w:rFonts w:cs="Arial"/>
        </w:rPr>
        <w:t xml:space="preserve">in the number </w:t>
      </w:r>
      <w:r w:rsidRPr="00FD7E86">
        <w:rPr>
          <w:rFonts w:cs="Arial"/>
        </w:rPr>
        <w:t>of Australians who undertook online transaction activities</w:t>
      </w:r>
      <w:r w:rsidR="005678D1" w:rsidRPr="00FD7E86">
        <w:rPr>
          <w:rFonts w:cs="Arial"/>
        </w:rPr>
        <w:t xml:space="preserve">. In the six months to May 2015, </w:t>
      </w:r>
      <w:r w:rsidRPr="00FD7E86">
        <w:rPr>
          <w:rFonts w:cs="Arial"/>
        </w:rPr>
        <w:t>an estimated 13.9 million people (77 per cent of the adult population) went online to conduct banking, pay bills, or buy and/or sell goods and services.</w:t>
      </w:r>
      <w:r w:rsidRPr="00FD7E86">
        <w:rPr>
          <w:rStyle w:val="EndnoteReference"/>
          <w:rFonts w:cs="Arial"/>
        </w:rPr>
        <w:endnoteReference w:id="51"/>
      </w:r>
      <w:r w:rsidRPr="00FD7E86">
        <w:rPr>
          <w:rFonts w:cs="Arial"/>
        </w:rPr>
        <w:t xml:space="preserve"> </w:t>
      </w:r>
    </w:p>
    <w:p w14:paraId="4EC29B1C" w14:textId="77777777" w:rsidR="000317E5" w:rsidRPr="00FD7E86" w:rsidRDefault="000317E5" w:rsidP="000317E5">
      <w:pPr>
        <w:rPr>
          <w:rFonts w:cs="Arial"/>
        </w:rPr>
      </w:pPr>
      <w:r w:rsidRPr="00FD7E86">
        <w:rPr>
          <w:rFonts w:cs="Arial"/>
        </w:rPr>
        <w:t>Contactless tap-and-go</w:t>
      </w:r>
      <w:r w:rsidR="00617158" w:rsidRPr="00FD7E86">
        <w:rPr>
          <w:rFonts w:cs="Arial"/>
        </w:rPr>
        <w:t xml:space="preserve"> </w:t>
      </w:r>
      <w:r w:rsidRPr="00FD7E86">
        <w:rPr>
          <w:rFonts w:cs="Arial"/>
        </w:rPr>
        <w:t xml:space="preserve">payments are gaining popularity </w:t>
      </w:r>
      <w:r w:rsidR="00EE52DB" w:rsidRPr="00FD7E86">
        <w:rPr>
          <w:rFonts w:cs="Arial"/>
        </w:rPr>
        <w:t xml:space="preserve">among </w:t>
      </w:r>
      <w:r w:rsidRPr="00FD7E86">
        <w:rPr>
          <w:rFonts w:cs="Arial"/>
        </w:rPr>
        <w:t>Australian shoppers with contactless payment transactions multiplying monthly and retailers rolling out tap</w:t>
      </w:r>
      <w:r w:rsidR="00617158" w:rsidRPr="00FD7E86">
        <w:rPr>
          <w:rFonts w:cs="Arial"/>
        </w:rPr>
        <w:t>-</w:t>
      </w:r>
      <w:r w:rsidRPr="00FD7E86">
        <w:rPr>
          <w:rFonts w:cs="Arial"/>
        </w:rPr>
        <w:t>and</w:t>
      </w:r>
      <w:r w:rsidR="00617158" w:rsidRPr="00FD7E86">
        <w:rPr>
          <w:rFonts w:cs="Arial"/>
        </w:rPr>
        <w:t>-</w:t>
      </w:r>
      <w:r w:rsidRPr="00FD7E86">
        <w:rPr>
          <w:rFonts w:cs="Arial"/>
        </w:rPr>
        <w:t>go terminals to cope with the demand.</w:t>
      </w:r>
      <w:r w:rsidRPr="00FD7E86">
        <w:rPr>
          <w:rStyle w:val="EndnoteReference"/>
          <w:rFonts w:cs="Arial"/>
        </w:rPr>
        <w:endnoteReference w:id="52"/>
      </w:r>
    </w:p>
    <w:p w14:paraId="1AC54F06" w14:textId="77777777" w:rsidR="000317E5" w:rsidRPr="00FD7E86" w:rsidRDefault="00D35B71" w:rsidP="000317E5">
      <w:pPr>
        <w:rPr>
          <w:rFonts w:cs="Arial"/>
        </w:rPr>
      </w:pPr>
      <w:r w:rsidRPr="00FD7E86">
        <w:rPr>
          <w:rFonts w:cs="Arial"/>
        </w:rPr>
        <w:t>An international study found that</w:t>
      </w:r>
      <w:r w:rsidR="00617158" w:rsidRPr="00FD7E86">
        <w:rPr>
          <w:rFonts w:cs="Arial"/>
        </w:rPr>
        <w:t>,</w:t>
      </w:r>
      <w:r w:rsidRPr="00FD7E86">
        <w:rPr>
          <w:rFonts w:cs="Arial"/>
        </w:rPr>
        <w:t xml:space="preserve"> in 2015, Australia had the highest proportion of consumers who had made a contactless tap-and-go purchase (53 per cent), ahead of Singapore (45 per cent), Taiwan (41 per cent) and Canada (37 per cent). Drivers for the take-up of th</w:t>
      </w:r>
      <w:r w:rsidR="00617158" w:rsidRPr="00FD7E86">
        <w:rPr>
          <w:rFonts w:cs="Arial"/>
        </w:rPr>
        <w:t>i</w:t>
      </w:r>
      <w:r w:rsidRPr="00FD7E86">
        <w:rPr>
          <w:rFonts w:cs="Arial"/>
        </w:rPr>
        <w:t>s payment method include security, speed and convenience.</w:t>
      </w:r>
      <w:r w:rsidRPr="00FD7E86">
        <w:rPr>
          <w:rStyle w:val="EndnoteReference"/>
          <w:rFonts w:cs="Arial"/>
        </w:rPr>
        <w:endnoteReference w:id="53"/>
      </w:r>
      <w:r w:rsidRPr="00FD7E86">
        <w:rPr>
          <w:rFonts w:cs="Arial"/>
        </w:rPr>
        <w:t xml:space="preserve"> </w:t>
      </w:r>
    </w:p>
    <w:p w14:paraId="1E756875" w14:textId="77777777" w:rsidR="000317E5" w:rsidRPr="00FD7E86" w:rsidRDefault="00081EDC" w:rsidP="000664F7">
      <w:pPr>
        <w:pStyle w:val="ACMAHeading3"/>
      </w:pPr>
      <w:r w:rsidRPr="00FD7E86">
        <w:t xml:space="preserve">Online buying, selling and shopping </w:t>
      </w:r>
    </w:p>
    <w:p w14:paraId="19350ABA" w14:textId="77777777" w:rsidR="005362E6" w:rsidRPr="00FD7E86" w:rsidRDefault="0044056A" w:rsidP="00693B7C">
      <w:r w:rsidRPr="00FD7E86">
        <w:t xml:space="preserve">Many </w:t>
      </w:r>
      <w:r w:rsidR="000317E5" w:rsidRPr="00FD7E86">
        <w:t>Australians are active participants in the online economy. In the four weeks to June 2015, 7.</w:t>
      </w:r>
      <w:r w:rsidR="005362E6" w:rsidRPr="00FD7E86">
        <w:t xml:space="preserve">6 </w:t>
      </w:r>
      <w:r w:rsidR="000317E5" w:rsidRPr="00FD7E86">
        <w:t>million adult Australians (4</w:t>
      </w:r>
      <w:r w:rsidR="005362E6" w:rsidRPr="00FD7E86">
        <w:t>1</w:t>
      </w:r>
      <w:r w:rsidR="000317E5" w:rsidRPr="00FD7E86">
        <w:t xml:space="preserve"> per cent) made a purchase </w:t>
      </w:r>
      <w:r w:rsidR="005362E6" w:rsidRPr="00FD7E86">
        <w:t xml:space="preserve">or sold something </w:t>
      </w:r>
      <w:r w:rsidR="000317E5" w:rsidRPr="00FD7E86">
        <w:t xml:space="preserve">online—up </w:t>
      </w:r>
      <w:r w:rsidR="005362E6" w:rsidRPr="00FD7E86">
        <w:t xml:space="preserve">one </w:t>
      </w:r>
      <w:r w:rsidR="000317E5" w:rsidRPr="00FD7E86">
        <w:t xml:space="preserve">percentage point from June 2014. </w:t>
      </w:r>
      <w:r w:rsidR="005362E6" w:rsidRPr="00FD7E86">
        <w:t xml:space="preserve">The most preferred device for these online activities is a </w:t>
      </w:r>
      <w:r w:rsidR="00BD7CDB" w:rsidRPr="00FD7E86">
        <w:t xml:space="preserve">laptop or desktop </w:t>
      </w:r>
      <w:r w:rsidR="005362E6" w:rsidRPr="00FD7E86">
        <w:t>(34 per cent), followed by a mobile phone (12 per cent) and a tablet (</w:t>
      </w:r>
      <w:r w:rsidR="00B51AAF" w:rsidRPr="00FD7E86">
        <w:t>eight</w:t>
      </w:r>
      <w:r w:rsidR="005362E6" w:rsidRPr="00FD7E86">
        <w:t xml:space="preserve"> per cent).</w:t>
      </w:r>
      <w:r w:rsidR="00AA158A" w:rsidRPr="00FD7E86">
        <w:rPr>
          <w:rStyle w:val="EndnoteReference"/>
        </w:rPr>
        <w:endnoteReference w:id="54"/>
      </w:r>
      <w:r w:rsidR="005362E6" w:rsidRPr="00FD7E86">
        <w:t xml:space="preserve"> </w:t>
      </w:r>
    </w:p>
    <w:p w14:paraId="22E93A38" w14:textId="77777777" w:rsidR="000317E5" w:rsidRPr="00FD7E86" w:rsidRDefault="000317E5" w:rsidP="00693B7C">
      <w:r w:rsidRPr="00FD7E86">
        <w:lastRenderedPageBreak/>
        <w:t>Those living in capital cities are much more likely to buy online (4</w:t>
      </w:r>
      <w:r w:rsidR="005362E6" w:rsidRPr="00FD7E86">
        <w:t>3</w:t>
      </w:r>
      <w:r w:rsidRPr="00FD7E86">
        <w:t xml:space="preserve"> per cent) than people in country areas (3</w:t>
      </w:r>
      <w:r w:rsidR="005362E6" w:rsidRPr="00FD7E86">
        <w:t>6</w:t>
      </w:r>
      <w:r w:rsidRPr="00FD7E86">
        <w:t xml:space="preserve"> per cent). </w:t>
      </w:r>
    </w:p>
    <w:p w14:paraId="686B361B" w14:textId="77777777" w:rsidR="000317E5" w:rsidRPr="00FD7E86" w:rsidRDefault="00B87D10" w:rsidP="00693B7C">
      <w:r w:rsidRPr="00FD7E86">
        <w:t>As illustrated in Figure 2.18, those aged between 25 and 54 were most likely to be online shoppers, while the largest increase in online shopping was seen in those aged 45 and over. However, there is some indication that the popularity of online shopping among 18 to 44</w:t>
      </w:r>
      <w:r w:rsidR="00617158" w:rsidRPr="00FD7E86">
        <w:t>-</w:t>
      </w:r>
      <w:r w:rsidRPr="00FD7E86">
        <w:t>year</w:t>
      </w:r>
      <w:r w:rsidR="00617158" w:rsidRPr="00FD7E86">
        <w:t>-</w:t>
      </w:r>
      <w:r w:rsidRPr="00FD7E86">
        <w:t>olds is plateauing.</w:t>
      </w:r>
    </w:p>
    <w:p w14:paraId="740799C0" w14:textId="77777777" w:rsidR="000317E5" w:rsidRPr="00FD7E86" w:rsidRDefault="000317E5" w:rsidP="00F65C97">
      <w:pPr>
        <w:pStyle w:val="ACMAFigureHeader"/>
        <w:numPr>
          <w:ilvl w:val="0"/>
          <w:numId w:val="0"/>
        </w:numPr>
        <w:ind w:left="1021" w:hanging="1021"/>
      </w:pPr>
      <w:r w:rsidRPr="00FD7E86">
        <w:t xml:space="preserve">Figure 2.18 Online </w:t>
      </w:r>
      <w:r w:rsidR="005362E6" w:rsidRPr="00FD7E86">
        <w:t xml:space="preserve">buying, selling and </w:t>
      </w:r>
      <w:r w:rsidRPr="00FD7E86">
        <w:t>shopping, by age</w:t>
      </w:r>
      <w:r w:rsidR="00693B7C" w:rsidRPr="00FD7E86">
        <w:t xml:space="preserve"> (percentage)</w:t>
      </w:r>
    </w:p>
    <w:p w14:paraId="62A242D3" w14:textId="77777777" w:rsidR="000317E5" w:rsidRPr="00FD7E86" w:rsidRDefault="005F0216" w:rsidP="00C05F4C">
      <w:pPr>
        <w:pStyle w:val="ACMAFigureHeader"/>
        <w:numPr>
          <w:ilvl w:val="0"/>
          <w:numId w:val="0"/>
        </w:numPr>
        <w:spacing w:after="0"/>
        <w:ind w:left="1021" w:hanging="1021"/>
      </w:pPr>
      <w:r>
        <w:rPr>
          <w:noProof/>
        </w:rPr>
        <w:drawing>
          <wp:inline distT="0" distB="0" distL="0" distR="0" wp14:anchorId="50A779DF" wp14:editId="7BBA3CA7">
            <wp:extent cx="5939790" cy="2652395"/>
            <wp:effectExtent l="0" t="0" r="3810" b="0"/>
            <wp:docPr id="40" name="Picture 40" descr="A .csv file of Figure 2.18 is available on the landing page ‘Communications report 2014–15’, available from the ACMA website. " title="Figure 2.18 Online buying, selling and shopping, by age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Chapter 2_Figure 2.18.png"/>
                    <pic:cNvPicPr/>
                  </pic:nvPicPr>
                  <pic:blipFill>
                    <a:blip r:embed="rId76">
                      <a:extLst>
                        <a:ext uri="{28A0092B-C50C-407E-A947-70E740481C1C}">
                          <a14:useLocalDpi xmlns:a14="http://schemas.microsoft.com/office/drawing/2010/main" val="0"/>
                        </a:ext>
                      </a:extLst>
                    </a:blip>
                    <a:stretch>
                      <a:fillRect/>
                    </a:stretch>
                  </pic:blipFill>
                  <pic:spPr>
                    <a:xfrm>
                      <a:off x="0" y="0"/>
                      <a:ext cx="5939790" cy="2652395"/>
                    </a:xfrm>
                    <a:prstGeom prst="rect">
                      <a:avLst/>
                    </a:prstGeom>
                  </pic:spPr>
                </pic:pic>
              </a:graphicData>
            </a:graphic>
          </wp:inline>
        </w:drawing>
      </w:r>
    </w:p>
    <w:p w14:paraId="05EA7E09" w14:textId="77777777" w:rsidR="000317E5" w:rsidRPr="00FD7E86" w:rsidRDefault="000317E5" w:rsidP="0085136D">
      <w:pPr>
        <w:pStyle w:val="ACMANotes"/>
      </w:pPr>
      <w:r w:rsidRPr="00FD7E86">
        <w:t>Base: Australians aged 18 and over</w:t>
      </w:r>
      <w:r w:rsidR="00277915" w:rsidRPr="00FD7E86">
        <w:t>.</w:t>
      </w:r>
    </w:p>
    <w:p w14:paraId="0FF1C988" w14:textId="77777777" w:rsidR="000317E5" w:rsidRPr="00FD7E86" w:rsidRDefault="000317E5" w:rsidP="0085136D">
      <w:pPr>
        <w:pStyle w:val="ACMANotes"/>
      </w:pPr>
      <w:r w:rsidRPr="00FD7E86">
        <w:t xml:space="preserve">Note: Relates to </w:t>
      </w:r>
      <w:r w:rsidR="00835ABC" w:rsidRPr="00FD7E86">
        <w:t>transactional buying, selling and shopping activities undertaken online in the last four weeks to June 2015</w:t>
      </w:r>
      <w:r w:rsidRPr="00FD7E86">
        <w:t>.</w:t>
      </w:r>
    </w:p>
    <w:p w14:paraId="49CD2AF7" w14:textId="77777777" w:rsidR="000317E5" w:rsidRPr="00FD7E86" w:rsidRDefault="000317E5" w:rsidP="000A7AE7">
      <w:pPr>
        <w:pStyle w:val="ACMANotes"/>
      </w:pPr>
      <w:r w:rsidRPr="00FD7E86">
        <w:t>Source: Roy Morgan Single Source, June 2014 and 2015.</w:t>
      </w:r>
    </w:p>
    <w:p w14:paraId="5EF62749" w14:textId="77777777" w:rsidR="00BD4516" w:rsidRPr="00FD7E86" w:rsidRDefault="00BD4516" w:rsidP="00517B88">
      <w:pPr>
        <w:pStyle w:val="ACMASpaceaftertable"/>
        <w:rPr>
          <w:i/>
          <w:sz w:val="16"/>
          <w:szCs w:val="16"/>
        </w:rPr>
      </w:pPr>
    </w:p>
    <w:p w14:paraId="244E0864" w14:textId="77777777" w:rsidR="000317E5" w:rsidRPr="00FD7E86" w:rsidRDefault="00F87755" w:rsidP="000B3AFF">
      <w:pPr>
        <w:pStyle w:val="ACMAHeading1"/>
      </w:pPr>
      <w:bookmarkStart w:id="231" w:name="_Toc433790341"/>
      <w:r w:rsidRPr="00FD7E86">
        <w:t>2.5</w:t>
      </w:r>
      <w:r w:rsidRPr="00FD7E86">
        <w:tab/>
      </w:r>
      <w:r w:rsidRPr="00FD7E86">
        <w:tab/>
      </w:r>
      <w:r w:rsidR="000317E5" w:rsidRPr="00FD7E86">
        <w:t>Consumer satisfaction with communications services</w:t>
      </w:r>
      <w:bookmarkEnd w:id="231"/>
    </w:p>
    <w:p w14:paraId="60A4BB3E" w14:textId="77777777" w:rsidR="000317E5" w:rsidRPr="00FD7E86" w:rsidRDefault="000E46C9" w:rsidP="000317E5">
      <w:r w:rsidRPr="00FD7E86">
        <w:t>Figure 2.19 shows that t</w:t>
      </w:r>
      <w:r w:rsidR="000317E5" w:rsidRPr="00FD7E86">
        <w:t>he majority of Australians are generally satisfied with their communications services. The highest levels of satisfaction</w:t>
      </w:r>
      <w:r w:rsidR="006254C3" w:rsidRPr="00FD7E86">
        <w:t>—</w:t>
      </w:r>
      <w:r w:rsidR="000317E5" w:rsidRPr="00FD7E86">
        <w:t>those that reported being satisfied or very satisfied</w:t>
      </w:r>
      <w:r w:rsidR="006254C3" w:rsidRPr="00FD7E86">
        <w:t>—</w:t>
      </w:r>
      <w:r w:rsidR="000317E5" w:rsidRPr="00FD7E86">
        <w:t xml:space="preserve">are seen for fixed-line telephone </w:t>
      </w:r>
      <w:r w:rsidR="00607620" w:rsidRPr="00FD7E86">
        <w:t xml:space="preserve">and mobile phone </w:t>
      </w:r>
      <w:r w:rsidR="000317E5" w:rsidRPr="00FD7E86">
        <w:t>services (</w:t>
      </w:r>
      <w:r w:rsidR="00607620" w:rsidRPr="00FD7E86">
        <w:t xml:space="preserve">both </w:t>
      </w:r>
      <w:r w:rsidR="000317E5" w:rsidRPr="00FD7E86">
        <w:t>89 per cent)</w:t>
      </w:r>
      <w:r w:rsidR="00607620" w:rsidRPr="00FD7E86">
        <w:t>.</w:t>
      </w:r>
      <w:r w:rsidR="004E07BC" w:rsidRPr="00FD7E86">
        <w:t xml:space="preserve"> </w:t>
      </w:r>
    </w:p>
    <w:p w14:paraId="2AB02E57" w14:textId="77777777" w:rsidR="000317E5" w:rsidRPr="00FD7E86" w:rsidRDefault="000317E5" w:rsidP="000317E5">
      <w:r w:rsidRPr="00FD7E86">
        <w:t xml:space="preserve">Internet services had the highest levels of dissatisfaction with 12 per cent either dissatisfied or very dissatisfied. </w:t>
      </w:r>
    </w:p>
    <w:p w14:paraId="43EE79E6" w14:textId="77777777" w:rsidR="000317E5" w:rsidRPr="00FD7E86" w:rsidRDefault="000317E5" w:rsidP="001D2F67">
      <w:pPr>
        <w:pStyle w:val="ACMAFigureHeader"/>
        <w:keepNext/>
        <w:numPr>
          <w:ilvl w:val="0"/>
          <w:numId w:val="0"/>
        </w:numPr>
        <w:ind w:left="1021" w:hanging="1021"/>
      </w:pPr>
      <w:r w:rsidRPr="00FD7E86">
        <w:lastRenderedPageBreak/>
        <w:t xml:space="preserve">Figure 2.19 </w:t>
      </w:r>
      <w:r w:rsidR="00520C7B" w:rsidRPr="00FD7E86">
        <w:t>O</w:t>
      </w:r>
      <w:r w:rsidRPr="00FD7E86">
        <w:t>verall satisfaction with communications services</w:t>
      </w:r>
      <w:r w:rsidR="00C74194" w:rsidRPr="00FD7E86">
        <w:t xml:space="preserve"> (percentage)</w:t>
      </w:r>
    </w:p>
    <w:p w14:paraId="2EC75289" w14:textId="7F555808" w:rsidR="000317E5" w:rsidRPr="00FD7E86" w:rsidRDefault="002654CD" w:rsidP="00C05F4C">
      <w:pPr>
        <w:spacing w:after="0"/>
      </w:pPr>
      <w:r>
        <w:rPr>
          <w:noProof/>
        </w:rPr>
        <w:drawing>
          <wp:inline distT="0" distB="0" distL="0" distR="0" wp14:anchorId="081F2112" wp14:editId="0292CF41">
            <wp:extent cx="5939790" cy="3006090"/>
            <wp:effectExtent l="0" t="0" r="3810" b="3810"/>
            <wp:docPr id="46" name="Picture 46" descr="A .csv file of Figure 2.19 is available on the landing page ‘Communications report 2014–15’, available from the ACMA website. " title="Figure 2.19 Overall satisfaction with communications service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Chapter 2_Figure 2.19.png"/>
                    <pic:cNvPicPr/>
                  </pic:nvPicPr>
                  <pic:blipFill>
                    <a:blip r:embed="rId77">
                      <a:extLst>
                        <a:ext uri="{28A0092B-C50C-407E-A947-70E740481C1C}">
                          <a14:useLocalDpi xmlns:a14="http://schemas.microsoft.com/office/drawing/2010/main" val="0"/>
                        </a:ext>
                      </a:extLst>
                    </a:blip>
                    <a:stretch>
                      <a:fillRect/>
                    </a:stretch>
                  </pic:blipFill>
                  <pic:spPr>
                    <a:xfrm>
                      <a:off x="0" y="0"/>
                      <a:ext cx="5939790" cy="3006090"/>
                    </a:xfrm>
                    <a:prstGeom prst="rect">
                      <a:avLst/>
                    </a:prstGeom>
                  </pic:spPr>
                </pic:pic>
              </a:graphicData>
            </a:graphic>
          </wp:inline>
        </w:drawing>
      </w:r>
    </w:p>
    <w:p w14:paraId="2FB60D6A" w14:textId="77777777" w:rsidR="000317E5" w:rsidRPr="00FD7E86" w:rsidRDefault="000317E5" w:rsidP="0085136D">
      <w:pPr>
        <w:pStyle w:val="ACMANotes"/>
      </w:pPr>
      <w:r w:rsidRPr="00FD7E86">
        <w:t xml:space="preserve">Base: Australians aged 18 years and over </w:t>
      </w:r>
      <w:r w:rsidR="008B3B3F" w:rsidRPr="00FD7E86">
        <w:t>using a</w:t>
      </w:r>
      <w:r w:rsidR="00277915" w:rsidRPr="00FD7E86">
        <w:t xml:space="preserve"> </w:t>
      </w:r>
      <w:r w:rsidRPr="00FD7E86">
        <w:t xml:space="preserve">fixed-line telephone </w:t>
      </w:r>
      <w:r w:rsidR="00277915" w:rsidRPr="00FD7E86">
        <w:t>(</w:t>
      </w:r>
      <w:r w:rsidRPr="00FD7E86">
        <w:t>n=1,258</w:t>
      </w:r>
      <w:r w:rsidR="00277915" w:rsidRPr="00FD7E86">
        <w:t>)</w:t>
      </w:r>
      <w:r w:rsidRPr="00FD7E86">
        <w:t xml:space="preserve">, mobile phone </w:t>
      </w:r>
      <w:r w:rsidR="00277915" w:rsidRPr="00FD7E86">
        <w:t>(</w:t>
      </w:r>
      <w:r w:rsidRPr="00FD7E86">
        <w:t>n=1,708</w:t>
      </w:r>
      <w:r w:rsidR="00277915" w:rsidRPr="00FD7E86">
        <w:t>)</w:t>
      </w:r>
      <w:r w:rsidRPr="00FD7E86">
        <w:t xml:space="preserve">, </w:t>
      </w:r>
      <w:r w:rsidR="0085136D" w:rsidRPr="00FD7E86">
        <w:t>i</w:t>
      </w:r>
      <w:r w:rsidRPr="00FD7E86">
        <w:t xml:space="preserve">nternet </w:t>
      </w:r>
      <w:r w:rsidR="00277915" w:rsidRPr="00FD7E86">
        <w:t>(</w:t>
      </w:r>
      <w:r w:rsidRPr="00FD7E86">
        <w:t>n=1,567).</w:t>
      </w:r>
    </w:p>
    <w:p w14:paraId="762D6576" w14:textId="77777777" w:rsidR="00607620" w:rsidRPr="00FD7E86" w:rsidRDefault="00607620" w:rsidP="0085136D">
      <w:pPr>
        <w:pStyle w:val="ACMANotes"/>
      </w:pPr>
      <w:r w:rsidRPr="00FD7E86">
        <w:t xml:space="preserve">Note: </w:t>
      </w:r>
      <w:r w:rsidR="003B1E4E" w:rsidRPr="00FD7E86">
        <w:t>Numbers may not add up due to rounding</w:t>
      </w:r>
      <w:r w:rsidRPr="00FD7E86">
        <w:t>.</w:t>
      </w:r>
      <w:r w:rsidR="00D87EEA" w:rsidRPr="00FD7E86">
        <w:t xml:space="preserve"> Excludes ‘don’t know’ responses.</w:t>
      </w:r>
    </w:p>
    <w:p w14:paraId="469A446C" w14:textId="77777777" w:rsidR="000317E5" w:rsidRPr="00FD7E86" w:rsidRDefault="000317E5" w:rsidP="000A7AE7">
      <w:pPr>
        <w:pStyle w:val="ACMANotes"/>
      </w:pPr>
      <w:r w:rsidRPr="00FD7E86">
        <w:t>Source: ACMA-</w:t>
      </w:r>
      <w:r w:rsidR="00693B7C" w:rsidRPr="00FD7E86">
        <w:t xml:space="preserve">commissioned survey, May 2015. </w:t>
      </w:r>
    </w:p>
    <w:p w14:paraId="273FB415" w14:textId="77777777" w:rsidR="00BD4516" w:rsidRPr="00FD7E86" w:rsidRDefault="00BD4516" w:rsidP="00517B88">
      <w:pPr>
        <w:pStyle w:val="ACMASpaceaftertable"/>
        <w:rPr>
          <w:i/>
          <w:sz w:val="16"/>
          <w:szCs w:val="16"/>
        </w:rPr>
      </w:pPr>
    </w:p>
    <w:p w14:paraId="51EC6318" w14:textId="77777777" w:rsidR="000317E5" w:rsidRPr="00FD7E86" w:rsidRDefault="000317E5" w:rsidP="0022218E">
      <w:pPr>
        <w:spacing w:after="80"/>
      </w:pPr>
      <w:r w:rsidRPr="00FD7E86">
        <w:t xml:space="preserve">Satisfaction with </w:t>
      </w:r>
      <w:r w:rsidR="00FE1A0B" w:rsidRPr="00FD7E86">
        <w:t xml:space="preserve">different aspects of </w:t>
      </w:r>
      <w:r w:rsidRPr="00FD7E86">
        <w:t>communication</w:t>
      </w:r>
      <w:r w:rsidR="00FE1A0B" w:rsidRPr="00FD7E86">
        <w:t>s</w:t>
      </w:r>
      <w:r w:rsidRPr="00FD7E86">
        <w:t xml:space="preserve"> service</w:t>
      </w:r>
      <w:r w:rsidR="00FE1A0B" w:rsidRPr="00FD7E86">
        <w:t>s</w:t>
      </w:r>
      <w:r w:rsidRPr="00FD7E86">
        <w:t xml:space="preserve"> is outlined in Figure 2.20. The highest levels of satisfaction (very satisfied and satisfied) and dissatisfaction (very dissatisfied and dissatisfied) within each service were as follows:</w:t>
      </w:r>
    </w:p>
    <w:p w14:paraId="74A264E9" w14:textId="77777777" w:rsidR="000317E5" w:rsidRPr="00FD7E86" w:rsidRDefault="000317E5" w:rsidP="0022218E">
      <w:pPr>
        <w:numPr>
          <w:ilvl w:val="0"/>
          <w:numId w:val="1"/>
        </w:numPr>
        <w:spacing w:after="80"/>
      </w:pPr>
      <w:r w:rsidRPr="00FD7E86">
        <w:rPr>
          <w:noProof/>
        </w:rPr>
        <w:drawing>
          <wp:inline distT="0" distB="0" distL="0" distR="0" wp14:anchorId="17EBF0EB" wp14:editId="2951C84B">
            <wp:extent cx="190500" cy="123825"/>
            <wp:effectExtent l="0" t="0" r="0" b="9525"/>
            <wp:docPr id="60" name="Picture 60"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VIC01SRVP1\NBN and Industry Monitoring\Communications Analysis Section\Presentations\CR 2014 Charts\Lou\CH1 LB_fixed-line.png"/>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90500" cy="123825"/>
                    </a:xfrm>
                    <a:prstGeom prst="rect">
                      <a:avLst/>
                    </a:prstGeom>
                    <a:noFill/>
                    <a:ln>
                      <a:noFill/>
                    </a:ln>
                  </pic:spPr>
                </pic:pic>
              </a:graphicData>
            </a:graphic>
          </wp:inline>
        </w:drawing>
      </w:r>
      <w:r w:rsidRPr="00FD7E86">
        <w:t xml:space="preserve"> </w:t>
      </w:r>
      <w:r w:rsidRPr="00FD7E86">
        <w:rPr>
          <w:b/>
        </w:rPr>
        <w:t>Fixed-line service</w:t>
      </w:r>
      <w:r w:rsidRPr="00FD7E86">
        <w:t>—the highest levels of satisfaction were for service reliability (89 per cent satisfied or very satisfied). Line rental cost</w:t>
      </w:r>
      <w:r w:rsidRPr="00FD7E86" w:rsidDel="0095478E">
        <w:t xml:space="preserve"> </w:t>
      </w:r>
      <w:r w:rsidRPr="00FD7E86">
        <w:t>recorded the highest levels of dissatisfaction (24 per cent dissatisfied or very dissatisfied)</w:t>
      </w:r>
      <w:r w:rsidR="006254C3" w:rsidRPr="00FD7E86">
        <w:t>.</w:t>
      </w:r>
      <w:r w:rsidRPr="00FD7E86">
        <w:t xml:space="preserve"> </w:t>
      </w:r>
      <w:r w:rsidR="006254C3" w:rsidRPr="00FD7E86">
        <w:t>H</w:t>
      </w:r>
      <w:r w:rsidRPr="00FD7E86">
        <w:t>owever</w:t>
      </w:r>
      <w:r w:rsidR="00861159" w:rsidRPr="00FD7E86">
        <w:t>,</w:t>
      </w:r>
      <w:r w:rsidRPr="00FD7E86">
        <w:t xml:space="preserve"> this figure has decreased significantly from last year, when 31 per cent were dissatisfied with line rental costs.</w:t>
      </w:r>
    </w:p>
    <w:p w14:paraId="15062CA4" w14:textId="77777777" w:rsidR="000317E5" w:rsidRPr="00FD7E86" w:rsidRDefault="000317E5" w:rsidP="0022218E">
      <w:pPr>
        <w:numPr>
          <w:ilvl w:val="0"/>
          <w:numId w:val="1"/>
        </w:numPr>
        <w:spacing w:after="80"/>
      </w:pPr>
      <w:r w:rsidRPr="00FD7E86">
        <w:rPr>
          <w:noProof/>
        </w:rPr>
        <w:drawing>
          <wp:inline distT="0" distB="0" distL="0" distR="0" wp14:anchorId="1F95D5F5" wp14:editId="417DAF33">
            <wp:extent cx="114300" cy="228600"/>
            <wp:effectExtent l="0" t="0" r="0" b="0"/>
            <wp:docPr id="61" name="Picture 61"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VIC01SRVP1\NBN and Industry Monitoring\Communications Analysis Section\Presentations\CR 2014 Charts\Lou\CH1 LB_mobile.png"/>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14300" cy="228600"/>
                    </a:xfrm>
                    <a:prstGeom prst="rect">
                      <a:avLst/>
                    </a:prstGeom>
                    <a:noFill/>
                    <a:ln>
                      <a:noFill/>
                    </a:ln>
                  </pic:spPr>
                </pic:pic>
              </a:graphicData>
            </a:graphic>
          </wp:inline>
        </w:drawing>
      </w:r>
      <w:r w:rsidR="004E07BC" w:rsidRPr="00FD7E86">
        <w:t xml:space="preserve"> </w:t>
      </w:r>
      <w:r w:rsidRPr="00FD7E86">
        <w:rPr>
          <w:b/>
        </w:rPr>
        <w:t>Mobile phone</w:t>
      </w:r>
      <w:r w:rsidRPr="00FD7E86">
        <w:t>—service reliability (82 per cent) recorded the highest levels of satisfaction, while call/service costs (14 per cent) recorded the highest levels of dissatisfaction. However</w:t>
      </w:r>
      <w:r w:rsidR="00525C30" w:rsidRPr="00FD7E86">
        <w:t xml:space="preserve">, </w:t>
      </w:r>
      <w:r w:rsidRPr="00FD7E86">
        <w:t xml:space="preserve">this figure has decreased </w:t>
      </w:r>
      <w:r w:rsidR="00B51AAF" w:rsidRPr="00FD7E86">
        <w:t>six</w:t>
      </w:r>
      <w:r w:rsidRPr="00FD7E86">
        <w:t xml:space="preserve"> percentage points from last year.</w:t>
      </w:r>
      <w:r w:rsidR="004E07BC" w:rsidRPr="00FD7E86">
        <w:t xml:space="preserve"> </w:t>
      </w:r>
    </w:p>
    <w:p w14:paraId="28EB5BEF" w14:textId="7E93CD4F" w:rsidR="000317E5" w:rsidRPr="00FD7E86" w:rsidRDefault="002F6572" w:rsidP="000317E5">
      <w:pPr>
        <w:numPr>
          <w:ilvl w:val="0"/>
          <w:numId w:val="1"/>
        </w:numPr>
      </w:pPr>
      <w:r>
        <w:rPr>
          <w:noProof/>
        </w:rPr>
        <w:drawing>
          <wp:inline distT="0" distB="0" distL="0" distR="0" wp14:anchorId="0738480A" wp14:editId="0DB71C16">
            <wp:extent cx="257175" cy="257175"/>
            <wp:effectExtent l="0" t="0" r="9525" b="9525"/>
            <wp:docPr id="95" name="Picture 95"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Chapter 2 - black 90_Internet in text.png"/>
                    <pic:cNvPicPr/>
                  </pic:nvPicPr>
                  <pic:blipFill>
                    <a:blip r:embed="rId80">
                      <a:extLst>
                        <a:ext uri="{28A0092B-C50C-407E-A947-70E740481C1C}">
                          <a14:useLocalDpi xmlns:a14="http://schemas.microsoft.com/office/drawing/2010/main" val="0"/>
                        </a:ext>
                      </a:extLst>
                    </a:blip>
                    <a:stretch>
                      <a:fillRect/>
                    </a:stretch>
                  </pic:blipFill>
                  <pic:spPr>
                    <a:xfrm>
                      <a:off x="0" y="0"/>
                      <a:ext cx="257176" cy="257176"/>
                    </a:xfrm>
                    <a:prstGeom prst="rect">
                      <a:avLst/>
                    </a:prstGeom>
                  </pic:spPr>
                </pic:pic>
              </a:graphicData>
            </a:graphic>
          </wp:inline>
        </w:drawing>
      </w:r>
      <w:r w:rsidR="000317E5" w:rsidRPr="00FD7E86">
        <w:t xml:space="preserve"> </w:t>
      </w:r>
      <w:r w:rsidR="000317E5" w:rsidRPr="00FD7E86">
        <w:rPr>
          <w:b/>
        </w:rPr>
        <w:t>Internet—</w:t>
      </w:r>
      <w:r w:rsidR="000317E5" w:rsidRPr="00FD7E86">
        <w:t>service reliability (76 per cent) recorded the highest levels of satisfaction, while data speeds (26 per cent) recorded the highest levels of dissatisfaction.</w:t>
      </w:r>
    </w:p>
    <w:p w14:paraId="683296D2" w14:textId="77777777" w:rsidR="000317E5" w:rsidRPr="00FD7E86" w:rsidRDefault="000317E5" w:rsidP="0022218E">
      <w:pPr>
        <w:pStyle w:val="ACMAFigureHeader"/>
        <w:keepNext/>
        <w:numPr>
          <w:ilvl w:val="0"/>
          <w:numId w:val="0"/>
        </w:numPr>
        <w:ind w:left="1021" w:hanging="1021"/>
      </w:pPr>
      <w:r w:rsidRPr="00FD7E86">
        <w:lastRenderedPageBreak/>
        <w:t xml:space="preserve">Figure 2.20 Consumer satisfaction with </w:t>
      </w:r>
      <w:r w:rsidR="00671CDB" w:rsidRPr="00FD7E86">
        <w:t>aspects</w:t>
      </w:r>
      <w:r w:rsidR="00525F8C" w:rsidRPr="00FD7E86">
        <w:t xml:space="preserve"> of </w:t>
      </w:r>
      <w:r w:rsidR="00671CDB" w:rsidRPr="00FD7E86">
        <w:t xml:space="preserve">their </w:t>
      </w:r>
      <w:r w:rsidRPr="00FD7E86">
        <w:t>communications services</w:t>
      </w:r>
      <w:r w:rsidR="00520C7B" w:rsidRPr="00FD7E86">
        <w:t xml:space="preserve"> </w:t>
      </w:r>
      <w:r w:rsidR="00BD1C74" w:rsidRPr="00FD7E86">
        <w:t>(percentage)</w:t>
      </w:r>
    </w:p>
    <w:p w14:paraId="77D0DC90" w14:textId="77777777" w:rsidR="000317E5" w:rsidRPr="00FD7E86" w:rsidRDefault="00AC28AC" w:rsidP="00C05F4C">
      <w:pPr>
        <w:spacing w:after="0"/>
      </w:pPr>
      <w:r>
        <w:rPr>
          <w:noProof/>
        </w:rPr>
        <w:drawing>
          <wp:inline distT="0" distB="0" distL="0" distR="0" wp14:anchorId="412CFDA1" wp14:editId="63099772">
            <wp:extent cx="5939790" cy="6417310"/>
            <wp:effectExtent l="0" t="0" r="3810" b="2540"/>
            <wp:docPr id="16" name="Picture 16" descr="A .csv file of Figure 2.20 is available on the landing page ‘Communications report 2014–15’, available from the ACMA website. " title="Figure 2.20 Consumer satisfaction with aspects of their communications service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hapter 2_Figure 2.20.png"/>
                    <pic:cNvPicPr/>
                  </pic:nvPicPr>
                  <pic:blipFill>
                    <a:blip r:embed="rId81">
                      <a:extLst>
                        <a:ext uri="{28A0092B-C50C-407E-A947-70E740481C1C}">
                          <a14:useLocalDpi xmlns:a14="http://schemas.microsoft.com/office/drawing/2010/main" val="0"/>
                        </a:ext>
                      </a:extLst>
                    </a:blip>
                    <a:stretch>
                      <a:fillRect/>
                    </a:stretch>
                  </pic:blipFill>
                  <pic:spPr>
                    <a:xfrm>
                      <a:off x="0" y="0"/>
                      <a:ext cx="5939790" cy="6417310"/>
                    </a:xfrm>
                    <a:prstGeom prst="rect">
                      <a:avLst/>
                    </a:prstGeom>
                  </pic:spPr>
                </pic:pic>
              </a:graphicData>
            </a:graphic>
          </wp:inline>
        </w:drawing>
      </w:r>
    </w:p>
    <w:p w14:paraId="22AA7E32" w14:textId="77777777" w:rsidR="000317E5" w:rsidRPr="00FD7E86" w:rsidRDefault="000317E5" w:rsidP="0085136D">
      <w:pPr>
        <w:pStyle w:val="ACMANotes"/>
      </w:pPr>
      <w:r w:rsidRPr="00FD7E86">
        <w:t xml:space="preserve">Base: Australians aged 18 years and over </w:t>
      </w:r>
      <w:r w:rsidR="008B3B3F" w:rsidRPr="00FD7E86">
        <w:t>using a</w:t>
      </w:r>
      <w:r w:rsidRPr="00FD7E86">
        <w:t xml:space="preserve"> fixed-line telephone </w:t>
      </w:r>
      <w:r w:rsidR="00277915" w:rsidRPr="00FD7E86">
        <w:t>(</w:t>
      </w:r>
      <w:r w:rsidRPr="00FD7E86">
        <w:t>n=1,258</w:t>
      </w:r>
      <w:r w:rsidR="00277915" w:rsidRPr="00FD7E86">
        <w:t>)</w:t>
      </w:r>
      <w:r w:rsidRPr="00FD7E86">
        <w:t xml:space="preserve">, mobile phone </w:t>
      </w:r>
      <w:r w:rsidR="00277915" w:rsidRPr="00FD7E86">
        <w:t>(</w:t>
      </w:r>
      <w:r w:rsidRPr="00FD7E86">
        <w:t>n=1,708</w:t>
      </w:r>
      <w:r w:rsidR="00277915" w:rsidRPr="00FD7E86">
        <w:t>)</w:t>
      </w:r>
      <w:r w:rsidRPr="00FD7E86">
        <w:t xml:space="preserve">, </w:t>
      </w:r>
      <w:r w:rsidR="004E6AB0" w:rsidRPr="00FD7E86">
        <w:t>i</w:t>
      </w:r>
      <w:r w:rsidRPr="00FD7E86">
        <w:t xml:space="preserve">nternet </w:t>
      </w:r>
      <w:r w:rsidR="00277915" w:rsidRPr="00FD7E86">
        <w:t>(</w:t>
      </w:r>
      <w:r w:rsidRPr="00FD7E86">
        <w:t>n=1,567).</w:t>
      </w:r>
    </w:p>
    <w:p w14:paraId="01B7FDA3" w14:textId="77777777" w:rsidR="000317E5" w:rsidRPr="00FD7E86" w:rsidRDefault="000317E5" w:rsidP="0085136D">
      <w:pPr>
        <w:pStyle w:val="ACMANotes"/>
      </w:pPr>
      <w:r w:rsidRPr="00FD7E86">
        <w:t xml:space="preserve">Notes: </w:t>
      </w:r>
      <w:r w:rsidR="003B1E4E" w:rsidRPr="00FD7E86">
        <w:t>Numbers may not add up due to rounding</w:t>
      </w:r>
      <w:r w:rsidRPr="00FD7E86">
        <w:t xml:space="preserve">. </w:t>
      </w:r>
      <w:r w:rsidR="00D87EEA" w:rsidRPr="00FD7E86">
        <w:t>Excludes ‘don’t know’ responses.</w:t>
      </w:r>
    </w:p>
    <w:p w14:paraId="0A8A15E8" w14:textId="77777777" w:rsidR="000317E5" w:rsidRPr="00FD7E86" w:rsidRDefault="000317E5" w:rsidP="000A7AE7">
      <w:pPr>
        <w:pStyle w:val="ACMANotes"/>
      </w:pPr>
      <w:r w:rsidRPr="00FD7E86">
        <w:t>Source: ACMA-commissioned survey</w:t>
      </w:r>
      <w:r w:rsidR="00BD1C74" w:rsidRPr="00FD7E86">
        <w:t>, May 2015.</w:t>
      </w:r>
    </w:p>
    <w:p w14:paraId="6E7727E4" w14:textId="77777777" w:rsidR="0008669F" w:rsidRPr="00FD7E86" w:rsidRDefault="0008669F" w:rsidP="00AB7A58">
      <w:pPr>
        <w:pStyle w:val="ACMASpaceaftertable"/>
        <w:rPr>
          <w:rFonts w:cs="Times New Roman"/>
          <w:b/>
          <w:i/>
          <w:sz w:val="16"/>
          <w:szCs w:val="16"/>
          <w:lang w:val="en-US" w:eastAsia="en-US"/>
        </w:rPr>
      </w:pPr>
    </w:p>
    <w:p w14:paraId="6C425904" w14:textId="77777777" w:rsidR="000317E5" w:rsidRPr="00FD7E86" w:rsidRDefault="00F87755" w:rsidP="000B3AFF">
      <w:pPr>
        <w:pStyle w:val="ACMAHeading1"/>
      </w:pPr>
      <w:bookmarkStart w:id="232" w:name="_Toc433790342"/>
      <w:r w:rsidRPr="00FD7E86">
        <w:lastRenderedPageBreak/>
        <w:t>2.6</w:t>
      </w:r>
      <w:r w:rsidRPr="00FD7E86">
        <w:tab/>
      </w:r>
      <w:r w:rsidRPr="00FD7E86">
        <w:tab/>
      </w:r>
      <w:r w:rsidR="000317E5" w:rsidRPr="00FD7E86">
        <w:t>International trends</w:t>
      </w:r>
      <w:bookmarkEnd w:id="232"/>
      <w:r w:rsidR="000317E5" w:rsidRPr="00FD7E86">
        <w:t xml:space="preserve"> </w:t>
      </w:r>
    </w:p>
    <w:p w14:paraId="485DE178" w14:textId="77777777" w:rsidR="000317E5" w:rsidRPr="00FD7E86" w:rsidRDefault="000317E5" w:rsidP="000317E5">
      <w:pPr>
        <w:keepNext/>
        <w:keepLines/>
      </w:pPr>
      <w:r w:rsidRPr="00FD7E86">
        <w:t>Internationally comparable data that is currently available allows a broad-level comparison of the availability of communications services, internet adoption levels, and device take-up and usage across Australia, the United States (US) and the European Union</w:t>
      </w:r>
      <w:r w:rsidR="00B248A1" w:rsidRPr="00FD7E86">
        <w:t xml:space="preserve"> </w:t>
      </w:r>
      <w:r w:rsidRPr="00FD7E86">
        <w:t xml:space="preserve">(EU). </w:t>
      </w:r>
    </w:p>
    <w:p w14:paraId="549F8B8A" w14:textId="77777777" w:rsidR="000317E5" w:rsidRPr="00FD7E86" w:rsidRDefault="00492B93" w:rsidP="00BD1C74">
      <w:pPr>
        <w:pStyle w:val="ACMAHeading2"/>
      </w:pPr>
      <w:bookmarkStart w:id="233" w:name="_Toc433790343"/>
      <w:r w:rsidRPr="00FD7E86">
        <w:t>Communications services</w:t>
      </w:r>
      <w:bookmarkEnd w:id="233"/>
    </w:p>
    <w:p w14:paraId="07B909E6" w14:textId="77777777" w:rsidR="000317E5" w:rsidRPr="00FD7E86" w:rsidRDefault="005D1E0D" w:rsidP="000317E5">
      <w:pPr>
        <w:keepNext/>
        <w:keepLines/>
        <w:spacing w:after="80" w:line="240" w:lineRule="auto"/>
        <w:rPr>
          <w:rFonts w:cs="Arial"/>
        </w:rPr>
      </w:pPr>
      <w:r w:rsidRPr="00FD7E86">
        <w:rPr>
          <w:rFonts w:cs="Arial"/>
          <w:szCs w:val="20"/>
        </w:rPr>
        <w:t xml:space="preserve">The </w:t>
      </w:r>
      <w:r w:rsidR="005F407F" w:rsidRPr="00FD7E86">
        <w:rPr>
          <w:rFonts w:cs="Arial"/>
          <w:szCs w:val="20"/>
        </w:rPr>
        <w:t xml:space="preserve">Australian experience of the rise of </w:t>
      </w:r>
      <w:r w:rsidRPr="00FD7E86">
        <w:rPr>
          <w:rFonts w:cs="Arial"/>
          <w:szCs w:val="20"/>
        </w:rPr>
        <w:t xml:space="preserve">mobile-only households </w:t>
      </w:r>
      <w:r w:rsidR="005F407F" w:rsidRPr="00FD7E86">
        <w:rPr>
          <w:rFonts w:cs="Arial"/>
          <w:szCs w:val="20"/>
        </w:rPr>
        <w:t xml:space="preserve">in recent years is </w:t>
      </w:r>
      <w:r w:rsidRPr="00FD7E86">
        <w:rPr>
          <w:rFonts w:cs="Arial"/>
          <w:szCs w:val="20"/>
        </w:rPr>
        <w:t xml:space="preserve">also </w:t>
      </w:r>
      <w:r w:rsidR="005F407F" w:rsidRPr="00FD7E86">
        <w:rPr>
          <w:rFonts w:cs="Arial"/>
          <w:szCs w:val="20"/>
        </w:rPr>
        <w:t xml:space="preserve">reflected </w:t>
      </w:r>
      <w:r w:rsidRPr="00FD7E86">
        <w:rPr>
          <w:rFonts w:cs="Arial"/>
          <w:szCs w:val="20"/>
        </w:rPr>
        <w:t>in other countries</w:t>
      </w:r>
      <w:r w:rsidR="0048094D" w:rsidRPr="00FD7E86">
        <w:rPr>
          <w:rFonts w:cs="Arial"/>
        </w:rPr>
        <w:t>.</w:t>
      </w:r>
    </w:p>
    <w:p w14:paraId="60BD6B15" w14:textId="77777777" w:rsidR="000317E5" w:rsidRPr="00FD7E86" w:rsidRDefault="005D1E0D" w:rsidP="00BD1C74">
      <w:pPr>
        <w:pStyle w:val="ListBullet"/>
      </w:pPr>
      <w:r w:rsidRPr="00FD7E86">
        <w:rPr>
          <w:rFonts w:cs="Arial"/>
          <w:szCs w:val="20"/>
        </w:rPr>
        <w:t>16 per cent of the population in the U</w:t>
      </w:r>
      <w:r w:rsidR="00803F1A" w:rsidRPr="00FD7E86">
        <w:rPr>
          <w:rFonts w:cs="Arial"/>
          <w:szCs w:val="20"/>
        </w:rPr>
        <w:t xml:space="preserve">nited </w:t>
      </w:r>
      <w:r w:rsidRPr="00FD7E86">
        <w:rPr>
          <w:rFonts w:cs="Arial"/>
          <w:szCs w:val="20"/>
        </w:rPr>
        <w:t>K</w:t>
      </w:r>
      <w:r w:rsidR="00803F1A" w:rsidRPr="00FD7E86">
        <w:rPr>
          <w:rFonts w:cs="Arial"/>
          <w:szCs w:val="20"/>
        </w:rPr>
        <w:t>ingdom (UK)</w:t>
      </w:r>
      <w:r w:rsidRPr="00FD7E86">
        <w:rPr>
          <w:rFonts w:cs="Arial"/>
          <w:szCs w:val="20"/>
        </w:rPr>
        <w:t xml:space="preserve"> were living in a mobile-only household (</w:t>
      </w:r>
      <w:r w:rsidR="0030495D" w:rsidRPr="00FD7E86">
        <w:rPr>
          <w:rFonts w:cs="Arial"/>
          <w:szCs w:val="20"/>
        </w:rPr>
        <w:t>quarter two</w:t>
      </w:r>
      <w:r w:rsidRPr="00FD7E86">
        <w:rPr>
          <w:rFonts w:cs="Arial"/>
          <w:szCs w:val="20"/>
        </w:rPr>
        <w:t xml:space="preserve"> 2014), the same </w:t>
      </w:r>
      <w:r w:rsidR="00804F29" w:rsidRPr="00FD7E86">
        <w:rPr>
          <w:rFonts w:cs="Arial"/>
          <w:szCs w:val="20"/>
        </w:rPr>
        <w:t xml:space="preserve">figure </w:t>
      </w:r>
      <w:r w:rsidRPr="00FD7E86">
        <w:rPr>
          <w:rFonts w:cs="Arial"/>
          <w:szCs w:val="20"/>
        </w:rPr>
        <w:t>as last year</w:t>
      </w:r>
      <w:r w:rsidR="000317E5" w:rsidRPr="00FD7E86">
        <w:rPr>
          <w:rStyle w:val="EndnoteReference"/>
        </w:rPr>
        <w:endnoteReference w:id="55"/>
      </w:r>
    </w:p>
    <w:p w14:paraId="5DC1FD1D" w14:textId="77777777" w:rsidR="000317E5" w:rsidRPr="00FD7E86" w:rsidRDefault="005D1E0D" w:rsidP="00BD1C74">
      <w:pPr>
        <w:pStyle w:val="ListBullet"/>
      </w:pPr>
      <w:r w:rsidRPr="00FD7E86">
        <w:rPr>
          <w:rFonts w:cs="Arial"/>
          <w:szCs w:val="20"/>
        </w:rPr>
        <w:t xml:space="preserve">84 per cent of households in the UK had a fixed-line telephone at July 2014, a figure </w:t>
      </w:r>
      <w:r w:rsidR="00804F29" w:rsidRPr="00FD7E86">
        <w:rPr>
          <w:rFonts w:cs="Arial"/>
          <w:szCs w:val="20"/>
        </w:rPr>
        <w:t xml:space="preserve">which </w:t>
      </w:r>
      <w:r w:rsidRPr="00FD7E86">
        <w:rPr>
          <w:rFonts w:cs="Arial"/>
          <w:szCs w:val="20"/>
        </w:rPr>
        <w:t>has remained static since last year</w:t>
      </w:r>
      <w:r w:rsidR="000317E5" w:rsidRPr="00FD7E86">
        <w:rPr>
          <w:rStyle w:val="EndnoteReference"/>
        </w:rPr>
        <w:endnoteReference w:id="56"/>
      </w:r>
    </w:p>
    <w:p w14:paraId="76181E5E" w14:textId="77777777" w:rsidR="000317E5" w:rsidRPr="00FD7E86" w:rsidRDefault="005D1E0D" w:rsidP="00BD1C74">
      <w:pPr>
        <w:pStyle w:val="ListBullet"/>
      </w:pPr>
      <w:r w:rsidRPr="00FD7E86">
        <w:rPr>
          <w:rFonts w:cs="Arial"/>
          <w:szCs w:val="20"/>
        </w:rPr>
        <w:t>44 per cent of American homes had only wireless telephones at home (cellular telephone, cell phone, or mobile phone)</w:t>
      </w:r>
      <w:r w:rsidR="000317E5" w:rsidRPr="00FD7E86">
        <w:rPr>
          <w:rStyle w:val="EndnoteReference"/>
        </w:rPr>
        <w:endnoteReference w:id="57"/>
      </w:r>
      <w:r w:rsidR="000317E5" w:rsidRPr="00FD7E86">
        <w:t xml:space="preserve">, according to research undertaken by National Health Interview Survey (NHIS) during the first half of 2014 </w:t>
      </w:r>
    </w:p>
    <w:p w14:paraId="1651FE60" w14:textId="77777777" w:rsidR="000317E5" w:rsidRPr="00FD7E86" w:rsidRDefault="00804F29" w:rsidP="00BD1C74">
      <w:pPr>
        <w:pStyle w:val="ListBulletLast"/>
      </w:pPr>
      <w:r w:rsidRPr="00FD7E86">
        <w:rPr>
          <w:szCs w:val="20"/>
        </w:rPr>
        <w:t>j</w:t>
      </w:r>
      <w:r w:rsidR="005D1E0D" w:rsidRPr="00FD7E86">
        <w:rPr>
          <w:szCs w:val="20"/>
        </w:rPr>
        <w:t xml:space="preserve">ust over three in </w:t>
      </w:r>
      <w:r w:rsidR="00B248A1" w:rsidRPr="00FD7E86">
        <w:rPr>
          <w:szCs w:val="20"/>
        </w:rPr>
        <w:t xml:space="preserve">10 </w:t>
      </w:r>
      <w:r w:rsidR="005D1E0D" w:rsidRPr="00FD7E86">
        <w:rPr>
          <w:szCs w:val="20"/>
        </w:rPr>
        <w:t>households in the EU (31 per cent) had only mobile telephone access, with no fixed telephone access (January 2014)</w:t>
      </w:r>
      <w:r w:rsidR="00815758" w:rsidRPr="00FD7E86">
        <w:rPr>
          <w:szCs w:val="20"/>
        </w:rPr>
        <w:t>.</w:t>
      </w:r>
      <w:r w:rsidR="005D1E0D" w:rsidRPr="00FD7E86">
        <w:rPr>
          <w:rStyle w:val="EndnoteReference"/>
          <w:szCs w:val="20"/>
        </w:rPr>
        <w:endnoteReference w:id="58"/>
      </w:r>
    </w:p>
    <w:p w14:paraId="62987706" w14:textId="77777777" w:rsidR="000317E5" w:rsidRPr="00FD7E86" w:rsidRDefault="000317E5" w:rsidP="000664F7">
      <w:pPr>
        <w:pStyle w:val="ACMAHeading2"/>
      </w:pPr>
      <w:bookmarkStart w:id="234" w:name="_Toc433790344"/>
      <w:r w:rsidRPr="00FD7E86">
        <w:t>Access to the internet</w:t>
      </w:r>
      <w:bookmarkEnd w:id="234"/>
    </w:p>
    <w:p w14:paraId="0E1B0C55" w14:textId="77777777" w:rsidR="000317E5" w:rsidRPr="00FD7E86" w:rsidRDefault="000317E5" w:rsidP="000317E5">
      <w:pPr>
        <w:rPr>
          <w:rFonts w:cs="Arial"/>
        </w:rPr>
      </w:pPr>
      <w:r w:rsidRPr="00FD7E86">
        <w:rPr>
          <w:rFonts w:cs="Arial"/>
        </w:rPr>
        <w:t xml:space="preserve">Table 2.1 suggests that Australia has similar or higher levels of </w:t>
      </w:r>
      <w:r w:rsidR="0073456E" w:rsidRPr="00FD7E86">
        <w:rPr>
          <w:rFonts w:cs="Arial"/>
        </w:rPr>
        <w:t>general and mobile phone internet user</w:t>
      </w:r>
      <w:r w:rsidR="00492B93" w:rsidRPr="00FD7E86">
        <w:rPr>
          <w:rFonts w:cs="Arial"/>
        </w:rPr>
        <w:t>s</w:t>
      </w:r>
      <w:r w:rsidR="0073456E" w:rsidRPr="00FD7E86">
        <w:rPr>
          <w:rFonts w:cs="Arial"/>
        </w:rPr>
        <w:t xml:space="preserve"> in comparison to the US and the UK.</w:t>
      </w:r>
      <w:r w:rsidRPr="00FD7E86">
        <w:rPr>
          <w:rFonts w:cs="Arial"/>
        </w:rPr>
        <w:t xml:space="preserve"> </w:t>
      </w:r>
      <w:r w:rsidR="0073456E" w:rsidRPr="00FD7E86">
        <w:rPr>
          <w:rFonts w:cs="Arial"/>
        </w:rPr>
        <w:t xml:space="preserve">Australia also </w:t>
      </w:r>
      <w:r w:rsidR="00492B93" w:rsidRPr="00FD7E86">
        <w:rPr>
          <w:rFonts w:cs="Arial"/>
        </w:rPr>
        <w:t>has</w:t>
      </w:r>
      <w:r w:rsidR="0073456E" w:rsidRPr="00FD7E86">
        <w:rPr>
          <w:rFonts w:cs="Arial"/>
        </w:rPr>
        <w:t xml:space="preserve"> a higher percentage of consumers with a home broadband connection</w:t>
      </w:r>
      <w:r w:rsidRPr="00FD7E86">
        <w:rPr>
          <w:rFonts w:cs="Arial"/>
        </w:rPr>
        <w:t>. The most recent US data available from the Pew Research Center indicates that</w:t>
      </w:r>
      <w:r w:rsidR="0030495D" w:rsidRPr="00FD7E86">
        <w:rPr>
          <w:rFonts w:cs="Arial"/>
        </w:rPr>
        <w:t>,</w:t>
      </w:r>
      <w:r w:rsidRPr="00FD7E86">
        <w:rPr>
          <w:rFonts w:cs="Arial"/>
        </w:rPr>
        <w:t xml:space="preserve"> in 2013, 70</w:t>
      </w:r>
      <w:r w:rsidR="004E6AB0" w:rsidRPr="00FD7E86">
        <w:rPr>
          <w:rFonts w:cs="Arial"/>
        </w:rPr>
        <w:t xml:space="preserve"> per cent</w:t>
      </w:r>
      <w:r w:rsidRPr="00FD7E86">
        <w:rPr>
          <w:rFonts w:cs="Arial"/>
        </w:rPr>
        <w:t xml:space="preserve"> of US households had a home broadband internet connection.</w:t>
      </w:r>
      <w:r w:rsidRPr="00FD7E86">
        <w:rPr>
          <w:rStyle w:val="EndnoteReference"/>
        </w:rPr>
        <w:endnoteReference w:id="59"/>
      </w:r>
    </w:p>
    <w:p w14:paraId="3EB4C29D" w14:textId="77777777" w:rsidR="000317E5" w:rsidRPr="00FD7E86" w:rsidRDefault="000317E5" w:rsidP="000F1A43">
      <w:pPr>
        <w:pStyle w:val="Caption"/>
        <w:keepNext/>
        <w:keepLines/>
        <w:numPr>
          <w:ilvl w:val="0"/>
          <w:numId w:val="0"/>
        </w:numPr>
        <w:spacing w:after="160"/>
      </w:pPr>
      <w:r w:rsidRPr="00FD7E86">
        <w:lastRenderedPageBreak/>
        <w:t>Table 2.1 International trends in access to the internet</w:t>
      </w:r>
      <w:r w:rsidR="00033422" w:rsidRPr="00FD7E86">
        <w:t xml:space="preserve"> (percentage)</w:t>
      </w:r>
    </w:p>
    <w:tbl>
      <w:tblPr>
        <w:tblStyle w:val="TableGrid"/>
        <w:tblW w:w="96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A0" w:firstRow="1" w:lastRow="0" w:firstColumn="1" w:lastColumn="0" w:noHBand="0" w:noVBand="1"/>
        <w:tblCaption w:val="Table 2.1 International trends in access to the internet (percentage)"/>
      </w:tblPr>
      <w:tblGrid>
        <w:gridCol w:w="2110"/>
        <w:gridCol w:w="1248"/>
        <w:gridCol w:w="1249"/>
        <w:gridCol w:w="1248"/>
        <w:gridCol w:w="1249"/>
        <w:gridCol w:w="1248"/>
        <w:gridCol w:w="1249"/>
      </w:tblGrid>
      <w:tr w:rsidR="000317E5" w:rsidRPr="00FD7E86" w14:paraId="6DBBFF69" w14:textId="77777777" w:rsidTr="00A67C69">
        <w:trPr>
          <w:trHeight w:val="614"/>
          <w:tblHeader/>
        </w:trPr>
        <w:tc>
          <w:tcPr>
            <w:tcW w:w="2110" w:type="dxa"/>
            <w:shd w:val="clear" w:color="auto" w:fill="auto"/>
            <w:vAlign w:val="center"/>
          </w:tcPr>
          <w:p w14:paraId="379AE18B" w14:textId="77777777" w:rsidR="000317E5" w:rsidRPr="00FD7E86" w:rsidRDefault="000317E5" w:rsidP="000F1A43">
            <w:pPr>
              <w:pStyle w:val="TableHeading"/>
              <w:keepNext/>
              <w:keepLines/>
              <w:jc w:val="center"/>
            </w:pPr>
          </w:p>
        </w:tc>
        <w:tc>
          <w:tcPr>
            <w:tcW w:w="2497" w:type="dxa"/>
            <w:gridSpan w:val="2"/>
            <w:tcBorders>
              <w:bottom w:val="nil"/>
            </w:tcBorders>
            <w:shd w:val="clear" w:color="auto" w:fill="00ADBB" w:themeFill="accent1"/>
            <w:vAlign w:val="center"/>
          </w:tcPr>
          <w:p w14:paraId="4BCB6989" w14:textId="77777777" w:rsidR="000317E5" w:rsidRPr="00FD7E86" w:rsidRDefault="00F27947" w:rsidP="000F1A43">
            <w:pPr>
              <w:pStyle w:val="TableHeading"/>
              <w:keepNext/>
              <w:keepLines/>
              <w:jc w:val="center"/>
            </w:pPr>
            <w:r w:rsidRPr="00FD7E86">
              <w:rPr>
                <w:noProof/>
              </w:rPr>
              <w:drawing>
                <wp:inline distT="0" distB="0" distL="0" distR="0" wp14:anchorId="1B5B1835" wp14:editId="44BD2254">
                  <wp:extent cx="728473" cy="615697"/>
                  <wp:effectExtent l="0" t="0" r="0" b="0"/>
                  <wp:docPr id="18" name="Picture 18"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hapter 2_Home broadband connection.png"/>
                          <pic:cNvPicPr/>
                        </pic:nvPicPr>
                        <pic:blipFill>
                          <a:blip r:embed="rId82">
                            <a:extLst>
                              <a:ext uri="{28A0092B-C50C-407E-A947-70E740481C1C}">
                                <a14:useLocalDpi xmlns:a14="http://schemas.microsoft.com/office/drawing/2010/main" val="0"/>
                              </a:ext>
                            </a:extLst>
                          </a:blip>
                          <a:stretch>
                            <a:fillRect/>
                          </a:stretch>
                        </pic:blipFill>
                        <pic:spPr>
                          <a:xfrm>
                            <a:off x="0" y="0"/>
                            <a:ext cx="728473" cy="615697"/>
                          </a:xfrm>
                          <a:prstGeom prst="rect">
                            <a:avLst/>
                          </a:prstGeom>
                        </pic:spPr>
                      </pic:pic>
                    </a:graphicData>
                  </a:graphic>
                </wp:inline>
              </w:drawing>
            </w:r>
          </w:p>
        </w:tc>
        <w:tc>
          <w:tcPr>
            <w:tcW w:w="2497" w:type="dxa"/>
            <w:gridSpan w:val="2"/>
            <w:tcBorders>
              <w:bottom w:val="nil"/>
            </w:tcBorders>
            <w:shd w:val="clear" w:color="auto" w:fill="00ADBB" w:themeFill="accent1"/>
            <w:vAlign w:val="center"/>
          </w:tcPr>
          <w:p w14:paraId="559C9704" w14:textId="77777777" w:rsidR="000317E5" w:rsidRPr="00FD7E86" w:rsidRDefault="00F27947" w:rsidP="000F1A43">
            <w:pPr>
              <w:pStyle w:val="TableHeading"/>
              <w:keepNext/>
              <w:keepLines/>
              <w:jc w:val="center"/>
            </w:pPr>
            <w:r w:rsidRPr="00FD7E86">
              <w:rPr>
                <w:noProof/>
              </w:rPr>
              <w:drawing>
                <wp:inline distT="0" distB="0" distL="0" distR="0" wp14:anchorId="26523731" wp14:editId="6273A4D2">
                  <wp:extent cx="332233" cy="688849"/>
                  <wp:effectExtent l="0" t="0" r="0" b="0"/>
                  <wp:docPr id="22" name="Picture 22"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Chapter 2_Mobile phone.png"/>
                          <pic:cNvPicPr/>
                        </pic:nvPicPr>
                        <pic:blipFill>
                          <a:blip r:embed="rId83">
                            <a:extLst>
                              <a:ext uri="{28A0092B-C50C-407E-A947-70E740481C1C}">
                                <a14:useLocalDpi xmlns:a14="http://schemas.microsoft.com/office/drawing/2010/main" val="0"/>
                              </a:ext>
                            </a:extLst>
                          </a:blip>
                          <a:stretch>
                            <a:fillRect/>
                          </a:stretch>
                        </pic:blipFill>
                        <pic:spPr>
                          <a:xfrm>
                            <a:off x="0" y="0"/>
                            <a:ext cx="332233" cy="688849"/>
                          </a:xfrm>
                          <a:prstGeom prst="rect">
                            <a:avLst/>
                          </a:prstGeom>
                        </pic:spPr>
                      </pic:pic>
                    </a:graphicData>
                  </a:graphic>
                </wp:inline>
              </w:drawing>
            </w:r>
          </w:p>
        </w:tc>
        <w:tc>
          <w:tcPr>
            <w:tcW w:w="2497" w:type="dxa"/>
            <w:gridSpan w:val="2"/>
            <w:tcBorders>
              <w:bottom w:val="nil"/>
            </w:tcBorders>
            <w:shd w:val="clear" w:color="auto" w:fill="00ADBB" w:themeFill="accent1"/>
            <w:vAlign w:val="center"/>
          </w:tcPr>
          <w:p w14:paraId="735A6405" w14:textId="29A86900" w:rsidR="000317E5" w:rsidRPr="00FD7E86" w:rsidRDefault="00894912" w:rsidP="000F1A43">
            <w:pPr>
              <w:pStyle w:val="TableHeading"/>
              <w:keepNext/>
              <w:keepLines/>
              <w:jc w:val="center"/>
              <w:rPr>
                <w:noProof/>
              </w:rPr>
            </w:pPr>
            <w:r>
              <w:rPr>
                <w:noProof/>
              </w:rPr>
              <w:drawing>
                <wp:inline distT="0" distB="0" distL="0" distR="0" wp14:anchorId="3CD0E690" wp14:editId="306CCF6F">
                  <wp:extent cx="405765" cy="405765"/>
                  <wp:effectExtent l="0" t="0" r="0" b="0"/>
                  <wp:docPr id="52" name="Picture 52"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Chapter 2_Internet.png"/>
                          <pic:cNvPicPr/>
                        </pic:nvPicPr>
                        <pic:blipFill>
                          <a:blip r:embed="rId84">
                            <a:extLst>
                              <a:ext uri="{28A0092B-C50C-407E-A947-70E740481C1C}">
                                <a14:useLocalDpi xmlns:a14="http://schemas.microsoft.com/office/drawing/2010/main" val="0"/>
                              </a:ext>
                            </a:extLst>
                          </a:blip>
                          <a:stretch>
                            <a:fillRect/>
                          </a:stretch>
                        </pic:blipFill>
                        <pic:spPr>
                          <a:xfrm>
                            <a:off x="0" y="0"/>
                            <a:ext cx="405766" cy="405766"/>
                          </a:xfrm>
                          <a:prstGeom prst="rect">
                            <a:avLst/>
                          </a:prstGeom>
                        </pic:spPr>
                      </pic:pic>
                    </a:graphicData>
                  </a:graphic>
                </wp:inline>
              </w:drawing>
            </w:r>
          </w:p>
        </w:tc>
      </w:tr>
      <w:tr w:rsidR="000317E5" w:rsidRPr="00FD7E86" w14:paraId="41F14D69" w14:textId="77777777" w:rsidTr="000664F7">
        <w:trPr>
          <w:trHeight w:val="556"/>
        </w:trPr>
        <w:tc>
          <w:tcPr>
            <w:tcW w:w="2110" w:type="dxa"/>
            <w:vMerge w:val="restart"/>
            <w:shd w:val="clear" w:color="auto" w:fill="auto"/>
            <w:vAlign w:val="center"/>
          </w:tcPr>
          <w:p w14:paraId="6042590D" w14:textId="77777777" w:rsidR="000317E5" w:rsidRPr="00FD7E86" w:rsidRDefault="000317E5" w:rsidP="000F1A43">
            <w:pPr>
              <w:keepNext/>
              <w:keepLines/>
              <w:jc w:val="center"/>
              <w:rPr>
                <w:b/>
                <w:color w:val="FFFFFF" w:themeColor="background1"/>
                <w:sz w:val="18"/>
                <w:szCs w:val="18"/>
              </w:rPr>
            </w:pPr>
          </w:p>
          <w:p w14:paraId="6C5F35F1" w14:textId="725AAAF0" w:rsidR="000317E5" w:rsidRPr="00FD7E86" w:rsidRDefault="000317E5" w:rsidP="000F1A43">
            <w:pPr>
              <w:keepNext/>
              <w:keepLines/>
              <w:tabs>
                <w:tab w:val="right" w:pos="1895"/>
              </w:tabs>
              <w:jc w:val="center"/>
              <w:rPr>
                <w:sz w:val="18"/>
                <w:szCs w:val="18"/>
              </w:rPr>
            </w:pPr>
          </w:p>
        </w:tc>
        <w:tc>
          <w:tcPr>
            <w:tcW w:w="2497" w:type="dxa"/>
            <w:gridSpan w:val="2"/>
            <w:shd w:val="clear" w:color="auto" w:fill="00ADBB" w:themeFill="accent1"/>
          </w:tcPr>
          <w:p w14:paraId="1BA53FCF" w14:textId="77777777" w:rsidR="000317E5" w:rsidRPr="00FD7E86" w:rsidRDefault="000317E5" w:rsidP="000F1A43">
            <w:pPr>
              <w:keepNext/>
              <w:keepLines/>
              <w:spacing w:before="40" w:after="40" w:line="240" w:lineRule="auto"/>
              <w:ind w:right="365"/>
              <w:jc w:val="center"/>
              <w:outlineLvl w:val="0"/>
              <w:rPr>
                <w:rFonts w:cs="Arial"/>
                <w:b/>
                <w:color w:val="FFFFFF" w:themeColor="background1"/>
                <w:sz w:val="18"/>
                <w:szCs w:val="18"/>
              </w:rPr>
            </w:pPr>
            <w:r w:rsidRPr="00FD7E86">
              <w:rPr>
                <w:rFonts w:cs="Arial"/>
                <w:b/>
                <w:color w:val="FFFFFF" w:themeColor="background1"/>
                <w:sz w:val="18"/>
                <w:szCs w:val="18"/>
              </w:rPr>
              <w:t>Home broadband connection</w:t>
            </w:r>
          </w:p>
        </w:tc>
        <w:tc>
          <w:tcPr>
            <w:tcW w:w="2497" w:type="dxa"/>
            <w:gridSpan w:val="2"/>
            <w:shd w:val="clear" w:color="auto" w:fill="00ADBB" w:themeFill="accent1"/>
          </w:tcPr>
          <w:p w14:paraId="2D8DB959" w14:textId="77777777" w:rsidR="000317E5" w:rsidRPr="00FD7E86" w:rsidRDefault="000317E5" w:rsidP="000F1A43">
            <w:pPr>
              <w:keepNext/>
              <w:keepLines/>
              <w:spacing w:before="40" w:after="40" w:line="240" w:lineRule="auto"/>
              <w:ind w:right="365"/>
              <w:jc w:val="center"/>
              <w:outlineLvl w:val="0"/>
              <w:rPr>
                <w:rFonts w:cs="Arial"/>
                <w:b/>
                <w:color w:val="FFFFFF" w:themeColor="background1"/>
                <w:sz w:val="18"/>
                <w:szCs w:val="18"/>
              </w:rPr>
            </w:pPr>
            <w:r w:rsidRPr="00FD7E86">
              <w:rPr>
                <w:rFonts w:cs="Arial"/>
                <w:b/>
                <w:color w:val="FFFFFF" w:themeColor="background1"/>
                <w:sz w:val="18"/>
                <w:szCs w:val="18"/>
              </w:rPr>
              <w:t>Use mobi</w:t>
            </w:r>
            <w:r w:rsidR="00033422" w:rsidRPr="00FD7E86">
              <w:rPr>
                <w:rFonts w:cs="Arial"/>
                <w:b/>
                <w:color w:val="FFFFFF" w:themeColor="background1"/>
                <w:sz w:val="18"/>
                <w:szCs w:val="18"/>
              </w:rPr>
              <w:t>le phone to access the internet</w:t>
            </w:r>
          </w:p>
        </w:tc>
        <w:tc>
          <w:tcPr>
            <w:tcW w:w="2497" w:type="dxa"/>
            <w:gridSpan w:val="2"/>
            <w:shd w:val="clear" w:color="auto" w:fill="00ADBB" w:themeFill="accent1"/>
          </w:tcPr>
          <w:p w14:paraId="310C5A4F" w14:textId="77777777" w:rsidR="000317E5" w:rsidRPr="00FD7E86" w:rsidRDefault="00033422" w:rsidP="000F1A43">
            <w:pPr>
              <w:keepNext/>
              <w:keepLines/>
              <w:spacing w:before="40" w:after="40" w:line="240" w:lineRule="auto"/>
              <w:ind w:right="365"/>
              <w:jc w:val="center"/>
              <w:outlineLvl w:val="0"/>
              <w:rPr>
                <w:rFonts w:cs="Arial"/>
                <w:b/>
                <w:color w:val="FFFFFF" w:themeColor="background1"/>
                <w:sz w:val="18"/>
                <w:szCs w:val="18"/>
              </w:rPr>
            </w:pPr>
            <w:r w:rsidRPr="00FD7E86">
              <w:rPr>
                <w:rFonts w:cs="Arial"/>
                <w:b/>
                <w:color w:val="FFFFFF" w:themeColor="background1"/>
                <w:sz w:val="18"/>
                <w:szCs w:val="18"/>
              </w:rPr>
              <w:t>Use the internet</w:t>
            </w:r>
          </w:p>
        </w:tc>
      </w:tr>
      <w:tr w:rsidR="000317E5" w:rsidRPr="00FD7E86" w14:paraId="33A5EA19" w14:textId="77777777" w:rsidTr="007F0D56">
        <w:trPr>
          <w:trHeight w:val="480"/>
        </w:trPr>
        <w:tc>
          <w:tcPr>
            <w:tcW w:w="2110" w:type="dxa"/>
            <w:vMerge/>
            <w:shd w:val="clear" w:color="auto" w:fill="auto"/>
            <w:vAlign w:val="center"/>
          </w:tcPr>
          <w:p w14:paraId="61337E46" w14:textId="77777777" w:rsidR="000317E5" w:rsidRPr="00FD7E86" w:rsidRDefault="000317E5" w:rsidP="0022218E">
            <w:pPr>
              <w:keepNext/>
              <w:keepLines/>
              <w:tabs>
                <w:tab w:val="right" w:pos="1895"/>
              </w:tabs>
              <w:rPr>
                <w:b/>
                <w:color w:val="FFFFFF" w:themeColor="background1"/>
                <w:sz w:val="18"/>
                <w:szCs w:val="18"/>
              </w:rPr>
            </w:pPr>
          </w:p>
        </w:tc>
        <w:tc>
          <w:tcPr>
            <w:tcW w:w="1248" w:type="dxa"/>
            <w:shd w:val="clear" w:color="auto" w:fill="00ADBB" w:themeFill="accent1"/>
            <w:vAlign w:val="center"/>
          </w:tcPr>
          <w:p w14:paraId="0F802810" w14:textId="77777777" w:rsidR="000317E5" w:rsidRPr="00FD7E86" w:rsidRDefault="000317E5" w:rsidP="0022218E">
            <w:pPr>
              <w:keepNext/>
              <w:keepLine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2014</w:t>
            </w:r>
          </w:p>
        </w:tc>
        <w:tc>
          <w:tcPr>
            <w:tcW w:w="1249" w:type="dxa"/>
            <w:shd w:val="clear" w:color="auto" w:fill="00ADBB" w:themeFill="accent1"/>
            <w:vAlign w:val="center"/>
          </w:tcPr>
          <w:p w14:paraId="428D9F1E" w14:textId="77777777" w:rsidR="000317E5" w:rsidRPr="00FD7E86" w:rsidRDefault="000317E5" w:rsidP="0022218E">
            <w:pPr>
              <w:keepNext/>
              <w:keepLine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2015</w:t>
            </w:r>
          </w:p>
        </w:tc>
        <w:tc>
          <w:tcPr>
            <w:tcW w:w="1248" w:type="dxa"/>
            <w:shd w:val="clear" w:color="auto" w:fill="00ADBB" w:themeFill="accent1"/>
            <w:vAlign w:val="center"/>
          </w:tcPr>
          <w:p w14:paraId="4E1E094E" w14:textId="77777777" w:rsidR="000317E5" w:rsidRPr="00FD7E86" w:rsidRDefault="000317E5" w:rsidP="0022218E">
            <w:pPr>
              <w:keepNext/>
              <w:keepLine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2014</w:t>
            </w:r>
          </w:p>
        </w:tc>
        <w:tc>
          <w:tcPr>
            <w:tcW w:w="1249" w:type="dxa"/>
            <w:shd w:val="clear" w:color="auto" w:fill="00ADBB" w:themeFill="accent1"/>
            <w:vAlign w:val="center"/>
          </w:tcPr>
          <w:p w14:paraId="7157D325" w14:textId="77777777" w:rsidR="000317E5" w:rsidRPr="00FD7E86" w:rsidRDefault="000317E5" w:rsidP="0022218E">
            <w:pPr>
              <w:keepNext/>
              <w:keepLine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2015</w:t>
            </w:r>
          </w:p>
        </w:tc>
        <w:tc>
          <w:tcPr>
            <w:tcW w:w="1248" w:type="dxa"/>
            <w:shd w:val="clear" w:color="auto" w:fill="00ADBB" w:themeFill="accent1"/>
            <w:vAlign w:val="center"/>
          </w:tcPr>
          <w:p w14:paraId="514C1C2A" w14:textId="77777777" w:rsidR="000317E5" w:rsidRPr="00FD7E86" w:rsidRDefault="000317E5" w:rsidP="0022218E">
            <w:pPr>
              <w:keepNext/>
              <w:keepLine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2014</w:t>
            </w:r>
          </w:p>
        </w:tc>
        <w:tc>
          <w:tcPr>
            <w:tcW w:w="1249" w:type="dxa"/>
            <w:shd w:val="clear" w:color="auto" w:fill="00ADBB" w:themeFill="accent1"/>
            <w:vAlign w:val="center"/>
          </w:tcPr>
          <w:p w14:paraId="6FE15C7C" w14:textId="77777777" w:rsidR="000317E5" w:rsidRPr="00FD7E86" w:rsidRDefault="000317E5" w:rsidP="0022218E">
            <w:pPr>
              <w:keepNext/>
              <w:keepLines/>
              <w:tabs>
                <w:tab w:val="left" w:pos="837"/>
              </w:tabs>
              <w:spacing w:before="40" w:after="40" w:line="240" w:lineRule="auto"/>
              <w:ind w:right="161"/>
              <w:jc w:val="right"/>
              <w:outlineLvl w:val="0"/>
              <w:rPr>
                <w:rFonts w:cs="Arial"/>
                <w:b/>
                <w:color w:val="FFFFFF" w:themeColor="background1"/>
                <w:sz w:val="18"/>
                <w:szCs w:val="18"/>
              </w:rPr>
            </w:pPr>
            <w:r w:rsidRPr="00FD7E86">
              <w:rPr>
                <w:rFonts w:cs="Arial"/>
                <w:b/>
                <w:color w:val="FFFFFF" w:themeColor="background1"/>
                <w:sz w:val="18"/>
                <w:szCs w:val="18"/>
              </w:rPr>
              <w:t>2015</w:t>
            </w:r>
          </w:p>
        </w:tc>
      </w:tr>
      <w:tr w:rsidR="000317E5" w:rsidRPr="00FD7E86" w14:paraId="6F22AE35" w14:textId="77777777" w:rsidTr="000664F7">
        <w:trPr>
          <w:trHeight w:val="480"/>
        </w:trPr>
        <w:tc>
          <w:tcPr>
            <w:tcW w:w="2110" w:type="dxa"/>
            <w:shd w:val="clear" w:color="auto" w:fill="65CDD5" w:themeFill="accent2"/>
            <w:vAlign w:val="center"/>
          </w:tcPr>
          <w:p w14:paraId="7F128E08" w14:textId="77777777" w:rsidR="000317E5" w:rsidRPr="00C05F4C" w:rsidRDefault="000317E5" w:rsidP="0022218E">
            <w:pPr>
              <w:keepNext/>
              <w:keepLines/>
              <w:spacing w:before="40" w:after="40" w:line="240" w:lineRule="auto"/>
              <w:ind w:right="365"/>
              <w:outlineLvl w:val="0"/>
              <w:rPr>
                <w:rFonts w:cs="Arial"/>
                <w:sz w:val="18"/>
                <w:szCs w:val="18"/>
              </w:rPr>
            </w:pPr>
            <w:r w:rsidRPr="00C05F4C">
              <w:rPr>
                <w:rFonts w:cs="Arial"/>
                <w:sz w:val="18"/>
                <w:szCs w:val="18"/>
              </w:rPr>
              <w:t>Australia</w:t>
            </w:r>
          </w:p>
        </w:tc>
        <w:tc>
          <w:tcPr>
            <w:tcW w:w="1248" w:type="dxa"/>
            <w:shd w:val="clear" w:color="auto" w:fill="E9FBFB" w:themeFill="accent3"/>
            <w:vAlign w:val="center"/>
          </w:tcPr>
          <w:p w14:paraId="05DFB7A7" w14:textId="77777777" w:rsidR="000317E5" w:rsidRPr="00FD7E86" w:rsidRDefault="000317E5" w:rsidP="0022218E">
            <w:pPr>
              <w:keepNext/>
              <w:keepLines/>
              <w:spacing w:before="40" w:after="40" w:line="240" w:lineRule="auto"/>
              <w:ind w:right="161"/>
              <w:jc w:val="right"/>
              <w:outlineLvl w:val="0"/>
              <w:rPr>
                <w:sz w:val="18"/>
                <w:szCs w:val="18"/>
              </w:rPr>
            </w:pPr>
            <w:r w:rsidRPr="00FD7E86">
              <w:rPr>
                <w:rFonts w:cs="Arial"/>
                <w:sz w:val="18"/>
                <w:szCs w:val="18"/>
              </w:rPr>
              <w:t>83</w:t>
            </w:r>
          </w:p>
        </w:tc>
        <w:tc>
          <w:tcPr>
            <w:tcW w:w="1249" w:type="dxa"/>
            <w:shd w:val="clear" w:color="auto" w:fill="E9FBFB" w:themeFill="accent3"/>
            <w:vAlign w:val="center"/>
          </w:tcPr>
          <w:p w14:paraId="72954720"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85</w:t>
            </w:r>
          </w:p>
        </w:tc>
        <w:tc>
          <w:tcPr>
            <w:tcW w:w="1248" w:type="dxa"/>
            <w:shd w:val="clear" w:color="auto" w:fill="E9FBFB" w:themeFill="accent3"/>
            <w:vAlign w:val="center"/>
          </w:tcPr>
          <w:p w14:paraId="63D67F13"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70</w:t>
            </w:r>
          </w:p>
        </w:tc>
        <w:tc>
          <w:tcPr>
            <w:tcW w:w="1249" w:type="dxa"/>
            <w:shd w:val="clear" w:color="auto" w:fill="E9FBFB" w:themeFill="accent3"/>
            <w:vAlign w:val="center"/>
          </w:tcPr>
          <w:p w14:paraId="36D5DDD6"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73</w:t>
            </w:r>
          </w:p>
        </w:tc>
        <w:tc>
          <w:tcPr>
            <w:tcW w:w="1248" w:type="dxa"/>
            <w:shd w:val="clear" w:color="auto" w:fill="E9FBFB" w:themeFill="accent3"/>
            <w:vAlign w:val="center"/>
          </w:tcPr>
          <w:p w14:paraId="45AC1DBA"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92</w:t>
            </w:r>
          </w:p>
        </w:tc>
        <w:tc>
          <w:tcPr>
            <w:tcW w:w="1249" w:type="dxa"/>
            <w:shd w:val="clear" w:color="auto" w:fill="E9FBFB" w:themeFill="accent3"/>
            <w:vAlign w:val="center"/>
          </w:tcPr>
          <w:p w14:paraId="76FD513E" w14:textId="77777777" w:rsidR="000317E5" w:rsidRPr="00FD7E86" w:rsidRDefault="000317E5" w:rsidP="0022218E">
            <w:pPr>
              <w:keepNext/>
              <w:keepLines/>
              <w:tabs>
                <w:tab w:val="left" w:pos="837"/>
              </w:tabs>
              <w:spacing w:before="40" w:after="40" w:line="240" w:lineRule="auto"/>
              <w:ind w:right="161"/>
              <w:jc w:val="right"/>
              <w:outlineLvl w:val="0"/>
              <w:rPr>
                <w:rFonts w:cs="Arial"/>
                <w:sz w:val="18"/>
                <w:szCs w:val="18"/>
              </w:rPr>
            </w:pPr>
            <w:r w:rsidRPr="00FD7E86">
              <w:rPr>
                <w:rFonts w:cs="Arial"/>
                <w:sz w:val="18"/>
                <w:szCs w:val="18"/>
              </w:rPr>
              <w:t>92</w:t>
            </w:r>
          </w:p>
        </w:tc>
      </w:tr>
      <w:tr w:rsidR="000317E5" w:rsidRPr="00FD7E86" w14:paraId="6890E019" w14:textId="77777777" w:rsidTr="000664F7">
        <w:trPr>
          <w:trHeight w:val="480"/>
        </w:trPr>
        <w:tc>
          <w:tcPr>
            <w:tcW w:w="2110" w:type="dxa"/>
            <w:shd w:val="clear" w:color="auto" w:fill="65CDD5" w:themeFill="accent2"/>
            <w:vAlign w:val="center"/>
          </w:tcPr>
          <w:p w14:paraId="20821CAB" w14:textId="77777777" w:rsidR="000317E5" w:rsidRPr="00C05F4C" w:rsidRDefault="000317E5" w:rsidP="0022218E">
            <w:pPr>
              <w:keepNext/>
              <w:keepLines/>
              <w:spacing w:before="40" w:after="40" w:line="240" w:lineRule="auto"/>
              <w:ind w:right="365"/>
              <w:outlineLvl w:val="0"/>
              <w:rPr>
                <w:sz w:val="18"/>
                <w:szCs w:val="18"/>
              </w:rPr>
            </w:pPr>
            <w:r w:rsidRPr="00C05F4C">
              <w:rPr>
                <w:sz w:val="18"/>
                <w:szCs w:val="18"/>
              </w:rPr>
              <w:t>US</w:t>
            </w:r>
            <w:r w:rsidRPr="00C05F4C">
              <w:rPr>
                <w:rStyle w:val="EndnoteReference"/>
                <w:sz w:val="18"/>
                <w:szCs w:val="18"/>
              </w:rPr>
              <w:endnoteReference w:id="60"/>
            </w:r>
          </w:p>
        </w:tc>
        <w:tc>
          <w:tcPr>
            <w:tcW w:w="1248" w:type="dxa"/>
            <w:shd w:val="clear" w:color="auto" w:fill="E9FBFB" w:themeFill="accent3"/>
            <w:vAlign w:val="center"/>
          </w:tcPr>
          <w:p w14:paraId="3A9297E0"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n/a</w:t>
            </w:r>
          </w:p>
        </w:tc>
        <w:tc>
          <w:tcPr>
            <w:tcW w:w="1249" w:type="dxa"/>
            <w:shd w:val="clear" w:color="auto" w:fill="E9FBFB" w:themeFill="accent3"/>
            <w:vAlign w:val="center"/>
          </w:tcPr>
          <w:p w14:paraId="24D9385B"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n/a</w:t>
            </w:r>
          </w:p>
        </w:tc>
        <w:tc>
          <w:tcPr>
            <w:tcW w:w="1248" w:type="dxa"/>
            <w:shd w:val="clear" w:color="auto" w:fill="E9FBFB" w:themeFill="accent3"/>
            <w:vAlign w:val="center"/>
          </w:tcPr>
          <w:p w14:paraId="3C53B594"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58*</w:t>
            </w:r>
          </w:p>
        </w:tc>
        <w:tc>
          <w:tcPr>
            <w:tcW w:w="1249" w:type="dxa"/>
            <w:shd w:val="clear" w:color="auto" w:fill="E9FBFB" w:themeFill="accent3"/>
            <w:vAlign w:val="center"/>
          </w:tcPr>
          <w:p w14:paraId="7269C348"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64*</w:t>
            </w:r>
          </w:p>
        </w:tc>
        <w:tc>
          <w:tcPr>
            <w:tcW w:w="1248" w:type="dxa"/>
            <w:shd w:val="clear" w:color="auto" w:fill="E9FBFB" w:themeFill="accent3"/>
            <w:vAlign w:val="center"/>
          </w:tcPr>
          <w:p w14:paraId="5E759D29"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84</w:t>
            </w:r>
          </w:p>
        </w:tc>
        <w:tc>
          <w:tcPr>
            <w:tcW w:w="1249" w:type="dxa"/>
            <w:shd w:val="clear" w:color="auto" w:fill="E9FBFB" w:themeFill="accent3"/>
            <w:vAlign w:val="center"/>
          </w:tcPr>
          <w:p w14:paraId="611B1F69" w14:textId="77777777" w:rsidR="000317E5" w:rsidRPr="00FD7E86" w:rsidRDefault="000317E5" w:rsidP="0022218E">
            <w:pPr>
              <w:keepNext/>
              <w:keepLines/>
              <w:tabs>
                <w:tab w:val="left" w:pos="837"/>
              </w:tabs>
              <w:spacing w:before="40" w:after="40" w:line="240" w:lineRule="auto"/>
              <w:ind w:right="161"/>
              <w:jc w:val="right"/>
              <w:outlineLvl w:val="0"/>
              <w:rPr>
                <w:rFonts w:cs="Arial"/>
                <w:sz w:val="18"/>
                <w:szCs w:val="18"/>
              </w:rPr>
            </w:pPr>
            <w:r w:rsidRPr="00FD7E86">
              <w:rPr>
                <w:rFonts w:cs="Arial"/>
                <w:sz w:val="18"/>
                <w:szCs w:val="18"/>
              </w:rPr>
              <w:t>84</w:t>
            </w:r>
          </w:p>
        </w:tc>
      </w:tr>
      <w:tr w:rsidR="000317E5" w:rsidRPr="00FD7E86" w14:paraId="5B2C2BFF" w14:textId="77777777" w:rsidTr="000664F7">
        <w:trPr>
          <w:trHeight w:val="480"/>
        </w:trPr>
        <w:tc>
          <w:tcPr>
            <w:tcW w:w="2110" w:type="dxa"/>
            <w:shd w:val="clear" w:color="auto" w:fill="65CDD5" w:themeFill="accent2"/>
            <w:vAlign w:val="center"/>
          </w:tcPr>
          <w:p w14:paraId="18F220EF" w14:textId="77777777" w:rsidR="000317E5" w:rsidRPr="00C05F4C" w:rsidRDefault="000317E5" w:rsidP="0022218E">
            <w:pPr>
              <w:keepNext/>
              <w:keepLines/>
              <w:spacing w:before="40" w:after="40" w:line="240" w:lineRule="auto"/>
              <w:ind w:right="365"/>
              <w:outlineLvl w:val="0"/>
              <w:rPr>
                <w:sz w:val="18"/>
                <w:szCs w:val="18"/>
              </w:rPr>
            </w:pPr>
            <w:r w:rsidRPr="00C05F4C">
              <w:rPr>
                <w:sz w:val="18"/>
                <w:szCs w:val="18"/>
              </w:rPr>
              <w:t>UK</w:t>
            </w:r>
            <w:r w:rsidRPr="00C05F4C">
              <w:rPr>
                <w:rStyle w:val="EndnoteReference"/>
                <w:sz w:val="18"/>
                <w:szCs w:val="18"/>
              </w:rPr>
              <w:endnoteReference w:id="61"/>
            </w:r>
          </w:p>
        </w:tc>
        <w:tc>
          <w:tcPr>
            <w:tcW w:w="1248" w:type="dxa"/>
            <w:shd w:val="clear" w:color="auto" w:fill="E9FBFB" w:themeFill="accent3"/>
            <w:vAlign w:val="center"/>
          </w:tcPr>
          <w:p w14:paraId="1BE64259"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77</w:t>
            </w:r>
          </w:p>
        </w:tc>
        <w:tc>
          <w:tcPr>
            <w:tcW w:w="1249" w:type="dxa"/>
            <w:shd w:val="clear" w:color="auto" w:fill="E9FBFB" w:themeFill="accent3"/>
            <w:vAlign w:val="center"/>
          </w:tcPr>
          <w:p w14:paraId="6B8C1BC8"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80</w:t>
            </w:r>
          </w:p>
        </w:tc>
        <w:tc>
          <w:tcPr>
            <w:tcW w:w="1248" w:type="dxa"/>
            <w:shd w:val="clear" w:color="auto" w:fill="E9FBFB" w:themeFill="accent3"/>
            <w:vAlign w:val="center"/>
          </w:tcPr>
          <w:p w14:paraId="7912C47C"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57</w:t>
            </w:r>
          </w:p>
        </w:tc>
        <w:tc>
          <w:tcPr>
            <w:tcW w:w="1249" w:type="dxa"/>
            <w:shd w:val="clear" w:color="auto" w:fill="E9FBFB" w:themeFill="accent3"/>
            <w:vAlign w:val="center"/>
          </w:tcPr>
          <w:p w14:paraId="6008BA90"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61</w:t>
            </w:r>
          </w:p>
        </w:tc>
        <w:tc>
          <w:tcPr>
            <w:tcW w:w="1248" w:type="dxa"/>
            <w:shd w:val="clear" w:color="auto" w:fill="E9FBFB" w:themeFill="accent3"/>
            <w:vAlign w:val="center"/>
          </w:tcPr>
          <w:p w14:paraId="49EA0758"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82</w:t>
            </w:r>
          </w:p>
        </w:tc>
        <w:tc>
          <w:tcPr>
            <w:tcW w:w="1249" w:type="dxa"/>
            <w:shd w:val="clear" w:color="auto" w:fill="E9FBFB" w:themeFill="accent3"/>
            <w:vAlign w:val="center"/>
          </w:tcPr>
          <w:p w14:paraId="32289D6D" w14:textId="77777777" w:rsidR="000317E5" w:rsidRPr="00FD7E86" w:rsidRDefault="000317E5" w:rsidP="0022218E">
            <w:pPr>
              <w:keepNext/>
              <w:keepLines/>
              <w:tabs>
                <w:tab w:val="left" w:pos="837"/>
              </w:tabs>
              <w:spacing w:before="40" w:after="40" w:line="240" w:lineRule="auto"/>
              <w:ind w:right="161"/>
              <w:jc w:val="right"/>
              <w:outlineLvl w:val="0"/>
              <w:rPr>
                <w:rFonts w:cs="Arial"/>
                <w:sz w:val="18"/>
                <w:szCs w:val="18"/>
              </w:rPr>
            </w:pPr>
            <w:r w:rsidRPr="00FD7E86">
              <w:rPr>
                <w:rFonts w:cs="Arial"/>
                <w:sz w:val="18"/>
                <w:szCs w:val="18"/>
              </w:rPr>
              <w:t>85</w:t>
            </w:r>
          </w:p>
        </w:tc>
      </w:tr>
      <w:tr w:rsidR="000317E5" w:rsidRPr="00FD7E86" w14:paraId="772BC06B" w14:textId="77777777" w:rsidTr="000664F7">
        <w:trPr>
          <w:trHeight w:val="480"/>
        </w:trPr>
        <w:tc>
          <w:tcPr>
            <w:tcW w:w="2110" w:type="dxa"/>
            <w:shd w:val="clear" w:color="auto" w:fill="65CDD5" w:themeFill="accent2"/>
            <w:vAlign w:val="center"/>
          </w:tcPr>
          <w:p w14:paraId="48A0C7D4" w14:textId="77777777" w:rsidR="000317E5" w:rsidRPr="00C05F4C" w:rsidRDefault="000317E5" w:rsidP="0022218E">
            <w:pPr>
              <w:keepNext/>
              <w:keepLines/>
              <w:spacing w:before="40" w:after="40" w:line="240" w:lineRule="auto"/>
              <w:ind w:right="365"/>
              <w:outlineLvl w:val="0"/>
              <w:rPr>
                <w:sz w:val="18"/>
                <w:szCs w:val="18"/>
              </w:rPr>
            </w:pPr>
            <w:r w:rsidRPr="00C05F4C">
              <w:rPr>
                <w:sz w:val="18"/>
                <w:szCs w:val="18"/>
              </w:rPr>
              <w:t>EU</w:t>
            </w:r>
          </w:p>
        </w:tc>
        <w:tc>
          <w:tcPr>
            <w:tcW w:w="1248" w:type="dxa"/>
            <w:shd w:val="clear" w:color="auto" w:fill="E9FBFB" w:themeFill="accent3"/>
            <w:vAlign w:val="center"/>
          </w:tcPr>
          <w:p w14:paraId="5B1EE2F6"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60</w:t>
            </w:r>
          </w:p>
        </w:tc>
        <w:tc>
          <w:tcPr>
            <w:tcW w:w="1249" w:type="dxa"/>
            <w:shd w:val="clear" w:color="auto" w:fill="E9FBFB" w:themeFill="accent3"/>
            <w:vAlign w:val="center"/>
          </w:tcPr>
          <w:p w14:paraId="4AF5D421" w14:textId="77777777" w:rsidR="000317E5" w:rsidRPr="00FD7E86" w:rsidRDefault="00B308D8" w:rsidP="0022218E">
            <w:pPr>
              <w:keepNext/>
              <w:keepLines/>
              <w:spacing w:before="40" w:after="40" w:line="240" w:lineRule="auto"/>
              <w:ind w:right="161"/>
              <w:jc w:val="right"/>
              <w:outlineLvl w:val="0"/>
              <w:rPr>
                <w:rFonts w:cs="Arial"/>
                <w:sz w:val="18"/>
                <w:szCs w:val="18"/>
              </w:rPr>
            </w:pPr>
            <w:r w:rsidRPr="00FD7E86">
              <w:rPr>
                <w:rFonts w:cs="Arial"/>
                <w:sz w:val="18"/>
                <w:szCs w:val="18"/>
              </w:rPr>
              <w:t>n/a</w:t>
            </w:r>
          </w:p>
        </w:tc>
        <w:tc>
          <w:tcPr>
            <w:tcW w:w="1248" w:type="dxa"/>
            <w:shd w:val="clear" w:color="auto" w:fill="E9FBFB" w:themeFill="accent3"/>
            <w:vAlign w:val="center"/>
          </w:tcPr>
          <w:p w14:paraId="53D7CAE2" w14:textId="77777777" w:rsidR="000317E5" w:rsidRPr="00FD7E86" w:rsidRDefault="000317E5" w:rsidP="0022218E">
            <w:pPr>
              <w:keepNext/>
              <w:keepLines/>
              <w:spacing w:before="40" w:after="40" w:line="240" w:lineRule="auto"/>
              <w:ind w:right="161"/>
              <w:jc w:val="right"/>
              <w:outlineLvl w:val="0"/>
              <w:rPr>
                <w:rFonts w:cs="Arial"/>
                <w:sz w:val="18"/>
                <w:szCs w:val="18"/>
              </w:rPr>
            </w:pPr>
            <w:r w:rsidRPr="00FD7E86">
              <w:rPr>
                <w:rFonts w:cs="Arial"/>
                <w:sz w:val="18"/>
                <w:szCs w:val="18"/>
              </w:rPr>
              <w:t>52</w:t>
            </w:r>
          </w:p>
        </w:tc>
        <w:tc>
          <w:tcPr>
            <w:tcW w:w="1249" w:type="dxa"/>
            <w:shd w:val="clear" w:color="auto" w:fill="E9FBFB" w:themeFill="accent3"/>
            <w:vAlign w:val="center"/>
          </w:tcPr>
          <w:p w14:paraId="188F123A" w14:textId="77777777" w:rsidR="000317E5" w:rsidRPr="00FD7E86" w:rsidRDefault="00B308D8" w:rsidP="0022218E">
            <w:pPr>
              <w:keepNext/>
              <w:keepLines/>
              <w:spacing w:before="40" w:after="40" w:line="240" w:lineRule="auto"/>
              <w:ind w:right="161"/>
              <w:jc w:val="right"/>
              <w:outlineLvl w:val="0"/>
              <w:rPr>
                <w:rFonts w:cs="Arial"/>
                <w:sz w:val="18"/>
                <w:szCs w:val="18"/>
              </w:rPr>
            </w:pPr>
            <w:r w:rsidRPr="00FD7E86">
              <w:rPr>
                <w:rFonts w:cs="Arial"/>
                <w:sz w:val="18"/>
                <w:szCs w:val="18"/>
              </w:rPr>
              <w:t>n/a</w:t>
            </w:r>
          </w:p>
        </w:tc>
        <w:tc>
          <w:tcPr>
            <w:tcW w:w="1248" w:type="dxa"/>
            <w:shd w:val="clear" w:color="auto" w:fill="E9FBFB" w:themeFill="accent3"/>
            <w:vAlign w:val="center"/>
          </w:tcPr>
          <w:p w14:paraId="43BAF18B" w14:textId="77777777" w:rsidR="000317E5" w:rsidRPr="00FD7E86" w:rsidRDefault="00B308D8" w:rsidP="0022218E">
            <w:pPr>
              <w:keepNext/>
              <w:keepLines/>
              <w:spacing w:before="40" w:after="40" w:line="240" w:lineRule="auto"/>
              <w:ind w:right="161"/>
              <w:jc w:val="right"/>
              <w:outlineLvl w:val="0"/>
              <w:rPr>
                <w:rFonts w:cs="Arial"/>
                <w:sz w:val="18"/>
                <w:szCs w:val="18"/>
              </w:rPr>
            </w:pPr>
            <w:r w:rsidRPr="00FD7E86">
              <w:rPr>
                <w:rFonts w:cs="Arial"/>
                <w:sz w:val="18"/>
                <w:szCs w:val="18"/>
              </w:rPr>
              <w:t>78</w:t>
            </w:r>
          </w:p>
        </w:tc>
        <w:tc>
          <w:tcPr>
            <w:tcW w:w="1249" w:type="dxa"/>
            <w:shd w:val="clear" w:color="auto" w:fill="E9FBFB" w:themeFill="accent3"/>
            <w:vAlign w:val="center"/>
          </w:tcPr>
          <w:p w14:paraId="75D13D5B" w14:textId="77777777" w:rsidR="000317E5" w:rsidRPr="00FD7E86" w:rsidRDefault="001B5F6F" w:rsidP="0022218E">
            <w:pPr>
              <w:keepNext/>
              <w:keepLines/>
              <w:tabs>
                <w:tab w:val="left" w:pos="837"/>
              </w:tabs>
              <w:spacing w:before="40" w:after="40" w:line="240" w:lineRule="auto"/>
              <w:ind w:right="161"/>
              <w:jc w:val="right"/>
              <w:outlineLvl w:val="0"/>
              <w:rPr>
                <w:rFonts w:cs="Arial"/>
                <w:sz w:val="18"/>
                <w:szCs w:val="18"/>
              </w:rPr>
            </w:pPr>
            <w:r w:rsidRPr="00FD7E86">
              <w:rPr>
                <w:rFonts w:cs="Arial"/>
                <w:sz w:val="18"/>
                <w:szCs w:val="18"/>
              </w:rPr>
              <w:t>n/a</w:t>
            </w:r>
          </w:p>
        </w:tc>
      </w:tr>
    </w:tbl>
    <w:p w14:paraId="6481CC85" w14:textId="77777777" w:rsidR="000317E5" w:rsidRPr="00FD7E86" w:rsidRDefault="000317E5" w:rsidP="0022218E">
      <w:pPr>
        <w:pStyle w:val="ACMANotes"/>
        <w:keepNext/>
        <w:keepLines/>
      </w:pPr>
      <w:r w:rsidRPr="00FD7E86">
        <w:t>*</w:t>
      </w:r>
      <w:r w:rsidR="00DA497A" w:rsidRPr="00FD7E86">
        <w:t>R</w:t>
      </w:r>
      <w:r w:rsidRPr="00FD7E86">
        <w:t>elates to the use of smartphone</w:t>
      </w:r>
      <w:r w:rsidR="00DA497A" w:rsidRPr="00FD7E86">
        <w:t>.</w:t>
      </w:r>
    </w:p>
    <w:p w14:paraId="628FE9B3" w14:textId="77777777" w:rsidR="000317E5" w:rsidRPr="00FD7E86" w:rsidRDefault="000317E5" w:rsidP="0022218E">
      <w:pPr>
        <w:pStyle w:val="ACMANotes"/>
        <w:keepNext/>
        <w:keepLines/>
      </w:pPr>
      <w:r w:rsidRPr="00FD7E86">
        <w:t xml:space="preserve">Note: Data for the UK and EU about home broadband connection relates to households. UK data collected in January/February. EU data collected in January. Australian data for ‘Use the internet’ and ‘Use mobile phone to access the internet’ </w:t>
      </w:r>
      <w:r w:rsidRPr="00FD7E86">
        <w:rPr>
          <w:rStyle w:val="CommentReference"/>
          <w:rFonts w:cs="Times New Roman"/>
        </w:rPr>
        <w:t>r</w:t>
      </w:r>
      <w:r w:rsidRPr="00FD7E86">
        <w:t xml:space="preserve">elates to six months to May; ‘Home broadband connection’ relates to 12 months to June. Months for US data have not been specified. </w:t>
      </w:r>
    </w:p>
    <w:p w14:paraId="46055AA2" w14:textId="77777777" w:rsidR="000317E5" w:rsidRPr="00FD7E86" w:rsidRDefault="000317E5" w:rsidP="0022218E">
      <w:pPr>
        <w:pStyle w:val="ACMANotes"/>
        <w:keepNext/>
        <w:keepLines/>
      </w:pPr>
      <w:r w:rsidRPr="00FD7E86">
        <w:t xml:space="preserve">Australian and US data refers to total population aged 18 and over. UK data refers to people aged 16 and over. </w:t>
      </w:r>
      <w:r w:rsidR="00C81BE0" w:rsidRPr="00FD7E86">
        <w:t>EU data for ‘Use the internet’ refers to households with at least one person aged 16 to 74 who used the internet in the three months prior to the survey.</w:t>
      </w:r>
    </w:p>
    <w:p w14:paraId="5672D430" w14:textId="77777777" w:rsidR="000317E5" w:rsidRPr="00FD7E86" w:rsidRDefault="000317E5" w:rsidP="0022218E">
      <w:pPr>
        <w:pStyle w:val="ACMANotes"/>
        <w:keepNext/>
        <w:keepLines/>
      </w:pPr>
      <w:r w:rsidRPr="00FD7E86">
        <w:t>Sources: Data relating to Australia—Roy Morgan Single Source June 2014 and 2015 (Home broadband connection), and ACMA-commissioned survey May 2014 and 2015 (‘Use the internet’ and ‘Used mobile phone to access the internet’); UK—Ofcom; US—Pew Research Cente</w:t>
      </w:r>
      <w:r w:rsidR="00C81BE0" w:rsidRPr="00FD7E86">
        <w:t>r</w:t>
      </w:r>
      <w:r w:rsidRPr="00FD7E86">
        <w:t>; EU—Eurobarometer</w:t>
      </w:r>
      <w:r w:rsidR="00C81BE0" w:rsidRPr="00FD7E86">
        <w:t xml:space="preserve"> (‘Home broadband connection’ and ‘Used mobile phone to access the internet’) and Eurostat (‘Use the internet’)</w:t>
      </w:r>
      <w:r w:rsidRPr="00FD7E86">
        <w:t>.</w:t>
      </w:r>
      <w:r w:rsidR="00BD1C74" w:rsidRPr="00FD7E86">
        <w:t xml:space="preserve"> </w:t>
      </w:r>
    </w:p>
    <w:p w14:paraId="0E431F64" w14:textId="77777777" w:rsidR="00C81BE0" w:rsidRPr="00FD7E86" w:rsidRDefault="00C81BE0" w:rsidP="00C81BE0">
      <w:pPr>
        <w:pStyle w:val="ACMASpaceaftertable"/>
      </w:pPr>
    </w:p>
    <w:p w14:paraId="4017ECA9" w14:textId="77777777" w:rsidR="000317E5" w:rsidRPr="00FD7E86" w:rsidRDefault="000317E5" w:rsidP="00046C50">
      <w:pPr>
        <w:pStyle w:val="ACMAHeading2"/>
      </w:pPr>
      <w:bookmarkStart w:id="235" w:name="_Toc433790345"/>
      <w:r w:rsidRPr="00FD7E86">
        <w:t>Internet access devices</w:t>
      </w:r>
      <w:bookmarkEnd w:id="235"/>
    </w:p>
    <w:p w14:paraId="70DEE51C" w14:textId="77777777" w:rsidR="000317E5" w:rsidRPr="00FD7E86" w:rsidRDefault="001629D6" w:rsidP="0022218E">
      <w:pPr>
        <w:spacing w:after="80"/>
      </w:pPr>
      <w:r w:rsidRPr="00FD7E86">
        <w:t>I</w:t>
      </w:r>
      <w:r w:rsidR="000317E5" w:rsidRPr="00FD7E86">
        <w:t xml:space="preserve">ncreased reliance on mobile devices to access the internet is </w:t>
      </w:r>
      <w:r w:rsidRPr="00FD7E86">
        <w:t xml:space="preserve">also </w:t>
      </w:r>
      <w:r w:rsidR="000317E5" w:rsidRPr="00FD7E86">
        <w:t>evident in other countries:</w:t>
      </w:r>
    </w:p>
    <w:p w14:paraId="32085B95" w14:textId="77777777" w:rsidR="000317E5" w:rsidRPr="00FD7E86" w:rsidRDefault="000317E5" w:rsidP="00BD1C74">
      <w:pPr>
        <w:pStyle w:val="ListBullet"/>
        <w:rPr>
          <w:b/>
          <w:i/>
        </w:rPr>
      </w:pPr>
      <w:r w:rsidRPr="00FD7E86">
        <w:t>64 per cent of adult Americans owned a smartphone</w:t>
      </w:r>
      <w:r w:rsidR="00804F29" w:rsidRPr="00FD7E86">
        <w:t xml:space="preserve"> at October 2014</w:t>
      </w:r>
      <w:r w:rsidRPr="00FD7E86">
        <w:t>, an increase of six percentage points from 2013</w:t>
      </w:r>
      <w:r w:rsidRPr="00FD7E86">
        <w:rPr>
          <w:iCs/>
          <w:vertAlign w:val="superscript"/>
        </w:rPr>
        <w:endnoteReference w:id="62"/>
      </w:r>
    </w:p>
    <w:p w14:paraId="05AE3913" w14:textId="77777777" w:rsidR="000317E5" w:rsidRPr="00FD7E86" w:rsidRDefault="000317E5" w:rsidP="00BD1C74">
      <w:pPr>
        <w:pStyle w:val="ListBullet"/>
        <w:rPr>
          <w:b/>
          <w:i/>
        </w:rPr>
      </w:pPr>
      <w:r w:rsidRPr="00FD7E86">
        <w:t xml:space="preserve">15 per cent of Americans who own a smartphone say that they had a </w:t>
      </w:r>
      <w:r w:rsidRPr="00FD7E86">
        <w:rPr>
          <w:iCs/>
        </w:rPr>
        <w:t>limited number of ways to get online other than their phone</w:t>
      </w:r>
      <w:r w:rsidRPr="00FD7E86">
        <w:rPr>
          <w:iCs/>
          <w:vertAlign w:val="superscript"/>
        </w:rPr>
        <w:endnoteReference w:id="63"/>
      </w:r>
    </w:p>
    <w:p w14:paraId="07D04E7F" w14:textId="77777777" w:rsidR="000317E5" w:rsidRPr="00FD7E86" w:rsidRDefault="000317E5" w:rsidP="00BD1C74">
      <w:pPr>
        <w:pStyle w:val="ListBullet"/>
        <w:rPr>
          <w:b/>
          <w:i/>
        </w:rPr>
      </w:pPr>
      <w:r w:rsidRPr="00FD7E86">
        <w:rPr>
          <w:iCs/>
        </w:rPr>
        <w:t xml:space="preserve">66 per cent of adults </w:t>
      </w:r>
      <w:r w:rsidR="00804F29" w:rsidRPr="00FD7E86">
        <w:rPr>
          <w:iCs/>
        </w:rPr>
        <w:t xml:space="preserve">in the UK </w:t>
      </w:r>
      <w:r w:rsidRPr="00FD7E86">
        <w:rPr>
          <w:iCs/>
        </w:rPr>
        <w:t xml:space="preserve">owned a smartphone at November 2014, an increase of 10 </w:t>
      </w:r>
      <w:r w:rsidRPr="00FD7E86">
        <w:t>percentage points from 2013</w:t>
      </w:r>
      <w:r w:rsidRPr="00FD7E86">
        <w:rPr>
          <w:rStyle w:val="EndnoteReference"/>
        </w:rPr>
        <w:endnoteReference w:id="64"/>
      </w:r>
    </w:p>
    <w:p w14:paraId="5D600147" w14:textId="77777777" w:rsidR="000317E5" w:rsidRPr="00FD7E86" w:rsidRDefault="00804F29" w:rsidP="00BD1C74">
      <w:pPr>
        <w:pStyle w:val="ListBulletLast"/>
      </w:pPr>
      <w:r w:rsidRPr="00FD7E86">
        <w:t>t</w:t>
      </w:r>
      <w:r w:rsidR="000317E5" w:rsidRPr="00FD7E86">
        <w:t xml:space="preserve">ablet ownership in the UK in early 2015 rose to 54 per cent, </w:t>
      </w:r>
      <w:r w:rsidRPr="00FD7E86">
        <w:t>a</w:t>
      </w:r>
      <w:r w:rsidR="000317E5" w:rsidRPr="00FD7E86">
        <w:t xml:space="preserve"> 44 per cent </w:t>
      </w:r>
      <w:r w:rsidRPr="00FD7E86">
        <w:t xml:space="preserve">increase </w:t>
      </w:r>
      <w:r w:rsidR="000317E5" w:rsidRPr="00FD7E86">
        <w:t>from quarter one 2014</w:t>
      </w:r>
      <w:r w:rsidR="004E07BC" w:rsidRPr="00FD7E86">
        <w:t>.</w:t>
      </w:r>
      <w:r w:rsidR="000317E5" w:rsidRPr="00FD7E86">
        <w:rPr>
          <w:vertAlign w:val="superscript"/>
        </w:rPr>
        <w:endnoteReference w:id="65"/>
      </w:r>
    </w:p>
    <w:p w14:paraId="471DE1E6" w14:textId="77777777" w:rsidR="000317E5" w:rsidRPr="00FD7E86" w:rsidRDefault="001629D6" w:rsidP="00046C50">
      <w:pPr>
        <w:pStyle w:val="ACMAHeading2"/>
      </w:pPr>
      <w:bookmarkStart w:id="236" w:name="_Toc433790346"/>
      <w:r w:rsidRPr="00FD7E86">
        <w:t>Activities performed online</w:t>
      </w:r>
      <w:bookmarkEnd w:id="236"/>
    </w:p>
    <w:p w14:paraId="60701DFA" w14:textId="77777777" w:rsidR="001C3E7C" w:rsidRPr="00FD7E86" w:rsidRDefault="000317E5" w:rsidP="0022218E">
      <w:pPr>
        <w:spacing w:after="80"/>
        <w:rPr>
          <w:rFonts w:cs="Arial"/>
        </w:rPr>
      </w:pPr>
      <w:r w:rsidRPr="00FD7E86">
        <w:rPr>
          <w:rFonts w:cs="Arial"/>
        </w:rPr>
        <w:t xml:space="preserve">Greater access to </w:t>
      </w:r>
      <w:r w:rsidR="00437878" w:rsidRPr="00FD7E86">
        <w:rPr>
          <w:rFonts w:cs="Arial"/>
        </w:rPr>
        <w:t xml:space="preserve">the </w:t>
      </w:r>
      <w:r w:rsidRPr="00FD7E86">
        <w:rPr>
          <w:rFonts w:cs="Arial"/>
        </w:rPr>
        <w:t>internet and fast and reliable broadband services in Australia has facilitated</w:t>
      </w:r>
      <w:r w:rsidR="001C3E7C" w:rsidRPr="00FD7E86">
        <w:rPr>
          <w:rFonts w:cs="Arial"/>
        </w:rPr>
        <w:t>:</w:t>
      </w:r>
    </w:p>
    <w:p w14:paraId="483AEF77" w14:textId="77777777" w:rsidR="001C3E7C" w:rsidRPr="00FD7E86" w:rsidRDefault="000317E5" w:rsidP="00E41B62">
      <w:pPr>
        <w:pStyle w:val="ListBullet"/>
      </w:pPr>
      <w:r w:rsidRPr="00FD7E86">
        <w:t>more frequent internet use</w:t>
      </w:r>
    </w:p>
    <w:p w14:paraId="1801746F" w14:textId="77777777" w:rsidR="001C3E7C" w:rsidRPr="00FD7E86" w:rsidRDefault="000317E5" w:rsidP="00E41B62">
      <w:pPr>
        <w:pStyle w:val="ListBullet"/>
      </w:pPr>
      <w:r w:rsidRPr="00FD7E86">
        <w:t>growth in data downloaded</w:t>
      </w:r>
    </w:p>
    <w:p w14:paraId="0ADC95C0" w14:textId="77777777" w:rsidR="001C3E7C" w:rsidRPr="00FD7E86" w:rsidRDefault="000317E5" w:rsidP="00E41B62">
      <w:pPr>
        <w:pStyle w:val="ListBullet"/>
      </w:pPr>
      <w:r w:rsidRPr="00FD7E86">
        <w:t>an increase in the number of activities undertaken online</w:t>
      </w:r>
    </w:p>
    <w:p w14:paraId="4B69AEE8" w14:textId="77777777" w:rsidR="000317E5" w:rsidRPr="00FD7E86" w:rsidRDefault="000317E5" w:rsidP="0022218E">
      <w:pPr>
        <w:pStyle w:val="ListBulletLast"/>
      </w:pPr>
      <w:r w:rsidRPr="00FD7E86">
        <w:t xml:space="preserve">changing behaviours in the ways Australian internet users engage in day-to-day activities in an online environment. </w:t>
      </w:r>
    </w:p>
    <w:p w14:paraId="3067D10D" w14:textId="77777777" w:rsidR="000317E5" w:rsidRPr="00FD7E86" w:rsidRDefault="000317E5" w:rsidP="0022218E">
      <w:r w:rsidRPr="00FD7E86">
        <w:t xml:space="preserve">Similar online behaviours are evident internationally, as reflected by the growth in the range of activities undertaken online (Table 2.2). For example, popular online activities in the UK not only included activities </w:t>
      </w:r>
      <w:r w:rsidRPr="00FD7E86">
        <w:lastRenderedPageBreak/>
        <w:t>such as internet browsing (97 per cent) and sending email (94 per cent), but also social networking (</w:t>
      </w:r>
      <w:r w:rsidR="00F9676E" w:rsidRPr="00FD7E86">
        <w:t>75</w:t>
      </w:r>
      <w:r w:rsidR="00F9676E">
        <w:t> </w:t>
      </w:r>
      <w:r w:rsidRPr="00FD7E86">
        <w:t>per cent) and accessing government services (78 per cent)</w:t>
      </w:r>
      <w:r w:rsidR="00945EFD" w:rsidRPr="00FD7E86">
        <w:t>.</w:t>
      </w:r>
      <w:r w:rsidRPr="00FD7E86">
        <w:rPr>
          <w:rStyle w:val="EndnoteReference"/>
        </w:rPr>
        <w:endnoteReference w:id="66"/>
      </w:r>
    </w:p>
    <w:p w14:paraId="19CBA03D" w14:textId="77777777" w:rsidR="00DA497A" w:rsidRPr="00FD7E86" w:rsidRDefault="00DA497A" w:rsidP="00C05F4C">
      <w:pPr>
        <w:pStyle w:val="Caption"/>
        <w:numPr>
          <w:ilvl w:val="0"/>
          <w:numId w:val="0"/>
        </w:numPr>
        <w:spacing w:after="280"/>
        <w:ind w:left="964" w:hanging="964"/>
      </w:pPr>
      <w:r w:rsidRPr="00FD7E86">
        <w:t>Table 2.2 International comparisons—activities performed online (Australia</w:t>
      </w:r>
      <w:r w:rsidR="00C905A9" w:rsidRPr="00FD7E86">
        <w:t xml:space="preserve"> and</w:t>
      </w:r>
      <w:r w:rsidRPr="00FD7E86">
        <w:t xml:space="preserve"> UK)</w:t>
      </w:r>
    </w:p>
    <w:tbl>
      <w:tblPr>
        <w:tblpPr w:leftFromText="180" w:rightFromText="180" w:vertAnchor="text" w:horzAnchor="margin" w:tblpY="-173"/>
        <w:tblOverlap w:val="never"/>
        <w:tblW w:w="9429"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Layout w:type="fixed"/>
        <w:tblCellMar>
          <w:left w:w="85" w:type="dxa"/>
          <w:right w:w="0" w:type="dxa"/>
        </w:tblCellMar>
        <w:tblLook w:val="01E0" w:firstRow="1" w:lastRow="1" w:firstColumn="1" w:lastColumn="1" w:noHBand="0" w:noVBand="0"/>
        <w:tblCaption w:val="Table 2.2 International comparisons—activities performed online (Australia and UK)"/>
      </w:tblPr>
      <w:tblGrid>
        <w:gridCol w:w="963"/>
        <w:gridCol w:w="3118"/>
        <w:gridCol w:w="2886"/>
        <w:gridCol w:w="2462"/>
      </w:tblGrid>
      <w:tr w:rsidR="00DA497A" w:rsidRPr="00FD7E86" w14:paraId="54277031" w14:textId="77777777" w:rsidTr="0008669F">
        <w:trPr>
          <w:trHeight w:val="700"/>
        </w:trPr>
        <w:tc>
          <w:tcPr>
            <w:tcW w:w="963" w:type="dxa"/>
            <w:tcBorders>
              <w:right w:val="nil"/>
            </w:tcBorders>
          </w:tcPr>
          <w:p w14:paraId="33CF06B3" w14:textId="77777777" w:rsidR="00DA497A" w:rsidRPr="00FD7E86" w:rsidRDefault="00DA497A" w:rsidP="002219EC">
            <w:pPr>
              <w:keepNext/>
              <w:keepLines/>
              <w:spacing w:before="40" w:after="40" w:line="240" w:lineRule="auto"/>
              <w:ind w:left="57"/>
              <w:rPr>
                <w:rFonts w:cs="Arial"/>
                <w:b/>
                <w:color w:val="FFFFFF"/>
                <w:sz w:val="18"/>
                <w:szCs w:val="18"/>
              </w:rPr>
            </w:pPr>
          </w:p>
        </w:tc>
        <w:tc>
          <w:tcPr>
            <w:tcW w:w="3118" w:type="dxa"/>
            <w:tcBorders>
              <w:bottom w:val="single" w:sz="24" w:space="0" w:color="FFFFFF"/>
              <w:right w:val="nil"/>
            </w:tcBorders>
            <w:shd w:val="clear" w:color="auto" w:fill="auto"/>
            <w:tcMar>
              <w:top w:w="0" w:type="dxa"/>
              <w:left w:w="113" w:type="dxa"/>
              <w:bottom w:w="0" w:type="dxa"/>
              <w:right w:w="0" w:type="dxa"/>
            </w:tcMar>
            <w:vAlign w:val="center"/>
          </w:tcPr>
          <w:p w14:paraId="2840BFE5" w14:textId="77777777" w:rsidR="00DA497A" w:rsidRPr="00FD7E86" w:rsidRDefault="00DA497A" w:rsidP="002219EC">
            <w:pPr>
              <w:keepNext/>
              <w:keepLines/>
              <w:spacing w:before="40" w:after="40" w:line="240" w:lineRule="auto"/>
              <w:ind w:left="57"/>
              <w:rPr>
                <w:rFonts w:cs="Arial"/>
                <w:b/>
                <w:color w:val="FFFFFF"/>
                <w:sz w:val="18"/>
                <w:szCs w:val="18"/>
              </w:rPr>
            </w:pPr>
          </w:p>
        </w:tc>
        <w:tc>
          <w:tcPr>
            <w:tcW w:w="2886" w:type="dxa"/>
            <w:tcBorders>
              <w:bottom w:val="single" w:sz="24" w:space="0" w:color="FFFFFF"/>
            </w:tcBorders>
            <w:shd w:val="clear" w:color="auto" w:fill="00ADBB" w:themeFill="accent1"/>
            <w:vAlign w:val="center"/>
          </w:tcPr>
          <w:p w14:paraId="570E76E0" w14:textId="77777777" w:rsidR="00DA497A" w:rsidRPr="00FD7E86" w:rsidRDefault="00DA497A" w:rsidP="0008669F">
            <w:pPr>
              <w:keepNext/>
              <w:spacing w:before="40" w:after="40"/>
              <w:ind w:left="346" w:right="193" w:hanging="142"/>
              <w:jc w:val="right"/>
              <w:rPr>
                <w:rFonts w:cs="Arial"/>
                <w:b/>
                <w:color w:val="FFFFFF"/>
                <w:sz w:val="18"/>
                <w:szCs w:val="18"/>
              </w:rPr>
            </w:pPr>
            <w:r w:rsidRPr="00FD7E86">
              <w:rPr>
                <w:rFonts w:cs="Arial"/>
                <w:b/>
                <w:color w:val="FFFFFF"/>
                <w:sz w:val="18"/>
                <w:szCs w:val="18"/>
              </w:rPr>
              <w:t>Australia</w:t>
            </w:r>
            <w:r w:rsidR="0008669F" w:rsidRPr="00FD7E86">
              <w:rPr>
                <w:rFonts w:cs="Arial"/>
                <w:b/>
                <w:color w:val="FFFFFF"/>
                <w:sz w:val="18"/>
                <w:szCs w:val="18"/>
              </w:rPr>
              <w:t xml:space="preserve">—Online </w:t>
            </w:r>
            <w:r w:rsidR="0008669F" w:rsidRPr="00FD7E86">
              <w:rPr>
                <w:rFonts w:cs="Arial"/>
                <w:b/>
                <w:color w:val="FFFFFF"/>
                <w:sz w:val="18"/>
                <w:szCs w:val="18"/>
              </w:rPr>
              <w:br/>
              <w:t xml:space="preserve">aged 18 and over </w:t>
            </w:r>
          </w:p>
          <w:p w14:paraId="60F3628A" w14:textId="77777777" w:rsidR="00DA497A" w:rsidRPr="00FD7E86" w:rsidRDefault="009A76D1" w:rsidP="0008669F">
            <w:pPr>
              <w:keepNext/>
              <w:spacing w:before="40" w:after="40"/>
              <w:ind w:right="193"/>
              <w:jc w:val="right"/>
              <w:rPr>
                <w:rFonts w:cs="Arial"/>
                <w:b/>
                <w:color w:val="FFFFFF"/>
                <w:sz w:val="18"/>
                <w:szCs w:val="18"/>
              </w:rPr>
            </w:pPr>
            <w:r w:rsidRPr="00FD7E86">
              <w:rPr>
                <w:rFonts w:cs="Arial"/>
                <w:b/>
                <w:color w:val="FFFFFF"/>
                <w:sz w:val="18"/>
                <w:szCs w:val="18"/>
              </w:rPr>
              <w:t>(%)</w:t>
            </w:r>
          </w:p>
        </w:tc>
        <w:tc>
          <w:tcPr>
            <w:tcW w:w="2462" w:type="dxa"/>
            <w:tcBorders>
              <w:bottom w:val="single" w:sz="24" w:space="0" w:color="FFFFFF"/>
            </w:tcBorders>
            <w:shd w:val="clear" w:color="auto" w:fill="00ADBB" w:themeFill="accent1"/>
            <w:tcMar>
              <w:top w:w="0" w:type="dxa"/>
              <w:left w:w="113" w:type="dxa"/>
              <w:bottom w:w="0" w:type="dxa"/>
              <w:right w:w="0" w:type="dxa"/>
            </w:tcMar>
            <w:vAlign w:val="center"/>
          </w:tcPr>
          <w:p w14:paraId="5DE7731A" w14:textId="192FEBA7" w:rsidR="00DA497A" w:rsidRPr="00FD7E86" w:rsidRDefault="00DA497A" w:rsidP="00231E53">
            <w:pPr>
              <w:keepNext/>
              <w:spacing w:before="40" w:after="40"/>
              <w:ind w:left="629" w:right="193"/>
              <w:jc w:val="right"/>
              <w:rPr>
                <w:rFonts w:cs="Arial"/>
                <w:b/>
                <w:color w:val="FFFFFF"/>
                <w:sz w:val="18"/>
                <w:szCs w:val="18"/>
              </w:rPr>
            </w:pPr>
            <w:r w:rsidRPr="00FD7E86">
              <w:rPr>
                <w:rFonts w:cs="Arial"/>
                <w:b/>
                <w:color w:val="FFFFFF"/>
                <w:sz w:val="18"/>
                <w:szCs w:val="18"/>
              </w:rPr>
              <w:t>UK</w:t>
            </w:r>
            <w:r w:rsidRPr="00FD7E86">
              <w:rPr>
                <w:rStyle w:val="EndnoteReference"/>
                <w:rFonts w:cs="Arial"/>
                <w:b/>
                <w:color w:val="FFFFFF"/>
                <w:sz w:val="18"/>
                <w:szCs w:val="18"/>
              </w:rPr>
              <w:endnoteReference w:id="67"/>
            </w:r>
            <w:r w:rsidR="0008669F" w:rsidRPr="00FD7E86">
              <w:rPr>
                <w:rFonts w:cs="Arial"/>
                <w:b/>
                <w:color w:val="FFFFFF"/>
                <w:sz w:val="18"/>
                <w:szCs w:val="18"/>
              </w:rPr>
              <w:t>—Online</w:t>
            </w:r>
            <w:r w:rsidR="00231E53">
              <w:rPr>
                <w:rFonts w:cs="Arial"/>
                <w:b/>
                <w:color w:val="FFFFFF"/>
                <w:sz w:val="18"/>
                <w:szCs w:val="18"/>
              </w:rPr>
              <w:br/>
            </w:r>
            <w:r w:rsidR="0008669F" w:rsidRPr="00FD7E86">
              <w:rPr>
                <w:rFonts w:cs="Arial"/>
                <w:b/>
                <w:color w:val="FFFFFF"/>
                <w:sz w:val="18"/>
                <w:szCs w:val="18"/>
              </w:rPr>
              <w:t xml:space="preserve">aged </w:t>
            </w:r>
            <w:r w:rsidR="009A76D1" w:rsidRPr="00FD7E86">
              <w:rPr>
                <w:rFonts w:cs="Arial"/>
                <w:b/>
                <w:color w:val="FFFFFF"/>
                <w:sz w:val="18"/>
                <w:szCs w:val="18"/>
              </w:rPr>
              <w:t>16</w:t>
            </w:r>
            <w:r w:rsidR="0008669F" w:rsidRPr="00FD7E86">
              <w:rPr>
                <w:rFonts w:cs="Arial"/>
                <w:b/>
                <w:color w:val="FFFFFF"/>
                <w:sz w:val="18"/>
                <w:szCs w:val="18"/>
              </w:rPr>
              <w:t xml:space="preserve"> and over</w:t>
            </w:r>
          </w:p>
          <w:p w14:paraId="1337864A" w14:textId="77777777" w:rsidR="009A76D1" w:rsidRPr="00FD7E86" w:rsidRDefault="009A76D1" w:rsidP="0008669F">
            <w:pPr>
              <w:keepNext/>
              <w:spacing w:before="40" w:after="40"/>
              <w:ind w:right="193"/>
              <w:jc w:val="right"/>
              <w:rPr>
                <w:rFonts w:cs="Arial"/>
                <w:b/>
                <w:color w:val="FFFFFF"/>
                <w:sz w:val="18"/>
                <w:szCs w:val="18"/>
              </w:rPr>
            </w:pPr>
            <w:r w:rsidRPr="00FD7E86">
              <w:rPr>
                <w:rFonts w:cs="Arial"/>
                <w:b/>
                <w:color w:val="FFFFFF"/>
                <w:sz w:val="18"/>
                <w:szCs w:val="18"/>
              </w:rPr>
              <w:t>(%)</w:t>
            </w:r>
          </w:p>
        </w:tc>
      </w:tr>
      <w:tr w:rsidR="00DA497A" w:rsidRPr="00FD7E86" w14:paraId="19477587" w14:textId="77777777" w:rsidTr="0008669F">
        <w:trPr>
          <w:trHeight w:val="700"/>
        </w:trPr>
        <w:tc>
          <w:tcPr>
            <w:tcW w:w="963" w:type="dxa"/>
            <w:tcBorders>
              <w:right w:val="nil"/>
            </w:tcBorders>
            <w:shd w:val="clear" w:color="auto" w:fill="65CDD5" w:themeFill="accent2"/>
            <w:vAlign w:val="center"/>
          </w:tcPr>
          <w:p w14:paraId="0807E132" w14:textId="77777777" w:rsidR="00DA497A" w:rsidRPr="00FD7E86" w:rsidRDefault="00DA497A" w:rsidP="002219EC">
            <w:pPr>
              <w:keepNext/>
              <w:spacing w:before="40" w:after="40" w:line="240" w:lineRule="auto"/>
              <w:ind w:left="57"/>
              <w:rPr>
                <w:rFonts w:cs="Arial"/>
                <w:noProof/>
                <w:color w:val="FFFFFF"/>
                <w:sz w:val="18"/>
                <w:szCs w:val="18"/>
              </w:rPr>
            </w:pPr>
            <w:r w:rsidRPr="00FD7E86">
              <w:rPr>
                <w:rFonts w:cs="Arial"/>
                <w:noProof/>
                <w:color w:val="FFFFFF"/>
                <w:sz w:val="18"/>
                <w:szCs w:val="18"/>
              </w:rPr>
              <w:drawing>
                <wp:inline distT="0" distB="0" distL="0" distR="0" wp14:anchorId="584A3925" wp14:editId="595E9C35">
                  <wp:extent cx="402337" cy="256033"/>
                  <wp:effectExtent l="0" t="0" r="0" b="0"/>
                  <wp:docPr id="14" name="Picture 14"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Chapter 1 charts ALL_Email.pn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402337" cy="256033"/>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3156E307"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 xml:space="preserve">Email </w:t>
            </w:r>
          </w:p>
        </w:tc>
        <w:tc>
          <w:tcPr>
            <w:tcW w:w="2886" w:type="dxa"/>
            <w:shd w:val="clear" w:color="auto" w:fill="E9FBFB" w:themeFill="accent3"/>
            <w:vAlign w:val="center"/>
          </w:tcPr>
          <w:p w14:paraId="6D504F4B"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95</w:t>
            </w:r>
          </w:p>
        </w:tc>
        <w:tc>
          <w:tcPr>
            <w:tcW w:w="2462" w:type="dxa"/>
            <w:shd w:val="clear" w:color="auto" w:fill="E9FBFB" w:themeFill="accent3"/>
            <w:tcMar>
              <w:top w:w="0" w:type="dxa"/>
              <w:left w:w="113" w:type="dxa"/>
              <w:bottom w:w="0" w:type="dxa"/>
              <w:right w:w="0" w:type="dxa"/>
            </w:tcMar>
            <w:vAlign w:val="center"/>
          </w:tcPr>
          <w:p w14:paraId="3CFEE296"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94</w:t>
            </w:r>
          </w:p>
        </w:tc>
      </w:tr>
      <w:tr w:rsidR="00DA497A" w:rsidRPr="00FD7E86" w14:paraId="72A29CB6" w14:textId="77777777" w:rsidTr="0008669F">
        <w:trPr>
          <w:trHeight w:val="700"/>
        </w:trPr>
        <w:tc>
          <w:tcPr>
            <w:tcW w:w="963" w:type="dxa"/>
            <w:tcBorders>
              <w:right w:val="nil"/>
            </w:tcBorders>
            <w:shd w:val="clear" w:color="auto" w:fill="65CDD5" w:themeFill="accent2"/>
            <w:vAlign w:val="center"/>
          </w:tcPr>
          <w:p w14:paraId="65747822" w14:textId="77777777" w:rsidR="00DA497A" w:rsidRPr="00FD7E86" w:rsidRDefault="00DA497A" w:rsidP="002219EC">
            <w:pPr>
              <w:keepNext/>
              <w:spacing w:before="40" w:after="40" w:line="240" w:lineRule="auto"/>
              <w:ind w:left="57"/>
              <w:rPr>
                <w:rFonts w:cs="Arial"/>
                <w:color w:val="FFFFFF"/>
                <w:sz w:val="18"/>
                <w:szCs w:val="18"/>
              </w:rPr>
            </w:pPr>
            <w:r w:rsidRPr="00FD7E86">
              <w:rPr>
                <w:rFonts w:cs="Arial"/>
                <w:noProof/>
                <w:color w:val="FFFFFF"/>
                <w:sz w:val="18"/>
                <w:szCs w:val="18"/>
              </w:rPr>
              <w:drawing>
                <wp:inline distT="0" distB="0" distL="0" distR="0" wp14:anchorId="5062565D" wp14:editId="1D9B70A7">
                  <wp:extent cx="311150" cy="334645"/>
                  <wp:effectExtent l="0" t="0" r="0" b="8255"/>
                  <wp:docPr id="19" name="Picture 19"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Chapter 1 charts ALL_surfing-browsing.png"/>
                          <pic:cNvPicPr/>
                        </pic:nvPicPr>
                        <pic:blipFill>
                          <a:blip r:embed="rId86" cstate="print">
                            <a:extLst>
                              <a:ext uri="{28A0092B-C50C-407E-A947-70E740481C1C}">
                                <a14:useLocalDpi xmlns:a14="http://schemas.microsoft.com/office/drawing/2010/main" val="0"/>
                              </a:ext>
                            </a:extLst>
                          </a:blip>
                          <a:stretch>
                            <a:fillRect/>
                          </a:stretch>
                        </pic:blipFill>
                        <pic:spPr>
                          <a:xfrm>
                            <a:off x="0" y="0"/>
                            <a:ext cx="311150" cy="334645"/>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4031A41E"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Browsing and surfing</w:t>
            </w:r>
          </w:p>
        </w:tc>
        <w:tc>
          <w:tcPr>
            <w:tcW w:w="2886" w:type="dxa"/>
            <w:shd w:val="clear" w:color="auto" w:fill="E9FBFB" w:themeFill="accent3"/>
            <w:vAlign w:val="center"/>
          </w:tcPr>
          <w:p w14:paraId="4B71DEBA"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91</w:t>
            </w:r>
          </w:p>
        </w:tc>
        <w:tc>
          <w:tcPr>
            <w:tcW w:w="2462" w:type="dxa"/>
            <w:shd w:val="clear" w:color="auto" w:fill="E9FBFB" w:themeFill="accent3"/>
            <w:tcMar>
              <w:top w:w="0" w:type="dxa"/>
              <w:left w:w="113" w:type="dxa"/>
              <w:bottom w:w="0" w:type="dxa"/>
              <w:right w:w="0" w:type="dxa"/>
            </w:tcMar>
            <w:vAlign w:val="center"/>
          </w:tcPr>
          <w:p w14:paraId="6A7A5883"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97</w:t>
            </w:r>
          </w:p>
        </w:tc>
      </w:tr>
      <w:tr w:rsidR="00DA497A" w:rsidRPr="00FD7E86" w14:paraId="04AFEB7F" w14:textId="77777777" w:rsidTr="0008669F">
        <w:trPr>
          <w:trHeight w:val="700"/>
        </w:trPr>
        <w:tc>
          <w:tcPr>
            <w:tcW w:w="963" w:type="dxa"/>
            <w:tcBorders>
              <w:right w:val="nil"/>
            </w:tcBorders>
            <w:shd w:val="clear" w:color="auto" w:fill="65CDD5" w:themeFill="accent2"/>
            <w:vAlign w:val="center"/>
          </w:tcPr>
          <w:p w14:paraId="6362ED5F" w14:textId="77777777" w:rsidR="00DA497A" w:rsidRPr="00FD7E86" w:rsidRDefault="00DA497A" w:rsidP="002219EC">
            <w:pPr>
              <w:keepNext/>
              <w:spacing w:before="40" w:after="40" w:line="240" w:lineRule="auto"/>
              <w:ind w:left="57"/>
              <w:rPr>
                <w:rFonts w:cs="Arial"/>
                <w:color w:val="FFFFFF"/>
                <w:sz w:val="18"/>
                <w:szCs w:val="18"/>
              </w:rPr>
            </w:pPr>
            <w:r w:rsidRPr="00FD7E86">
              <w:rPr>
                <w:rFonts w:cs="Arial"/>
                <w:noProof/>
                <w:color w:val="FFFFFF"/>
                <w:sz w:val="18"/>
                <w:szCs w:val="18"/>
              </w:rPr>
              <w:drawing>
                <wp:inline distT="0" distB="0" distL="0" distR="0" wp14:anchorId="4EDC51A0" wp14:editId="6F3D7083">
                  <wp:extent cx="350520" cy="339090"/>
                  <wp:effectExtent l="0" t="0" r="0" b="3810"/>
                  <wp:docPr id="20" name="Picture 20"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Chapter 1 charts ALL_Buying .pn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350520" cy="339090"/>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65394E12"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Banking</w:t>
            </w:r>
            <w:r w:rsidR="00E35AAF" w:rsidRPr="00C05F4C">
              <w:rPr>
                <w:rFonts w:cs="Arial"/>
                <w:sz w:val="18"/>
                <w:szCs w:val="18"/>
              </w:rPr>
              <w:t>/</w:t>
            </w:r>
            <w:r w:rsidRPr="00C05F4C">
              <w:rPr>
                <w:rFonts w:cs="Arial"/>
                <w:sz w:val="18"/>
                <w:szCs w:val="18"/>
              </w:rPr>
              <w:t>paying bills</w:t>
            </w:r>
          </w:p>
        </w:tc>
        <w:tc>
          <w:tcPr>
            <w:tcW w:w="2886" w:type="dxa"/>
            <w:shd w:val="clear" w:color="auto" w:fill="E9FBFB" w:themeFill="accent3"/>
            <w:vAlign w:val="center"/>
          </w:tcPr>
          <w:p w14:paraId="6274EC57"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77</w:t>
            </w:r>
          </w:p>
        </w:tc>
        <w:tc>
          <w:tcPr>
            <w:tcW w:w="2462" w:type="dxa"/>
            <w:shd w:val="clear" w:color="auto" w:fill="E9FBFB" w:themeFill="accent3"/>
            <w:tcMar>
              <w:top w:w="0" w:type="dxa"/>
              <w:left w:w="113" w:type="dxa"/>
              <w:bottom w:w="0" w:type="dxa"/>
              <w:right w:w="0" w:type="dxa"/>
            </w:tcMar>
            <w:vAlign w:val="center"/>
          </w:tcPr>
          <w:p w14:paraId="3A9BC3B6"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68</w:t>
            </w:r>
          </w:p>
        </w:tc>
      </w:tr>
      <w:tr w:rsidR="00DA497A" w:rsidRPr="00FD7E86" w14:paraId="38078549" w14:textId="77777777" w:rsidTr="0008669F">
        <w:trPr>
          <w:trHeight w:val="700"/>
        </w:trPr>
        <w:tc>
          <w:tcPr>
            <w:tcW w:w="963" w:type="dxa"/>
            <w:tcBorders>
              <w:right w:val="nil"/>
            </w:tcBorders>
            <w:shd w:val="clear" w:color="auto" w:fill="65CDD5" w:themeFill="accent2"/>
            <w:vAlign w:val="center"/>
          </w:tcPr>
          <w:p w14:paraId="6BEA1A76" w14:textId="77777777" w:rsidR="00DA497A" w:rsidRPr="00FD7E86" w:rsidRDefault="00DA497A" w:rsidP="002219EC">
            <w:pPr>
              <w:keepNext/>
              <w:spacing w:before="40" w:after="40" w:line="240" w:lineRule="auto"/>
              <w:ind w:left="57"/>
              <w:rPr>
                <w:rFonts w:cs="Arial"/>
                <w:color w:val="FFFFFF"/>
                <w:sz w:val="18"/>
                <w:szCs w:val="18"/>
              </w:rPr>
            </w:pPr>
            <w:r w:rsidRPr="00FD7E86">
              <w:rPr>
                <w:rFonts w:cs="Arial"/>
                <w:noProof/>
                <w:color w:val="FFFFFF"/>
                <w:sz w:val="18"/>
                <w:szCs w:val="18"/>
              </w:rPr>
              <w:drawing>
                <wp:inline distT="0" distB="0" distL="0" distR="0" wp14:anchorId="6EE6E9D5" wp14:editId="2312341F">
                  <wp:extent cx="332233" cy="295657"/>
                  <wp:effectExtent l="0" t="0" r="0" b="9525"/>
                  <wp:docPr id="21" name="Picture 21"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Chapter 1 charts ALL_Social networking.png"/>
                          <pic:cNvPicPr/>
                        </pic:nvPicPr>
                        <pic:blipFill>
                          <a:blip r:embed="rId88" cstate="print">
                            <a:extLst>
                              <a:ext uri="{28A0092B-C50C-407E-A947-70E740481C1C}">
                                <a14:useLocalDpi xmlns:a14="http://schemas.microsoft.com/office/drawing/2010/main" val="0"/>
                              </a:ext>
                            </a:extLst>
                          </a:blip>
                          <a:stretch>
                            <a:fillRect/>
                          </a:stretch>
                        </pic:blipFill>
                        <pic:spPr>
                          <a:xfrm>
                            <a:off x="0" y="0"/>
                            <a:ext cx="332233" cy="295657"/>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0F060AF8"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 xml:space="preserve">Social networking </w:t>
            </w:r>
          </w:p>
        </w:tc>
        <w:tc>
          <w:tcPr>
            <w:tcW w:w="2886" w:type="dxa"/>
            <w:shd w:val="clear" w:color="auto" w:fill="E9FBFB" w:themeFill="accent3"/>
            <w:vAlign w:val="center"/>
          </w:tcPr>
          <w:p w14:paraId="75DF875C" w14:textId="77777777" w:rsidR="00DA497A" w:rsidRPr="00FD7E86" w:rsidRDefault="00DA497A" w:rsidP="0008669F">
            <w:pPr>
              <w:keepNext/>
              <w:spacing w:before="40" w:after="40" w:line="240" w:lineRule="auto"/>
              <w:ind w:left="1196" w:right="193"/>
              <w:jc w:val="right"/>
              <w:outlineLvl w:val="0"/>
              <w:rPr>
                <w:rFonts w:cs="Arial"/>
                <w:color w:val="000000"/>
                <w:sz w:val="18"/>
                <w:szCs w:val="18"/>
              </w:rPr>
            </w:pPr>
            <w:r w:rsidRPr="00FD7E86">
              <w:rPr>
                <w:rFonts w:cs="Arial"/>
                <w:color w:val="000000"/>
                <w:sz w:val="18"/>
                <w:szCs w:val="18"/>
              </w:rPr>
              <w:t>72</w:t>
            </w:r>
          </w:p>
        </w:tc>
        <w:tc>
          <w:tcPr>
            <w:tcW w:w="2462" w:type="dxa"/>
            <w:shd w:val="clear" w:color="auto" w:fill="E9FBFB" w:themeFill="accent3"/>
            <w:tcMar>
              <w:top w:w="0" w:type="dxa"/>
              <w:left w:w="113" w:type="dxa"/>
              <w:bottom w:w="0" w:type="dxa"/>
              <w:right w:w="0" w:type="dxa"/>
            </w:tcMar>
            <w:vAlign w:val="center"/>
          </w:tcPr>
          <w:p w14:paraId="1B58C843"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75</w:t>
            </w:r>
          </w:p>
        </w:tc>
      </w:tr>
      <w:tr w:rsidR="00DA497A" w:rsidRPr="00FD7E86" w14:paraId="37CE7833" w14:textId="77777777" w:rsidTr="0008669F">
        <w:trPr>
          <w:trHeight w:val="700"/>
        </w:trPr>
        <w:tc>
          <w:tcPr>
            <w:tcW w:w="963" w:type="dxa"/>
            <w:tcBorders>
              <w:right w:val="nil"/>
            </w:tcBorders>
            <w:shd w:val="clear" w:color="auto" w:fill="65CDD5" w:themeFill="accent2"/>
            <w:vAlign w:val="center"/>
          </w:tcPr>
          <w:p w14:paraId="13911E49" w14:textId="77777777" w:rsidR="00DA497A" w:rsidRPr="00FD7E86" w:rsidRDefault="00FC5416" w:rsidP="002219EC">
            <w:pPr>
              <w:keepNext/>
              <w:spacing w:before="40" w:after="40" w:line="240" w:lineRule="auto"/>
              <w:ind w:left="57"/>
              <w:rPr>
                <w:rFonts w:cs="Arial"/>
                <w:color w:val="FFFFFF"/>
                <w:sz w:val="18"/>
                <w:szCs w:val="18"/>
              </w:rPr>
            </w:pPr>
            <w:r w:rsidRPr="00FD7E86">
              <w:rPr>
                <w:rFonts w:cs="Arial"/>
                <w:noProof/>
                <w:color w:val="FFFFFF"/>
                <w:sz w:val="18"/>
                <w:szCs w:val="18"/>
              </w:rPr>
              <w:drawing>
                <wp:inline distT="0" distB="0" distL="0" distR="0" wp14:anchorId="096EF877" wp14:editId="0C665DB6">
                  <wp:extent cx="464317" cy="381290"/>
                  <wp:effectExtent l="0" t="0" r="0" b="0"/>
                  <wp:docPr id="44" name="Picture 44"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Chapter 2_Accessing gov websites.png"/>
                          <pic:cNvPicPr/>
                        </pic:nvPicPr>
                        <pic:blipFill>
                          <a:blip r:embed="rId89">
                            <a:extLst>
                              <a:ext uri="{28A0092B-C50C-407E-A947-70E740481C1C}">
                                <a14:useLocalDpi xmlns:a14="http://schemas.microsoft.com/office/drawing/2010/main" val="0"/>
                              </a:ext>
                            </a:extLst>
                          </a:blip>
                          <a:stretch>
                            <a:fillRect/>
                          </a:stretch>
                        </pic:blipFill>
                        <pic:spPr>
                          <a:xfrm>
                            <a:off x="0" y="0"/>
                            <a:ext cx="491817" cy="403872"/>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4143850D"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Accessing government websites</w:t>
            </w:r>
          </w:p>
        </w:tc>
        <w:tc>
          <w:tcPr>
            <w:tcW w:w="2886" w:type="dxa"/>
            <w:shd w:val="clear" w:color="auto" w:fill="E9FBFB" w:themeFill="accent3"/>
            <w:vAlign w:val="center"/>
          </w:tcPr>
          <w:p w14:paraId="565415D8"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71</w:t>
            </w:r>
          </w:p>
        </w:tc>
        <w:tc>
          <w:tcPr>
            <w:tcW w:w="2462" w:type="dxa"/>
            <w:shd w:val="clear" w:color="auto" w:fill="E9FBFB" w:themeFill="accent3"/>
            <w:tcMar>
              <w:top w:w="0" w:type="dxa"/>
              <w:left w:w="113" w:type="dxa"/>
              <w:bottom w:w="0" w:type="dxa"/>
              <w:right w:w="0" w:type="dxa"/>
            </w:tcMar>
            <w:vAlign w:val="center"/>
          </w:tcPr>
          <w:p w14:paraId="72D6DC4D"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78</w:t>
            </w:r>
          </w:p>
        </w:tc>
      </w:tr>
      <w:tr w:rsidR="00DA497A" w:rsidRPr="00FD7E86" w14:paraId="15E925E1" w14:textId="77777777" w:rsidTr="0008669F">
        <w:trPr>
          <w:trHeight w:val="700"/>
        </w:trPr>
        <w:tc>
          <w:tcPr>
            <w:tcW w:w="963" w:type="dxa"/>
            <w:tcBorders>
              <w:right w:val="nil"/>
            </w:tcBorders>
            <w:shd w:val="clear" w:color="auto" w:fill="65CDD5" w:themeFill="accent2"/>
            <w:vAlign w:val="center"/>
          </w:tcPr>
          <w:p w14:paraId="06E60AAE" w14:textId="77777777" w:rsidR="00DA497A" w:rsidRPr="00FD7E86" w:rsidRDefault="00C537AB" w:rsidP="002219EC">
            <w:pPr>
              <w:keepNext/>
              <w:spacing w:before="40" w:after="40" w:line="240" w:lineRule="auto"/>
              <w:ind w:left="57"/>
              <w:rPr>
                <w:rFonts w:cs="Arial"/>
                <w:color w:val="FFFFFF"/>
                <w:sz w:val="18"/>
                <w:szCs w:val="18"/>
              </w:rPr>
            </w:pPr>
            <w:r w:rsidRPr="00FD7E86">
              <w:rPr>
                <w:rFonts w:cs="Arial"/>
                <w:noProof/>
                <w:color w:val="FFFFFF"/>
                <w:sz w:val="18"/>
                <w:szCs w:val="18"/>
              </w:rPr>
              <w:drawing>
                <wp:inline distT="0" distB="0" distL="0" distR="0" wp14:anchorId="5C7C9C58" wp14:editId="4E25B76E">
                  <wp:extent cx="402337" cy="335281"/>
                  <wp:effectExtent l="0" t="0" r="0" b="7620"/>
                  <wp:docPr id="139" name="Picture 139"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Chapter 2_Gaming.png"/>
                          <pic:cNvPicPr/>
                        </pic:nvPicPr>
                        <pic:blipFill>
                          <a:blip r:embed="rId90">
                            <a:extLst>
                              <a:ext uri="{28A0092B-C50C-407E-A947-70E740481C1C}">
                                <a14:useLocalDpi xmlns:a14="http://schemas.microsoft.com/office/drawing/2010/main" val="0"/>
                              </a:ext>
                            </a:extLst>
                          </a:blip>
                          <a:stretch>
                            <a:fillRect/>
                          </a:stretch>
                        </pic:blipFill>
                        <pic:spPr>
                          <a:xfrm>
                            <a:off x="0" y="0"/>
                            <a:ext cx="402337" cy="335281"/>
                          </a:xfrm>
                          <a:prstGeom prst="rect">
                            <a:avLst/>
                          </a:prstGeom>
                        </pic:spPr>
                      </pic:pic>
                    </a:graphicData>
                  </a:graphic>
                </wp:inline>
              </w:drawing>
            </w:r>
          </w:p>
        </w:tc>
        <w:tc>
          <w:tcPr>
            <w:tcW w:w="3118" w:type="dxa"/>
            <w:tcBorders>
              <w:left w:val="nil"/>
              <w:right w:val="single" w:sz="24" w:space="0" w:color="FFFFFF"/>
            </w:tcBorders>
            <w:shd w:val="clear" w:color="auto" w:fill="65CDD5" w:themeFill="accent2"/>
            <w:tcMar>
              <w:top w:w="0" w:type="dxa"/>
              <w:left w:w="113" w:type="dxa"/>
              <w:bottom w:w="0" w:type="dxa"/>
              <w:right w:w="0" w:type="dxa"/>
            </w:tcMar>
            <w:vAlign w:val="center"/>
          </w:tcPr>
          <w:p w14:paraId="423479FF" w14:textId="77777777" w:rsidR="00DA497A" w:rsidRPr="00C05F4C" w:rsidRDefault="00DA497A" w:rsidP="002219EC">
            <w:pPr>
              <w:keepNext/>
              <w:spacing w:before="40" w:after="40" w:line="240" w:lineRule="auto"/>
              <w:ind w:left="57"/>
              <w:rPr>
                <w:rFonts w:cs="Arial"/>
                <w:sz w:val="18"/>
                <w:szCs w:val="18"/>
              </w:rPr>
            </w:pPr>
            <w:r w:rsidRPr="00C05F4C">
              <w:rPr>
                <w:rFonts w:cs="Arial"/>
                <w:sz w:val="18"/>
                <w:szCs w:val="18"/>
              </w:rPr>
              <w:t>Playing games</w:t>
            </w:r>
          </w:p>
        </w:tc>
        <w:tc>
          <w:tcPr>
            <w:tcW w:w="2886" w:type="dxa"/>
            <w:shd w:val="clear" w:color="auto" w:fill="E9FBFB" w:themeFill="accent3"/>
            <w:vAlign w:val="center"/>
          </w:tcPr>
          <w:p w14:paraId="7238FBBB"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22</w:t>
            </w:r>
          </w:p>
        </w:tc>
        <w:tc>
          <w:tcPr>
            <w:tcW w:w="2462" w:type="dxa"/>
            <w:shd w:val="clear" w:color="auto" w:fill="E9FBFB" w:themeFill="accent3"/>
            <w:tcMar>
              <w:top w:w="0" w:type="dxa"/>
              <w:left w:w="113" w:type="dxa"/>
              <w:bottom w:w="0" w:type="dxa"/>
              <w:right w:w="0" w:type="dxa"/>
            </w:tcMar>
            <w:vAlign w:val="center"/>
          </w:tcPr>
          <w:p w14:paraId="0F1E3BCF" w14:textId="77777777" w:rsidR="00DA497A" w:rsidRPr="00FD7E86" w:rsidRDefault="00DA497A" w:rsidP="0008669F">
            <w:pPr>
              <w:keepNext/>
              <w:spacing w:before="40" w:after="40" w:line="240" w:lineRule="auto"/>
              <w:ind w:left="1196" w:right="193"/>
              <w:jc w:val="right"/>
              <w:outlineLvl w:val="0"/>
              <w:rPr>
                <w:rFonts w:cs="Arial"/>
                <w:sz w:val="18"/>
                <w:szCs w:val="18"/>
              </w:rPr>
            </w:pPr>
            <w:r w:rsidRPr="00FD7E86">
              <w:rPr>
                <w:rFonts w:cs="Arial"/>
                <w:sz w:val="18"/>
                <w:szCs w:val="18"/>
              </w:rPr>
              <w:t>42</w:t>
            </w:r>
          </w:p>
        </w:tc>
      </w:tr>
    </w:tbl>
    <w:p w14:paraId="2C5EECA0" w14:textId="77777777" w:rsidR="00DA497A" w:rsidRPr="00FD7E86" w:rsidRDefault="00DA497A" w:rsidP="000664F7">
      <w:pPr>
        <w:pStyle w:val="ACMANotes"/>
      </w:pPr>
      <w:r w:rsidRPr="00FD7E86">
        <w:t>Base: Australia: internet users aged 18 and over; UK: internet users aged 16 and over.</w:t>
      </w:r>
    </w:p>
    <w:p w14:paraId="50A87F54" w14:textId="77777777" w:rsidR="00DA497A" w:rsidRPr="00FD7E86" w:rsidRDefault="00DA497A" w:rsidP="000664F7">
      <w:pPr>
        <w:pStyle w:val="ACMANotes"/>
      </w:pPr>
      <w:r w:rsidRPr="00FD7E86">
        <w:t xml:space="preserve">Note: Australian data relates to performing activities online in the six months to May 2015. </w:t>
      </w:r>
    </w:p>
    <w:p w14:paraId="6B29A51C" w14:textId="77777777" w:rsidR="00DA497A" w:rsidRPr="00FD7E86" w:rsidRDefault="00DA497A" w:rsidP="000664F7">
      <w:pPr>
        <w:pStyle w:val="ACMANotes"/>
      </w:pPr>
      <w:r w:rsidRPr="00FD7E86">
        <w:t>UK (Ofcom) data was collected October to November 2014 and covers all adults aged 16 and over who go online at home or elsewhere.</w:t>
      </w:r>
    </w:p>
    <w:p w14:paraId="37B01D15" w14:textId="77777777" w:rsidR="00DA497A" w:rsidRPr="00FD7E86" w:rsidRDefault="00DA497A" w:rsidP="00E41B62">
      <w:pPr>
        <w:pStyle w:val="ACMANotes"/>
      </w:pPr>
      <w:r w:rsidRPr="00FD7E86">
        <w:t>Source: Australian data: ACMA-commissioned survey, May 2015. UK data: OfCom, Adults’ media use and attitudes Report 2015.</w:t>
      </w:r>
    </w:p>
    <w:p w14:paraId="7A58767B" w14:textId="77777777" w:rsidR="00943072" w:rsidRPr="00FD7E86" w:rsidRDefault="00943072" w:rsidP="00943072">
      <w:pPr>
        <w:pStyle w:val="ACMASpaceaftertable"/>
      </w:pPr>
    </w:p>
    <w:p w14:paraId="2EC6544E" w14:textId="77777777" w:rsidR="000317E5" w:rsidRPr="00FD7E86" w:rsidRDefault="000317E5" w:rsidP="000664F7">
      <w:pPr>
        <w:pStyle w:val="ACMAHeading4"/>
      </w:pPr>
      <w:r w:rsidRPr="00FD7E86">
        <w:t xml:space="preserve">International comparisons—fixed broadband versus mobile internet penetration </w:t>
      </w:r>
    </w:p>
    <w:p w14:paraId="099D057D" w14:textId="77777777" w:rsidR="000317E5" w:rsidRPr="00FD7E86" w:rsidRDefault="000317E5" w:rsidP="0022218E">
      <w:pPr>
        <w:spacing w:after="80"/>
      </w:pPr>
      <w:r w:rsidRPr="00FD7E86">
        <w:t>Australia is one of the leaders in terms of mobile-internet penetration. Research by the Broadband Commission for Digital Development shows that</w:t>
      </w:r>
      <w:r w:rsidR="00945EFD" w:rsidRPr="00FD7E86">
        <w:t>,</w:t>
      </w:r>
      <w:r w:rsidRPr="00FD7E86">
        <w:t xml:space="preserve"> at December 2014, Australia was ranked:</w:t>
      </w:r>
    </w:p>
    <w:p w14:paraId="67E83505" w14:textId="77777777" w:rsidR="000317E5" w:rsidRPr="00FD7E86" w:rsidRDefault="000317E5" w:rsidP="000317E5">
      <w:pPr>
        <w:pStyle w:val="ListBullet"/>
      </w:pPr>
      <w:r w:rsidRPr="00FD7E86">
        <w:t>11</w:t>
      </w:r>
      <w:r w:rsidRPr="00FD7E86">
        <w:rPr>
          <w:vertAlign w:val="superscript"/>
        </w:rPr>
        <w:t>th</w:t>
      </w:r>
      <w:r w:rsidRPr="00FD7E86">
        <w:t xml:space="preserve"> in terms of mobile-internet penetration per 100 inhabitants (out of 189 countries)</w:t>
      </w:r>
    </w:p>
    <w:p w14:paraId="5246EBE3" w14:textId="77777777" w:rsidR="00CF02AF" w:rsidRDefault="000317E5" w:rsidP="00CF02AF">
      <w:pPr>
        <w:pStyle w:val="ListBulletLast"/>
      </w:pPr>
      <w:r w:rsidRPr="00FD7E86">
        <w:t>39</w:t>
      </w:r>
      <w:r w:rsidRPr="00FD7E86">
        <w:rPr>
          <w:vertAlign w:val="superscript"/>
        </w:rPr>
        <w:t>th</w:t>
      </w:r>
      <w:r w:rsidRPr="00FD7E86">
        <w:t xml:space="preserve"> in terms of fixed broadband penetration per 100 inhabitants (out of 189 countries)</w:t>
      </w:r>
      <w:r w:rsidR="008961D9" w:rsidRPr="00FD7E86">
        <w:t>.</w:t>
      </w:r>
      <w:r w:rsidRPr="00FD7E86">
        <w:rPr>
          <w:rStyle w:val="EndnoteReference"/>
        </w:rPr>
        <w:endnoteReference w:id="68"/>
      </w:r>
    </w:p>
    <w:p w14:paraId="05D452F6" w14:textId="77777777" w:rsidR="00711B82" w:rsidRDefault="00711B82">
      <w:pPr>
        <w:spacing w:after="0"/>
        <w:rPr>
          <w:rFonts w:cs="Arial"/>
        </w:rPr>
      </w:pPr>
      <w:r>
        <w:br w:type="page"/>
      </w:r>
    </w:p>
    <w:p w14:paraId="3D7F65A2" w14:textId="77777777" w:rsidR="007C1430" w:rsidRDefault="007C1430" w:rsidP="00C05F4C">
      <w:pPr>
        <w:pStyle w:val="ListBulletLast"/>
        <w:numPr>
          <w:ilvl w:val="0"/>
          <w:numId w:val="0"/>
        </w:numPr>
        <w:ind w:left="295" w:hanging="295"/>
      </w:pPr>
    </w:p>
    <w:p w14:paraId="5B6ACF84" w14:textId="77777777" w:rsidR="007C1430" w:rsidRPr="00FD7E86" w:rsidRDefault="007C1430" w:rsidP="00C05F4C">
      <w:pPr>
        <w:pStyle w:val="ListBulletLast"/>
        <w:numPr>
          <w:ilvl w:val="0"/>
          <w:numId w:val="0"/>
        </w:numPr>
        <w:ind w:left="295" w:hanging="295"/>
        <w:sectPr w:rsidR="007C1430" w:rsidRPr="00FD7E86" w:rsidSect="009B3BC4">
          <w:endnotePr>
            <w:numFmt w:val="decimal"/>
            <w:numRestart w:val="eachSect"/>
          </w:endnotePr>
          <w:pgSz w:w="11906" w:h="16838" w:code="9"/>
          <w:pgMar w:top="1945" w:right="1134" w:bottom="1134" w:left="1134" w:header="709" w:footer="119" w:gutter="284"/>
          <w:cols w:space="708"/>
          <w:docGrid w:linePitch="360"/>
        </w:sectPr>
      </w:pPr>
    </w:p>
    <w:p w14:paraId="2BA7E8BA" w14:textId="77777777" w:rsidR="00CF02AF" w:rsidRPr="00FD7E86" w:rsidRDefault="00CF02AF" w:rsidP="00CF02AF">
      <w:pPr>
        <w:pStyle w:val="Heading1"/>
      </w:pPr>
      <w:bookmarkStart w:id="237" w:name="_Toc433790347"/>
      <w:r w:rsidRPr="00FD7E86">
        <w:lastRenderedPageBreak/>
        <w:t>Chapter 3: Television, radio and online content developments</w:t>
      </w:r>
      <w:bookmarkEnd w:id="237"/>
    </w:p>
    <w:p w14:paraId="6397DF04" w14:textId="77777777" w:rsidR="00CF02AF" w:rsidRPr="00FD7E86" w:rsidRDefault="00F87755" w:rsidP="000B3AFF">
      <w:pPr>
        <w:pStyle w:val="ACMAHeading1"/>
      </w:pPr>
      <w:bookmarkStart w:id="238" w:name="_Toc433790348"/>
      <w:r w:rsidRPr="00FD7E86">
        <w:t>3.1</w:t>
      </w:r>
      <w:r w:rsidRPr="00FD7E86">
        <w:tab/>
      </w:r>
      <w:r w:rsidRPr="00FD7E86">
        <w:tab/>
      </w:r>
      <w:r w:rsidR="00CF02AF" w:rsidRPr="00FD7E86">
        <w:t>Overview</w:t>
      </w:r>
      <w:bookmarkEnd w:id="238"/>
    </w:p>
    <w:p w14:paraId="5453862D" w14:textId="77777777" w:rsidR="00CF02AF" w:rsidRPr="00FD7E86" w:rsidRDefault="00CF02AF" w:rsidP="00CF02AF">
      <w:r w:rsidRPr="00FD7E86">
        <w:t>This chapter looks at developments in the delivery of audio and video content via traditional broadcasting means and using new communications services</w:t>
      </w:r>
      <w:r w:rsidR="002060CC" w:rsidRPr="00FD7E86">
        <w:t xml:space="preserve"> to inform discussion on the efficiency and adequacy of the supply of services</w:t>
      </w:r>
      <w:r w:rsidRPr="00FD7E86">
        <w:t>. It covers radio (traditional, online and digital) and music streaming. It reports on video content viewing behaviours</w:t>
      </w:r>
      <w:r w:rsidR="00A362D8" w:rsidRPr="00FD7E86">
        <w:t xml:space="preserve">, </w:t>
      </w:r>
      <w:r w:rsidR="00945EFD" w:rsidRPr="00FD7E86">
        <w:t xml:space="preserve">and </w:t>
      </w:r>
      <w:r w:rsidRPr="00FD7E86">
        <w:t>television ownership</w:t>
      </w:r>
      <w:r w:rsidR="00A362D8" w:rsidRPr="00FD7E86">
        <w:t xml:space="preserve"> and</w:t>
      </w:r>
      <w:r w:rsidRPr="00FD7E86">
        <w:t xml:space="preserve"> viewing</w:t>
      </w:r>
      <w:r w:rsidR="00945EFD" w:rsidRPr="00FD7E86">
        <w:t>,</w:t>
      </w:r>
      <w:r w:rsidRPr="00FD7E86">
        <w:t xml:space="preserve"> along with subscription and online content, video downloading and streaming. </w:t>
      </w:r>
    </w:p>
    <w:p w14:paraId="234F5181" w14:textId="77777777" w:rsidR="00CF02AF" w:rsidRPr="00FD7E86" w:rsidRDefault="00CF02AF" w:rsidP="00CF02AF">
      <w:r w:rsidRPr="00FD7E86">
        <w:t xml:space="preserve">Information is also presented on the performance of broadcasters in meeting their regulatory obligations, the number of broadcasting-related complaints to the ACMA under broadcasting codes of practice and about prohibited and potentially prohibited online content under the </w:t>
      </w:r>
      <w:r w:rsidRPr="00FD7E86">
        <w:rPr>
          <w:i/>
        </w:rPr>
        <w:t xml:space="preserve">Broadcasting Services Act 1992 </w:t>
      </w:r>
      <w:r w:rsidRPr="00FD7E86">
        <w:t>(BSA).</w:t>
      </w:r>
      <w:r w:rsidRPr="00FD7E86">
        <w:rPr>
          <w:i/>
        </w:rPr>
        <w:t xml:space="preserve"> </w:t>
      </w:r>
    </w:p>
    <w:p w14:paraId="34F67D95" w14:textId="77777777" w:rsidR="00CF02AF" w:rsidRPr="00FD7E86" w:rsidRDefault="008214C1" w:rsidP="0022218E">
      <w:pPr>
        <w:spacing w:after="80"/>
      </w:pPr>
      <w:r w:rsidRPr="00FD7E86">
        <w:t>In summary</w:t>
      </w:r>
      <w:r w:rsidR="00CF02AF" w:rsidRPr="00FD7E86">
        <w:t>:</w:t>
      </w:r>
      <w:r w:rsidR="00B57EBF" w:rsidRPr="00FD7E86">
        <w:t xml:space="preserve"> </w:t>
      </w:r>
    </w:p>
    <w:p w14:paraId="6F3C8E0D" w14:textId="77777777" w:rsidR="00CF02AF" w:rsidRPr="00FD7E86" w:rsidRDefault="00CF02AF" w:rsidP="00CF02AF">
      <w:pPr>
        <w:pStyle w:val="ListBullet"/>
      </w:pPr>
      <w:r w:rsidRPr="00FD7E86">
        <w:t xml:space="preserve">the television screen remains the main way Australians watch video and </w:t>
      </w:r>
      <w:r w:rsidR="00A362D8" w:rsidRPr="00FD7E86">
        <w:t xml:space="preserve">paid </w:t>
      </w:r>
      <w:r w:rsidRPr="00FD7E86">
        <w:t>online content while free video content is more likely to be watched on compu</w:t>
      </w:r>
      <w:r w:rsidR="00260A09" w:rsidRPr="00FD7E86">
        <w:t>ters, tablets or mobile devices</w:t>
      </w:r>
    </w:p>
    <w:p w14:paraId="01226929" w14:textId="77777777" w:rsidR="00CF02AF" w:rsidRPr="00FD7E86" w:rsidRDefault="00CF02AF" w:rsidP="00CF02AF">
      <w:pPr>
        <w:pStyle w:val="ListBullet"/>
      </w:pPr>
      <w:r w:rsidRPr="00FD7E86">
        <w:t>on average</w:t>
      </w:r>
      <w:r w:rsidR="00945EFD" w:rsidRPr="00FD7E86">
        <w:t>,</w:t>
      </w:r>
      <w:r w:rsidRPr="00FD7E86">
        <w:t xml:space="preserve"> around 8</w:t>
      </w:r>
      <w:r w:rsidR="00B248A1" w:rsidRPr="00FD7E86">
        <w:t xml:space="preserve">5 </w:t>
      </w:r>
      <w:r w:rsidRPr="00FD7E86">
        <w:t xml:space="preserve">per cent of </w:t>
      </w:r>
      <w:r w:rsidR="008F3049" w:rsidRPr="00FD7E86">
        <w:t xml:space="preserve">adult </w:t>
      </w:r>
      <w:r w:rsidRPr="00FD7E86">
        <w:t xml:space="preserve">Australians </w:t>
      </w:r>
      <w:r w:rsidR="00DB6DDF" w:rsidRPr="00FD7E86">
        <w:t xml:space="preserve">in the five major capital cities </w:t>
      </w:r>
      <w:r w:rsidRPr="00FD7E86">
        <w:t>watched</w:t>
      </w:r>
      <w:r w:rsidR="00B248A1" w:rsidRPr="00FD7E86">
        <w:t xml:space="preserve"> at least five minutes consecutively of</w:t>
      </w:r>
      <w:r w:rsidRPr="00FD7E86">
        <w:t xml:space="preserve"> free-to-air television (l</w:t>
      </w:r>
      <w:r w:rsidR="00B57EBF" w:rsidRPr="00FD7E86">
        <w:t>ive and time-shifted) each week</w:t>
      </w:r>
      <w:r w:rsidR="00B248A1" w:rsidRPr="00FD7E86">
        <w:t>. In the combined regional markets, the figure was 84 per cent</w:t>
      </w:r>
      <w:r w:rsidRPr="00FD7E86">
        <w:rPr>
          <w:rStyle w:val="EndnoteReference"/>
          <w:rFonts w:cs="Arial"/>
          <w:szCs w:val="20"/>
        </w:rPr>
        <w:endnoteReference w:id="69"/>
      </w:r>
    </w:p>
    <w:p w14:paraId="2028F4AE" w14:textId="77777777" w:rsidR="00B04DC0" w:rsidRPr="00FD7E86" w:rsidRDefault="00CF02AF" w:rsidP="00CF02AF">
      <w:pPr>
        <w:pStyle w:val="ListBullet"/>
      </w:pPr>
      <w:r w:rsidRPr="00FD7E86">
        <w:t xml:space="preserve">watching </w:t>
      </w:r>
      <w:r w:rsidR="00A41630" w:rsidRPr="00FD7E86">
        <w:t xml:space="preserve">live </w:t>
      </w:r>
      <w:r w:rsidRPr="00FD7E86">
        <w:t>f</w:t>
      </w:r>
      <w:r w:rsidR="00260A09" w:rsidRPr="00FD7E86">
        <w:t>ree-to-air television represented</w:t>
      </w:r>
      <w:r w:rsidRPr="00FD7E86">
        <w:t xml:space="preserve"> the largest share (59 per cent) of average time spent watching television or video content </w:t>
      </w:r>
      <w:r w:rsidR="00A41630" w:rsidRPr="00FD7E86">
        <w:t xml:space="preserve">(excluding pre-recorded DVDs) </w:t>
      </w:r>
      <w:r w:rsidR="00260A09" w:rsidRPr="00FD7E86">
        <w:t>among adults</w:t>
      </w:r>
      <w:r w:rsidRPr="00FD7E86">
        <w:t xml:space="preserve"> </w:t>
      </w:r>
    </w:p>
    <w:p w14:paraId="5E3F862F" w14:textId="77777777" w:rsidR="00CF02AF" w:rsidRPr="00FD7E86" w:rsidRDefault="00260A09" w:rsidP="00CF02AF">
      <w:pPr>
        <w:pStyle w:val="ListBullet"/>
      </w:pPr>
      <w:r w:rsidRPr="00FD7E86">
        <w:t>w</w:t>
      </w:r>
      <w:r w:rsidR="00CF02AF" w:rsidRPr="00FD7E86">
        <w:t>atching online content (catch-up TV, other free online video content, video content via a subscription service, or pay-per-view content) accounted for 16 per cent of time spent.</w:t>
      </w:r>
      <w:r w:rsidR="00A362D8" w:rsidRPr="00FD7E86">
        <w:t xml:space="preserve"> </w:t>
      </w:r>
      <w:r w:rsidR="00D5040E" w:rsidRPr="00FD7E86">
        <w:t xml:space="preserve">Viewing of </w:t>
      </w:r>
      <w:r w:rsidR="00A362D8" w:rsidRPr="00FD7E86">
        <w:t>Foxtel and time-shifte</w:t>
      </w:r>
      <w:r w:rsidRPr="00FD7E86">
        <w:t>d</w:t>
      </w:r>
      <w:r w:rsidR="00A1796A">
        <w:t xml:space="preserve"> </w:t>
      </w:r>
      <w:r w:rsidR="00D5040E" w:rsidRPr="00FD7E86">
        <w:t xml:space="preserve">content </w:t>
      </w:r>
      <w:r w:rsidRPr="00FD7E86">
        <w:t>make up the remainder</w:t>
      </w:r>
    </w:p>
    <w:p w14:paraId="460BAFA6" w14:textId="77777777" w:rsidR="00CF02AF" w:rsidRPr="00FD7E86" w:rsidRDefault="00CF02AF" w:rsidP="00CF02AF">
      <w:pPr>
        <w:pStyle w:val="ListBullet"/>
      </w:pPr>
      <w:r w:rsidRPr="00FD7E86">
        <w:t>the Australian launch of subscription video on demand services in the first three months of 2015</w:t>
      </w:r>
      <w:r w:rsidR="00A362D8" w:rsidRPr="00FD7E86">
        <w:t>,</w:t>
      </w:r>
      <w:r w:rsidRPr="00FD7E86">
        <w:t xml:space="preserve"> including Netflix, Stan and Presto TV</w:t>
      </w:r>
      <w:r w:rsidR="00945EFD" w:rsidRPr="00FD7E86">
        <w:t>,</w:t>
      </w:r>
      <w:r w:rsidRPr="00FD7E86">
        <w:t xml:space="preserve"> saw rapid consumer take</w:t>
      </w:r>
      <w:r w:rsidR="00945EFD" w:rsidRPr="00FD7E86">
        <w:t>-</w:t>
      </w:r>
      <w:r w:rsidRPr="00FD7E86">
        <w:t>up in a short period of time—</w:t>
      </w:r>
      <w:r w:rsidR="00F41AEB" w:rsidRPr="00FD7E86">
        <w:t>11</w:t>
      </w:r>
      <w:r w:rsidRPr="00FD7E86">
        <w:t xml:space="preserve"> per cent of Australian adults </w:t>
      </w:r>
      <w:r w:rsidR="00B74A86" w:rsidRPr="00FD7E86">
        <w:t xml:space="preserve">had </w:t>
      </w:r>
      <w:r w:rsidRPr="00FD7E86">
        <w:t xml:space="preserve">watched Netflix in a given week, as </w:t>
      </w:r>
      <w:r w:rsidR="00486DFB" w:rsidRPr="00FD7E86">
        <w:t xml:space="preserve">at </w:t>
      </w:r>
      <w:r w:rsidRPr="00FD7E86">
        <w:t>June 2015</w:t>
      </w:r>
    </w:p>
    <w:p w14:paraId="495E4B1F" w14:textId="77777777" w:rsidR="00CF02AF" w:rsidRPr="00FD7E86" w:rsidRDefault="00CF02AF" w:rsidP="00CF02AF">
      <w:pPr>
        <w:pStyle w:val="ListBullet"/>
      </w:pPr>
      <w:r w:rsidRPr="00FD7E86">
        <w:t xml:space="preserve">strong demand </w:t>
      </w:r>
      <w:r w:rsidR="00260A09" w:rsidRPr="00FD7E86">
        <w:t xml:space="preserve">continued </w:t>
      </w:r>
      <w:r w:rsidRPr="00FD7E86">
        <w:t xml:space="preserve">for streaming online video, with </w:t>
      </w:r>
      <w:r w:rsidR="009B34DD" w:rsidRPr="00FD7E86">
        <w:t>17</w:t>
      </w:r>
      <w:r w:rsidRPr="00FD7E86">
        <w:t xml:space="preserve"> per cent of Australian adults watching professional con</w:t>
      </w:r>
      <w:r w:rsidR="00260A09" w:rsidRPr="00FD7E86">
        <w:t>tent on YouTube in a given week</w:t>
      </w:r>
    </w:p>
    <w:p w14:paraId="4174B99B" w14:textId="77777777" w:rsidR="00CF02AF" w:rsidRPr="00FD7E86" w:rsidRDefault="00260A09" w:rsidP="00CF02AF">
      <w:pPr>
        <w:pStyle w:val="ListBullet"/>
      </w:pPr>
      <w:r w:rsidRPr="00FD7E86">
        <w:t>f</w:t>
      </w:r>
      <w:r w:rsidR="00945EFD" w:rsidRPr="00FD7E86">
        <w:t xml:space="preserve">ifty-three </w:t>
      </w:r>
      <w:r w:rsidR="00CF02AF" w:rsidRPr="00FD7E86">
        <w:t>per cent</w:t>
      </w:r>
      <w:r w:rsidR="00EB43FA" w:rsidRPr="00FD7E86">
        <w:t xml:space="preserve"> of </w:t>
      </w:r>
      <w:r w:rsidR="00597729" w:rsidRPr="00FD7E86">
        <w:t xml:space="preserve">adults </w:t>
      </w:r>
      <w:r w:rsidR="00CF02AF" w:rsidRPr="00FD7E86">
        <w:t xml:space="preserve">watched </w:t>
      </w:r>
      <w:r w:rsidR="005C1CE9" w:rsidRPr="00FD7E86">
        <w:t xml:space="preserve">professional </w:t>
      </w:r>
      <w:r w:rsidR="00CF02AF" w:rsidRPr="00FD7E86">
        <w:t>online video content in the last six months and 34 per cent in the last seven days</w:t>
      </w:r>
      <w:r w:rsidR="00945EFD" w:rsidRPr="00FD7E86">
        <w:t>,</w:t>
      </w:r>
      <w:r w:rsidR="00CF02AF" w:rsidRPr="00FD7E86">
        <w:t xml:space="preserve"> </w:t>
      </w:r>
      <w:r w:rsidR="00486DFB" w:rsidRPr="00FD7E86">
        <w:t xml:space="preserve">as </w:t>
      </w:r>
      <w:r w:rsidRPr="00FD7E86">
        <w:t>at June 2015</w:t>
      </w:r>
    </w:p>
    <w:p w14:paraId="360144E1" w14:textId="77777777" w:rsidR="00CF02AF" w:rsidRPr="00FD7E86" w:rsidRDefault="00CF02AF" w:rsidP="00CF02AF">
      <w:pPr>
        <w:pStyle w:val="ListBullet"/>
      </w:pPr>
      <w:r w:rsidRPr="00FD7E86">
        <w:t>three</w:t>
      </w:r>
      <w:r w:rsidR="00945EFD" w:rsidRPr="00FD7E86">
        <w:t>-</w:t>
      </w:r>
      <w:r w:rsidRPr="00FD7E86">
        <w:t xml:space="preserve">quarters (74 per cent) of </w:t>
      </w:r>
      <w:r w:rsidR="00597729" w:rsidRPr="00FD7E86">
        <w:t xml:space="preserve">adults </w:t>
      </w:r>
      <w:r w:rsidRPr="00FD7E86">
        <w:t>who had watched streaming video in the last seven days were satisfied overall with the technical quality. However, over half (53 per cent) reported having experienced a technical problem in the last seven days</w:t>
      </w:r>
      <w:r w:rsidR="00486DFB" w:rsidRPr="00FD7E86">
        <w:t xml:space="preserve">, </w:t>
      </w:r>
      <w:r w:rsidRPr="00FD7E86">
        <w:t>as at June 2015</w:t>
      </w:r>
    </w:p>
    <w:p w14:paraId="69BC2FD9" w14:textId="77777777" w:rsidR="00CF02AF" w:rsidRPr="00FD7E86" w:rsidRDefault="00CF02AF" w:rsidP="00CF02AF">
      <w:pPr>
        <w:pStyle w:val="ListBullet"/>
      </w:pPr>
      <w:r w:rsidRPr="00FD7E86">
        <w:t xml:space="preserve">younger people (aged 18 to 24) </w:t>
      </w:r>
      <w:r w:rsidR="00260A09" w:rsidRPr="00FD7E86">
        <w:t>spent</w:t>
      </w:r>
      <w:r w:rsidRPr="00FD7E86">
        <w:t xml:space="preserve"> the largest proportion of time </w:t>
      </w:r>
      <w:r w:rsidR="00A362D8" w:rsidRPr="00FD7E86">
        <w:t xml:space="preserve">viewing </w:t>
      </w:r>
      <w:r w:rsidRPr="00FD7E86">
        <w:t xml:space="preserve">online content (56 per cent of all their </w:t>
      </w:r>
      <w:r w:rsidR="002D0105" w:rsidRPr="00FD7E86">
        <w:t xml:space="preserve">professional </w:t>
      </w:r>
      <w:r w:rsidRPr="00FD7E86">
        <w:t xml:space="preserve">video and </w:t>
      </w:r>
      <w:r w:rsidR="00A41630" w:rsidRPr="00FD7E86">
        <w:t xml:space="preserve">television </w:t>
      </w:r>
      <w:r w:rsidRPr="00FD7E86">
        <w:t>viewing) in the last seven days</w:t>
      </w:r>
      <w:r w:rsidR="00486DFB" w:rsidRPr="00FD7E86">
        <w:t>,</w:t>
      </w:r>
      <w:r w:rsidRPr="00FD7E86">
        <w:t xml:space="preserve"> as at June 2015</w:t>
      </w:r>
    </w:p>
    <w:p w14:paraId="738475F0" w14:textId="77777777" w:rsidR="00CF02AF" w:rsidRPr="00FD7E86" w:rsidRDefault="00CF02AF" w:rsidP="00CF02AF">
      <w:pPr>
        <w:pStyle w:val="ListBullet"/>
      </w:pPr>
      <w:r w:rsidRPr="00FD7E86">
        <w:t xml:space="preserve">listening to the radio remains popular </w:t>
      </w:r>
      <w:r w:rsidR="00610CDB" w:rsidRPr="00FD7E86">
        <w:t xml:space="preserve">among </w:t>
      </w:r>
      <w:r w:rsidRPr="00FD7E86">
        <w:t>adult Australians, with 86 per cent listening to some radio in an average seven</w:t>
      </w:r>
      <w:r w:rsidR="00610CDB" w:rsidRPr="00FD7E86">
        <w:t>-</w:t>
      </w:r>
      <w:r w:rsidRPr="00FD7E86">
        <w:t>day period to June 2015</w:t>
      </w:r>
      <w:r w:rsidR="00610CDB" w:rsidRPr="00FD7E86">
        <w:t>. This is</w:t>
      </w:r>
      <w:r w:rsidRPr="00FD7E86">
        <w:t xml:space="preserve"> very similar to the previous three years, with a slight increase from </w:t>
      </w:r>
      <w:r w:rsidR="00260A09" w:rsidRPr="00FD7E86">
        <w:t>2011 and 2012</w:t>
      </w:r>
    </w:p>
    <w:p w14:paraId="3BAD7DC9" w14:textId="77777777" w:rsidR="00CF02AF" w:rsidRPr="00FD7E86" w:rsidRDefault="00CF02AF" w:rsidP="00CF02AF">
      <w:pPr>
        <w:pStyle w:val="ListBullet"/>
      </w:pPr>
      <w:r w:rsidRPr="00FD7E86">
        <w:t>more people listen</w:t>
      </w:r>
      <w:r w:rsidR="00764EBD" w:rsidRPr="00FD7E86">
        <w:t>ed</w:t>
      </w:r>
      <w:r w:rsidRPr="00FD7E86">
        <w:t xml:space="preserve"> to digital radio each week in Sydney, Melbourne, Brisbane, Perth and Adelaide with </w:t>
      </w:r>
      <w:r w:rsidR="00A362D8" w:rsidRPr="00FD7E86">
        <w:t xml:space="preserve">almost </w:t>
      </w:r>
      <w:r w:rsidRPr="00FD7E86">
        <w:t xml:space="preserve">3.2 million in August 2015 compared </w:t>
      </w:r>
      <w:r w:rsidR="00005A09" w:rsidRPr="00FD7E86">
        <w:t>to</w:t>
      </w:r>
      <w:r w:rsidRPr="00FD7E86">
        <w:t xml:space="preserve"> nearly 2.8 million listeners in August 2014</w:t>
      </w:r>
    </w:p>
    <w:p w14:paraId="09BF5CC4" w14:textId="77777777" w:rsidR="00CF02AF" w:rsidRPr="00FD7E86" w:rsidRDefault="00260A09" w:rsidP="00CF02AF">
      <w:pPr>
        <w:pStyle w:val="ListBullet"/>
      </w:pPr>
      <w:r w:rsidRPr="00FD7E86">
        <w:t>a</w:t>
      </w:r>
      <w:r w:rsidR="00222A4C" w:rsidRPr="00FD7E86">
        <w:t>ll free-to-air commercial television licensees met the Australian transmission quota and sub-quota requirements for drama, documentary and children’s programs for the 2014 calendar year</w:t>
      </w:r>
    </w:p>
    <w:p w14:paraId="0D568F64" w14:textId="77777777" w:rsidR="00CF02AF" w:rsidRPr="00FD7E86" w:rsidRDefault="00CF02AF" w:rsidP="00CF02AF">
      <w:pPr>
        <w:pStyle w:val="ListBullet"/>
      </w:pPr>
      <w:r w:rsidRPr="00FD7E86">
        <w:t>amendments to captioning provisions in the BSA became effective from 20 March 2015</w:t>
      </w:r>
      <w:r w:rsidR="00A362D8" w:rsidRPr="00FD7E86">
        <w:t>,</w:t>
      </w:r>
      <w:r w:rsidRPr="00FD7E86">
        <w:t xml:space="preserve"> which saw improved </w:t>
      </w:r>
      <w:r w:rsidR="00610CDB" w:rsidRPr="00FD7E86">
        <w:t xml:space="preserve">administrative </w:t>
      </w:r>
      <w:r w:rsidRPr="00FD7E86">
        <w:t>arrangements and increased flexibility for television services in complying with captioning obligations</w:t>
      </w:r>
    </w:p>
    <w:p w14:paraId="4CC7AE0B" w14:textId="77777777" w:rsidR="00CF02AF" w:rsidRPr="00FD7E86" w:rsidRDefault="00260A09" w:rsidP="00CF02AF">
      <w:pPr>
        <w:pStyle w:val="ListBullet"/>
      </w:pPr>
      <w:r w:rsidRPr="00FD7E86">
        <w:lastRenderedPageBreak/>
        <w:t>a</w:t>
      </w:r>
      <w:r w:rsidR="00CF02AF" w:rsidRPr="00FD7E86">
        <w:t xml:space="preserve">ll regional commercial radio and television broadcasting licensees broadcast the required amount of material of local significance </w:t>
      </w:r>
    </w:p>
    <w:p w14:paraId="236CB71C" w14:textId="77777777" w:rsidR="00CF02AF" w:rsidRPr="00FD7E86" w:rsidRDefault="005C3C3D" w:rsidP="000664F7">
      <w:pPr>
        <w:pStyle w:val="ListBulletLast"/>
      </w:pPr>
      <w:r w:rsidRPr="00FD7E86">
        <w:t xml:space="preserve">there was </w:t>
      </w:r>
      <w:r w:rsidR="00CF02AF" w:rsidRPr="00FD7E86">
        <w:t xml:space="preserve">an 18 per cent increase </w:t>
      </w:r>
      <w:r w:rsidR="00610CDB" w:rsidRPr="00FD7E86">
        <w:t xml:space="preserve">to 4,801 </w:t>
      </w:r>
      <w:r w:rsidR="00CF02AF" w:rsidRPr="00FD7E86">
        <w:t xml:space="preserve">in </w:t>
      </w:r>
      <w:r w:rsidR="00610CDB" w:rsidRPr="00FD7E86">
        <w:t xml:space="preserve">the number of </w:t>
      </w:r>
      <w:r w:rsidR="00CF02AF" w:rsidRPr="00FD7E86">
        <w:t>complaints to the ACMA hotline for illegal and offensive online content</w:t>
      </w:r>
      <w:r w:rsidR="00260A09" w:rsidRPr="00FD7E86">
        <w:t>.</w:t>
      </w:r>
    </w:p>
    <w:p w14:paraId="1CB98238" w14:textId="77777777" w:rsidR="00CF02AF" w:rsidRPr="00FD7E86" w:rsidRDefault="00F87755" w:rsidP="000B3AFF">
      <w:pPr>
        <w:pStyle w:val="ACMAHeading1"/>
      </w:pPr>
      <w:bookmarkStart w:id="239" w:name="_Toc433790349"/>
      <w:r w:rsidRPr="00FD7E86">
        <w:t>3.2</w:t>
      </w:r>
      <w:r w:rsidRPr="00FD7E86">
        <w:tab/>
      </w:r>
      <w:r w:rsidRPr="00FD7E86">
        <w:tab/>
      </w:r>
      <w:r w:rsidR="00CF02AF" w:rsidRPr="00FD7E86">
        <w:t>Audio content</w:t>
      </w:r>
      <w:bookmarkEnd w:id="239"/>
    </w:p>
    <w:p w14:paraId="13C5580B" w14:textId="77777777" w:rsidR="00CF02AF" w:rsidRPr="00FD7E86" w:rsidRDefault="00CF02AF" w:rsidP="00B217DF">
      <w:pPr>
        <w:pStyle w:val="ACMAHeading2"/>
      </w:pPr>
      <w:bookmarkStart w:id="240" w:name="_Toc433790350"/>
      <w:r w:rsidRPr="00FD7E86">
        <w:t>Radio—traditional and audio streaming</w:t>
      </w:r>
      <w:bookmarkEnd w:id="240"/>
    </w:p>
    <w:p w14:paraId="14CF4C3B" w14:textId="77777777" w:rsidR="00CF02AF" w:rsidRPr="00FD7E86" w:rsidRDefault="00CF02AF" w:rsidP="00CF02AF">
      <w:r w:rsidRPr="00FD7E86">
        <w:t>Australians access radio in multiple locations. ACMA research undertaken in June 2015 found that 78 per cent of adult Australians had a radio at home, and 92 per cent had a radio in their car. In total, 97 per cent had a radio, either at home, or in the car, or both.</w:t>
      </w:r>
      <w:r w:rsidRPr="00FD7E86">
        <w:rPr>
          <w:rStyle w:val="EndnoteReference"/>
        </w:rPr>
        <w:endnoteReference w:id="70"/>
      </w:r>
    </w:p>
    <w:p w14:paraId="6FAC29AE" w14:textId="77777777" w:rsidR="00CF02AF" w:rsidRPr="00FD7E86" w:rsidRDefault="00CF02AF" w:rsidP="00CF02AF">
      <w:r w:rsidRPr="00FD7E86">
        <w:t>Eleven per cent of those surveyed had streamed local radio services over the internet, and five per cent had streamed an overseas radio station over the internet, in the last seven days.</w:t>
      </w:r>
      <w:r w:rsidRPr="00FD7E86">
        <w:rPr>
          <w:rStyle w:val="EndnoteReference"/>
        </w:rPr>
        <w:endnoteReference w:id="71"/>
      </w:r>
    </w:p>
    <w:p w14:paraId="3AC7E588" w14:textId="77777777" w:rsidR="00CF02AF" w:rsidRPr="00FD7E86" w:rsidRDefault="00CF02AF" w:rsidP="00CF02AF">
      <w:r w:rsidRPr="00FD7E86">
        <w:t xml:space="preserve">Younger Australians were more likely to have listened to online radio content, with 48 per cent </w:t>
      </w:r>
      <w:r w:rsidR="00667D4B" w:rsidRPr="00FD7E86">
        <w:t xml:space="preserve">aged 18 to 34 </w:t>
      </w:r>
      <w:r w:rsidRPr="00FD7E86">
        <w:t>having done so in the last seven days, while only seven per cent of those aged 65 and over said they had.</w:t>
      </w:r>
    </w:p>
    <w:p w14:paraId="21BD6CD9" w14:textId="77777777" w:rsidR="00CF02AF" w:rsidRPr="00FD7E86" w:rsidRDefault="00CF02AF" w:rsidP="00CF02AF">
      <w:r w:rsidRPr="00FD7E86">
        <w:t>According to the industry body Digital Radio Plus, at August 2015 there were almost 3.2 million people listening to digital radio each week in Sydney, Melbourne, Brisbane, Perth and Adelaide</w:t>
      </w:r>
      <w:r w:rsidR="00005A09" w:rsidRPr="00FD7E86">
        <w:t xml:space="preserve">, </w:t>
      </w:r>
      <w:r w:rsidRPr="00FD7E86">
        <w:t xml:space="preserve">compared </w:t>
      </w:r>
      <w:r w:rsidR="00005A09" w:rsidRPr="00FD7E86">
        <w:t>to</w:t>
      </w:r>
      <w:r w:rsidRPr="00FD7E86">
        <w:t xml:space="preserve"> nearly 2.8 million listeners in August 2014.</w:t>
      </w:r>
      <w:r w:rsidRPr="00FD7E86">
        <w:rPr>
          <w:rStyle w:val="EndnoteReference"/>
        </w:rPr>
        <w:endnoteReference w:id="72"/>
      </w:r>
    </w:p>
    <w:p w14:paraId="7B057D85" w14:textId="77777777" w:rsidR="00CF02AF" w:rsidRPr="00FD7E86" w:rsidRDefault="00CF02AF" w:rsidP="00CF02AF">
      <w:r w:rsidRPr="00FD7E86">
        <w:t xml:space="preserve">ACMA research indicates that </w:t>
      </w:r>
      <w:r w:rsidR="00610CDB" w:rsidRPr="00FD7E86">
        <w:t xml:space="preserve">17 </w:t>
      </w:r>
      <w:r w:rsidRPr="00FD7E86">
        <w:t xml:space="preserve">per cent of adults had used a streaming music service such as Spotify, Pandora or iTunes radio in the last seven days, and 24 per cent in the last six months. Nine per cent downloaded or listened to podcasts in the last week (17 per cent in the last six months). </w:t>
      </w:r>
    </w:p>
    <w:p w14:paraId="1CAD5C77" w14:textId="77777777" w:rsidR="00AB0E83" w:rsidRPr="00FD7E86" w:rsidRDefault="00AB0E83" w:rsidP="00AB0E83">
      <w:pPr>
        <w:pStyle w:val="ACMAHeading2"/>
      </w:pPr>
      <w:bookmarkStart w:id="241" w:name="_Toc433790351"/>
      <w:r w:rsidRPr="00FD7E86">
        <w:t>Reach of radio</w:t>
      </w:r>
      <w:bookmarkEnd w:id="241"/>
    </w:p>
    <w:p w14:paraId="41C11287" w14:textId="77777777" w:rsidR="00AB0E83" w:rsidRPr="00FD7E86" w:rsidRDefault="00AB0E83" w:rsidP="00AB0E83">
      <w:r w:rsidRPr="00FD7E86">
        <w:t>Listening to the radio remains popular with adult Australians, with 86 per cent listening to some radio in an average seven</w:t>
      </w:r>
      <w:r w:rsidR="00610CDB" w:rsidRPr="00FD7E86">
        <w:t>-</w:t>
      </w:r>
      <w:r w:rsidRPr="00FD7E86">
        <w:t>day period to June 2015. This figure is very similar for the previous three years, with a slight increase from 2011 and 2012 (Figure 3.</w:t>
      </w:r>
      <w:r w:rsidR="00CE5050" w:rsidRPr="00FD7E86">
        <w:t>1</w:t>
      </w:r>
      <w:r w:rsidRPr="00FD7E86">
        <w:t>).</w:t>
      </w:r>
    </w:p>
    <w:p w14:paraId="26F0A1F5" w14:textId="77777777" w:rsidR="00AB0E83" w:rsidRPr="00FD7E86" w:rsidRDefault="00AB0E83" w:rsidP="00C05F4C">
      <w:pPr>
        <w:pStyle w:val="Captionfigure"/>
        <w:numPr>
          <w:ilvl w:val="0"/>
          <w:numId w:val="0"/>
        </w:numPr>
        <w:spacing w:after="160"/>
      </w:pPr>
      <w:r w:rsidRPr="00FD7E86">
        <w:t>Figure 3.</w:t>
      </w:r>
      <w:r w:rsidR="00D428C0" w:rsidRPr="00FD7E86">
        <w:t>1</w:t>
      </w:r>
      <w:r w:rsidRPr="00FD7E86">
        <w:t xml:space="preserve"> Listening to radio, last seven days (percentage)</w:t>
      </w:r>
    </w:p>
    <w:p w14:paraId="7881F078" w14:textId="1E428905" w:rsidR="00AB0E83" w:rsidRPr="00FD7E86" w:rsidRDefault="00D65BF4" w:rsidP="00C05F4C">
      <w:pPr>
        <w:spacing w:after="0"/>
      </w:pPr>
      <w:r>
        <w:rPr>
          <w:noProof/>
        </w:rPr>
        <w:drawing>
          <wp:inline distT="0" distB="0" distL="0" distR="0" wp14:anchorId="798F3764" wp14:editId="36B25F11">
            <wp:extent cx="5939790" cy="1511300"/>
            <wp:effectExtent l="0" t="0" r="0" b="0"/>
            <wp:docPr id="94" name="Picture 94" descr="A .csv file of Figure 3.1 is available on the landing page ‘Communications report 2014–15’, available from the ACMA website. " title="Figure 3.1 Listening to radio, last seven day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Chapter 3_Figure 3.1.png"/>
                    <pic:cNvPicPr/>
                  </pic:nvPicPr>
                  <pic:blipFill>
                    <a:blip r:embed="rId91">
                      <a:extLst>
                        <a:ext uri="{28A0092B-C50C-407E-A947-70E740481C1C}">
                          <a14:useLocalDpi xmlns:a14="http://schemas.microsoft.com/office/drawing/2010/main" val="0"/>
                        </a:ext>
                      </a:extLst>
                    </a:blip>
                    <a:stretch>
                      <a:fillRect/>
                    </a:stretch>
                  </pic:blipFill>
                  <pic:spPr>
                    <a:xfrm>
                      <a:off x="0" y="0"/>
                      <a:ext cx="5939790" cy="1511300"/>
                    </a:xfrm>
                    <a:prstGeom prst="rect">
                      <a:avLst/>
                    </a:prstGeom>
                  </pic:spPr>
                </pic:pic>
              </a:graphicData>
            </a:graphic>
          </wp:inline>
        </w:drawing>
      </w:r>
    </w:p>
    <w:p w14:paraId="2BF31BD7" w14:textId="77777777" w:rsidR="00AB0E83" w:rsidRPr="00FD7E86" w:rsidRDefault="00AB0E83" w:rsidP="00AB0E83">
      <w:pPr>
        <w:pStyle w:val="ACMANotes"/>
      </w:pPr>
      <w:r w:rsidRPr="00FD7E86">
        <w:t>Base: Australians aged 18 and over.</w:t>
      </w:r>
    </w:p>
    <w:p w14:paraId="287FBE7B" w14:textId="77777777" w:rsidR="00AB0E83" w:rsidRPr="00FD7E86" w:rsidRDefault="00AB0E83" w:rsidP="00AB0E83">
      <w:pPr>
        <w:pStyle w:val="ACMANotes"/>
      </w:pPr>
      <w:r w:rsidRPr="00FD7E86">
        <w:t>Source: Roy Morgan Single Source.</w:t>
      </w:r>
    </w:p>
    <w:p w14:paraId="47BB3113" w14:textId="77777777" w:rsidR="00CF02AF" w:rsidRPr="00FD7E86" w:rsidRDefault="00F87755" w:rsidP="000B3AFF">
      <w:pPr>
        <w:pStyle w:val="ACMAHeading1"/>
      </w:pPr>
      <w:bookmarkStart w:id="242" w:name="_Toc433790352"/>
      <w:r w:rsidRPr="00FD7E86">
        <w:t>3.3</w:t>
      </w:r>
      <w:r w:rsidRPr="00FD7E86">
        <w:tab/>
      </w:r>
      <w:r w:rsidRPr="00FD7E86">
        <w:tab/>
      </w:r>
      <w:r w:rsidR="00CF02AF" w:rsidRPr="00FD7E86">
        <w:t>Video content</w:t>
      </w:r>
      <w:bookmarkEnd w:id="242"/>
    </w:p>
    <w:p w14:paraId="73568F2C" w14:textId="77777777" w:rsidR="00CF02AF" w:rsidRPr="00FD7E86" w:rsidRDefault="00CF02AF" w:rsidP="00A12454">
      <w:r w:rsidRPr="00FD7E86">
        <w:t xml:space="preserve">Web-based services that offer viewers more choice are developing as a popular source of access </w:t>
      </w:r>
      <w:r w:rsidR="003656C5">
        <w:br/>
      </w:r>
      <w:r w:rsidRPr="00FD7E86">
        <w:t xml:space="preserve">to video content, complementing free-to-air and subscription television. Viewers, particularly </w:t>
      </w:r>
      <w:r w:rsidR="003656C5">
        <w:br/>
      </w:r>
      <w:r w:rsidRPr="00FD7E86">
        <w:t xml:space="preserve">younger viewers, appreciate being able to access content they want when they want it. </w:t>
      </w:r>
      <w:r w:rsidR="00523F38" w:rsidRPr="00FD7E86">
        <w:t>I</w:t>
      </w:r>
      <w:r w:rsidR="003864DA" w:rsidRPr="00FD7E86">
        <w:t>nternationally</w:t>
      </w:r>
      <w:r w:rsidR="00523F38" w:rsidRPr="00FD7E86">
        <w:t>,</w:t>
      </w:r>
      <w:r w:rsidR="003864DA" w:rsidRPr="00FD7E86">
        <w:t xml:space="preserve"> and in Australia</w:t>
      </w:r>
      <w:r w:rsidR="00523F38" w:rsidRPr="00FD7E86">
        <w:t>, viewers</w:t>
      </w:r>
      <w:r w:rsidR="00A12454" w:rsidRPr="00FD7E86">
        <w:t xml:space="preserve"> are responding to the different service models offered through online video services.</w:t>
      </w:r>
      <w:r w:rsidR="003864DA" w:rsidRPr="00FD7E86">
        <w:rPr>
          <w:rStyle w:val="EndnoteReference"/>
        </w:rPr>
        <w:endnoteReference w:id="73"/>
      </w:r>
      <w:r w:rsidR="003864DA" w:rsidRPr="00FD7E86">
        <w:t xml:space="preserve"> </w:t>
      </w:r>
      <w:r w:rsidR="003864DA" w:rsidRPr="00FD7E86">
        <w:rPr>
          <w:rStyle w:val="EndnoteReference"/>
          <w:color w:val="000000" w:themeColor="text1"/>
        </w:rPr>
        <w:endnoteReference w:id="74"/>
      </w:r>
      <w:r w:rsidR="00BF0970" w:rsidRPr="00FD7E86">
        <w:rPr>
          <w:color w:val="000000" w:themeColor="text1"/>
        </w:rPr>
        <w:t xml:space="preserve"> </w:t>
      </w:r>
      <w:r w:rsidR="003864DA" w:rsidRPr="00FD7E86">
        <w:rPr>
          <w:rStyle w:val="EndnoteReference"/>
          <w:color w:val="000000" w:themeColor="text1"/>
        </w:rPr>
        <w:endnoteReference w:id="75"/>
      </w:r>
      <w:r w:rsidR="003864DA" w:rsidRPr="00FD7E86">
        <w:rPr>
          <w:color w:val="000000" w:themeColor="text1"/>
        </w:rPr>
        <w:t xml:space="preserve"> Australians’ use of online video services is reflected in ACMA consumer survey data reported below.</w:t>
      </w:r>
      <w:r w:rsidR="003864DA" w:rsidRPr="00FD7E86">
        <w:rPr>
          <w:rStyle w:val="EndnoteReference"/>
          <w:color w:val="000000" w:themeColor="text1"/>
        </w:rPr>
        <w:endnoteReference w:id="76"/>
      </w:r>
    </w:p>
    <w:p w14:paraId="5ABF930E" w14:textId="77777777" w:rsidR="00CF02AF" w:rsidRPr="00FD7E86" w:rsidRDefault="00CF02AF" w:rsidP="00B217DF">
      <w:pPr>
        <w:pStyle w:val="ACMAHeading2"/>
      </w:pPr>
      <w:bookmarkStart w:id="243" w:name="_Toc433790353"/>
      <w:r w:rsidRPr="00FD7E86">
        <w:lastRenderedPageBreak/>
        <w:t>Household television sets</w:t>
      </w:r>
      <w:bookmarkEnd w:id="243"/>
    </w:p>
    <w:p w14:paraId="02795489" w14:textId="77777777" w:rsidR="00CF02AF" w:rsidRPr="00FD7E86" w:rsidRDefault="00CF02AF" w:rsidP="00CF02AF">
      <w:r w:rsidRPr="00FD7E86">
        <w:t>Ninety-four per cent of Australian households have at least one working television set, with an average of 1.9 sets per household. Around 40 per cent of television sets are smart TVs, although not all have been connected to the internet (27 per cent of all television sets are internet</w:t>
      </w:r>
      <w:r w:rsidR="00557380" w:rsidRPr="00FD7E86">
        <w:t xml:space="preserve"> </w:t>
      </w:r>
      <w:r w:rsidRPr="00FD7E86">
        <w:t>connected).</w:t>
      </w:r>
      <w:r w:rsidRPr="00FD7E86">
        <w:rPr>
          <w:rStyle w:val="EndnoteReference"/>
        </w:rPr>
        <w:endnoteReference w:id="77"/>
      </w:r>
    </w:p>
    <w:p w14:paraId="03ACB416" w14:textId="17B484A1" w:rsidR="00CF02AF" w:rsidRPr="00FD7E86" w:rsidRDefault="00E353DA" w:rsidP="00CF02AF">
      <w:r w:rsidRPr="00FD7E86">
        <w:t>During 2014–15, 85</w:t>
      </w:r>
      <w:r w:rsidR="00CF02AF" w:rsidRPr="00FD7E86">
        <w:t xml:space="preserve"> per cent of adult Australians in the five major capital cities watched</w:t>
      </w:r>
      <w:r w:rsidR="00DB6DDF" w:rsidRPr="00FD7E86">
        <w:t xml:space="preserve"> at least five minutes consecutively of free-to-air television (live and time-shifted) in </w:t>
      </w:r>
      <w:r w:rsidR="00DB6DDF" w:rsidRPr="00FD7E86">
        <w:rPr>
          <w:rFonts w:cs="Arial"/>
          <w:szCs w:val="20"/>
        </w:rPr>
        <w:t xml:space="preserve">an average week across the </w:t>
      </w:r>
      <w:r w:rsidR="0022383D">
        <w:rPr>
          <w:rFonts w:cs="Arial"/>
          <w:szCs w:val="20"/>
        </w:rPr>
        <w:t xml:space="preserve"> </w:t>
      </w:r>
      <w:r w:rsidR="00DB6DDF" w:rsidRPr="00D07A61">
        <w:rPr>
          <w:rFonts w:cs="Arial"/>
          <w:szCs w:val="20"/>
        </w:rPr>
        <w:t>2014–15 financial year</w:t>
      </w:r>
      <w:r w:rsidR="00CF02AF" w:rsidRPr="00D07A61">
        <w:t>.</w:t>
      </w:r>
      <w:r w:rsidR="00CF02AF" w:rsidRPr="00D07A61">
        <w:rPr>
          <w:rStyle w:val="EndnoteReference"/>
        </w:rPr>
        <w:endnoteReference w:id="78"/>
      </w:r>
      <w:r w:rsidR="00CF02AF" w:rsidRPr="00FD7E86">
        <w:t xml:space="preserve"> </w:t>
      </w:r>
    </w:p>
    <w:p w14:paraId="138558D5" w14:textId="77777777" w:rsidR="00CF02AF" w:rsidRPr="00FD7E86" w:rsidRDefault="00CF02AF" w:rsidP="00B217DF">
      <w:pPr>
        <w:pStyle w:val="ACMAHeading2"/>
      </w:pPr>
      <w:bookmarkStart w:id="244" w:name="_Toc433790354"/>
      <w:r w:rsidRPr="00FD7E86">
        <w:t xml:space="preserve">Reach of broadcast </w:t>
      </w:r>
      <w:r w:rsidR="00AB0E83" w:rsidRPr="00FD7E86">
        <w:t>television</w:t>
      </w:r>
      <w:bookmarkEnd w:id="244"/>
    </w:p>
    <w:p w14:paraId="7DADAD9F" w14:textId="77777777" w:rsidR="00CF02AF" w:rsidRPr="00FD7E86" w:rsidRDefault="00CF02AF" w:rsidP="00CF02AF">
      <w:r w:rsidRPr="00FD7E86">
        <w:t xml:space="preserve">There has been a gradual decline in television viewing over the last five years, with 85 per cent of Australian adults in the five major cities watching at least five minutes </w:t>
      </w:r>
      <w:r w:rsidR="00DB6DDF" w:rsidRPr="00FD7E86">
        <w:t xml:space="preserve">consecutively </w:t>
      </w:r>
      <w:r w:rsidRPr="00FD7E86">
        <w:t>of free-to-air television in an average week in 2014</w:t>
      </w:r>
      <w:r w:rsidR="00A362D8" w:rsidRPr="00FD7E86">
        <w:t>–</w:t>
      </w:r>
      <w:r w:rsidRPr="00FD7E86">
        <w:t>15 compared to 89 per cent in 2010</w:t>
      </w:r>
      <w:r w:rsidR="003D2197" w:rsidRPr="00FD7E86">
        <w:t>–</w:t>
      </w:r>
      <w:r w:rsidRPr="00FD7E86">
        <w:t>11. Similarly</w:t>
      </w:r>
      <w:r w:rsidR="00610CDB" w:rsidRPr="00FD7E86">
        <w:t>,</w:t>
      </w:r>
      <w:r w:rsidRPr="00FD7E86">
        <w:t xml:space="preserve"> there was a drop from 87 per cent to 84 per cent over the same period in </w:t>
      </w:r>
      <w:r w:rsidR="00DB6DDF" w:rsidRPr="00FD7E86">
        <w:t xml:space="preserve">the combined </w:t>
      </w:r>
      <w:r w:rsidRPr="00FD7E86">
        <w:t>regional television markets (Figure 3.</w:t>
      </w:r>
      <w:r w:rsidR="00D428C0" w:rsidRPr="00FD7E86">
        <w:t>2</w:t>
      </w:r>
      <w:r w:rsidRPr="00FD7E86">
        <w:t>).</w:t>
      </w:r>
    </w:p>
    <w:p w14:paraId="0AEA9DF2" w14:textId="77777777" w:rsidR="00CF02AF" w:rsidRPr="00FD7E86" w:rsidRDefault="00CF02AF" w:rsidP="00FC7E5C">
      <w:pPr>
        <w:pStyle w:val="Captionfigure"/>
        <w:numPr>
          <w:ilvl w:val="0"/>
          <w:numId w:val="0"/>
        </w:numPr>
      </w:pPr>
      <w:r w:rsidRPr="00FD7E86">
        <w:t>Figure 3.</w:t>
      </w:r>
      <w:r w:rsidR="00D428C0" w:rsidRPr="00FD7E86">
        <w:t>2</w:t>
      </w:r>
      <w:r w:rsidR="00A362D8" w:rsidRPr="00FD7E86">
        <w:t xml:space="preserve"> </w:t>
      </w:r>
      <w:r w:rsidRPr="00FD7E86">
        <w:t>Free-to-air television viewing—average weekly cumulative reach (</w:t>
      </w:r>
      <w:r w:rsidR="00D57B68" w:rsidRPr="00FD7E86">
        <w:t>five</w:t>
      </w:r>
      <w:r w:rsidRPr="00FD7E86">
        <w:t xml:space="preserve"> minutes consecutive) </w:t>
      </w:r>
      <w:r w:rsidR="00BD3BF8">
        <w:t xml:space="preserve">in </w:t>
      </w:r>
      <w:r w:rsidRPr="00FD7E86">
        <w:t>five city metro</w:t>
      </w:r>
      <w:r w:rsidR="00610CDB" w:rsidRPr="00FD7E86">
        <w:t>politan</w:t>
      </w:r>
      <w:r w:rsidRPr="00FD7E86">
        <w:t xml:space="preserve"> and </w:t>
      </w:r>
      <w:r w:rsidR="00165805" w:rsidRPr="00FD7E86">
        <w:t xml:space="preserve">combined </w:t>
      </w:r>
      <w:r w:rsidRPr="00FD7E86">
        <w:t xml:space="preserve">consolidated regional markets </w:t>
      </w:r>
      <w:r w:rsidR="00E26287" w:rsidRPr="00FD7E86">
        <w:t>(percentage)</w:t>
      </w:r>
    </w:p>
    <w:p w14:paraId="65B9FB71" w14:textId="77777777" w:rsidR="00CF02AF" w:rsidRPr="00FD7E86" w:rsidRDefault="00E85A0A" w:rsidP="00C05F4C">
      <w:pPr>
        <w:spacing w:after="0"/>
      </w:pPr>
      <w:r>
        <w:rPr>
          <w:noProof/>
        </w:rPr>
        <w:drawing>
          <wp:inline distT="0" distB="0" distL="0" distR="0" wp14:anchorId="33938B98" wp14:editId="47E1FB29">
            <wp:extent cx="5939790" cy="2076450"/>
            <wp:effectExtent l="0" t="0" r="3810" b="0"/>
            <wp:docPr id="86" name="Picture 86" descr="A .csv file of Figure 3.2 is available on the landing page ‘Communications report 2014–15’, available from the ACMA website. " title="Figure 3.2 Free-to-air television viewing—average weekly cumulative reach (five minutes consecutive) in five city metropolitan and combined consolidated regional market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Chapter 3_Figure 3.2.png"/>
                    <pic:cNvPicPr/>
                  </pic:nvPicPr>
                  <pic:blipFill>
                    <a:blip r:embed="rId92">
                      <a:extLst>
                        <a:ext uri="{28A0092B-C50C-407E-A947-70E740481C1C}">
                          <a14:useLocalDpi xmlns:a14="http://schemas.microsoft.com/office/drawing/2010/main" val="0"/>
                        </a:ext>
                      </a:extLst>
                    </a:blip>
                    <a:stretch>
                      <a:fillRect/>
                    </a:stretch>
                  </pic:blipFill>
                  <pic:spPr>
                    <a:xfrm>
                      <a:off x="0" y="0"/>
                      <a:ext cx="5939790" cy="2076450"/>
                    </a:xfrm>
                    <a:prstGeom prst="rect">
                      <a:avLst/>
                    </a:prstGeom>
                  </pic:spPr>
                </pic:pic>
              </a:graphicData>
            </a:graphic>
          </wp:inline>
        </w:drawing>
      </w:r>
    </w:p>
    <w:p w14:paraId="2AF01689" w14:textId="77777777" w:rsidR="00CF02AF" w:rsidRPr="00FD7E86" w:rsidRDefault="00CF02AF" w:rsidP="00CF02AF">
      <w:pPr>
        <w:pStyle w:val="ACMANotes"/>
      </w:pPr>
      <w:r w:rsidRPr="00FD7E86">
        <w:t>Base: People aged 18 and over in the five mainland metropolitan markets (Sydney, Melbourne, Brisbane, Adelaide and Perth) for OzTAM, and for the combined regional markets</w:t>
      </w:r>
      <w:r w:rsidR="00165805" w:rsidRPr="00FD7E86">
        <w:t xml:space="preserve"> (Queensland, Northern NSW, Southern NSW, Victoria, Tasmania and Regional WA) for Regional TAM.</w:t>
      </w:r>
    </w:p>
    <w:p w14:paraId="579D629B" w14:textId="77777777" w:rsidR="00CF02AF" w:rsidRPr="00FD7E86" w:rsidRDefault="00CF02AF" w:rsidP="00E450B7">
      <w:pPr>
        <w:pStyle w:val="ACMANotes"/>
      </w:pPr>
      <w:r w:rsidRPr="00FD7E86">
        <w:t xml:space="preserve">Source: ©OzTAM Pty Limited and Regional TAM Pty Limited 2015. Apart from any use permitted under the </w:t>
      </w:r>
      <w:r w:rsidRPr="00FD7E86">
        <w:rPr>
          <w:i w:val="0"/>
        </w:rPr>
        <w:t>Copyright Act 1968</w:t>
      </w:r>
      <w:r w:rsidRPr="00FD7E86">
        <w:t xml:space="preserve">, the data may not be reproduced, published or communicated (electronically or in hard copy) without the prior written consent of OzTAM and/or </w:t>
      </w:r>
      <w:r w:rsidR="00165805" w:rsidRPr="00FD7E86">
        <w:t xml:space="preserve">Regional </w:t>
      </w:r>
      <w:r w:rsidRPr="00FD7E86">
        <w:t>TAM.</w:t>
      </w:r>
    </w:p>
    <w:p w14:paraId="4BDCB02C" w14:textId="77777777" w:rsidR="00E450B7" w:rsidRPr="00FD7E86" w:rsidRDefault="00E450B7" w:rsidP="0052547F">
      <w:pPr>
        <w:pStyle w:val="ACMASpaceaftertable"/>
        <w:rPr>
          <w:i/>
          <w:sz w:val="16"/>
          <w:szCs w:val="16"/>
        </w:rPr>
      </w:pPr>
    </w:p>
    <w:p w14:paraId="6C5F55FB" w14:textId="77777777" w:rsidR="00CF02AF" w:rsidRPr="00FD7E86" w:rsidRDefault="00CF02AF" w:rsidP="0022218E">
      <w:r w:rsidRPr="00FD7E86">
        <w:t>FOXTEL’s subscriber numbers increased 8.6 per cent to 2.8 million in the financial year ending 30 June 2015.</w:t>
      </w:r>
      <w:r w:rsidR="00120C79" w:rsidRPr="00FD7E86">
        <w:rPr>
          <w:rStyle w:val="EndnoteReference"/>
        </w:rPr>
        <w:endnoteReference w:id="79"/>
      </w:r>
      <w:r w:rsidRPr="00FD7E86">
        <w:t xml:space="preserve"> </w:t>
      </w:r>
      <w:r w:rsidR="00C37292" w:rsidRPr="00FD7E86">
        <w:t>Media</w:t>
      </w:r>
      <w:r w:rsidRPr="00FD7E86">
        <w:t xml:space="preserve"> reports</w:t>
      </w:r>
      <w:r w:rsidR="00C37292" w:rsidRPr="00FD7E86">
        <w:t xml:space="preserve"> suggest</w:t>
      </w:r>
      <w:r w:rsidRPr="00FD7E86">
        <w:t xml:space="preserve"> the increase was driven by reduced churn and an increased take-up of internet television services, including Presto.</w:t>
      </w:r>
      <w:r w:rsidR="00120C79" w:rsidRPr="00FD7E86">
        <w:rPr>
          <w:rStyle w:val="EndnoteReference"/>
        </w:rPr>
        <w:endnoteReference w:id="80"/>
      </w:r>
      <w:r w:rsidR="00120C79" w:rsidRPr="00FD7E86" w:rsidDel="00120C79">
        <w:rPr>
          <w:rStyle w:val="EndnoteReference"/>
        </w:rPr>
        <w:t xml:space="preserve"> </w:t>
      </w:r>
    </w:p>
    <w:p w14:paraId="207281C3" w14:textId="77777777" w:rsidR="00CF02AF" w:rsidRPr="00FD7E86" w:rsidRDefault="00CF02AF" w:rsidP="00B217DF">
      <w:pPr>
        <w:pStyle w:val="ACMAHeading2"/>
      </w:pPr>
      <w:bookmarkStart w:id="245" w:name="_Toc433790355"/>
      <w:r w:rsidRPr="00FD7E86">
        <w:t>Time spent watching television and online content</w:t>
      </w:r>
      <w:bookmarkEnd w:id="245"/>
    </w:p>
    <w:p w14:paraId="63E8C7D1" w14:textId="77777777" w:rsidR="00CF02AF" w:rsidRPr="00FD7E86" w:rsidRDefault="00A1191C" w:rsidP="00CF02AF">
      <w:r w:rsidRPr="00FD7E86">
        <w:t xml:space="preserve">Watching free-to-air television live represents the largest share (59 per cent) of </w:t>
      </w:r>
      <w:r w:rsidR="00E353DA" w:rsidRPr="00FD7E86">
        <w:t xml:space="preserve">the weekly </w:t>
      </w:r>
      <w:r w:rsidRPr="00FD7E86">
        <w:t>average time spent watching television or video content (excluding pre-recorded DVDs) among Australian adults. Watching professionally</w:t>
      </w:r>
      <w:r w:rsidR="00BF46DE" w:rsidRPr="00FD7E86">
        <w:t xml:space="preserve"> </w:t>
      </w:r>
      <w:r w:rsidRPr="00FD7E86">
        <w:t xml:space="preserve">produced online content (catch-up TV, other free online video content, video content via a subscription service, or pay-per-view content) accounted for 16 per cent of time spent, and Foxtel accounted for 15 per cent. Programs recorded from Foxtel or free-to-air television accounted for </w:t>
      </w:r>
      <w:r w:rsidR="003656C5" w:rsidRPr="00FD7E86">
        <w:t>10</w:t>
      </w:r>
      <w:r w:rsidR="003656C5">
        <w:t> </w:t>
      </w:r>
      <w:r w:rsidRPr="00FD7E86">
        <w:t>per cent of time spent viewing (Figure 3.3).</w:t>
      </w:r>
    </w:p>
    <w:p w14:paraId="74467CAE" w14:textId="77777777" w:rsidR="00CF02AF" w:rsidRPr="00FD7E86" w:rsidRDefault="00CF02AF" w:rsidP="00CF02AF">
      <w:r w:rsidRPr="00FD7E86">
        <w:t>Catch-up services continue to be popular</w:t>
      </w:r>
      <w:r w:rsidR="00BF46DE" w:rsidRPr="00FD7E86">
        <w:t>—</w:t>
      </w:r>
      <w:r w:rsidRPr="00FD7E86">
        <w:t>ABC’s iView reported more than a million plays each day, up 30 per cent from last year.</w:t>
      </w:r>
      <w:r w:rsidRPr="00FD7E86">
        <w:rPr>
          <w:rStyle w:val="EndnoteReference"/>
        </w:rPr>
        <w:endnoteReference w:id="81"/>
      </w:r>
    </w:p>
    <w:p w14:paraId="4F2A24A8" w14:textId="77777777" w:rsidR="00CF02AF" w:rsidRPr="00FD7E86" w:rsidRDefault="00BB0118" w:rsidP="00C05F4C">
      <w:pPr>
        <w:pStyle w:val="Captionfigure"/>
        <w:numPr>
          <w:ilvl w:val="0"/>
          <w:numId w:val="0"/>
        </w:numPr>
        <w:spacing w:after="160"/>
      </w:pPr>
      <w:r w:rsidRPr="00FD7E86">
        <w:lastRenderedPageBreak/>
        <w:t xml:space="preserve">Figure 3.3 </w:t>
      </w:r>
      <w:r w:rsidR="00CF02AF" w:rsidRPr="00FD7E86">
        <w:t>Share of time spent watching television</w:t>
      </w:r>
      <w:r w:rsidR="00A41630" w:rsidRPr="00FD7E86">
        <w:t xml:space="preserve"> (live or recorded) </w:t>
      </w:r>
      <w:r w:rsidR="00CF02AF" w:rsidRPr="00FD7E86">
        <w:t xml:space="preserve">or </w:t>
      </w:r>
      <w:r w:rsidR="00902314" w:rsidRPr="00FD7E86">
        <w:t xml:space="preserve">professional </w:t>
      </w:r>
      <w:r w:rsidR="00A41630" w:rsidRPr="00FD7E86">
        <w:t xml:space="preserve">online </w:t>
      </w:r>
      <w:r w:rsidR="00CF02AF" w:rsidRPr="00FD7E86">
        <w:t>video content</w:t>
      </w:r>
      <w:r w:rsidR="00B04548" w:rsidRPr="00FD7E86">
        <w:t>,</w:t>
      </w:r>
      <w:r w:rsidR="00CF02AF" w:rsidRPr="00FD7E86">
        <w:t xml:space="preserve"> in</w:t>
      </w:r>
      <w:r w:rsidR="00B04548" w:rsidRPr="00FD7E86">
        <w:t xml:space="preserve"> the</w:t>
      </w:r>
      <w:r w:rsidR="00CF02AF" w:rsidRPr="00FD7E86">
        <w:t xml:space="preserve"> last seven days (percentage)</w:t>
      </w:r>
    </w:p>
    <w:p w14:paraId="1ECD2E34" w14:textId="77777777" w:rsidR="00CF02AF" w:rsidRPr="00FD7E86" w:rsidRDefault="004B75E7" w:rsidP="00CF02AF">
      <w:pPr>
        <w:pStyle w:val="ACMANotes"/>
      </w:pPr>
      <w:r>
        <w:rPr>
          <w:noProof/>
        </w:rPr>
        <w:drawing>
          <wp:inline distT="0" distB="0" distL="0" distR="0" wp14:anchorId="604CC8EA" wp14:editId="50ECD771">
            <wp:extent cx="5939790" cy="2691130"/>
            <wp:effectExtent l="0" t="0" r="0" b="0"/>
            <wp:docPr id="24" name="Picture 24" descr="A .csv file of Figure 3.3 is available on the landing page ‘Communications report 2014–15’, available from the ACMA website. " title="Figure 3.3 Share of time spent watching television (live or recorded) or professional online video content, in the last seven day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Chapter 3_Figure 3.3.png"/>
                    <pic:cNvPicPr/>
                  </pic:nvPicPr>
                  <pic:blipFill>
                    <a:blip r:embed="rId93">
                      <a:extLst>
                        <a:ext uri="{28A0092B-C50C-407E-A947-70E740481C1C}">
                          <a14:useLocalDpi xmlns:a14="http://schemas.microsoft.com/office/drawing/2010/main" val="0"/>
                        </a:ext>
                      </a:extLst>
                    </a:blip>
                    <a:stretch>
                      <a:fillRect/>
                    </a:stretch>
                  </pic:blipFill>
                  <pic:spPr>
                    <a:xfrm>
                      <a:off x="0" y="0"/>
                      <a:ext cx="5939790" cy="2691130"/>
                    </a:xfrm>
                    <a:prstGeom prst="rect">
                      <a:avLst/>
                    </a:prstGeom>
                  </pic:spPr>
                </pic:pic>
              </a:graphicData>
            </a:graphic>
          </wp:inline>
        </w:drawing>
      </w:r>
    </w:p>
    <w:p w14:paraId="40724D51" w14:textId="77777777" w:rsidR="00CF02AF" w:rsidRPr="00FD7E86" w:rsidRDefault="00CF02AF" w:rsidP="00CF02AF">
      <w:pPr>
        <w:pStyle w:val="ACMANotes"/>
      </w:pPr>
      <w:r w:rsidRPr="00FD7E86">
        <w:t>Base: Australians aged 18 and over</w:t>
      </w:r>
      <w:r w:rsidR="00B04548" w:rsidRPr="00FD7E86">
        <w:t>.</w:t>
      </w:r>
      <w:r w:rsidRPr="00FD7E86">
        <w:t xml:space="preserve"> </w:t>
      </w:r>
    </w:p>
    <w:p w14:paraId="7C0D00C0" w14:textId="77777777" w:rsidR="00902314" w:rsidRPr="00FD7E86" w:rsidRDefault="00902314" w:rsidP="000E4F20">
      <w:pPr>
        <w:pStyle w:val="ACMANotes"/>
      </w:pPr>
      <w:r w:rsidRPr="00FD7E86">
        <w:t xml:space="preserve">Note: </w:t>
      </w:r>
      <w:r w:rsidR="00EA51D3" w:rsidRPr="00FD7E86">
        <w:t>‘Other free online video content’ e</w:t>
      </w:r>
      <w:r w:rsidRPr="00FD7E86">
        <w:t>xcludes user-generated content.</w:t>
      </w:r>
    </w:p>
    <w:p w14:paraId="19E2CE46" w14:textId="77777777" w:rsidR="00CF02AF" w:rsidRPr="00FD7E86" w:rsidRDefault="00CF02AF" w:rsidP="000E4F20">
      <w:pPr>
        <w:pStyle w:val="ACMANotes"/>
      </w:pPr>
      <w:r w:rsidRPr="00FD7E86">
        <w:t>Source: ACMA-commissioned survey, June 2015.</w:t>
      </w:r>
    </w:p>
    <w:p w14:paraId="2D10051C" w14:textId="77777777" w:rsidR="000B1962" w:rsidRPr="00FD7E86" w:rsidRDefault="000B1962" w:rsidP="0052547F">
      <w:pPr>
        <w:pStyle w:val="ACMASpaceaftertable"/>
        <w:rPr>
          <w:i/>
          <w:sz w:val="16"/>
          <w:szCs w:val="16"/>
        </w:rPr>
      </w:pPr>
    </w:p>
    <w:p w14:paraId="5AA0C70E" w14:textId="77777777" w:rsidR="00CF02AF" w:rsidRPr="00FD7E86" w:rsidRDefault="00CF02AF" w:rsidP="00B217DF">
      <w:pPr>
        <w:pStyle w:val="ACMAHeading2"/>
      </w:pPr>
      <w:bookmarkStart w:id="246" w:name="_Toc433790356"/>
      <w:r w:rsidRPr="00FD7E86">
        <w:t>Types of activities and devices used</w:t>
      </w:r>
      <w:bookmarkEnd w:id="246"/>
    </w:p>
    <w:p w14:paraId="650153A7" w14:textId="77777777" w:rsidR="00CF02AF" w:rsidRPr="00FD7E86" w:rsidRDefault="00B217DF" w:rsidP="00CF02AF">
      <w:r w:rsidRPr="00FD7E86">
        <w:t>Figure 3.4 shows that a</w:t>
      </w:r>
      <w:r w:rsidR="00CF02AF" w:rsidRPr="00FD7E86">
        <w:t xml:space="preserve"> television set remains the main way to watch video content, even online content, although free </w:t>
      </w:r>
      <w:r w:rsidR="009C1A93" w:rsidRPr="00FD7E86">
        <w:t xml:space="preserve">professional </w:t>
      </w:r>
      <w:r w:rsidR="00A41630" w:rsidRPr="00FD7E86">
        <w:t xml:space="preserve">online </w:t>
      </w:r>
      <w:r w:rsidR="00CF02AF" w:rsidRPr="00FD7E86">
        <w:t>video content (such as YouTube) is more likely to be watched on computers, tablets o</w:t>
      </w:r>
      <w:r w:rsidR="00D57B68" w:rsidRPr="00FD7E86">
        <w:t>r</w:t>
      </w:r>
      <w:r w:rsidR="00CF02AF" w:rsidRPr="00FD7E86">
        <w:t xml:space="preserve"> mobile devices.</w:t>
      </w:r>
    </w:p>
    <w:p w14:paraId="7EF31943" w14:textId="77777777" w:rsidR="00CF02AF" w:rsidRPr="00FD7E86" w:rsidRDefault="00BB0118" w:rsidP="00C05F4C">
      <w:pPr>
        <w:pStyle w:val="Captionfigure"/>
        <w:numPr>
          <w:ilvl w:val="0"/>
          <w:numId w:val="0"/>
        </w:numPr>
        <w:spacing w:after="160"/>
      </w:pPr>
      <w:r w:rsidRPr="00FD7E86">
        <w:lastRenderedPageBreak/>
        <w:t xml:space="preserve">Figure 3.4 </w:t>
      </w:r>
      <w:r w:rsidR="0034422B" w:rsidRPr="00FD7E86">
        <w:t>Use of devices</w:t>
      </w:r>
      <w:r w:rsidR="00CF02AF" w:rsidRPr="00FD7E86">
        <w:t xml:space="preserve"> for viewing different types of content (percentage)</w:t>
      </w:r>
    </w:p>
    <w:p w14:paraId="4F1D193F" w14:textId="77777777" w:rsidR="00CF02AF" w:rsidRPr="00FD7E86" w:rsidRDefault="00AE2375" w:rsidP="00C05F4C">
      <w:pPr>
        <w:spacing w:after="0"/>
      </w:pPr>
      <w:r>
        <w:rPr>
          <w:noProof/>
        </w:rPr>
        <w:drawing>
          <wp:inline distT="0" distB="0" distL="0" distR="0" wp14:anchorId="2097EE96" wp14:editId="7230E4A7">
            <wp:extent cx="5939790" cy="5203190"/>
            <wp:effectExtent l="0" t="0" r="3810" b="0"/>
            <wp:docPr id="28" name="Picture 28" descr="A .csv file of Figure 3.4 is available on the landing page ‘Communications report 2014–15’, available from the ACMA website. " title="Figure 3.4 Use of devices for viewing different types of content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Chapter 3_Figure 3.4.png"/>
                    <pic:cNvPicPr/>
                  </pic:nvPicPr>
                  <pic:blipFill>
                    <a:blip r:embed="rId94">
                      <a:extLst>
                        <a:ext uri="{28A0092B-C50C-407E-A947-70E740481C1C}">
                          <a14:useLocalDpi xmlns:a14="http://schemas.microsoft.com/office/drawing/2010/main" val="0"/>
                        </a:ext>
                      </a:extLst>
                    </a:blip>
                    <a:stretch>
                      <a:fillRect/>
                    </a:stretch>
                  </pic:blipFill>
                  <pic:spPr>
                    <a:xfrm>
                      <a:off x="0" y="0"/>
                      <a:ext cx="5939790" cy="5203190"/>
                    </a:xfrm>
                    <a:prstGeom prst="rect">
                      <a:avLst/>
                    </a:prstGeom>
                  </pic:spPr>
                </pic:pic>
              </a:graphicData>
            </a:graphic>
          </wp:inline>
        </w:drawing>
      </w:r>
    </w:p>
    <w:p w14:paraId="2A5E741C" w14:textId="77777777" w:rsidR="00CF02AF" w:rsidRPr="00FD7E86" w:rsidRDefault="00CF02AF" w:rsidP="00CF02AF">
      <w:pPr>
        <w:pStyle w:val="ACMANotes"/>
      </w:pPr>
      <w:r w:rsidRPr="00FD7E86">
        <w:t xml:space="preserve">Base: Australians aged 18 and over who watched: </w:t>
      </w:r>
      <w:r w:rsidR="00B04548" w:rsidRPr="00FD7E86">
        <w:t>f</w:t>
      </w:r>
      <w:r w:rsidRPr="00FD7E86">
        <w:t xml:space="preserve">ree-to-air live (n=1,160), Foxtel live (n=376), </w:t>
      </w:r>
      <w:r w:rsidR="00B04548" w:rsidRPr="00FD7E86">
        <w:t>r</w:t>
      </w:r>
      <w:r w:rsidRPr="00FD7E86">
        <w:t xml:space="preserve">ecorded Foxtel or free-to-air TV (n=428), </w:t>
      </w:r>
      <w:r w:rsidR="00B04548" w:rsidRPr="00FD7E86">
        <w:t>c</w:t>
      </w:r>
      <w:r w:rsidRPr="00FD7E86">
        <w:t xml:space="preserve">atch-up TV for free-to-air programs (n=225), </w:t>
      </w:r>
      <w:r w:rsidR="00B04548" w:rsidRPr="00FD7E86">
        <w:t>o</w:t>
      </w:r>
      <w:r w:rsidRPr="00FD7E86">
        <w:t xml:space="preserve">ther free online video content (n=292), </w:t>
      </w:r>
      <w:r w:rsidR="00B04548" w:rsidRPr="00FD7E86">
        <w:t>v</w:t>
      </w:r>
      <w:r w:rsidRPr="00FD7E86">
        <w:t xml:space="preserve">ideo content via an online subscription service (n=175). </w:t>
      </w:r>
    </w:p>
    <w:p w14:paraId="04991112" w14:textId="77777777" w:rsidR="00CF02AF" w:rsidRPr="00FD7E86" w:rsidRDefault="00CF02AF" w:rsidP="00CF02AF">
      <w:pPr>
        <w:pStyle w:val="ACMANotes"/>
      </w:pPr>
      <w:r w:rsidRPr="00FD7E86">
        <w:t xml:space="preserve">Note: Data includes multiple responses. </w:t>
      </w:r>
      <w:r w:rsidR="00EA51D3" w:rsidRPr="00FD7E86">
        <w:t>‘Other free online video content’ excludes user-generated content.</w:t>
      </w:r>
    </w:p>
    <w:p w14:paraId="7F308A2B" w14:textId="77777777" w:rsidR="00CF02AF" w:rsidRPr="00FD7E86" w:rsidRDefault="00CF02AF" w:rsidP="00E450B7">
      <w:pPr>
        <w:pStyle w:val="ACMANotes"/>
      </w:pPr>
      <w:r w:rsidRPr="00FD7E86">
        <w:t>Source: ACMA-commissioned survey, June 2015.</w:t>
      </w:r>
    </w:p>
    <w:p w14:paraId="0431A164" w14:textId="77777777" w:rsidR="00E450B7" w:rsidRPr="00FD7E86" w:rsidRDefault="00E450B7" w:rsidP="0052547F">
      <w:pPr>
        <w:pStyle w:val="ACMASpaceaftertable"/>
        <w:rPr>
          <w:i/>
          <w:sz w:val="16"/>
          <w:szCs w:val="16"/>
        </w:rPr>
      </w:pPr>
    </w:p>
    <w:p w14:paraId="7F091FEA" w14:textId="77777777" w:rsidR="00CF02AF" w:rsidRPr="00FD7E86" w:rsidRDefault="00CF02AF" w:rsidP="00B217DF">
      <w:pPr>
        <w:pStyle w:val="ACMAHeading2"/>
      </w:pPr>
      <w:bookmarkStart w:id="247" w:name="_Toc433790357"/>
      <w:r w:rsidRPr="00FD7E86">
        <w:t>Internet video</w:t>
      </w:r>
      <w:bookmarkEnd w:id="247"/>
    </w:p>
    <w:p w14:paraId="1C1A42C1" w14:textId="77777777" w:rsidR="00CF02AF" w:rsidRPr="00FD7E86" w:rsidRDefault="00CF02AF" w:rsidP="00CF02AF">
      <w:r w:rsidRPr="00FD7E86">
        <w:t xml:space="preserve">As noted by a number of commentators, video is increasing as a proportion of total internet traffic and, according to Telstra, accounts for an average 50 to 60 gigabits </w:t>
      </w:r>
      <w:r w:rsidR="00A6461F" w:rsidRPr="00FD7E86">
        <w:t xml:space="preserve">for each subscriber </w:t>
      </w:r>
      <w:r w:rsidRPr="00FD7E86">
        <w:t>per month in Australia.</w:t>
      </w:r>
      <w:r w:rsidRPr="00FD7E86">
        <w:rPr>
          <w:rStyle w:val="EndnoteReference"/>
        </w:rPr>
        <w:endnoteReference w:id="82"/>
      </w:r>
      <w:r w:rsidRPr="00FD7E86">
        <w:t xml:space="preserve"> This is reported to be growing at three gigabits per month.</w:t>
      </w:r>
      <w:r w:rsidRPr="00FD7E86">
        <w:rPr>
          <w:rStyle w:val="EndnoteReference"/>
        </w:rPr>
        <w:endnoteReference w:id="83"/>
      </w:r>
    </w:p>
    <w:p w14:paraId="367FAB93" w14:textId="77777777" w:rsidR="00CF02AF" w:rsidRPr="00FD7E86" w:rsidRDefault="00CF02AF" w:rsidP="00CF02AF">
      <w:r w:rsidRPr="00FD7E86">
        <w:t>The European Commission estimates</w:t>
      </w:r>
      <w:r w:rsidR="00486DFB" w:rsidRPr="00FD7E86">
        <w:t xml:space="preserve"> that by 2019</w:t>
      </w:r>
      <w:r w:rsidRPr="00FD7E86">
        <w:t xml:space="preserve">, based on Cisco Visual Networking Index figures, in the range of 80 to 90 per cent of global consumer traffic will </w:t>
      </w:r>
      <w:r w:rsidR="0026295A" w:rsidRPr="00FD7E86">
        <w:t xml:space="preserve">be </w:t>
      </w:r>
      <w:r w:rsidRPr="00FD7E86">
        <w:t>accounted for by internet video.</w:t>
      </w:r>
      <w:r w:rsidRPr="00FD7E86">
        <w:rPr>
          <w:rStyle w:val="EndnoteReference"/>
        </w:rPr>
        <w:endnoteReference w:id="84"/>
      </w:r>
    </w:p>
    <w:p w14:paraId="5AE5E87D" w14:textId="77777777" w:rsidR="00CF02AF" w:rsidRPr="00FD7E86" w:rsidRDefault="00CF02AF" w:rsidP="0022218E">
      <w:pPr>
        <w:pStyle w:val="ACMAHeading2"/>
      </w:pPr>
      <w:bookmarkStart w:id="248" w:name="_Toc433790358"/>
      <w:r w:rsidRPr="00FD7E86">
        <w:lastRenderedPageBreak/>
        <w:t>Subscription video on demand (SVOD)</w:t>
      </w:r>
      <w:bookmarkEnd w:id="248"/>
      <w:r w:rsidRPr="00FD7E86">
        <w:t xml:space="preserve"> </w:t>
      </w:r>
    </w:p>
    <w:p w14:paraId="4114E531" w14:textId="77777777" w:rsidR="00CF02AF" w:rsidRPr="00FD7E86" w:rsidRDefault="00CF02AF" w:rsidP="0022218E">
      <w:pPr>
        <w:keepNext/>
      </w:pPr>
      <w:r w:rsidRPr="00FD7E86">
        <w:t>The first quarter of 2015 Australia saw the launch of several new SVOD services.</w:t>
      </w:r>
    </w:p>
    <w:p w14:paraId="59A96436" w14:textId="77777777" w:rsidR="00CF02AF" w:rsidRPr="00FD7E86" w:rsidRDefault="006A5428" w:rsidP="0022218E">
      <w:pPr>
        <w:keepNext/>
      </w:pPr>
      <w:r w:rsidRPr="00FD7E86">
        <w:t>US streaming service Netflix launched in Australia in March 2015. Even before its local launch, Netflix already had an Australian following with reported estimates during 2014 of between 50,000 and 340,000 Australian subscriptions to the service.</w:t>
      </w:r>
      <w:r w:rsidRPr="00FD7E86">
        <w:rPr>
          <w:rStyle w:val="EndnoteReference"/>
        </w:rPr>
        <w:endnoteReference w:id="85"/>
      </w:r>
      <w:r w:rsidRPr="00FD7E86">
        <w:t xml:space="preserve"> </w:t>
      </w:r>
      <w:r w:rsidRPr="00FD7E86">
        <w:rPr>
          <w:rStyle w:val="EndnoteReference"/>
        </w:rPr>
        <w:endnoteReference w:id="86"/>
      </w:r>
      <w:r w:rsidRPr="00FD7E86">
        <w:t xml:space="preserve"> </w:t>
      </w:r>
      <w:r w:rsidRPr="00FD7E86">
        <w:rPr>
          <w:rStyle w:val="EndnoteReference"/>
        </w:rPr>
        <w:endnoteReference w:id="87"/>
      </w:r>
      <w:r w:rsidRPr="00FD7E86">
        <w:t xml:space="preserve"> </w:t>
      </w:r>
      <w:r w:rsidRPr="00FD7E86">
        <w:rPr>
          <w:rStyle w:val="EndnoteReference"/>
        </w:rPr>
        <w:endnoteReference w:id="88"/>
      </w:r>
    </w:p>
    <w:p w14:paraId="52765C89" w14:textId="77777777" w:rsidR="00CF02AF" w:rsidRPr="00FD7E86" w:rsidRDefault="00CF02AF" w:rsidP="00CF02AF">
      <w:r w:rsidRPr="00FD7E86">
        <w:t xml:space="preserve">Local service Presto Movies started in early 2014 as a movie-streaming service owned by Foxtel. In January 2015 it was relaunched in partnership with Seven West Media, owner of the Seven Network. The new Presto TV included </w:t>
      </w:r>
      <w:r w:rsidR="00C011BD" w:rsidRPr="00FD7E86">
        <w:t xml:space="preserve">television </w:t>
      </w:r>
      <w:r w:rsidRPr="00FD7E86">
        <w:t>shows but was kept separate from Presto Movies, with a discount for subscribing to both services.</w:t>
      </w:r>
    </w:p>
    <w:p w14:paraId="21C8C358" w14:textId="77777777" w:rsidR="00CF02AF" w:rsidRPr="00FD7E86" w:rsidRDefault="00CF02AF" w:rsidP="00CF02AF">
      <w:r w:rsidRPr="00FD7E86">
        <w:t xml:space="preserve">Foxtel offers a streaming service, Foxtel Play, </w:t>
      </w:r>
      <w:r w:rsidR="00B30AD1" w:rsidRPr="00FD7E86">
        <w:t xml:space="preserve">delivering </w:t>
      </w:r>
      <w:r w:rsidRPr="00FD7E86">
        <w:t>access to a variety of packages from $25.</w:t>
      </w:r>
    </w:p>
    <w:p w14:paraId="2DFADD10" w14:textId="77777777" w:rsidR="00CF02AF" w:rsidRPr="00FD7E86" w:rsidRDefault="00CF02AF" w:rsidP="00CF02AF">
      <w:r w:rsidRPr="00FD7E86">
        <w:t>Stan, a joint venture between Fairfax Media and the Nine Network,</w:t>
      </w:r>
      <w:r w:rsidR="00B30AD1" w:rsidRPr="00FD7E86">
        <w:t xml:space="preserve"> was </w:t>
      </w:r>
      <w:r w:rsidRPr="00FD7E86">
        <w:t>launched in January 2015</w:t>
      </w:r>
      <w:r w:rsidR="00B30AD1" w:rsidRPr="00FD7E86">
        <w:t xml:space="preserve"> and</w:t>
      </w:r>
      <w:r w:rsidRPr="00FD7E86">
        <w:t xml:space="preserve"> has a similar subscription model to Netflix.</w:t>
      </w:r>
    </w:p>
    <w:p w14:paraId="0BFF7D57" w14:textId="77777777" w:rsidR="00CF02AF" w:rsidRPr="00FD7E86" w:rsidRDefault="00CF02AF" w:rsidP="00CF02AF">
      <w:r w:rsidRPr="00FD7E86">
        <w:t>Originally similar to Netflix, Quickflix was founded in 2003 as a DVD letterbox delivery service, becoming an online streaming service in 2011. Quickflix’s largest shareholder is Nine Entertainment, owner of the Nine Network.</w:t>
      </w:r>
    </w:p>
    <w:p w14:paraId="637833DE" w14:textId="77777777" w:rsidR="00CF02AF" w:rsidRPr="00FD7E86" w:rsidRDefault="00CF02AF" w:rsidP="00CF02AF">
      <w:r w:rsidRPr="00FD7E86">
        <w:t>Australian telecommunications providers are also operating in the SVOD market in different ways.</w:t>
      </w:r>
    </w:p>
    <w:p w14:paraId="156AAD82" w14:textId="77777777" w:rsidR="00CF02AF" w:rsidRPr="00FD7E86" w:rsidRDefault="00CF02AF" w:rsidP="00CF02AF">
      <w:r w:rsidRPr="00FD7E86">
        <w:t>Telstra (half owner of Foxtel) recently announced a partnership with US streaming device maker Roku to provide a bundle of streaming services</w:t>
      </w:r>
      <w:r w:rsidR="00B30AD1" w:rsidRPr="00FD7E86">
        <w:t>,</w:t>
      </w:r>
      <w:r w:rsidRPr="00FD7E86">
        <w:t xml:space="preserve"> including Presto, BigPond movies and Netflix</w:t>
      </w:r>
      <w:r w:rsidR="00B30AD1" w:rsidRPr="00FD7E86">
        <w:t>,</w:t>
      </w:r>
      <w:r w:rsidRPr="00FD7E86">
        <w:t xml:space="preserve"> when the service launches </w:t>
      </w:r>
      <w:r w:rsidR="00A36FC4" w:rsidRPr="00FD7E86">
        <w:t>later in</w:t>
      </w:r>
      <w:r w:rsidRPr="00FD7E86">
        <w:t xml:space="preserve"> 2015. Telstra previously offered the T-Box, which provided unmetered access to BigPond Movies and Presto. T-Box is being replaced by the new Roku service.</w:t>
      </w:r>
    </w:p>
    <w:p w14:paraId="388F103F" w14:textId="77777777" w:rsidR="00CF02AF" w:rsidRPr="00FD7E86" w:rsidRDefault="00D132CD" w:rsidP="00D132CD">
      <w:pPr>
        <w:spacing w:after="100" w:afterAutospacing="1"/>
      </w:pPr>
      <w:r w:rsidRPr="00FD7E86">
        <w:t xml:space="preserve">As well as reselling Foxtel services to its customers, Optus partners with Fetch TV. Fetch TV is an IPTV service, using a set top box that provides access to multiple channels of entertainment. Fetch TV also provides native support for Netflix. </w:t>
      </w:r>
    </w:p>
    <w:p w14:paraId="636F0751" w14:textId="77777777" w:rsidR="00CF02AF" w:rsidRPr="00FD7E86" w:rsidRDefault="00CF02AF" w:rsidP="00CF02AF">
      <w:r w:rsidRPr="00FD7E86">
        <w:t>Since the launch of Netflix, Stan</w:t>
      </w:r>
      <w:r w:rsidR="00B30AD1" w:rsidRPr="00FD7E86">
        <w:t>,</w:t>
      </w:r>
      <w:r w:rsidRPr="00FD7E86">
        <w:t xml:space="preserve"> and the upgraded Presto service in early 2015, there have been mergers and the cessation of some services, such as EzyFlix in August 2015, that were unable to compete with the newer providers. </w:t>
      </w:r>
    </w:p>
    <w:p w14:paraId="3578A4BD" w14:textId="77777777" w:rsidR="00CF02AF" w:rsidRPr="00FD7E86" w:rsidRDefault="00CF02AF" w:rsidP="00CF02AF">
      <w:r w:rsidRPr="00FD7E86">
        <w:t>At July 2015, Roy Morgan Research estimated Netflix was in eight per cent of Australian homes, reaching 1.89 million people aged 14 and over.</w:t>
      </w:r>
      <w:r w:rsidRPr="00FD7E86">
        <w:rPr>
          <w:rStyle w:val="EndnoteReference"/>
        </w:rPr>
        <w:endnoteReference w:id="89"/>
      </w:r>
      <w:r w:rsidRPr="00FD7E86">
        <w:t xml:space="preserve"> Homes with traditional subscription television (Foxtel) were also subscribing to Netflix at a similar rate—7.3 per cent of Foxtel homes also had a Netflix subscription. </w:t>
      </w:r>
      <w:r w:rsidR="008A73CB" w:rsidRPr="00FD7E86">
        <w:t xml:space="preserve">This research shows the </w:t>
      </w:r>
      <w:r w:rsidRPr="00FD7E86">
        <w:t>growth of Netflix since its Australian launch has been rapid, from 419,000 homes in May 2015 to 737,000 in July 2015.</w:t>
      </w:r>
      <w:r w:rsidRPr="00FD7E86" w:rsidDel="00EF5C0D">
        <w:rPr>
          <w:rStyle w:val="EndnoteReference"/>
        </w:rPr>
        <w:t xml:space="preserve"> </w:t>
      </w:r>
    </w:p>
    <w:p w14:paraId="7054B93A" w14:textId="77777777" w:rsidR="00CF02AF" w:rsidRPr="00FD7E86" w:rsidRDefault="00CF02AF" w:rsidP="00CF02AF">
      <w:r w:rsidRPr="00FD7E86">
        <w:t>The launch of new SVOD services has been accompanied by a lowering in subscription video costs generally, with the most common monthly subscription for Netflix being $11.99, and a starting cost of $9.99. This is on a par with Stan’s cost but less than the other Australian subscription video services, such as Presto’s Entertainment (television plus films) plan.</w:t>
      </w:r>
    </w:p>
    <w:p w14:paraId="7D52ECB7" w14:textId="77777777" w:rsidR="00CF02AF" w:rsidRPr="00FD7E86" w:rsidRDefault="00CF02AF" w:rsidP="00CF02AF">
      <w:r w:rsidRPr="00FD7E86">
        <w:t>Foxtel’s basic subscription television package price was reduced to $25 (for the Entertainment Pack plus Foxtel set top box and app) in 2014 ahead of the launch of Netflix, Stan and Presto TV in early 2015.</w:t>
      </w:r>
    </w:p>
    <w:p w14:paraId="7150120D" w14:textId="77777777" w:rsidR="00CF02AF" w:rsidRPr="00FD7E86" w:rsidRDefault="00CF02AF" w:rsidP="00CF02AF">
      <w:r w:rsidRPr="00FD7E86">
        <w:t>Both in Australia and internationally, SVOD and related video services are a fast-moving market.</w:t>
      </w:r>
    </w:p>
    <w:p w14:paraId="27D17A61" w14:textId="77777777" w:rsidR="00CF02AF" w:rsidRPr="00FD7E86" w:rsidRDefault="00CF02AF" w:rsidP="00CF02AF">
      <w:r w:rsidRPr="00FD7E86">
        <w:t xml:space="preserve">Fifty-three per cent of adult Australians </w:t>
      </w:r>
      <w:r w:rsidR="00EB43FA" w:rsidRPr="00FD7E86">
        <w:t xml:space="preserve">(9.62 million) </w:t>
      </w:r>
      <w:r w:rsidRPr="00FD7E86">
        <w:t xml:space="preserve">watched some online television or </w:t>
      </w:r>
      <w:r w:rsidR="003D329B" w:rsidRPr="00FD7E86">
        <w:t>professionally</w:t>
      </w:r>
      <w:r w:rsidR="00EB3EE9" w:rsidRPr="00FD7E86">
        <w:t xml:space="preserve"> </w:t>
      </w:r>
      <w:r w:rsidR="003D329B" w:rsidRPr="00FD7E86">
        <w:t xml:space="preserve">produced </w:t>
      </w:r>
      <w:r w:rsidR="00AF6261" w:rsidRPr="00FD7E86">
        <w:t xml:space="preserve">online </w:t>
      </w:r>
      <w:r w:rsidRPr="00FD7E86">
        <w:t>video content in the six months to June 2015, with 34 per cent watching online content in the l</w:t>
      </w:r>
      <w:r w:rsidR="00B217DF" w:rsidRPr="00FD7E86">
        <w:t>ast seven days (Figure 3.5).</w:t>
      </w:r>
    </w:p>
    <w:p w14:paraId="2A50A63E" w14:textId="77777777" w:rsidR="00CF02AF" w:rsidRPr="00FD7E86" w:rsidRDefault="00BB0118" w:rsidP="00C05F4C">
      <w:pPr>
        <w:pStyle w:val="Captionfigure"/>
        <w:numPr>
          <w:ilvl w:val="0"/>
          <w:numId w:val="0"/>
        </w:numPr>
        <w:spacing w:after="160"/>
      </w:pPr>
      <w:r w:rsidRPr="00FD7E86">
        <w:lastRenderedPageBreak/>
        <w:t xml:space="preserve">Figure 3.5 </w:t>
      </w:r>
      <w:r w:rsidR="00CF02AF" w:rsidRPr="00FD7E86">
        <w:t>Online content watched in the last six months and last seven days (percentage)</w:t>
      </w:r>
    </w:p>
    <w:p w14:paraId="73066B8B" w14:textId="77777777" w:rsidR="00CF02AF" w:rsidRPr="00FD7E86" w:rsidRDefault="00E85A0A" w:rsidP="00C05F4C">
      <w:pPr>
        <w:spacing w:after="0"/>
      </w:pPr>
      <w:r>
        <w:rPr>
          <w:noProof/>
        </w:rPr>
        <w:drawing>
          <wp:inline distT="0" distB="0" distL="0" distR="0" wp14:anchorId="06A9901C" wp14:editId="47AADE7C">
            <wp:extent cx="5939790" cy="2157095"/>
            <wp:effectExtent l="0" t="0" r="3810" b="0"/>
            <wp:docPr id="88" name="Picture 88" descr="A .csv file of Figure 3.5 is available on the landing page ‘Communications report 2014–15’, available from the ACMA website. " title="Figure 3.5 Online content watched in the last six months and last seven day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Chapter 3_Figure 3.5.png"/>
                    <pic:cNvPicPr/>
                  </pic:nvPicPr>
                  <pic:blipFill>
                    <a:blip r:embed="rId95">
                      <a:extLst>
                        <a:ext uri="{28A0092B-C50C-407E-A947-70E740481C1C}">
                          <a14:useLocalDpi xmlns:a14="http://schemas.microsoft.com/office/drawing/2010/main" val="0"/>
                        </a:ext>
                      </a:extLst>
                    </a:blip>
                    <a:stretch>
                      <a:fillRect/>
                    </a:stretch>
                  </pic:blipFill>
                  <pic:spPr>
                    <a:xfrm>
                      <a:off x="0" y="0"/>
                      <a:ext cx="5939790" cy="2157095"/>
                    </a:xfrm>
                    <a:prstGeom prst="rect">
                      <a:avLst/>
                    </a:prstGeom>
                  </pic:spPr>
                </pic:pic>
              </a:graphicData>
            </a:graphic>
          </wp:inline>
        </w:drawing>
      </w:r>
    </w:p>
    <w:p w14:paraId="58589739" w14:textId="77777777" w:rsidR="00CF02AF" w:rsidRPr="00FD7E86" w:rsidRDefault="00CF02AF" w:rsidP="00CF02AF">
      <w:pPr>
        <w:pStyle w:val="ACMANotes"/>
      </w:pPr>
      <w:r w:rsidRPr="00FD7E86">
        <w:t>*Excludes user-generated content.</w:t>
      </w:r>
    </w:p>
    <w:p w14:paraId="59AE5CEB" w14:textId="77777777" w:rsidR="00CF02AF" w:rsidRPr="00FD7E86" w:rsidRDefault="00CF02AF" w:rsidP="00CF02AF">
      <w:pPr>
        <w:pStyle w:val="ACMANotes"/>
      </w:pPr>
      <w:r w:rsidRPr="00FD7E86">
        <w:t>Base: Australians aged 18 and over.</w:t>
      </w:r>
    </w:p>
    <w:p w14:paraId="112F7CD7" w14:textId="77777777" w:rsidR="00CF02AF" w:rsidRPr="00FD7E86" w:rsidRDefault="00CF02AF" w:rsidP="00E450B7">
      <w:pPr>
        <w:pStyle w:val="ACMANotes"/>
      </w:pPr>
      <w:r w:rsidRPr="00FD7E86">
        <w:t>Source: ACMA-commissioned survey, June 2015.</w:t>
      </w:r>
    </w:p>
    <w:p w14:paraId="65D4F2EF" w14:textId="77777777" w:rsidR="00E450B7" w:rsidRPr="00FD7E86" w:rsidRDefault="00E450B7" w:rsidP="0052547F">
      <w:pPr>
        <w:pStyle w:val="ACMASpaceaftertable"/>
        <w:rPr>
          <w:i/>
          <w:sz w:val="16"/>
          <w:szCs w:val="16"/>
        </w:rPr>
      </w:pPr>
    </w:p>
    <w:p w14:paraId="3578A8D2" w14:textId="77777777" w:rsidR="00CF02AF" w:rsidRPr="00FD7E86" w:rsidRDefault="00CF02AF" w:rsidP="00B217DF">
      <w:pPr>
        <w:pStyle w:val="ACMAHeading2"/>
      </w:pPr>
      <w:bookmarkStart w:id="249" w:name="_Toc433790359"/>
      <w:r w:rsidRPr="00FD7E86">
        <w:t>Viewing online video services</w:t>
      </w:r>
      <w:bookmarkEnd w:id="249"/>
      <w:r w:rsidRPr="00FD7E86">
        <w:t xml:space="preserve"> </w:t>
      </w:r>
    </w:p>
    <w:p w14:paraId="70F14CA3" w14:textId="77777777" w:rsidR="00CF02AF" w:rsidRPr="00FD7E86" w:rsidRDefault="00CF02AF" w:rsidP="00CF02AF">
      <w:r w:rsidRPr="00FD7E86">
        <w:t xml:space="preserve">YouTube dominates online sources of professional video content, followed by Netflix (Figure 3.6). </w:t>
      </w:r>
    </w:p>
    <w:p w14:paraId="74160CF0" w14:textId="77777777" w:rsidR="00CF02AF" w:rsidRPr="00FD7E86" w:rsidRDefault="00CF02AF" w:rsidP="00CF02AF">
      <w:r w:rsidRPr="00FD7E86">
        <w:t xml:space="preserve">In June 2015, </w:t>
      </w:r>
      <w:r w:rsidR="00CD1125" w:rsidRPr="00FD7E86">
        <w:t xml:space="preserve">11 </w:t>
      </w:r>
      <w:r w:rsidRPr="00FD7E86">
        <w:t>per cent of Australian adults had watched Netflix in the last seven days,</w:t>
      </w:r>
      <w:r w:rsidR="009D445F" w:rsidRPr="00FD7E86">
        <w:t xml:space="preserve"> </w:t>
      </w:r>
      <w:r w:rsidR="00997A94" w:rsidRPr="00FD7E86">
        <w:t xml:space="preserve">(or 25 per cent of adults who watched online video) </w:t>
      </w:r>
      <w:r w:rsidRPr="00FD7E86">
        <w:t xml:space="preserve">compared with </w:t>
      </w:r>
      <w:r w:rsidR="00967A49" w:rsidRPr="00FD7E86">
        <w:t xml:space="preserve">17 </w:t>
      </w:r>
      <w:r w:rsidRPr="00FD7E86">
        <w:t>per cent who said they had watched professional content on YouTube in the same period.</w:t>
      </w:r>
    </w:p>
    <w:p w14:paraId="0CFB399E" w14:textId="77777777" w:rsidR="00CF02AF" w:rsidRPr="00FD7E86" w:rsidRDefault="00CF02AF" w:rsidP="00CF02AF">
      <w:r w:rsidRPr="00FD7E86">
        <w:t>Less than 10 per cent of adults ha</w:t>
      </w:r>
      <w:r w:rsidR="0026295A" w:rsidRPr="00FD7E86">
        <w:t>d</w:t>
      </w:r>
      <w:r w:rsidRPr="00FD7E86">
        <w:t xml:space="preserve"> viewed</w:t>
      </w:r>
      <w:r w:rsidR="00997A94" w:rsidRPr="00FD7E86">
        <w:t xml:space="preserve"> each of</w:t>
      </w:r>
      <w:r w:rsidRPr="00FD7E86">
        <w:t xml:space="preserve"> the other local video streaming services, such as Fetch, Stan, Presto and Quickflix, in the last six months.</w:t>
      </w:r>
    </w:p>
    <w:p w14:paraId="1CDE2191" w14:textId="77777777" w:rsidR="00CF02AF" w:rsidRPr="00FD7E86" w:rsidRDefault="00BB0118" w:rsidP="00C05F4C">
      <w:pPr>
        <w:pStyle w:val="Captionfigure"/>
        <w:numPr>
          <w:ilvl w:val="0"/>
          <w:numId w:val="0"/>
        </w:numPr>
        <w:spacing w:after="160"/>
      </w:pPr>
      <w:r w:rsidRPr="00FD7E86">
        <w:lastRenderedPageBreak/>
        <w:t xml:space="preserve">Figure 3.6 </w:t>
      </w:r>
      <w:r w:rsidR="00CF02AF" w:rsidRPr="00FD7E86">
        <w:t>Online video services used in the last six months and last seven days (percentage)</w:t>
      </w:r>
    </w:p>
    <w:p w14:paraId="10BA6FE0" w14:textId="294D22FC" w:rsidR="00CF02AF" w:rsidRPr="00FD7E86" w:rsidRDefault="00510080" w:rsidP="00CF02AF">
      <w:pPr>
        <w:pStyle w:val="ACMANotes"/>
      </w:pPr>
      <w:r>
        <w:rPr>
          <w:noProof/>
        </w:rPr>
        <w:drawing>
          <wp:inline distT="0" distB="0" distL="0" distR="0" wp14:anchorId="0F43F990" wp14:editId="7212AC0A">
            <wp:extent cx="5939790" cy="5026025"/>
            <wp:effectExtent l="0" t="0" r="3810" b="3175"/>
            <wp:docPr id="128" name="Picture 128" descr="A .csv file of Figure 3.6 is available on the landing page ‘Communications report 2014–15’, available from the ACMA website. " title="Figure 3.6 Online video services used in the last six months and last seven day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Chapter 3_Figure 3.6.png"/>
                    <pic:cNvPicPr/>
                  </pic:nvPicPr>
                  <pic:blipFill>
                    <a:blip r:embed="rId96">
                      <a:extLst>
                        <a:ext uri="{28A0092B-C50C-407E-A947-70E740481C1C}">
                          <a14:useLocalDpi xmlns:a14="http://schemas.microsoft.com/office/drawing/2010/main" val="0"/>
                        </a:ext>
                      </a:extLst>
                    </a:blip>
                    <a:stretch>
                      <a:fillRect/>
                    </a:stretch>
                  </pic:blipFill>
                  <pic:spPr>
                    <a:xfrm>
                      <a:off x="0" y="0"/>
                      <a:ext cx="5939790" cy="5026025"/>
                    </a:xfrm>
                    <a:prstGeom prst="rect">
                      <a:avLst/>
                    </a:prstGeom>
                  </pic:spPr>
                </pic:pic>
              </a:graphicData>
            </a:graphic>
          </wp:inline>
        </w:drawing>
      </w:r>
    </w:p>
    <w:p w14:paraId="5B62A0B1" w14:textId="77777777" w:rsidR="00CF02AF" w:rsidRPr="00FD7E86" w:rsidRDefault="00CF02AF" w:rsidP="00CF02AF">
      <w:pPr>
        <w:pStyle w:val="ACMANotes"/>
      </w:pPr>
      <w:r w:rsidRPr="00FD7E86">
        <w:t>Base: Australians aged 18 and over who had watched online video in the last six months (n=626).</w:t>
      </w:r>
    </w:p>
    <w:p w14:paraId="71BB889B" w14:textId="77777777" w:rsidR="00CD3F63" w:rsidRPr="00FD7E86" w:rsidRDefault="00CD3F63" w:rsidP="00CD3F63">
      <w:pPr>
        <w:pStyle w:val="ACMANotes"/>
      </w:pPr>
      <w:r w:rsidRPr="00FD7E86">
        <w:t>Note: In June 2015, less than one per cent of those who watched online video had watched EzyFlix, which ceased to operate in August 2015.</w:t>
      </w:r>
    </w:p>
    <w:p w14:paraId="42748823" w14:textId="77777777" w:rsidR="00CF02AF" w:rsidRPr="00FD7E86" w:rsidRDefault="00CF02AF" w:rsidP="00E450B7">
      <w:pPr>
        <w:pStyle w:val="ACMANotes"/>
      </w:pPr>
      <w:r w:rsidRPr="00FD7E86">
        <w:t>Source: ACMA-commissioned survey, June 2015.</w:t>
      </w:r>
    </w:p>
    <w:p w14:paraId="0B977ADD" w14:textId="77777777" w:rsidR="00E450B7" w:rsidRPr="00FD7E86" w:rsidRDefault="00E450B7" w:rsidP="0052547F">
      <w:pPr>
        <w:pStyle w:val="ACMASpaceaftertable"/>
        <w:rPr>
          <w:i/>
          <w:sz w:val="16"/>
          <w:szCs w:val="16"/>
        </w:rPr>
      </w:pPr>
    </w:p>
    <w:p w14:paraId="4D512316" w14:textId="77777777" w:rsidR="00CF02AF" w:rsidRPr="00FD7E86" w:rsidRDefault="00CF02AF" w:rsidP="00BB0118">
      <w:pPr>
        <w:pStyle w:val="ACMAHeading2"/>
      </w:pPr>
      <w:bookmarkStart w:id="250" w:name="_Toc433790360"/>
      <w:r w:rsidRPr="00FD7E86">
        <w:t>Content choice and other benefits</w:t>
      </w:r>
      <w:bookmarkEnd w:id="250"/>
    </w:p>
    <w:p w14:paraId="3CBBE2AD" w14:textId="77777777" w:rsidR="00CF02AF" w:rsidRPr="00FD7E86" w:rsidRDefault="00CF02AF" w:rsidP="00CF02AF">
      <w:r w:rsidRPr="00FD7E86">
        <w:t xml:space="preserve">Viewers of online content say that convenience, choice and cost are the top three benefits of accessing </w:t>
      </w:r>
      <w:r w:rsidR="00BB0118" w:rsidRPr="00FD7E86">
        <w:t>video content online (Figure 3.7</w:t>
      </w:r>
      <w:r w:rsidR="00123B33" w:rsidRPr="00FD7E86">
        <w:t xml:space="preserve">). </w:t>
      </w:r>
    </w:p>
    <w:p w14:paraId="0EF3DEF7" w14:textId="77777777" w:rsidR="00CF02AF" w:rsidRPr="00FD7E86" w:rsidRDefault="00CF02AF" w:rsidP="00CF02AF">
      <w:r w:rsidRPr="00FD7E86">
        <w:t>Convenience (‘can watch whenever I want’) was the main perceived benefit, cited by 30 per cent of all adults and 42 per cent of those who have watched online content in the last six months.</w:t>
      </w:r>
    </w:p>
    <w:p w14:paraId="3CBD7496" w14:textId="77777777" w:rsidR="00CF02AF" w:rsidRPr="00FD7E86" w:rsidRDefault="00CF02AF" w:rsidP="00CF02AF">
      <w:r w:rsidRPr="00FD7E86">
        <w:t xml:space="preserve">A greater choice of content was the second most cited benefit of online video content, </w:t>
      </w:r>
      <w:r w:rsidR="00486DFB" w:rsidRPr="00FD7E86">
        <w:t>mentione</w:t>
      </w:r>
      <w:r w:rsidRPr="00FD7E86">
        <w:t xml:space="preserve">d by </w:t>
      </w:r>
      <w:r w:rsidR="003656C5" w:rsidRPr="00FD7E86">
        <w:t>21</w:t>
      </w:r>
      <w:r w:rsidR="003656C5">
        <w:t> </w:t>
      </w:r>
      <w:r w:rsidRPr="00FD7E86">
        <w:t>per cent of all adults and 30 per cent of online viewers. Netflix in Australia, for example, carries a relatively large library of on-demand content, with over 2,000 titles in September 2015.</w:t>
      </w:r>
      <w:r w:rsidRPr="00FD7E86">
        <w:rPr>
          <w:rStyle w:val="EndnoteReference"/>
        </w:rPr>
        <w:endnoteReference w:id="90"/>
      </w:r>
    </w:p>
    <w:p w14:paraId="4B2E6393" w14:textId="77777777" w:rsidR="00CF02AF" w:rsidRPr="00FD7E86" w:rsidRDefault="00CF02AF" w:rsidP="00CF02AF">
      <w:r w:rsidRPr="00FD7E86">
        <w:t>Cost, or the absence of a contract, was the third most cited benefit of SVOD services, identified by 14 per cent of all adults and 19 per cent of online viewers.</w:t>
      </w:r>
    </w:p>
    <w:p w14:paraId="4DAEEA60" w14:textId="77777777" w:rsidR="00CF02AF" w:rsidRPr="00FD7E86" w:rsidRDefault="00BB0118" w:rsidP="00C05F4C">
      <w:pPr>
        <w:pStyle w:val="Captionfigure"/>
        <w:numPr>
          <w:ilvl w:val="0"/>
          <w:numId w:val="0"/>
        </w:numPr>
        <w:spacing w:after="160"/>
      </w:pPr>
      <w:r w:rsidRPr="00FD7E86">
        <w:lastRenderedPageBreak/>
        <w:t xml:space="preserve">Figure 3.7 </w:t>
      </w:r>
      <w:r w:rsidR="00CF02AF" w:rsidRPr="00FD7E86">
        <w:t>Main benefits of accessing video content online (percentage)</w:t>
      </w:r>
      <w:r w:rsidR="00EB3EE9" w:rsidRPr="00FD7E86">
        <w:t xml:space="preserve"> </w:t>
      </w:r>
    </w:p>
    <w:p w14:paraId="4A6234E6" w14:textId="77777777" w:rsidR="00CF02AF" w:rsidRPr="00FD7E86" w:rsidRDefault="006E72AA" w:rsidP="00C05F4C">
      <w:pPr>
        <w:pStyle w:val="Captionfigure"/>
        <w:numPr>
          <w:ilvl w:val="0"/>
          <w:numId w:val="0"/>
        </w:numPr>
        <w:spacing w:after="0"/>
      </w:pPr>
      <w:r>
        <w:rPr>
          <w:noProof/>
        </w:rPr>
        <w:drawing>
          <wp:inline distT="0" distB="0" distL="0" distR="0" wp14:anchorId="211C8CEF" wp14:editId="3D37B7E9">
            <wp:extent cx="5939790" cy="5039360"/>
            <wp:effectExtent l="0" t="0" r="3810" b="0"/>
            <wp:docPr id="12" name="Picture 12" descr="A .csv file of Figure 3.7 is available on the landing page ‘Communications report 2014–15’, available from the ACMA website. " title="Figure 3.7 Main benefits of accessing video content online (percent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Chapter 3_Figure 3.7.png"/>
                    <pic:cNvPicPr/>
                  </pic:nvPicPr>
                  <pic:blipFill>
                    <a:blip r:embed="rId97">
                      <a:extLst>
                        <a:ext uri="{28A0092B-C50C-407E-A947-70E740481C1C}">
                          <a14:useLocalDpi xmlns:a14="http://schemas.microsoft.com/office/drawing/2010/main" val="0"/>
                        </a:ext>
                      </a:extLst>
                    </a:blip>
                    <a:stretch>
                      <a:fillRect/>
                    </a:stretch>
                  </pic:blipFill>
                  <pic:spPr>
                    <a:xfrm>
                      <a:off x="0" y="0"/>
                      <a:ext cx="5939790" cy="5039360"/>
                    </a:xfrm>
                    <a:prstGeom prst="rect">
                      <a:avLst/>
                    </a:prstGeom>
                  </pic:spPr>
                </pic:pic>
              </a:graphicData>
            </a:graphic>
          </wp:inline>
        </w:drawing>
      </w:r>
    </w:p>
    <w:p w14:paraId="34943518" w14:textId="77777777" w:rsidR="00CF02AF" w:rsidRPr="00FD7E86" w:rsidRDefault="00CF02AF" w:rsidP="00CF02AF">
      <w:pPr>
        <w:pStyle w:val="ACMANotes"/>
      </w:pPr>
      <w:r w:rsidRPr="00FD7E86">
        <w:t>Base: Australians aged 18 and over</w:t>
      </w:r>
      <w:r w:rsidR="008C1101">
        <w:t>, and those</w:t>
      </w:r>
      <w:r w:rsidR="00B04548" w:rsidRPr="00FD7E86">
        <w:t xml:space="preserve"> who w</w:t>
      </w:r>
      <w:r w:rsidRPr="00FD7E86">
        <w:t xml:space="preserve">atched online video in the last six months (n=626). </w:t>
      </w:r>
    </w:p>
    <w:p w14:paraId="34C5B5E2" w14:textId="77777777" w:rsidR="00CF02AF" w:rsidRPr="00FD7E86" w:rsidRDefault="00CF02AF" w:rsidP="00E450B7">
      <w:pPr>
        <w:pStyle w:val="ACMANotes"/>
      </w:pPr>
      <w:r w:rsidRPr="00FD7E86">
        <w:t>Source: ACMA-commissioned survey, June 2015.</w:t>
      </w:r>
    </w:p>
    <w:p w14:paraId="1FDF629D" w14:textId="77777777" w:rsidR="00E450B7" w:rsidRPr="00FD7E86" w:rsidRDefault="00E450B7" w:rsidP="0052547F">
      <w:pPr>
        <w:pStyle w:val="ACMASpaceaftertable"/>
        <w:rPr>
          <w:i/>
          <w:sz w:val="16"/>
          <w:szCs w:val="16"/>
        </w:rPr>
      </w:pPr>
    </w:p>
    <w:p w14:paraId="57D6EDC3" w14:textId="77777777" w:rsidR="00CF02AF" w:rsidRPr="00FD7E86" w:rsidRDefault="00CF02AF" w:rsidP="00BB0118">
      <w:pPr>
        <w:pStyle w:val="ACMAHeading2"/>
      </w:pPr>
      <w:bookmarkStart w:id="251" w:name="_Toc433790361"/>
      <w:r w:rsidRPr="00FD7E86">
        <w:t>Technical experience</w:t>
      </w:r>
      <w:bookmarkEnd w:id="251"/>
    </w:p>
    <w:p w14:paraId="6B6C2BAD" w14:textId="77777777" w:rsidR="00CF02AF" w:rsidRPr="00FD7E86" w:rsidRDefault="00CF02AF" w:rsidP="00CF02AF">
      <w:r w:rsidRPr="00FD7E86">
        <w:t>Ease of use, and satisfaction with technical quality, are important to consumers.</w:t>
      </w:r>
      <w:r w:rsidR="00B263E2" w:rsidRPr="00FD7E86">
        <w:rPr>
          <w:rStyle w:val="EndnoteReference"/>
        </w:rPr>
        <w:endnoteReference w:id="91"/>
      </w:r>
      <w:r w:rsidRPr="00FD7E86">
        <w:t xml:space="preserve"> Although half of the respondents (53 per cent) who had watched streaming video reported having had a problem in the last seven days, three-quarters (74 per cent) said they were satisfied or very satisfied</w:t>
      </w:r>
      <w:r w:rsidR="00DD750B" w:rsidRPr="00FD7E86">
        <w:t xml:space="preserve"> (Table 3.1)</w:t>
      </w:r>
      <w:r w:rsidRPr="00FD7E86">
        <w:t>.</w:t>
      </w:r>
    </w:p>
    <w:p w14:paraId="2FD483E2" w14:textId="77777777" w:rsidR="00CF02AF" w:rsidRPr="00FD7E86" w:rsidRDefault="00BB0118" w:rsidP="00A67C69">
      <w:pPr>
        <w:pStyle w:val="TableHeading"/>
        <w:keepNext/>
        <w:keepLines/>
        <w:spacing w:after="160"/>
      </w:pPr>
      <w:r w:rsidRPr="00FD7E86">
        <w:lastRenderedPageBreak/>
        <w:t xml:space="preserve">Table 3.1 </w:t>
      </w:r>
      <w:r w:rsidR="00CF02AF" w:rsidRPr="00FD7E86">
        <w:t xml:space="preserve">Satisfaction with technical quality of </w:t>
      </w:r>
      <w:r w:rsidR="00A41630" w:rsidRPr="00FD7E86">
        <w:t xml:space="preserve">streaming </w:t>
      </w:r>
      <w:r w:rsidR="00CF02AF" w:rsidRPr="00FD7E86">
        <w:t>video, including catch</w:t>
      </w:r>
      <w:r w:rsidR="00EB3EE9" w:rsidRPr="00FD7E86">
        <w:t>-</w:t>
      </w:r>
      <w:r w:rsidR="00CF02AF" w:rsidRPr="00FD7E86">
        <w:t>up TV services</w:t>
      </w:r>
      <w:r w:rsidR="00B04548" w:rsidRPr="00FD7E86">
        <w:t xml:space="preserve">, in the last </w:t>
      </w:r>
      <w:r w:rsidR="00155612" w:rsidRPr="00FD7E86">
        <w:t>six months</w:t>
      </w:r>
      <w:r w:rsidR="00FD26C6" w:rsidRPr="00FD7E86">
        <w:t xml:space="preserve"> (percentage)</w:t>
      </w:r>
    </w:p>
    <w:tbl>
      <w:tblPr>
        <w:tblStyle w:val="Commsreport2014-15TABLE"/>
        <w:tblW w:w="9429" w:type="dxa"/>
        <w:tblLook w:val="04A0" w:firstRow="1" w:lastRow="0" w:firstColumn="1" w:lastColumn="0" w:noHBand="0" w:noVBand="1"/>
        <w:tblCaption w:val="Table 3.1 Satisfaction with technical quality of streaming video, including catch-up TV services, in the last six months (percentage)"/>
      </w:tblPr>
      <w:tblGrid>
        <w:gridCol w:w="3226"/>
        <w:gridCol w:w="6203"/>
      </w:tblGrid>
      <w:tr w:rsidR="00CF02AF" w:rsidRPr="00FD7E86" w14:paraId="5283CD88" w14:textId="77777777" w:rsidTr="00A67C69">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989" w:type="dxa"/>
            <w:shd w:val="clear" w:color="auto" w:fill="auto"/>
          </w:tcPr>
          <w:p w14:paraId="06D44EA5" w14:textId="77777777" w:rsidR="00CF02AF" w:rsidRPr="00FD7E86" w:rsidRDefault="00CF02AF" w:rsidP="00A67C69">
            <w:pPr>
              <w:pStyle w:val="TableHeading"/>
              <w:keepNext/>
              <w:keepLines/>
              <w:rPr>
                <w:b/>
              </w:rPr>
            </w:pPr>
          </w:p>
        </w:tc>
        <w:tc>
          <w:tcPr>
            <w:tcW w:w="5748" w:type="dxa"/>
          </w:tcPr>
          <w:p w14:paraId="19D9C5BE" w14:textId="77777777" w:rsidR="00CF02AF" w:rsidRPr="00A67C69" w:rsidRDefault="00CF02AF" w:rsidP="00A67C69">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rPr>
            </w:pPr>
            <w:r w:rsidRPr="00A67C69">
              <w:rPr>
                <w:b/>
              </w:rPr>
              <w:t>Technical quality satisfaction</w:t>
            </w:r>
          </w:p>
        </w:tc>
      </w:tr>
      <w:tr w:rsidR="00CF02AF" w:rsidRPr="00FD7E86" w14:paraId="5116FA7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2570CD80" w14:textId="77777777" w:rsidR="00CF02AF" w:rsidRPr="00CD3347" w:rsidRDefault="00CF02AF" w:rsidP="00A67C69">
            <w:pPr>
              <w:keepNext/>
              <w:keepLines/>
              <w:spacing w:before="60" w:after="60"/>
              <w:rPr>
                <w:rFonts w:cs="Arial"/>
                <w:bCs/>
                <w:color w:val="auto"/>
                <w:szCs w:val="18"/>
              </w:rPr>
            </w:pPr>
            <w:r w:rsidRPr="00CD3347">
              <w:rPr>
                <w:color w:val="auto"/>
              </w:rPr>
              <w:t>Very satisfied</w:t>
            </w:r>
          </w:p>
        </w:tc>
        <w:tc>
          <w:tcPr>
            <w:tcW w:w="5748" w:type="dxa"/>
          </w:tcPr>
          <w:p w14:paraId="73885AF9" w14:textId="77777777" w:rsidR="00CF02AF" w:rsidRPr="00FD7E86"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t>32</w:t>
            </w:r>
          </w:p>
        </w:tc>
      </w:tr>
      <w:tr w:rsidR="00CF02AF" w:rsidRPr="00FD7E86" w14:paraId="780DFEB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79948D4F" w14:textId="77777777" w:rsidR="00CF02AF" w:rsidRPr="00CD3347" w:rsidRDefault="00CF02AF" w:rsidP="00A67C69">
            <w:pPr>
              <w:keepNext/>
              <w:keepLines/>
              <w:spacing w:before="60" w:after="60"/>
              <w:rPr>
                <w:rFonts w:cs="Arial"/>
                <w:bCs/>
                <w:color w:val="auto"/>
                <w:szCs w:val="18"/>
              </w:rPr>
            </w:pPr>
            <w:r w:rsidRPr="00CD3347">
              <w:rPr>
                <w:color w:val="auto"/>
              </w:rPr>
              <w:t>Satisfied</w:t>
            </w:r>
          </w:p>
        </w:tc>
        <w:tc>
          <w:tcPr>
            <w:tcW w:w="5748" w:type="dxa"/>
          </w:tcPr>
          <w:p w14:paraId="52FE1239" w14:textId="77777777" w:rsidR="00CF02AF" w:rsidRPr="00FD7E86"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t>42</w:t>
            </w:r>
          </w:p>
        </w:tc>
      </w:tr>
      <w:tr w:rsidR="00CF02AF" w:rsidRPr="00FD7E86" w14:paraId="069DAFE1"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4BF22699" w14:textId="77777777" w:rsidR="00CF02AF" w:rsidRPr="00CD3347" w:rsidRDefault="00CF02AF" w:rsidP="00A67C69">
            <w:pPr>
              <w:keepNext/>
              <w:keepLines/>
              <w:spacing w:before="60" w:after="60"/>
              <w:rPr>
                <w:rFonts w:cs="Arial"/>
                <w:bCs/>
                <w:color w:val="auto"/>
                <w:szCs w:val="18"/>
              </w:rPr>
            </w:pPr>
            <w:r w:rsidRPr="00CD3347">
              <w:rPr>
                <w:b/>
                <w:bCs/>
                <w:i/>
                <w:iCs/>
                <w:color w:val="auto"/>
              </w:rPr>
              <w:t>Total satisfied</w:t>
            </w:r>
          </w:p>
        </w:tc>
        <w:tc>
          <w:tcPr>
            <w:tcW w:w="5748" w:type="dxa"/>
            <w:shd w:val="clear" w:color="auto" w:fill="65CDD5" w:themeFill="accent2"/>
          </w:tcPr>
          <w:p w14:paraId="23BF8D55" w14:textId="77777777" w:rsidR="00CF02AF" w:rsidRPr="00FD7E86"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b/>
                <w:bCs/>
                <w:iCs/>
              </w:rPr>
              <w:t>74</w:t>
            </w:r>
          </w:p>
        </w:tc>
      </w:tr>
      <w:tr w:rsidR="00CF02AF" w:rsidRPr="00FD7E86" w14:paraId="1C80E40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6A70EE7A" w14:textId="77777777" w:rsidR="00CF02AF" w:rsidRPr="00CD3347" w:rsidRDefault="00CF02AF" w:rsidP="00A67C69">
            <w:pPr>
              <w:keepNext/>
              <w:keepLines/>
              <w:spacing w:before="60" w:after="60"/>
              <w:rPr>
                <w:rFonts w:cs="Arial"/>
                <w:bCs/>
                <w:color w:val="auto"/>
                <w:szCs w:val="18"/>
              </w:rPr>
            </w:pPr>
            <w:r w:rsidRPr="00CD3347">
              <w:rPr>
                <w:color w:val="auto"/>
              </w:rPr>
              <w:t>Neither satisfied nor dissatisfied</w:t>
            </w:r>
          </w:p>
        </w:tc>
        <w:tc>
          <w:tcPr>
            <w:tcW w:w="5748" w:type="dxa"/>
          </w:tcPr>
          <w:p w14:paraId="0979B0D0" w14:textId="77777777" w:rsidR="00CF02AF" w:rsidRPr="00FD7E86"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t>11</w:t>
            </w:r>
          </w:p>
        </w:tc>
      </w:tr>
      <w:tr w:rsidR="00CF02AF" w:rsidRPr="00FD7E86" w14:paraId="3F26CF9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17B86019" w14:textId="77777777" w:rsidR="00CF02AF" w:rsidRPr="00CD3347" w:rsidRDefault="00CF02AF" w:rsidP="0022218E">
            <w:pPr>
              <w:keepNext/>
              <w:keepLines/>
              <w:spacing w:before="60" w:after="60"/>
              <w:rPr>
                <w:rFonts w:cs="Arial"/>
                <w:bCs/>
                <w:color w:val="auto"/>
                <w:szCs w:val="18"/>
              </w:rPr>
            </w:pPr>
            <w:r w:rsidRPr="00CD3347">
              <w:rPr>
                <w:color w:val="auto"/>
              </w:rPr>
              <w:t>Dissatisfied</w:t>
            </w:r>
          </w:p>
        </w:tc>
        <w:tc>
          <w:tcPr>
            <w:tcW w:w="5748" w:type="dxa"/>
          </w:tcPr>
          <w:p w14:paraId="174B4F1D" w14:textId="77777777" w:rsidR="00CF02AF" w:rsidRPr="00FD7E86" w:rsidRDefault="00CF02AF" w:rsidP="0022218E">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t>9</w:t>
            </w:r>
          </w:p>
        </w:tc>
      </w:tr>
      <w:tr w:rsidR="00CF02AF" w:rsidRPr="00FD7E86" w14:paraId="43838B78"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4EF5EB2E" w14:textId="77777777" w:rsidR="00CF02AF" w:rsidRPr="00CD3347" w:rsidRDefault="00CF02AF" w:rsidP="0022218E">
            <w:pPr>
              <w:keepNext/>
              <w:keepLines/>
              <w:spacing w:before="60" w:after="60"/>
              <w:rPr>
                <w:rFonts w:cs="Arial"/>
                <w:bCs/>
                <w:color w:val="auto"/>
                <w:szCs w:val="18"/>
              </w:rPr>
            </w:pPr>
            <w:r w:rsidRPr="00CD3347">
              <w:rPr>
                <w:color w:val="auto"/>
              </w:rPr>
              <w:t>Very dissatisfied</w:t>
            </w:r>
          </w:p>
        </w:tc>
        <w:tc>
          <w:tcPr>
            <w:tcW w:w="5748" w:type="dxa"/>
          </w:tcPr>
          <w:p w14:paraId="4B4C2711" w14:textId="77777777" w:rsidR="00CF02AF" w:rsidRPr="00FD7E86" w:rsidRDefault="00CF02AF" w:rsidP="0022218E">
            <w:pPr>
              <w:keepNext/>
              <w:keepLines/>
              <w:spacing w:before="60" w:after="60"/>
              <w:cnfStyle w:val="000000000000" w:firstRow="0" w:lastRow="0" w:firstColumn="0" w:lastColumn="0" w:oddVBand="0" w:evenVBand="0" w:oddHBand="0" w:evenHBand="0" w:firstRowFirstColumn="0" w:firstRowLastColumn="0" w:lastRowFirstColumn="0" w:lastRowLastColumn="0"/>
            </w:pPr>
            <w:r w:rsidRPr="00FD7E86">
              <w:t>2</w:t>
            </w:r>
          </w:p>
        </w:tc>
      </w:tr>
      <w:tr w:rsidR="00CF02AF" w:rsidRPr="00FD7E86" w14:paraId="334701A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288A61B2" w14:textId="77777777" w:rsidR="00CF02AF" w:rsidRPr="00CD3347" w:rsidRDefault="00CF02AF" w:rsidP="0022218E">
            <w:pPr>
              <w:keepNext/>
              <w:keepLines/>
              <w:spacing w:before="60" w:after="60"/>
              <w:rPr>
                <w:rFonts w:cs="Arial"/>
                <w:bCs/>
                <w:color w:val="auto"/>
                <w:szCs w:val="18"/>
              </w:rPr>
            </w:pPr>
            <w:r w:rsidRPr="00CD3347">
              <w:rPr>
                <w:b/>
                <w:bCs/>
                <w:i/>
                <w:iCs/>
                <w:color w:val="auto"/>
              </w:rPr>
              <w:t>Total dissatisfied</w:t>
            </w:r>
          </w:p>
        </w:tc>
        <w:tc>
          <w:tcPr>
            <w:tcW w:w="5748" w:type="dxa"/>
            <w:shd w:val="clear" w:color="auto" w:fill="65CDD5" w:themeFill="accent2"/>
          </w:tcPr>
          <w:p w14:paraId="5FD2C11B" w14:textId="77777777" w:rsidR="00CF02AF" w:rsidRPr="00FD7E86" w:rsidRDefault="00CF02AF" w:rsidP="0022218E">
            <w:pPr>
              <w:keepNext/>
              <w:keepLines/>
              <w:spacing w:before="60" w:after="60"/>
              <w:cnfStyle w:val="000000000000" w:firstRow="0" w:lastRow="0" w:firstColumn="0" w:lastColumn="0" w:oddVBand="0" w:evenVBand="0" w:oddHBand="0" w:evenHBand="0" w:firstRowFirstColumn="0" w:firstRowLastColumn="0" w:lastRowFirstColumn="0" w:lastRowLastColumn="0"/>
            </w:pPr>
            <w:r w:rsidRPr="00FD7E86">
              <w:rPr>
                <w:b/>
                <w:bCs/>
                <w:iCs/>
              </w:rPr>
              <w:t>12</w:t>
            </w:r>
          </w:p>
        </w:tc>
      </w:tr>
      <w:tr w:rsidR="00CF02AF" w:rsidRPr="00FD7E86" w14:paraId="1C93E63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989" w:type="dxa"/>
          </w:tcPr>
          <w:p w14:paraId="46180DA8" w14:textId="77777777" w:rsidR="00CF02AF" w:rsidRPr="00CD3347" w:rsidRDefault="000E37CF" w:rsidP="0022218E">
            <w:pPr>
              <w:keepNext/>
              <w:keepLines/>
              <w:spacing w:before="60" w:after="60"/>
              <w:rPr>
                <w:rFonts w:cs="Arial"/>
                <w:bCs/>
                <w:color w:val="auto"/>
                <w:szCs w:val="18"/>
              </w:rPr>
            </w:pPr>
            <w:r>
              <w:rPr>
                <w:color w:val="auto"/>
              </w:rPr>
              <w:t>Don't know/</w:t>
            </w:r>
            <w:r w:rsidR="00CF02AF" w:rsidRPr="00CD3347">
              <w:rPr>
                <w:color w:val="auto"/>
              </w:rPr>
              <w:t>not applicable</w:t>
            </w:r>
          </w:p>
        </w:tc>
        <w:tc>
          <w:tcPr>
            <w:tcW w:w="5748" w:type="dxa"/>
          </w:tcPr>
          <w:p w14:paraId="23D0CEA2" w14:textId="77777777" w:rsidR="00CF02AF" w:rsidRPr="00FD7E86" w:rsidRDefault="00CF02AF" w:rsidP="0022218E">
            <w:pPr>
              <w:keepNext/>
              <w:keepLines/>
              <w:spacing w:before="60" w:after="60"/>
              <w:cnfStyle w:val="000000000000" w:firstRow="0" w:lastRow="0" w:firstColumn="0" w:lastColumn="0" w:oddVBand="0" w:evenVBand="0" w:oddHBand="0" w:evenHBand="0" w:firstRowFirstColumn="0" w:firstRowLastColumn="0" w:lastRowFirstColumn="0" w:lastRowLastColumn="0"/>
              <w:rPr>
                <w:b/>
                <w:bCs/>
                <w:i/>
                <w:iCs/>
              </w:rPr>
            </w:pPr>
            <w:r w:rsidRPr="00FD7E86">
              <w:t>4</w:t>
            </w:r>
          </w:p>
        </w:tc>
      </w:tr>
    </w:tbl>
    <w:p w14:paraId="70F3526C" w14:textId="77777777" w:rsidR="00CF02AF" w:rsidRPr="00FD7E86" w:rsidRDefault="00CF02AF" w:rsidP="0022218E">
      <w:pPr>
        <w:pStyle w:val="ACMANotes"/>
        <w:keepNext/>
        <w:keepLines/>
      </w:pPr>
      <w:r w:rsidRPr="00FD7E86">
        <w:t xml:space="preserve">Base: Australians aged 18 and over who watched streaming video in the last </w:t>
      </w:r>
      <w:r w:rsidR="00155612" w:rsidRPr="00FD7E86">
        <w:t xml:space="preserve">six months </w:t>
      </w:r>
      <w:r w:rsidRPr="00FD7E86">
        <w:rPr>
          <w:bCs/>
        </w:rPr>
        <w:t>(n=795)</w:t>
      </w:r>
      <w:r w:rsidRPr="00FD7E86">
        <w:t xml:space="preserve">. </w:t>
      </w:r>
    </w:p>
    <w:p w14:paraId="41ADEAE7" w14:textId="77777777" w:rsidR="00CF02AF" w:rsidRPr="00FD7E86" w:rsidRDefault="00CF02AF" w:rsidP="0022218E">
      <w:pPr>
        <w:pStyle w:val="ACMANotes"/>
        <w:keepNext/>
        <w:keepLines/>
      </w:pPr>
      <w:r w:rsidRPr="00FD7E86">
        <w:t xml:space="preserve">Note: </w:t>
      </w:r>
      <w:r w:rsidR="003B1E4E" w:rsidRPr="00FD7E86">
        <w:t xml:space="preserve">Numbers </w:t>
      </w:r>
      <w:r w:rsidRPr="00FD7E86">
        <w:t>may not add up to category totals due to rounding.</w:t>
      </w:r>
    </w:p>
    <w:p w14:paraId="48196886" w14:textId="77777777" w:rsidR="00CF02AF" w:rsidRPr="00FD7E86" w:rsidRDefault="00CF02AF" w:rsidP="0022218E">
      <w:pPr>
        <w:pStyle w:val="ACMANotes"/>
        <w:keepNext/>
        <w:keepLines/>
      </w:pPr>
      <w:r w:rsidRPr="00FD7E86">
        <w:t>Source: ACMA-commissioned survey, June 2015.</w:t>
      </w:r>
    </w:p>
    <w:p w14:paraId="11CBB6E6" w14:textId="77777777" w:rsidR="00E450B7" w:rsidRPr="00FD7E86" w:rsidRDefault="00E450B7" w:rsidP="0052547F">
      <w:pPr>
        <w:pStyle w:val="ACMASpaceaftertable"/>
        <w:rPr>
          <w:i/>
          <w:sz w:val="16"/>
          <w:szCs w:val="16"/>
        </w:rPr>
      </w:pPr>
    </w:p>
    <w:p w14:paraId="4F343D57" w14:textId="77777777" w:rsidR="00CF02AF" w:rsidRPr="00FD7E86" w:rsidRDefault="008F52E8" w:rsidP="00CF02AF">
      <w:r w:rsidRPr="00FD7E86">
        <w:t>Forty-five</w:t>
      </w:r>
      <w:r w:rsidR="00CF02AF" w:rsidRPr="00FD7E86">
        <w:t xml:space="preserve"> per cent of users of </w:t>
      </w:r>
      <w:r w:rsidR="00A41630" w:rsidRPr="00FD7E86">
        <w:t xml:space="preserve">streaming </w:t>
      </w:r>
      <w:r w:rsidR="00CF02AF" w:rsidRPr="00FD7E86">
        <w:t xml:space="preserve">video services had experienced </w:t>
      </w:r>
      <w:r w:rsidR="00E600B7" w:rsidRPr="00FD7E86">
        <w:t>no</w:t>
      </w:r>
      <w:r w:rsidR="00CF02AF" w:rsidRPr="00FD7E86">
        <w:t xml:space="preserve"> technical problems in the last seven days</w:t>
      </w:r>
      <w:r w:rsidR="004345FC" w:rsidRPr="00FD7E86">
        <w:t xml:space="preserve"> (Table 3.2)</w:t>
      </w:r>
      <w:r w:rsidR="00CF02AF" w:rsidRPr="00FD7E86">
        <w:t xml:space="preserve">. </w:t>
      </w:r>
    </w:p>
    <w:p w14:paraId="22221DC1" w14:textId="77777777" w:rsidR="00CF02AF" w:rsidRPr="00FD7E86" w:rsidRDefault="00CF02AF" w:rsidP="00C05F4C">
      <w:pPr>
        <w:pStyle w:val="Caption"/>
        <w:numPr>
          <w:ilvl w:val="0"/>
          <w:numId w:val="0"/>
        </w:numPr>
        <w:spacing w:after="160"/>
      </w:pPr>
      <w:r w:rsidRPr="00FD7E86">
        <w:t>Table 3.2 Number of technical problems experienced in last seven days</w:t>
      </w:r>
      <w:r w:rsidR="00FD26C6" w:rsidRPr="00FD7E86">
        <w:t xml:space="preserve"> (percentage)</w:t>
      </w:r>
    </w:p>
    <w:tbl>
      <w:tblPr>
        <w:tblStyle w:val="Commsreport2014-15TABLE"/>
        <w:tblW w:w="9429" w:type="dxa"/>
        <w:tblLook w:val="04A0" w:firstRow="1" w:lastRow="0" w:firstColumn="1" w:lastColumn="0" w:noHBand="0" w:noVBand="1"/>
        <w:tblCaption w:val="Table 3.2 Number of technical problems experienced in last seven days (percentage)"/>
      </w:tblPr>
      <w:tblGrid>
        <w:gridCol w:w="3231"/>
        <w:gridCol w:w="6198"/>
      </w:tblGrid>
      <w:tr w:rsidR="00CF02AF" w:rsidRPr="00A67C69" w14:paraId="2E62E8AB" w14:textId="77777777" w:rsidTr="00A67C69">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231" w:type="dxa"/>
            <w:shd w:val="clear" w:color="auto" w:fill="auto"/>
          </w:tcPr>
          <w:p w14:paraId="11DC4537" w14:textId="77777777" w:rsidR="00CF02AF" w:rsidRPr="00A67C69" w:rsidRDefault="00CF02AF" w:rsidP="00A67C69">
            <w:pPr>
              <w:pStyle w:val="TableHeading"/>
              <w:spacing w:before="20"/>
              <w:rPr>
                <w:b/>
              </w:rPr>
            </w:pPr>
          </w:p>
        </w:tc>
        <w:tc>
          <w:tcPr>
            <w:tcW w:w="6198" w:type="dxa"/>
          </w:tcPr>
          <w:p w14:paraId="4A580920" w14:textId="77777777" w:rsidR="00CF02AF" w:rsidRPr="00A67C69" w:rsidRDefault="009E26DA" w:rsidP="00A67C69">
            <w:pPr>
              <w:pStyle w:val="TableHeading"/>
              <w:spacing w:before="20"/>
              <w:cnfStyle w:val="100000000000" w:firstRow="1" w:lastRow="0" w:firstColumn="0" w:lastColumn="0" w:oddVBand="0" w:evenVBand="0" w:oddHBand="0" w:evenHBand="0" w:firstRowFirstColumn="0" w:firstRowLastColumn="0" w:lastRowFirstColumn="0" w:lastRowLastColumn="0"/>
              <w:rPr>
                <w:b/>
              </w:rPr>
            </w:pPr>
            <w:r w:rsidRPr="00A67C69">
              <w:rPr>
                <w:b/>
              </w:rPr>
              <w:t>T</w:t>
            </w:r>
            <w:r w:rsidR="00CF02AF" w:rsidRPr="00A67C69">
              <w:rPr>
                <w:b/>
              </w:rPr>
              <w:t>echnical problems experienced</w:t>
            </w:r>
          </w:p>
        </w:tc>
      </w:tr>
      <w:tr w:rsidR="00CF02AF" w:rsidRPr="00FD7E86" w14:paraId="0A364310"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tcPr>
          <w:p w14:paraId="2384AC02" w14:textId="77777777" w:rsidR="00CF02AF" w:rsidRPr="00CD3347" w:rsidRDefault="00CF02AF" w:rsidP="00CF02AF">
            <w:pPr>
              <w:spacing w:before="60" w:after="60"/>
              <w:rPr>
                <w:rFonts w:cs="Arial"/>
                <w:bCs/>
                <w:color w:val="auto"/>
                <w:szCs w:val="18"/>
              </w:rPr>
            </w:pPr>
            <w:r w:rsidRPr="00CD3347">
              <w:rPr>
                <w:rFonts w:cs="Arial"/>
                <w:bCs/>
                <w:color w:val="auto"/>
                <w:szCs w:val="18"/>
              </w:rPr>
              <w:t>None</w:t>
            </w:r>
          </w:p>
        </w:tc>
        <w:tc>
          <w:tcPr>
            <w:tcW w:w="6198" w:type="dxa"/>
          </w:tcPr>
          <w:p w14:paraId="33C791EF"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45</w:t>
            </w:r>
          </w:p>
        </w:tc>
      </w:tr>
      <w:tr w:rsidR="00CF02AF" w:rsidRPr="00FD7E86" w14:paraId="2BDD9A29"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tcPr>
          <w:p w14:paraId="5EB769FE" w14:textId="77777777" w:rsidR="00CF02AF" w:rsidRPr="00CD3347" w:rsidRDefault="00CF02AF" w:rsidP="00CF02AF">
            <w:pPr>
              <w:spacing w:before="60" w:after="60"/>
              <w:rPr>
                <w:rFonts w:cs="Arial"/>
                <w:bCs/>
                <w:color w:val="auto"/>
                <w:szCs w:val="18"/>
              </w:rPr>
            </w:pPr>
            <w:r w:rsidRPr="00CD3347">
              <w:rPr>
                <w:rFonts w:cs="Arial"/>
                <w:bCs/>
                <w:color w:val="auto"/>
                <w:szCs w:val="18"/>
              </w:rPr>
              <w:t xml:space="preserve">Once </w:t>
            </w:r>
          </w:p>
        </w:tc>
        <w:tc>
          <w:tcPr>
            <w:tcW w:w="6198" w:type="dxa"/>
          </w:tcPr>
          <w:p w14:paraId="3D6A236B"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15</w:t>
            </w:r>
          </w:p>
        </w:tc>
      </w:tr>
      <w:tr w:rsidR="00CF02AF" w:rsidRPr="00FD7E86" w14:paraId="1E634D73"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tcPr>
          <w:p w14:paraId="6F6FEC03" w14:textId="77777777" w:rsidR="00CF02AF" w:rsidRPr="00CD3347" w:rsidRDefault="00CF02AF" w:rsidP="00CF02AF">
            <w:pPr>
              <w:spacing w:before="60" w:after="60"/>
              <w:rPr>
                <w:rFonts w:cs="Arial"/>
                <w:bCs/>
                <w:color w:val="auto"/>
                <w:szCs w:val="18"/>
              </w:rPr>
            </w:pPr>
            <w:r w:rsidRPr="00CD3347">
              <w:rPr>
                <w:rFonts w:cs="Arial"/>
                <w:bCs/>
                <w:color w:val="auto"/>
                <w:szCs w:val="18"/>
              </w:rPr>
              <w:t>Twice</w:t>
            </w:r>
          </w:p>
        </w:tc>
        <w:tc>
          <w:tcPr>
            <w:tcW w:w="6198" w:type="dxa"/>
          </w:tcPr>
          <w:p w14:paraId="33BE161E"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15</w:t>
            </w:r>
          </w:p>
        </w:tc>
      </w:tr>
      <w:tr w:rsidR="00CF02AF" w:rsidRPr="00FD7E86" w14:paraId="4AB1BC26"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tcPr>
          <w:p w14:paraId="629EF25E" w14:textId="77777777" w:rsidR="00CF02AF" w:rsidRPr="00CD3347" w:rsidRDefault="00CF02AF" w:rsidP="00CF02AF">
            <w:pPr>
              <w:spacing w:before="60" w:after="60"/>
              <w:rPr>
                <w:rFonts w:cs="Arial"/>
                <w:bCs/>
                <w:color w:val="auto"/>
                <w:szCs w:val="18"/>
              </w:rPr>
            </w:pPr>
            <w:r w:rsidRPr="00CD3347">
              <w:rPr>
                <w:rFonts w:cs="Arial"/>
                <w:bCs/>
                <w:color w:val="auto"/>
                <w:szCs w:val="18"/>
              </w:rPr>
              <w:t>Three times or more</w:t>
            </w:r>
          </w:p>
        </w:tc>
        <w:tc>
          <w:tcPr>
            <w:tcW w:w="6198" w:type="dxa"/>
          </w:tcPr>
          <w:p w14:paraId="06C4E5D4"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22</w:t>
            </w:r>
          </w:p>
        </w:tc>
      </w:tr>
      <w:tr w:rsidR="00CF02AF" w:rsidRPr="00FD7E86" w14:paraId="6823FD8C"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shd w:val="clear" w:color="auto" w:fill="65CDD5" w:themeFill="accent2"/>
          </w:tcPr>
          <w:p w14:paraId="1F8BD83F" w14:textId="77777777" w:rsidR="00CF02AF" w:rsidRPr="00563AA1" w:rsidRDefault="00CF02AF" w:rsidP="00CF02AF">
            <w:pPr>
              <w:spacing w:before="60" w:after="60"/>
              <w:rPr>
                <w:rFonts w:cs="Arial"/>
                <w:b/>
                <w:bCs/>
                <w:i/>
                <w:color w:val="auto"/>
                <w:szCs w:val="18"/>
              </w:rPr>
            </w:pPr>
            <w:r w:rsidRPr="00563AA1">
              <w:rPr>
                <w:rFonts w:cs="Arial"/>
                <w:b/>
                <w:bCs/>
                <w:i/>
                <w:color w:val="auto"/>
                <w:szCs w:val="18"/>
              </w:rPr>
              <w:t>Total experienced problems</w:t>
            </w:r>
          </w:p>
        </w:tc>
        <w:tc>
          <w:tcPr>
            <w:tcW w:w="6198" w:type="dxa"/>
            <w:shd w:val="clear" w:color="auto" w:fill="65CDD5" w:themeFill="accent2"/>
          </w:tcPr>
          <w:p w14:paraId="52F3A594" w14:textId="77777777" w:rsidR="00CF02AF" w:rsidRPr="00563AA1"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
                <w:bCs/>
                <w:i/>
                <w:szCs w:val="18"/>
              </w:rPr>
            </w:pPr>
            <w:r w:rsidRPr="00563AA1">
              <w:rPr>
                <w:rFonts w:cs="Arial"/>
                <w:b/>
                <w:bCs/>
                <w:i/>
                <w:szCs w:val="18"/>
              </w:rPr>
              <w:t>53</w:t>
            </w:r>
          </w:p>
        </w:tc>
      </w:tr>
      <w:tr w:rsidR="00CF02AF" w:rsidRPr="00FD7E86" w14:paraId="7E87DC02" w14:textId="77777777" w:rsidTr="007B185A">
        <w:trPr>
          <w:trHeight w:val="454"/>
        </w:trPr>
        <w:tc>
          <w:tcPr>
            <w:cnfStyle w:val="001000000000" w:firstRow="0" w:lastRow="0" w:firstColumn="1" w:lastColumn="0" w:oddVBand="0" w:evenVBand="0" w:oddHBand="0" w:evenHBand="0" w:firstRowFirstColumn="0" w:firstRowLastColumn="0" w:lastRowFirstColumn="0" w:lastRowLastColumn="0"/>
            <w:tcW w:w="3231" w:type="dxa"/>
          </w:tcPr>
          <w:p w14:paraId="47C2DB72" w14:textId="77777777" w:rsidR="00CF02AF" w:rsidRPr="00CD3347" w:rsidRDefault="00CF02AF" w:rsidP="00CF02AF">
            <w:pPr>
              <w:spacing w:before="60" w:after="60"/>
              <w:rPr>
                <w:rFonts w:cs="Arial"/>
                <w:bCs/>
                <w:color w:val="auto"/>
                <w:szCs w:val="18"/>
              </w:rPr>
            </w:pPr>
            <w:r w:rsidRPr="00CD3347">
              <w:rPr>
                <w:rFonts w:cs="Arial"/>
                <w:bCs/>
                <w:color w:val="auto"/>
                <w:szCs w:val="18"/>
              </w:rPr>
              <w:t>Don't know</w:t>
            </w:r>
          </w:p>
        </w:tc>
        <w:tc>
          <w:tcPr>
            <w:tcW w:w="6198" w:type="dxa"/>
          </w:tcPr>
          <w:p w14:paraId="19697A5C"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 xml:space="preserve">2 </w:t>
            </w:r>
          </w:p>
        </w:tc>
      </w:tr>
    </w:tbl>
    <w:p w14:paraId="3D102898" w14:textId="77777777" w:rsidR="00CF02AF" w:rsidRPr="00FD7E86" w:rsidRDefault="00CF02AF" w:rsidP="008C1101">
      <w:pPr>
        <w:pStyle w:val="ACMANotes"/>
      </w:pPr>
      <w:r w:rsidRPr="00FD7E86">
        <w:t>Base:</w:t>
      </w:r>
      <w:r w:rsidRPr="008C1101">
        <w:t xml:space="preserve"> </w:t>
      </w:r>
      <w:r w:rsidRPr="00FD7E86">
        <w:t>Australians</w:t>
      </w:r>
      <w:r w:rsidRPr="008C1101">
        <w:t xml:space="preserve"> </w:t>
      </w:r>
      <w:r w:rsidRPr="00FD7E86">
        <w:t>aged</w:t>
      </w:r>
      <w:r w:rsidRPr="008C1101">
        <w:t xml:space="preserve"> </w:t>
      </w:r>
      <w:r w:rsidRPr="00FD7E86">
        <w:t>18</w:t>
      </w:r>
      <w:r w:rsidRPr="008C1101">
        <w:t xml:space="preserve"> </w:t>
      </w:r>
      <w:r w:rsidRPr="00FD7E86">
        <w:t>and</w:t>
      </w:r>
      <w:r w:rsidRPr="008C1101">
        <w:t xml:space="preserve"> </w:t>
      </w:r>
      <w:r w:rsidRPr="00FD7E86">
        <w:t>over</w:t>
      </w:r>
      <w:r w:rsidRPr="008C1101">
        <w:t xml:space="preserve"> </w:t>
      </w:r>
      <w:r w:rsidRPr="00FD7E86">
        <w:t>who</w:t>
      </w:r>
      <w:r w:rsidRPr="008C1101">
        <w:t xml:space="preserve"> </w:t>
      </w:r>
      <w:r w:rsidR="00155612" w:rsidRPr="00FD7E86">
        <w:t>watched</w:t>
      </w:r>
      <w:r w:rsidR="00155612" w:rsidRPr="008C1101">
        <w:t xml:space="preserve"> </w:t>
      </w:r>
      <w:r w:rsidR="00155612" w:rsidRPr="00FD7E86">
        <w:t>streaming</w:t>
      </w:r>
      <w:r w:rsidR="00155612" w:rsidRPr="008C1101">
        <w:t xml:space="preserve"> </w:t>
      </w:r>
      <w:r w:rsidR="00155612" w:rsidRPr="00FD7E86">
        <w:t>video</w:t>
      </w:r>
      <w:r w:rsidR="008C1101" w:rsidRPr="008C1101">
        <w:t xml:space="preserve"> </w:t>
      </w:r>
      <w:r w:rsidRPr="00FD7E86">
        <w:t>in</w:t>
      </w:r>
      <w:r w:rsidRPr="008C1101">
        <w:t xml:space="preserve"> </w:t>
      </w:r>
      <w:r w:rsidRPr="00FD7E86">
        <w:t>the</w:t>
      </w:r>
      <w:r w:rsidRPr="008C1101">
        <w:t xml:space="preserve"> </w:t>
      </w:r>
      <w:r w:rsidRPr="00FD7E86">
        <w:t>last</w:t>
      </w:r>
      <w:r w:rsidRPr="008C1101">
        <w:t xml:space="preserve"> </w:t>
      </w:r>
      <w:r w:rsidRPr="00FD7E86">
        <w:t>seven</w:t>
      </w:r>
      <w:r w:rsidRPr="008C1101">
        <w:t xml:space="preserve"> </w:t>
      </w:r>
      <w:r w:rsidRPr="00FD7E86">
        <w:t>days</w:t>
      </w:r>
      <w:r w:rsidRPr="008C1101">
        <w:t xml:space="preserve"> </w:t>
      </w:r>
      <w:r w:rsidRPr="00FD7E86">
        <w:t xml:space="preserve">(n=510). </w:t>
      </w:r>
    </w:p>
    <w:p w14:paraId="2FF23067" w14:textId="77777777" w:rsidR="00CF02AF" w:rsidRPr="00FD7E86" w:rsidRDefault="00CF02AF" w:rsidP="00CF02AF">
      <w:pPr>
        <w:pStyle w:val="ACMANotes"/>
      </w:pPr>
      <w:r w:rsidRPr="00FD7E86">
        <w:t xml:space="preserve">Note: </w:t>
      </w:r>
      <w:r w:rsidR="003B1E4E" w:rsidRPr="00FD7E86">
        <w:t xml:space="preserve">Numbers </w:t>
      </w:r>
      <w:r w:rsidRPr="00FD7E86">
        <w:t>may not add up to category totals due to rounding.</w:t>
      </w:r>
    </w:p>
    <w:p w14:paraId="7937A972" w14:textId="77777777" w:rsidR="00CF02AF" w:rsidRPr="00FD7E86" w:rsidRDefault="00CF02AF" w:rsidP="00E450B7">
      <w:pPr>
        <w:pStyle w:val="ACMANotes"/>
      </w:pPr>
      <w:r w:rsidRPr="00FD7E86">
        <w:t>Source: ACMA-commissioned survey, June 2015.</w:t>
      </w:r>
    </w:p>
    <w:p w14:paraId="676C65EF" w14:textId="77777777" w:rsidR="00E450B7" w:rsidRPr="00FD7E86" w:rsidRDefault="00E450B7" w:rsidP="0052547F">
      <w:pPr>
        <w:pStyle w:val="ACMASpaceaftertable"/>
        <w:rPr>
          <w:i/>
          <w:sz w:val="16"/>
          <w:szCs w:val="16"/>
        </w:rPr>
      </w:pPr>
    </w:p>
    <w:p w14:paraId="448F74D7" w14:textId="77777777" w:rsidR="00CF02AF" w:rsidRPr="00FD7E86" w:rsidRDefault="00CF02AF" w:rsidP="00CF02AF">
      <w:r w:rsidRPr="00FD7E86">
        <w:t xml:space="preserve">In another study, research by Accenture found that quality issues were the leading cause of complaints while watching long-form video content over the internet on any device. One-third of internet users worldwide said so about the initial time required for buffering, or waiting to play the video, and a similar percentage voiced </w:t>
      </w:r>
      <w:r w:rsidR="00474C20" w:rsidRPr="00FD7E86">
        <w:t>concerns about</w:t>
      </w:r>
      <w:r w:rsidRPr="00FD7E86">
        <w:t xml:space="preserve"> video or sound stops as well as distortion during play.</w:t>
      </w:r>
      <w:r w:rsidRPr="00FD7E86">
        <w:rPr>
          <w:rStyle w:val="EndnoteReference"/>
        </w:rPr>
        <w:endnoteReference w:id="92"/>
      </w:r>
      <w:r w:rsidRPr="00FD7E86">
        <w:t xml:space="preserve"> </w:t>
      </w:r>
    </w:p>
    <w:p w14:paraId="4E822EFA" w14:textId="77777777" w:rsidR="00CF02AF" w:rsidRPr="00FD7E86" w:rsidRDefault="00CF02AF" w:rsidP="00DF08C9">
      <w:pPr>
        <w:pStyle w:val="ACMAHeading2"/>
      </w:pPr>
      <w:bookmarkStart w:id="252" w:name="_Toc433790362"/>
      <w:r w:rsidRPr="00FD7E86">
        <w:lastRenderedPageBreak/>
        <w:t>Who is watching online?</w:t>
      </w:r>
      <w:bookmarkEnd w:id="252"/>
    </w:p>
    <w:p w14:paraId="7351029C" w14:textId="77777777" w:rsidR="00CF02AF" w:rsidRPr="00FD7E86" w:rsidRDefault="00CF02AF" w:rsidP="00CF02AF">
      <w:r w:rsidRPr="00FD7E86">
        <w:t xml:space="preserve">Younger people (aged 18 to 24) </w:t>
      </w:r>
      <w:r w:rsidR="008E2C1D" w:rsidRPr="00FD7E86">
        <w:t xml:space="preserve">spent </w:t>
      </w:r>
      <w:r w:rsidRPr="00FD7E86">
        <w:t xml:space="preserve">the largest proportion </w:t>
      </w:r>
      <w:r w:rsidR="00B263E2" w:rsidRPr="00FD7E86">
        <w:t xml:space="preserve">(56 per cent) </w:t>
      </w:r>
      <w:r w:rsidRPr="00FD7E86">
        <w:t xml:space="preserve">of </w:t>
      </w:r>
      <w:r w:rsidR="008E2C1D" w:rsidRPr="00FD7E86">
        <w:t xml:space="preserve">their viewing time watching </w:t>
      </w:r>
      <w:r w:rsidR="00EA64E7" w:rsidRPr="00FD7E86">
        <w:t xml:space="preserve">professional </w:t>
      </w:r>
      <w:r w:rsidRPr="00FD7E86">
        <w:t>online content</w:t>
      </w:r>
      <w:r w:rsidR="004345FC" w:rsidRPr="00FD7E86">
        <w:t xml:space="preserve"> (Figure 3.8)</w:t>
      </w:r>
      <w:r w:rsidRPr="00FD7E86">
        <w:t>. However, the total hours this age group watches television and online video combined is among the lowest</w:t>
      </w:r>
      <w:r w:rsidR="00474C20" w:rsidRPr="00FD7E86">
        <w:t>—</w:t>
      </w:r>
      <w:r w:rsidRPr="00FD7E86">
        <w:t>a reported 12 hours during the week prior to the survey.</w:t>
      </w:r>
    </w:p>
    <w:p w14:paraId="05DE1A0E" w14:textId="77777777" w:rsidR="00CF02AF" w:rsidRPr="00FD7E86" w:rsidRDefault="00CF02AF" w:rsidP="00C05F4C">
      <w:pPr>
        <w:pStyle w:val="Captionfigure"/>
        <w:numPr>
          <w:ilvl w:val="0"/>
          <w:numId w:val="0"/>
        </w:numPr>
        <w:spacing w:after="160"/>
      </w:pPr>
      <w:r w:rsidRPr="00FD7E86">
        <w:t xml:space="preserve">Figure 3.8 Time spent watching television </w:t>
      </w:r>
      <w:r w:rsidR="00A41630" w:rsidRPr="00FD7E86">
        <w:t xml:space="preserve">(live or recorded) </w:t>
      </w:r>
      <w:r w:rsidRPr="00FD7E86">
        <w:t xml:space="preserve">and </w:t>
      </w:r>
      <w:r w:rsidR="00A41630" w:rsidRPr="00FD7E86">
        <w:t xml:space="preserve">online </w:t>
      </w:r>
      <w:r w:rsidRPr="00FD7E86">
        <w:t>video content</w:t>
      </w:r>
      <w:r w:rsidR="00236D2A">
        <w:t xml:space="preserve"> </w:t>
      </w:r>
      <w:r w:rsidR="00236D2A" w:rsidRPr="00FD7E86">
        <w:t>in the last seven days</w:t>
      </w:r>
    </w:p>
    <w:p w14:paraId="349A3678" w14:textId="2BB4DA65" w:rsidR="00CF02AF" w:rsidRPr="00FD7E86" w:rsidRDefault="00070923" w:rsidP="00C05F4C">
      <w:pPr>
        <w:pStyle w:val="Captionfigure"/>
        <w:numPr>
          <w:ilvl w:val="0"/>
          <w:numId w:val="0"/>
        </w:numPr>
        <w:spacing w:after="0"/>
        <w:ind w:left="964" w:hanging="964"/>
      </w:pPr>
      <w:r>
        <w:rPr>
          <w:noProof/>
        </w:rPr>
        <w:drawing>
          <wp:inline distT="0" distB="0" distL="0" distR="0" wp14:anchorId="542B25D6" wp14:editId="4D2739C8">
            <wp:extent cx="5939790" cy="4251960"/>
            <wp:effectExtent l="0" t="0" r="3810" b="0"/>
            <wp:docPr id="130" name="Picture 130" descr="A .csv file of Figure 3.8 is available on the landing page ‘Communications report 2014–15’, available from the ACMA website. " title="Figure 3.8 Time spent watching television (live or recorded) and online video content in the last seven da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Chapter 3_Figure 3.8.png"/>
                    <pic:cNvPicPr/>
                  </pic:nvPicPr>
                  <pic:blipFill>
                    <a:blip r:embed="rId98">
                      <a:extLst>
                        <a:ext uri="{28A0092B-C50C-407E-A947-70E740481C1C}">
                          <a14:useLocalDpi xmlns:a14="http://schemas.microsoft.com/office/drawing/2010/main" val="0"/>
                        </a:ext>
                      </a:extLst>
                    </a:blip>
                    <a:stretch>
                      <a:fillRect/>
                    </a:stretch>
                  </pic:blipFill>
                  <pic:spPr>
                    <a:xfrm>
                      <a:off x="0" y="0"/>
                      <a:ext cx="5939790" cy="4251960"/>
                    </a:xfrm>
                    <a:prstGeom prst="rect">
                      <a:avLst/>
                    </a:prstGeom>
                  </pic:spPr>
                </pic:pic>
              </a:graphicData>
            </a:graphic>
          </wp:inline>
        </w:drawing>
      </w:r>
    </w:p>
    <w:p w14:paraId="1B2879F4" w14:textId="77777777" w:rsidR="00CF02AF" w:rsidRPr="00FD7E86" w:rsidRDefault="00CF02AF" w:rsidP="00CF02AF">
      <w:pPr>
        <w:pStyle w:val="ACMANotes"/>
      </w:pPr>
      <w:r w:rsidRPr="00FD7E86">
        <w:t>Base: Australians aged 18 and over</w:t>
      </w:r>
      <w:r w:rsidR="00055FD3" w:rsidRPr="00FD7E86">
        <w:t xml:space="preserve">. </w:t>
      </w:r>
      <w:r w:rsidRPr="00FD7E86">
        <w:t>Ages: 18–24 (n=176), 25–34 (n=214), 35–44 (n=221), 45–54 (n=242), 55–64 (n=283), 65 and over (n=369).</w:t>
      </w:r>
    </w:p>
    <w:p w14:paraId="7ADB4FBE" w14:textId="77777777" w:rsidR="00F63F0A" w:rsidRPr="00FD7E86" w:rsidRDefault="00CF02AF" w:rsidP="00F63F0A">
      <w:pPr>
        <w:pStyle w:val="ACMANotes"/>
      </w:pPr>
      <w:r w:rsidRPr="00FD7E86">
        <w:t xml:space="preserve">Note: </w:t>
      </w:r>
      <w:r w:rsidR="003B1E4E" w:rsidRPr="00FD7E86">
        <w:t xml:space="preserve">Numbers </w:t>
      </w:r>
      <w:r w:rsidRPr="00FD7E86">
        <w:t>may not add up to category totals due to rounding.</w:t>
      </w:r>
      <w:r w:rsidR="00F63F0A" w:rsidRPr="00FD7E86">
        <w:t xml:space="preserve"> Online (catch-up TV, subscription and free video content) excludes user-generated content.</w:t>
      </w:r>
    </w:p>
    <w:p w14:paraId="4A8F1E83" w14:textId="77777777" w:rsidR="00CF02AF" w:rsidRPr="00FD7E86" w:rsidRDefault="00CF02AF" w:rsidP="00E450B7">
      <w:pPr>
        <w:pStyle w:val="ACMANotes"/>
      </w:pPr>
      <w:r w:rsidRPr="00FD7E86">
        <w:t>Source: ACMA-commissioned survey, June 2015.</w:t>
      </w:r>
    </w:p>
    <w:p w14:paraId="6F927668" w14:textId="77777777" w:rsidR="00E450B7" w:rsidRPr="00FD7E86" w:rsidRDefault="00E450B7" w:rsidP="0052547F">
      <w:pPr>
        <w:pStyle w:val="ACMASpaceaftertable"/>
        <w:rPr>
          <w:i/>
          <w:sz w:val="16"/>
          <w:szCs w:val="16"/>
        </w:rPr>
      </w:pPr>
    </w:p>
    <w:p w14:paraId="60D5666B" w14:textId="77777777" w:rsidR="00CF02AF" w:rsidRPr="00FD7E86" w:rsidRDefault="00CF02AF" w:rsidP="00CF02AF">
      <w:r w:rsidRPr="00FD7E86">
        <w:t>In the US, Nielsen data shows that on-demand subscription services such as Netflix, Hulu Plus and Amazon Prime have cut into traditional television ratings.</w:t>
      </w:r>
      <w:r w:rsidRPr="00FD7E86">
        <w:rPr>
          <w:rStyle w:val="EndnoteReference"/>
        </w:rPr>
        <w:endnoteReference w:id="93"/>
      </w:r>
    </w:p>
    <w:p w14:paraId="75C713C6" w14:textId="77777777" w:rsidR="00CF02AF" w:rsidRPr="00FD7E86" w:rsidRDefault="00CF02AF" w:rsidP="004345FC">
      <w:pPr>
        <w:pStyle w:val="ACMAHeading2"/>
      </w:pPr>
      <w:bookmarkStart w:id="253" w:name="_Toc433790363"/>
      <w:r w:rsidRPr="00FD7E86">
        <w:t>Streaming video through a specialised device</w:t>
      </w:r>
      <w:bookmarkEnd w:id="253"/>
    </w:p>
    <w:p w14:paraId="714E8B43" w14:textId="77777777" w:rsidR="00CF02AF" w:rsidRPr="00FD7E86" w:rsidRDefault="00CF02AF" w:rsidP="00CF02AF">
      <w:r w:rsidRPr="00FD7E86">
        <w:t>A number of devices, such as Apple TV, Google’s Chromecast, and Roku offer alternative ways to watch online content on a television set that is not itself internet connected, or offers limited apps. Telstra announced in July</w:t>
      </w:r>
      <w:r w:rsidR="0026295A" w:rsidRPr="00FD7E86">
        <w:t xml:space="preserve"> 2015</w:t>
      </w:r>
      <w:r w:rsidRPr="00FD7E86">
        <w:t xml:space="preserve"> that it would be offering its own branded version of Roku 2 in September 2015.</w:t>
      </w:r>
      <w:r w:rsidRPr="00FD7E86">
        <w:rPr>
          <w:rStyle w:val="EndnoteReference"/>
        </w:rPr>
        <w:endnoteReference w:id="94"/>
      </w:r>
      <w:r w:rsidRPr="00FD7E86">
        <w:t xml:space="preserve"> </w:t>
      </w:r>
    </w:p>
    <w:p w14:paraId="6D417EC0" w14:textId="77777777" w:rsidR="00CF02AF" w:rsidRPr="00FD7E86" w:rsidRDefault="00CF02AF" w:rsidP="004345FC">
      <w:pPr>
        <w:pStyle w:val="ACMAHeading2"/>
      </w:pPr>
      <w:bookmarkStart w:id="254" w:name="_Toc433790364"/>
      <w:r w:rsidRPr="00FD7E86">
        <w:t>International trends</w:t>
      </w:r>
      <w:bookmarkEnd w:id="254"/>
    </w:p>
    <w:p w14:paraId="04A87DDF" w14:textId="77777777" w:rsidR="00CF02AF" w:rsidRPr="00FD7E86" w:rsidRDefault="00CF02AF" w:rsidP="00CF02AF">
      <w:r w:rsidRPr="00FD7E86">
        <w:t>Globally, there are moves toward a consolidation of the software platforms supporting streaming, with Sony now moving to Android for its most recent smart TV offering.</w:t>
      </w:r>
      <w:r w:rsidRPr="00FD7E86">
        <w:rPr>
          <w:rStyle w:val="EndnoteReference"/>
        </w:rPr>
        <w:endnoteReference w:id="95"/>
      </w:r>
      <w:r w:rsidRPr="00FD7E86">
        <w:t xml:space="preserve"> Each platform is likely to support a broader set of content services, and there may be an opportunity for the technical experience to improve with investment directed to fewer software platforms.</w:t>
      </w:r>
    </w:p>
    <w:p w14:paraId="4EF179B3" w14:textId="77777777" w:rsidR="00CF02AF" w:rsidRPr="00FD7E86" w:rsidRDefault="00CF02AF" w:rsidP="00CF02AF">
      <w:r w:rsidRPr="00FD7E86">
        <w:lastRenderedPageBreak/>
        <w:t>In the US, Nielsen found that</w:t>
      </w:r>
      <w:r w:rsidR="00474C20" w:rsidRPr="00FD7E86">
        <w:t>,</w:t>
      </w:r>
      <w:r w:rsidRPr="00FD7E86">
        <w:t xml:space="preserve"> while digital adoption for home video entertainment is widespread, only 12 per cent of Americans aged 12 and over were digital-only in the way they bought or rented movies and </w:t>
      </w:r>
      <w:r w:rsidR="00C011BD" w:rsidRPr="00FD7E86">
        <w:t xml:space="preserve">television </w:t>
      </w:r>
      <w:r w:rsidRPr="00FD7E86">
        <w:t>shows. Nearly half of US consumers’ time is spent watching live or time-shifted television.</w:t>
      </w:r>
      <w:r w:rsidRPr="00FD7E86">
        <w:rPr>
          <w:rStyle w:val="EndnoteReference"/>
        </w:rPr>
        <w:endnoteReference w:id="96"/>
      </w:r>
      <w:r w:rsidRPr="00FD7E86">
        <w:t xml:space="preserve"> This is similar to 18</w:t>
      </w:r>
      <w:r w:rsidR="00B51AAF" w:rsidRPr="00FD7E86">
        <w:t xml:space="preserve"> to </w:t>
      </w:r>
      <w:r w:rsidRPr="00FD7E86">
        <w:t>24</w:t>
      </w:r>
      <w:r w:rsidR="00474C20" w:rsidRPr="00FD7E86">
        <w:t>-</w:t>
      </w:r>
      <w:r w:rsidRPr="00FD7E86">
        <w:t>year</w:t>
      </w:r>
      <w:r w:rsidR="00474C20" w:rsidRPr="00FD7E86">
        <w:t>-</w:t>
      </w:r>
      <w:r w:rsidRPr="00FD7E86">
        <w:t xml:space="preserve">olds in Australia (Figure </w:t>
      </w:r>
      <w:r w:rsidR="0026295A" w:rsidRPr="00FD7E86">
        <w:t>3.8</w:t>
      </w:r>
      <w:r w:rsidRPr="00FD7E86">
        <w:t>).</w:t>
      </w:r>
    </w:p>
    <w:p w14:paraId="20D6AFE1" w14:textId="77777777" w:rsidR="007B5E50" w:rsidRPr="00FD7E86" w:rsidRDefault="00F87755" w:rsidP="00E41B62">
      <w:pPr>
        <w:pStyle w:val="ACMAHeading1"/>
      </w:pPr>
      <w:bookmarkStart w:id="255" w:name="_Toc433790365"/>
      <w:r w:rsidRPr="00FD7E86">
        <w:t>3.4</w:t>
      </w:r>
      <w:r w:rsidRPr="00FD7E86">
        <w:tab/>
      </w:r>
      <w:r w:rsidRPr="00FD7E86">
        <w:tab/>
      </w:r>
      <w:r w:rsidR="007B5E50" w:rsidRPr="00FD7E86">
        <w:t>Online news services</w:t>
      </w:r>
      <w:bookmarkEnd w:id="255"/>
    </w:p>
    <w:p w14:paraId="67261B22" w14:textId="77777777" w:rsidR="007B5E50" w:rsidRPr="00FD7E86" w:rsidRDefault="007B5E50" w:rsidP="007B5E50">
      <w:r w:rsidRPr="00FD7E86">
        <w:t xml:space="preserve">Broadcast television remains the main source of news, including for Australians </w:t>
      </w:r>
      <w:r w:rsidR="0087334C" w:rsidRPr="00FD7E86">
        <w:t xml:space="preserve">who access </w:t>
      </w:r>
      <w:r w:rsidRPr="00FD7E86">
        <w:t xml:space="preserve">news online. Consistent with overseas trends, consumption of newspapers is declining in Australia—but at the same </w:t>
      </w:r>
      <w:r w:rsidR="003656C5" w:rsidRPr="00FD7E86">
        <w:t>time,</w:t>
      </w:r>
      <w:r w:rsidRPr="00FD7E86">
        <w:t xml:space="preserve"> Australians are accessing a more interactive and dispersed set of news sources.</w:t>
      </w:r>
      <w:r w:rsidRPr="00FD7E86">
        <w:rPr>
          <w:vertAlign w:val="superscript"/>
        </w:rPr>
        <w:endnoteReference w:id="97"/>
      </w:r>
    </w:p>
    <w:p w14:paraId="3BEBE3BC" w14:textId="77777777" w:rsidR="007B5E50" w:rsidRPr="00FD7E86" w:rsidRDefault="007B5E50" w:rsidP="007B5E50">
      <w:r w:rsidRPr="00FD7E86">
        <w:t>According to industry research, online Australians are spending 4.7 hours in an average week on accessing news content across traditional and online platforms. Online Australians are spending a greater amount of time accessing news online than they do reading printed newspapers (3.4 hours compared with 2.8 hours).</w:t>
      </w:r>
      <w:r w:rsidRPr="00FD7E86">
        <w:rPr>
          <w:vertAlign w:val="superscript"/>
        </w:rPr>
        <w:endnoteReference w:id="98"/>
      </w:r>
      <w:r w:rsidRPr="00FD7E86">
        <w:t xml:space="preserve"> </w:t>
      </w:r>
    </w:p>
    <w:p w14:paraId="638C6ADA" w14:textId="77777777" w:rsidR="007B5E50" w:rsidRPr="00FD7E86" w:rsidRDefault="007B5E50" w:rsidP="007B5E50">
      <w:r w:rsidRPr="00FD7E86">
        <w:t>Industry research has found that 92 per cent of Australians would not be willing to pay for news online as they believe there is enough information available for free. Among those who are willing to pay for online news content, trust in the brand is the leading reason (64 per cent of those respondents willing to pay).</w:t>
      </w:r>
      <w:r w:rsidRPr="00FD7E86">
        <w:rPr>
          <w:vertAlign w:val="superscript"/>
        </w:rPr>
        <w:endnoteReference w:id="99"/>
      </w:r>
      <w:r w:rsidRPr="00FD7E86">
        <w:t xml:space="preserve"> </w:t>
      </w:r>
    </w:p>
    <w:p w14:paraId="1CEC18F2" w14:textId="77777777" w:rsidR="007B5E50" w:rsidRPr="00FD7E86" w:rsidRDefault="007B5E50" w:rsidP="007B5E50">
      <w:r w:rsidRPr="00FD7E86">
        <w:t>In the six months to May 2015, 1.24 million adult Australians said they had paid to access an online news site, an increase of 5.1 per cent since May 2014. While an increased number paid to access online news, overall the proportion who said they had accessed an online news site in the six months to May 2015 fell 4.7 per cent to 10.28 million compared to 2014, continuing a downward trend.</w:t>
      </w:r>
      <w:r w:rsidRPr="00FD7E86">
        <w:rPr>
          <w:rStyle w:val="EndnoteReference"/>
        </w:rPr>
        <w:endnoteReference w:id="100"/>
      </w:r>
    </w:p>
    <w:p w14:paraId="2885B709" w14:textId="77777777" w:rsidR="00CF02AF" w:rsidRPr="00FD7E86" w:rsidRDefault="007B5E50" w:rsidP="000B3AFF">
      <w:pPr>
        <w:pStyle w:val="ACMAHeading1"/>
      </w:pPr>
      <w:bookmarkStart w:id="256" w:name="_Toc433790366"/>
      <w:r w:rsidRPr="00FD7E86">
        <w:t>3.5</w:t>
      </w:r>
      <w:r w:rsidRPr="00FD7E86">
        <w:tab/>
      </w:r>
      <w:r w:rsidR="00321EE9" w:rsidRPr="00FD7E86">
        <w:tab/>
      </w:r>
      <w:r w:rsidR="00CF02AF" w:rsidRPr="00FD7E86">
        <w:t>Broadcasting in Australia</w:t>
      </w:r>
      <w:bookmarkEnd w:id="256"/>
    </w:p>
    <w:p w14:paraId="2CCB93CF" w14:textId="77777777" w:rsidR="00CF02AF" w:rsidRPr="00FD7E86" w:rsidRDefault="00CF02AF" w:rsidP="00CF02AF">
      <w:r w:rsidRPr="00FD7E86">
        <w:t xml:space="preserve">Traditional television and radio services remain integral to Australian life. In June 2015, 86 per cent of adults (people aged 18 and over) said they had watched pay </w:t>
      </w:r>
      <w:r w:rsidR="00C011BD" w:rsidRPr="00FD7E86">
        <w:t xml:space="preserve">television </w:t>
      </w:r>
      <w:r w:rsidRPr="00FD7E86">
        <w:t>or free-to-air television in the last seven days</w:t>
      </w:r>
      <w:r w:rsidRPr="00FD7E86">
        <w:rPr>
          <w:rStyle w:val="EndnoteReference"/>
        </w:rPr>
        <w:endnoteReference w:id="101"/>
      </w:r>
      <w:r w:rsidR="00605153" w:rsidRPr="00FD7E86">
        <w:t>,</w:t>
      </w:r>
      <w:r w:rsidRPr="00FD7E86">
        <w:t xml:space="preserve"> and 86 per cent had listened to radio in the last seven days.</w:t>
      </w:r>
      <w:r w:rsidRPr="00FD7E86">
        <w:rPr>
          <w:rStyle w:val="EndnoteReference"/>
        </w:rPr>
        <w:endnoteReference w:id="102"/>
      </w:r>
      <w:r w:rsidRPr="00FD7E86">
        <w:t xml:space="preserve"> </w:t>
      </w:r>
    </w:p>
    <w:p w14:paraId="18F2473D" w14:textId="77777777" w:rsidR="00CF02AF" w:rsidRPr="00FD7E86" w:rsidRDefault="00CF02AF" w:rsidP="004345FC">
      <w:pPr>
        <w:pStyle w:val="ACMAHeading2"/>
      </w:pPr>
      <w:bookmarkStart w:id="257" w:name="_Toc433790367"/>
      <w:r w:rsidRPr="00FD7E86">
        <w:t>Australian content</w:t>
      </w:r>
      <w:bookmarkEnd w:id="257"/>
      <w:r w:rsidRPr="00FD7E86">
        <w:t xml:space="preserve"> </w:t>
      </w:r>
    </w:p>
    <w:p w14:paraId="21A3BD3D" w14:textId="77777777" w:rsidR="00CF02AF" w:rsidRPr="00FD7E86" w:rsidRDefault="00CF02AF" w:rsidP="00CF02AF">
      <w:pPr>
        <w:spacing w:after="80"/>
        <w:rPr>
          <w:rFonts w:cs="Arial"/>
          <w:szCs w:val="20"/>
        </w:rPr>
      </w:pPr>
      <w:r w:rsidRPr="00FD7E86">
        <w:rPr>
          <w:rFonts w:cs="Arial"/>
          <w:szCs w:val="20"/>
        </w:rPr>
        <w:t xml:space="preserve">The BSA and the </w:t>
      </w:r>
      <w:r w:rsidRPr="00C05F4C">
        <w:rPr>
          <w:rFonts w:cs="Arial"/>
          <w:szCs w:val="20"/>
        </w:rPr>
        <w:t>Broadcasting Services (Australian Content) Standard 2005</w:t>
      </w:r>
      <w:r w:rsidRPr="00FD7E86">
        <w:rPr>
          <w:rFonts w:cs="Arial"/>
          <w:szCs w:val="20"/>
        </w:rPr>
        <w:t xml:space="preserve"> (Australian Content Standard) stipulate Australian content quotas for commercial television. Under the BSA, commercial television broadcasters must provide:</w:t>
      </w:r>
    </w:p>
    <w:p w14:paraId="219F8AFA" w14:textId="77777777" w:rsidR="00CF02AF" w:rsidRPr="00FD7E86" w:rsidRDefault="00CF02AF" w:rsidP="00CF02AF">
      <w:pPr>
        <w:pStyle w:val="ListBullet"/>
        <w:rPr>
          <w:rFonts w:cs="Arial"/>
          <w:szCs w:val="20"/>
        </w:rPr>
      </w:pPr>
      <w:r w:rsidRPr="00FD7E86">
        <w:rPr>
          <w:rFonts w:cs="Arial"/>
          <w:szCs w:val="20"/>
        </w:rPr>
        <w:t>55 per cent Australian content, between 6.00 am and midnight across the year, on their core/primary channel</w:t>
      </w:r>
    </w:p>
    <w:p w14:paraId="00A36D0B" w14:textId="77777777" w:rsidR="00CF02AF" w:rsidRPr="00FD7E86" w:rsidRDefault="00CF02AF" w:rsidP="000664F7">
      <w:pPr>
        <w:pStyle w:val="ListBulletLast"/>
      </w:pPr>
      <w:r w:rsidRPr="00FD7E86">
        <w:t>a minimum level of Australian programming other than their core/primary channel (multi-channels). For 2014, this requirement was 1,095 hours, increasing to 1,460 hours in 2015 and beyond.</w:t>
      </w:r>
    </w:p>
    <w:p w14:paraId="189AF8C5" w14:textId="77777777" w:rsidR="00CF02AF" w:rsidRPr="00FD7E86" w:rsidRDefault="00CF02AF" w:rsidP="0022218E">
      <w:pPr>
        <w:spacing w:after="80"/>
      </w:pPr>
      <w:r w:rsidRPr="00FD7E86">
        <w:t>The Australian Content Standard requires commercial television broadcasters to:</w:t>
      </w:r>
    </w:p>
    <w:p w14:paraId="0C4652C5" w14:textId="77777777" w:rsidR="00CF02AF" w:rsidRPr="00FD7E86" w:rsidRDefault="00CF02AF" w:rsidP="00CF02AF">
      <w:pPr>
        <w:pStyle w:val="ListBullet"/>
        <w:rPr>
          <w:rFonts w:cs="Arial"/>
          <w:szCs w:val="20"/>
        </w:rPr>
      </w:pPr>
      <w:r w:rsidRPr="00FD7E86">
        <w:rPr>
          <w:rFonts w:cs="Arial"/>
          <w:szCs w:val="20"/>
        </w:rPr>
        <w:t>broadcast minimum amounts of first-release Australian drama and documentary programs</w:t>
      </w:r>
    </w:p>
    <w:p w14:paraId="00E20D33" w14:textId="77777777" w:rsidR="00CF02AF" w:rsidRPr="00FD7E86" w:rsidRDefault="00CF02AF" w:rsidP="00CF02AF">
      <w:pPr>
        <w:pStyle w:val="ListBullet"/>
        <w:rPr>
          <w:rFonts w:cs="Arial"/>
          <w:szCs w:val="20"/>
        </w:rPr>
      </w:pPr>
      <w:r w:rsidRPr="00FD7E86">
        <w:rPr>
          <w:rFonts w:cs="Arial"/>
          <w:szCs w:val="20"/>
        </w:rPr>
        <w:t xml:space="preserve">broadcast minimum amounts of Australian-made children’s programs </w:t>
      </w:r>
    </w:p>
    <w:p w14:paraId="7B210D24" w14:textId="77777777" w:rsidR="00CF02AF" w:rsidRPr="00FD7E86" w:rsidRDefault="00CF02AF" w:rsidP="000664F7">
      <w:pPr>
        <w:pStyle w:val="ListBulletLast"/>
      </w:pPr>
      <w:r w:rsidRPr="00FD7E86">
        <w:t>ensure that all preschool programs are Australian programs.</w:t>
      </w:r>
    </w:p>
    <w:p w14:paraId="3E021BB2" w14:textId="77777777" w:rsidR="00CF02AF" w:rsidRPr="00FD7E86" w:rsidRDefault="00CF02AF" w:rsidP="00CF02AF">
      <w:pPr>
        <w:keepLines/>
        <w:rPr>
          <w:rFonts w:cs="Arial"/>
          <w:szCs w:val="20"/>
        </w:rPr>
      </w:pPr>
      <w:r w:rsidRPr="00FD7E86">
        <w:rPr>
          <w:rFonts w:cs="Arial"/>
          <w:szCs w:val="20"/>
        </w:rPr>
        <w:t xml:space="preserve">Assessment of compliance with the quota requirements is calendar-year based. The metropolitan free-to-air commercial network licensees all met the Australian content transmission quotas for overall content, drama and documentaries for the 2014 calendar year (Table 3.3). </w:t>
      </w:r>
      <w:r w:rsidR="00605153" w:rsidRPr="00FD7E86">
        <w:rPr>
          <w:rFonts w:cs="Arial"/>
          <w:szCs w:val="20"/>
        </w:rPr>
        <w:t xml:space="preserve">The </w:t>
      </w:r>
      <w:r w:rsidRPr="00FD7E86">
        <w:rPr>
          <w:rFonts w:cs="Arial"/>
          <w:szCs w:val="20"/>
        </w:rPr>
        <w:t xml:space="preserve">2014 </w:t>
      </w:r>
      <w:r w:rsidR="00605153" w:rsidRPr="00FD7E86">
        <w:rPr>
          <w:rFonts w:cs="Arial"/>
          <w:szCs w:val="20"/>
        </w:rPr>
        <w:t xml:space="preserve">year </w:t>
      </w:r>
      <w:r w:rsidRPr="00FD7E86">
        <w:rPr>
          <w:rFonts w:cs="Arial"/>
          <w:szCs w:val="20"/>
        </w:rPr>
        <w:t>also marked the completion of the 2012–2014 triennial period for Australian first-release drama.</w:t>
      </w:r>
    </w:p>
    <w:p w14:paraId="71ED61CA" w14:textId="77777777" w:rsidR="00CF02AF" w:rsidRPr="00FD7E86" w:rsidRDefault="00CF02AF" w:rsidP="00C05F4C">
      <w:pPr>
        <w:pStyle w:val="Caption"/>
        <w:keepNext/>
        <w:numPr>
          <w:ilvl w:val="0"/>
          <w:numId w:val="0"/>
        </w:numPr>
        <w:spacing w:after="160"/>
      </w:pPr>
      <w:r w:rsidRPr="00FD7E86">
        <w:lastRenderedPageBreak/>
        <w:t>Table 3.3 Metropolitan free-to-air commercial network licensee compliance with the Australian Content Standard for the 2014 calendar year</w:t>
      </w:r>
    </w:p>
    <w:tbl>
      <w:tblPr>
        <w:tblStyle w:val="Commsreport2014-15TABLE"/>
        <w:tblW w:w="9429" w:type="dxa"/>
        <w:tblLayout w:type="fixed"/>
        <w:tblLook w:val="04A0" w:firstRow="1" w:lastRow="0" w:firstColumn="1" w:lastColumn="0" w:noHBand="0" w:noVBand="1"/>
        <w:tblCaption w:val="Table 3.3 Metropolitan free-to-air commercial network licensee compliance with the Australian Content Standard for the 2014 calendar year"/>
      </w:tblPr>
      <w:tblGrid>
        <w:gridCol w:w="1429"/>
        <w:gridCol w:w="1927"/>
        <w:gridCol w:w="1037"/>
        <w:gridCol w:w="1258"/>
        <w:gridCol w:w="1259"/>
        <w:gridCol w:w="1259"/>
        <w:gridCol w:w="1260"/>
      </w:tblGrid>
      <w:tr w:rsidR="00CF02AF" w:rsidRPr="00A67C69" w14:paraId="1C97CDB2" w14:textId="77777777" w:rsidTr="00A67C69">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403" w:type="dxa"/>
            <w:shd w:val="clear" w:color="auto" w:fill="auto"/>
          </w:tcPr>
          <w:p w14:paraId="3ACD7254" w14:textId="77777777" w:rsidR="00CF02AF" w:rsidRPr="00A67C69" w:rsidRDefault="00CF02AF" w:rsidP="00A67C69">
            <w:pPr>
              <w:pStyle w:val="TableHeading"/>
              <w:spacing w:before="20"/>
              <w:jc w:val="center"/>
              <w:rPr>
                <w:b/>
              </w:rPr>
            </w:pPr>
          </w:p>
        </w:tc>
        <w:tc>
          <w:tcPr>
            <w:tcW w:w="1891" w:type="dxa"/>
            <w:shd w:val="clear" w:color="auto" w:fill="auto"/>
          </w:tcPr>
          <w:p w14:paraId="76A7C260" w14:textId="77777777" w:rsidR="00CF02AF" w:rsidRPr="00A67C69" w:rsidRDefault="00CF02AF" w:rsidP="00A67C69">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p>
        </w:tc>
        <w:tc>
          <w:tcPr>
            <w:tcW w:w="1017" w:type="dxa"/>
            <w:shd w:val="clear" w:color="auto" w:fill="auto"/>
          </w:tcPr>
          <w:p w14:paraId="1CD8D01E" w14:textId="77777777" w:rsidR="00CF02AF" w:rsidRPr="00A67C69" w:rsidRDefault="00CF02AF" w:rsidP="00A67C69">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p>
        </w:tc>
        <w:tc>
          <w:tcPr>
            <w:tcW w:w="1234" w:type="dxa"/>
            <w:vMerge w:val="restart"/>
          </w:tcPr>
          <w:p w14:paraId="44B4D076" w14:textId="77777777" w:rsidR="00CF02AF" w:rsidRPr="00A67C69" w:rsidRDefault="00CF02AF" w:rsidP="00A67C69">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A67C69">
              <w:rPr>
                <w:b/>
              </w:rPr>
              <w:t>Minimum quota*</w:t>
            </w:r>
          </w:p>
        </w:tc>
        <w:tc>
          <w:tcPr>
            <w:tcW w:w="3706" w:type="dxa"/>
            <w:gridSpan w:val="3"/>
          </w:tcPr>
          <w:p w14:paraId="67AE163B" w14:textId="77777777" w:rsidR="00CF02AF" w:rsidRPr="00A67C69" w:rsidRDefault="00CF02AF" w:rsidP="00A67C69">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A67C69">
              <w:rPr>
                <w:b/>
              </w:rPr>
              <w:t>Licensees</w:t>
            </w:r>
          </w:p>
        </w:tc>
      </w:tr>
      <w:tr w:rsidR="00CF02AF" w:rsidRPr="00FD7E86" w14:paraId="7200613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403" w:type="dxa"/>
            <w:shd w:val="clear" w:color="auto" w:fill="auto"/>
          </w:tcPr>
          <w:p w14:paraId="06BAED99" w14:textId="77777777" w:rsidR="00CF02AF" w:rsidRPr="00FD7E86" w:rsidRDefault="00CF02AF" w:rsidP="00CF02AF">
            <w:pPr>
              <w:spacing w:before="60" w:after="60"/>
              <w:rPr>
                <w:rFonts w:cs="Arial"/>
                <w:b/>
                <w:bCs/>
                <w:szCs w:val="18"/>
              </w:rPr>
            </w:pPr>
          </w:p>
        </w:tc>
        <w:tc>
          <w:tcPr>
            <w:tcW w:w="1891" w:type="dxa"/>
            <w:tcBorders>
              <w:bottom w:val="single" w:sz="24" w:space="0" w:color="FFFFFF" w:themeColor="background1"/>
            </w:tcBorders>
            <w:shd w:val="clear" w:color="auto" w:fill="auto"/>
          </w:tcPr>
          <w:p w14:paraId="4C39C872"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p>
        </w:tc>
        <w:tc>
          <w:tcPr>
            <w:tcW w:w="1017" w:type="dxa"/>
            <w:tcBorders>
              <w:bottom w:val="single" w:sz="24" w:space="0" w:color="FFFFFF" w:themeColor="background1"/>
            </w:tcBorders>
            <w:shd w:val="clear" w:color="auto" w:fill="auto"/>
          </w:tcPr>
          <w:p w14:paraId="5FCB8A4A"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p>
        </w:tc>
        <w:tc>
          <w:tcPr>
            <w:tcW w:w="1234" w:type="dxa"/>
            <w:vMerge/>
            <w:shd w:val="clear" w:color="auto" w:fill="65CDD5" w:themeFill="accent2"/>
          </w:tcPr>
          <w:p w14:paraId="1E8520A9" w14:textId="77777777" w:rsidR="00CF02AF" w:rsidRPr="00FD7E86" w:rsidRDefault="00CF02AF" w:rsidP="00CF02AF">
            <w:pPr>
              <w:ind w:right="104"/>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p>
        </w:tc>
        <w:tc>
          <w:tcPr>
            <w:tcW w:w="1235" w:type="dxa"/>
            <w:shd w:val="clear" w:color="auto" w:fill="00ADBB" w:themeFill="accent1"/>
          </w:tcPr>
          <w:p w14:paraId="7442BCD2" w14:textId="77777777" w:rsidR="00CF02AF" w:rsidRPr="00FD7E86" w:rsidRDefault="00CF02AF" w:rsidP="00CF02AF">
            <w:pPr>
              <w:spacing w:before="60" w:after="60"/>
              <w:ind w:right="104"/>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r w:rsidRPr="00FD7E86">
              <w:rPr>
                <w:rFonts w:cs="Arial"/>
                <w:b/>
                <w:bCs/>
                <w:color w:val="FFFFFF" w:themeColor="background1"/>
                <w:szCs w:val="18"/>
              </w:rPr>
              <w:t>Seven Network</w:t>
            </w:r>
          </w:p>
        </w:tc>
        <w:tc>
          <w:tcPr>
            <w:tcW w:w="1235" w:type="dxa"/>
            <w:shd w:val="clear" w:color="auto" w:fill="00ADBB" w:themeFill="accent1"/>
          </w:tcPr>
          <w:p w14:paraId="3F52C4CB" w14:textId="77777777" w:rsidR="00CF02AF" w:rsidRPr="00FD7E86" w:rsidRDefault="00CF02AF" w:rsidP="00CF02AF">
            <w:pPr>
              <w:spacing w:before="60" w:after="60"/>
              <w:ind w:right="104"/>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r w:rsidRPr="00FD7E86">
              <w:rPr>
                <w:rFonts w:cs="Arial"/>
                <w:b/>
                <w:bCs/>
                <w:color w:val="FFFFFF" w:themeColor="background1"/>
                <w:szCs w:val="18"/>
              </w:rPr>
              <w:t>Nine Network</w:t>
            </w:r>
          </w:p>
        </w:tc>
        <w:tc>
          <w:tcPr>
            <w:tcW w:w="1235" w:type="dxa"/>
            <w:shd w:val="clear" w:color="auto" w:fill="00ADBB" w:themeFill="accent1"/>
          </w:tcPr>
          <w:p w14:paraId="65546700" w14:textId="77777777" w:rsidR="00CF02AF" w:rsidRPr="00FD7E86" w:rsidRDefault="00CF02AF" w:rsidP="00CF02AF">
            <w:pPr>
              <w:spacing w:before="60" w:after="60"/>
              <w:ind w:right="104"/>
              <w:cnfStyle w:val="000000000000" w:firstRow="0" w:lastRow="0" w:firstColumn="0" w:lastColumn="0" w:oddVBand="0" w:evenVBand="0" w:oddHBand="0" w:evenHBand="0" w:firstRowFirstColumn="0" w:firstRowLastColumn="0" w:lastRowFirstColumn="0" w:lastRowLastColumn="0"/>
              <w:rPr>
                <w:rFonts w:cs="Arial"/>
                <w:b/>
                <w:bCs/>
                <w:color w:val="FFFFFF" w:themeColor="background1"/>
                <w:szCs w:val="18"/>
              </w:rPr>
            </w:pPr>
            <w:r w:rsidRPr="00FD7E86">
              <w:rPr>
                <w:rFonts w:cs="Arial"/>
                <w:b/>
                <w:bCs/>
                <w:color w:val="FFFFFF" w:themeColor="background1"/>
                <w:szCs w:val="18"/>
              </w:rPr>
              <w:t>Ten Network</w:t>
            </w:r>
          </w:p>
        </w:tc>
      </w:tr>
      <w:tr w:rsidR="00CF02AF" w:rsidRPr="00FD7E86" w14:paraId="61F3BD5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403" w:type="dxa"/>
            <w:vMerge w:val="restart"/>
            <w:tcBorders>
              <w:right w:val="nil"/>
            </w:tcBorders>
          </w:tcPr>
          <w:p w14:paraId="139F2CC4" w14:textId="77777777" w:rsidR="00CF02AF" w:rsidRPr="00FD7E86" w:rsidRDefault="00CF02AF" w:rsidP="00CF02AF">
            <w:pPr>
              <w:rPr>
                <w:rFonts w:cs="Arial"/>
                <w:b/>
              </w:rPr>
            </w:pPr>
            <w:r w:rsidRPr="00FD7E86">
              <w:rPr>
                <w:rFonts w:cs="Arial"/>
                <w:b/>
                <w:noProof/>
              </w:rPr>
              <w:drawing>
                <wp:inline distT="0" distB="0" distL="0" distR="0" wp14:anchorId="02B30E08" wp14:editId="17FAC62A">
                  <wp:extent cx="446400" cy="410400"/>
                  <wp:effectExtent l="0" t="0" r="0" b="8890"/>
                  <wp:docPr id="56" name="Picture 56"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con-16.png"/>
                          <pic:cNvPicPr/>
                        </pic:nvPicPr>
                        <pic:blipFill>
                          <a:blip r:embed="rId99">
                            <a:extLst>
                              <a:ext uri="{28A0092B-C50C-407E-A947-70E740481C1C}">
                                <a14:useLocalDpi xmlns:a14="http://schemas.microsoft.com/office/drawing/2010/main" val="0"/>
                              </a:ext>
                            </a:extLst>
                          </a:blip>
                          <a:stretch>
                            <a:fillRect/>
                          </a:stretch>
                        </pic:blipFill>
                        <pic:spPr>
                          <a:xfrm>
                            <a:off x="0" y="0"/>
                            <a:ext cx="446400" cy="410400"/>
                          </a:xfrm>
                          <a:prstGeom prst="rect">
                            <a:avLst/>
                          </a:prstGeom>
                        </pic:spPr>
                      </pic:pic>
                    </a:graphicData>
                  </a:graphic>
                </wp:inline>
              </w:drawing>
            </w:r>
            <w:r w:rsidRPr="00EE0E5F">
              <w:rPr>
                <w:rFonts w:cs="Arial"/>
                <w:b/>
                <w:color w:val="auto"/>
              </w:rPr>
              <w:t>Overall Australian content</w:t>
            </w:r>
          </w:p>
        </w:tc>
        <w:tc>
          <w:tcPr>
            <w:tcW w:w="1891" w:type="dxa"/>
            <w:tcBorders>
              <w:left w:val="nil"/>
              <w:right w:val="nil"/>
            </w:tcBorders>
            <w:shd w:val="clear" w:color="auto" w:fill="65CDD5" w:themeFill="accent2"/>
          </w:tcPr>
          <w:p w14:paraId="5C851951"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On primary/</w:t>
            </w:r>
            <w:r w:rsidRPr="00C05F4C">
              <w:rPr>
                <w:rFonts w:cs="Arial"/>
                <w:b/>
                <w:bCs/>
                <w:szCs w:val="18"/>
              </w:rPr>
              <w:br/>
              <w:t>core channel</w:t>
            </w:r>
          </w:p>
        </w:tc>
        <w:tc>
          <w:tcPr>
            <w:tcW w:w="1017" w:type="dxa"/>
            <w:tcBorders>
              <w:left w:val="nil"/>
            </w:tcBorders>
            <w:shd w:val="clear" w:color="auto" w:fill="65CDD5" w:themeFill="accent2"/>
          </w:tcPr>
          <w:p w14:paraId="79292884"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Cs/>
                <w:szCs w:val="18"/>
              </w:rPr>
              <w:t>(%)</w:t>
            </w:r>
          </w:p>
        </w:tc>
        <w:tc>
          <w:tcPr>
            <w:tcW w:w="1234" w:type="dxa"/>
          </w:tcPr>
          <w:p w14:paraId="3B0445F7"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55</w:t>
            </w:r>
          </w:p>
        </w:tc>
        <w:tc>
          <w:tcPr>
            <w:tcW w:w="1235" w:type="dxa"/>
          </w:tcPr>
          <w:p w14:paraId="2DFCF1DE"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70</w:t>
            </w:r>
          </w:p>
        </w:tc>
        <w:tc>
          <w:tcPr>
            <w:tcW w:w="1235" w:type="dxa"/>
          </w:tcPr>
          <w:p w14:paraId="5BD7A305"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71</w:t>
            </w:r>
          </w:p>
        </w:tc>
        <w:tc>
          <w:tcPr>
            <w:tcW w:w="1235" w:type="dxa"/>
          </w:tcPr>
          <w:p w14:paraId="7A95DAB1"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63</w:t>
            </w:r>
          </w:p>
        </w:tc>
      </w:tr>
      <w:tr w:rsidR="00CF02AF" w:rsidRPr="00FD7E86" w14:paraId="1F6DFE6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403" w:type="dxa"/>
            <w:vMerge/>
            <w:tcBorders>
              <w:right w:val="nil"/>
            </w:tcBorders>
          </w:tcPr>
          <w:p w14:paraId="5EB4D621" w14:textId="77777777" w:rsidR="00CF02AF" w:rsidRPr="00FD7E86" w:rsidRDefault="00CF02AF" w:rsidP="00CF02AF">
            <w:pPr>
              <w:rPr>
                <w:rFonts w:cs="Arial"/>
                <w:b/>
              </w:rPr>
            </w:pPr>
          </w:p>
        </w:tc>
        <w:tc>
          <w:tcPr>
            <w:tcW w:w="1891" w:type="dxa"/>
            <w:tcBorders>
              <w:left w:val="nil"/>
              <w:bottom w:val="single" w:sz="24" w:space="0" w:color="FFFFFF" w:themeColor="background1"/>
              <w:right w:val="nil"/>
            </w:tcBorders>
            <w:shd w:val="clear" w:color="auto" w:fill="65CDD5" w:themeFill="accent2"/>
          </w:tcPr>
          <w:p w14:paraId="5A878A0D"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On non-primary/</w:t>
            </w:r>
            <w:r w:rsidRPr="00C05F4C">
              <w:rPr>
                <w:rFonts w:cs="Arial"/>
                <w:b/>
                <w:bCs/>
                <w:szCs w:val="18"/>
              </w:rPr>
              <w:br/>
              <w:t>non-core channel</w:t>
            </w:r>
          </w:p>
        </w:tc>
        <w:tc>
          <w:tcPr>
            <w:tcW w:w="1017" w:type="dxa"/>
            <w:tcBorders>
              <w:left w:val="nil"/>
            </w:tcBorders>
            <w:shd w:val="clear" w:color="auto" w:fill="65CDD5" w:themeFill="accent2"/>
          </w:tcPr>
          <w:p w14:paraId="1CC7FB4D"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Cs/>
                <w:szCs w:val="18"/>
              </w:rPr>
              <w:t>(average hours)</w:t>
            </w:r>
          </w:p>
        </w:tc>
        <w:tc>
          <w:tcPr>
            <w:tcW w:w="1234" w:type="dxa"/>
          </w:tcPr>
          <w:p w14:paraId="3F008600"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1,095</w:t>
            </w:r>
          </w:p>
        </w:tc>
        <w:tc>
          <w:tcPr>
            <w:tcW w:w="1235" w:type="dxa"/>
          </w:tcPr>
          <w:p w14:paraId="12217D5A"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3,092</w:t>
            </w:r>
          </w:p>
        </w:tc>
        <w:tc>
          <w:tcPr>
            <w:tcW w:w="1235" w:type="dxa"/>
          </w:tcPr>
          <w:p w14:paraId="29D2A6E2"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1,662</w:t>
            </w:r>
          </w:p>
        </w:tc>
        <w:tc>
          <w:tcPr>
            <w:tcW w:w="1235" w:type="dxa"/>
          </w:tcPr>
          <w:p w14:paraId="115906FE"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3,491</w:t>
            </w:r>
          </w:p>
        </w:tc>
      </w:tr>
      <w:tr w:rsidR="00CF02AF" w:rsidRPr="00FD7E86" w14:paraId="4583EC0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403" w:type="dxa"/>
            <w:tcBorders>
              <w:right w:val="nil"/>
            </w:tcBorders>
          </w:tcPr>
          <w:p w14:paraId="59C5EE91" w14:textId="77777777" w:rsidR="00CF02AF" w:rsidRPr="00FD7E86" w:rsidRDefault="00CF02AF" w:rsidP="00CF02AF">
            <w:pPr>
              <w:rPr>
                <w:rFonts w:cs="Arial"/>
                <w:b/>
              </w:rPr>
            </w:pPr>
            <w:r w:rsidRPr="00FD7E86">
              <w:rPr>
                <w:rFonts w:cs="Arial"/>
                <w:b/>
                <w:noProof/>
              </w:rPr>
              <w:drawing>
                <wp:inline distT="0" distB="0" distL="0" distR="0" wp14:anchorId="3EE23F2C" wp14:editId="0A90EC83">
                  <wp:extent cx="426721" cy="441961"/>
                  <wp:effectExtent l="0" t="0" r="0" b="0"/>
                  <wp:docPr id="58" name="Picture 58"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icon-24.pn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426721" cy="441961"/>
                          </a:xfrm>
                          <a:prstGeom prst="rect">
                            <a:avLst/>
                          </a:prstGeom>
                        </pic:spPr>
                      </pic:pic>
                    </a:graphicData>
                  </a:graphic>
                </wp:inline>
              </w:drawing>
            </w:r>
          </w:p>
        </w:tc>
        <w:tc>
          <w:tcPr>
            <w:tcW w:w="1891" w:type="dxa"/>
            <w:tcBorders>
              <w:left w:val="nil"/>
              <w:right w:val="nil"/>
            </w:tcBorders>
            <w:shd w:val="clear" w:color="auto" w:fill="65CDD5" w:themeFill="accent2"/>
          </w:tcPr>
          <w:p w14:paraId="195E0426"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First-release Australian drama</w:t>
            </w:r>
          </w:p>
        </w:tc>
        <w:tc>
          <w:tcPr>
            <w:tcW w:w="1017" w:type="dxa"/>
            <w:tcBorders>
              <w:left w:val="nil"/>
            </w:tcBorders>
            <w:shd w:val="clear" w:color="auto" w:fill="65CDD5" w:themeFill="accent2"/>
          </w:tcPr>
          <w:p w14:paraId="46D1E69E"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(points)</w:t>
            </w:r>
          </w:p>
        </w:tc>
        <w:tc>
          <w:tcPr>
            <w:tcW w:w="1234" w:type="dxa"/>
          </w:tcPr>
          <w:p w14:paraId="7D8919CE"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250</w:t>
            </w:r>
          </w:p>
        </w:tc>
        <w:tc>
          <w:tcPr>
            <w:tcW w:w="1235" w:type="dxa"/>
          </w:tcPr>
          <w:p w14:paraId="0FAFEEF2"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292</w:t>
            </w:r>
          </w:p>
        </w:tc>
        <w:tc>
          <w:tcPr>
            <w:tcW w:w="1235" w:type="dxa"/>
          </w:tcPr>
          <w:p w14:paraId="6B6E7E2C"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264</w:t>
            </w:r>
          </w:p>
        </w:tc>
        <w:tc>
          <w:tcPr>
            <w:tcW w:w="1235" w:type="dxa"/>
          </w:tcPr>
          <w:p w14:paraId="08EB4A09"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334</w:t>
            </w:r>
          </w:p>
        </w:tc>
      </w:tr>
      <w:tr w:rsidR="00CF02AF" w:rsidRPr="00FD7E86" w14:paraId="743204B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403" w:type="dxa"/>
            <w:tcBorders>
              <w:right w:val="nil"/>
            </w:tcBorders>
          </w:tcPr>
          <w:p w14:paraId="71036BB6" w14:textId="77777777" w:rsidR="00CF02AF" w:rsidRPr="00FD7E86" w:rsidRDefault="00CF02AF" w:rsidP="00CF02AF">
            <w:pPr>
              <w:rPr>
                <w:rFonts w:cs="Arial"/>
                <w:b/>
              </w:rPr>
            </w:pPr>
            <w:r w:rsidRPr="00FD7E86">
              <w:rPr>
                <w:rFonts w:cs="Arial"/>
                <w:b/>
                <w:noProof/>
              </w:rPr>
              <w:drawing>
                <wp:anchor distT="0" distB="0" distL="114300" distR="114300" simplePos="0" relativeHeight="251657728" behindDoc="0" locked="0" layoutInCell="1" allowOverlap="1" wp14:anchorId="3C909B2E" wp14:editId="74CE1A5B">
                  <wp:simplePos x="0" y="0"/>
                  <wp:positionH relativeFrom="column">
                    <wp:posOffset>-1270</wp:posOffset>
                  </wp:positionH>
                  <wp:positionV relativeFrom="paragraph">
                    <wp:posOffset>0</wp:posOffset>
                  </wp:positionV>
                  <wp:extent cx="499745" cy="450850"/>
                  <wp:effectExtent l="0" t="0" r="0" b="6350"/>
                  <wp:wrapNone/>
                  <wp:docPr id="59" name="Picture 59"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ontent delivery-09.png"/>
                          <pic:cNvPicPr/>
                        </pic:nvPicPr>
                        <pic:blipFill>
                          <a:blip r:embed="rId101">
                            <a:extLst>
                              <a:ext uri="{28A0092B-C50C-407E-A947-70E740481C1C}">
                                <a14:useLocalDpi xmlns:a14="http://schemas.microsoft.com/office/drawing/2010/main" val="0"/>
                              </a:ext>
                            </a:extLst>
                          </a:blip>
                          <a:stretch>
                            <a:fillRect/>
                          </a:stretch>
                        </pic:blipFill>
                        <pic:spPr>
                          <a:xfrm>
                            <a:off x="0" y="0"/>
                            <a:ext cx="499745" cy="450850"/>
                          </a:xfrm>
                          <a:prstGeom prst="rect">
                            <a:avLst/>
                          </a:prstGeom>
                        </pic:spPr>
                      </pic:pic>
                    </a:graphicData>
                  </a:graphic>
                </wp:anchor>
              </w:drawing>
            </w:r>
          </w:p>
        </w:tc>
        <w:tc>
          <w:tcPr>
            <w:tcW w:w="1891" w:type="dxa"/>
            <w:tcBorders>
              <w:left w:val="nil"/>
              <w:right w:val="nil"/>
            </w:tcBorders>
            <w:shd w:val="clear" w:color="auto" w:fill="65CDD5" w:themeFill="accent2"/>
          </w:tcPr>
          <w:p w14:paraId="2B481FC7"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First-release Australian documentaries</w:t>
            </w:r>
          </w:p>
        </w:tc>
        <w:tc>
          <w:tcPr>
            <w:tcW w:w="1017" w:type="dxa"/>
            <w:tcBorders>
              <w:left w:val="nil"/>
            </w:tcBorders>
            <w:shd w:val="clear" w:color="auto" w:fill="65CDD5" w:themeFill="accent2"/>
          </w:tcPr>
          <w:p w14:paraId="08F7D61C" w14:textId="77777777" w:rsidR="00CF02AF" w:rsidRPr="00C05F4C" w:rsidRDefault="00CF02AF" w:rsidP="000E4F20">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(average hours)</w:t>
            </w:r>
          </w:p>
        </w:tc>
        <w:tc>
          <w:tcPr>
            <w:tcW w:w="1234" w:type="dxa"/>
          </w:tcPr>
          <w:p w14:paraId="26DDA838"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20</w:t>
            </w:r>
          </w:p>
        </w:tc>
        <w:tc>
          <w:tcPr>
            <w:tcW w:w="1235" w:type="dxa"/>
          </w:tcPr>
          <w:p w14:paraId="208B4117"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71</w:t>
            </w:r>
          </w:p>
        </w:tc>
        <w:tc>
          <w:tcPr>
            <w:tcW w:w="1235" w:type="dxa"/>
          </w:tcPr>
          <w:p w14:paraId="194CD38B"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20</w:t>
            </w:r>
          </w:p>
        </w:tc>
        <w:tc>
          <w:tcPr>
            <w:tcW w:w="1235" w:type="dxa"/>
          </w:tcPr>
          <w:p w14:paraId="335C3A36" w14:textId="77777777" w:rsidR="00CF02AF" w:rsidRPr="00FD7E86" w:rsidRDefault="00CF02AF" w:rsidP="00CF02AF">
            <w:pPr>
              <w:spacing w:before="60" w:after="60"/>
              <w:cnfStyle w:val="000000000000" w:firstRow="0" w:lastRow="0" w:firstColumn="0" w:lastColumn="0" w:oddVBand="0" w:evenVBand="0" w:oddHBand="0" w:evenHBand="0" w:firstRowFirstColumn="0" w:firstRowLastColumn="0" w:lastRowFirstColumn="0" w:lastRowLastColumn="0"/>
              <w:rPr>
                <w:rFonts w:cs="Arial"/>
                <w:bCs/>
                <w:szCs w:val="18"/>
              </w:rPr>
            </w:pPr>
            <w:r w:rsidRPr="00FD7E86">
              <w:rPr>
                <w:rFonts w:cs="Arial"/>
                <w:bCs/>
                <w:szCs w:val="18"/>
              </w:rPr>
              <w:t>42</w:t>
            </w:r>
          </w:p>
        </w:tc>
      </w:tr>
    </w:tbl>
    <w:p w14:paraId="3DEC4EFA" w14:textId="77777777" w:rsidR="00CF02AF" w:rsidRPr="00FD7E86" w:rsidRDefault="00CF02AF" w:rsidP="00CF02AF">
      <w:pPr>
        <w:pStyle w:val="ACMANotes"/>
      </w:pPr>
      <w:r w:rsidRPr="00FD7E86">
        <w:t xml:space="preserve">*Minimum transmission quota required as per section 121G of the </w:t>
      </w:r>
      <w:r w:rsidRPr="00FD7E86">
        <w:rPr>
          <w:i w:val="0"/>
        </w:rPr>
        <w:t>Broadcasting Services Act 1992.</w:t>
      </w:r>
    </w:p>
    <w:p w14:paraId="2D9EACF4" w14:textId="77777777" w:rsidR="00CF02AF" w:rsidRPr="00FD7E86" w:rsidRDefault="00CF02AF" w:rsidP="00CF02AF">
      <w:pPr>
        <w:pStyle w:val="ACMANotes"/>
      </w:pPr>
      <w:r w:rsidRPr="00FD7E86">
        <w:t>Note: Overall Australian content relates to first release and repeat programs that must be broadcast between 6.00 am and midnight. Licensee requirements for each network are calculated by averaging across the following locations: Seven Network–five mainland state capital cities, Nine Network–Brisbane, Melbourne and Sydney, Ten Network–five mainland capital cities.</w:t>
      </w:r>
    </w:p>
    <w:p w14:paraId="3B5DE834" w14:textId="77777777" w:rsidR="00CF02AF" w:rsidRPr="00FD7E86" w:rsidRDefault="00CF02AF" w:rsidP="00CF02AF">
      <w:pPr>
        <w:pStyle w:val="ACMANotes"/>
      </w:pPr>
      <w:r w:rsidRPr="00FD7E86">
        <w:t>Australian drama and Australian documentaries relate to first-release programs only.</w:t>
      </w:r>
    </w:p>
    <w:p w14:paraId="1CA1EB62" w14:textId="77777777" w:rsidR="00CF02AF" w:rsidRPr="00FD7E86" w:rsidRDefault="00CF02AF" w:rsidP="00E450B7">
      <w:pPr>
        <w:pStyle w:val="ACMANotes"/>
      </w:pPr>
      <w:r w:rsidRPr="00FD7E86">
        <w:t>Source: ACMA.</w:t>
      </w:r>
    </w:p>
    <w:p w14:paraId="0ACFD5F0" w14:textId="77777777" w:rsidR="00E450B7" w:rsidRPr="00FD7E86" w:rsidRDefault="00E450B7" w:rsidP="0052547F">
      <w:pPr>
        <w:pStyle w:val="ACMASpaceaftertable"/>
        <w:rPr>
          <w:i/>
          <w:sz w:val="16"/>
          <w:szCs w:val="16"/>
        </w:rPr>
      </w:pPr>
    </w:p>
    <w:p w14:paraId="624F08AA" w14:textId="77777777" w:rsidR="00CF02AF" w:rsidRPr="00FD7E86" w:rsidRDefault="00CF02AF" w:rsidP="004345FC">
      <w:pPr>
        <w:pStyle w:val="ACMAHeading2"/>
      </w:pPr>
      <w:bookmarkStart w:id="258" w:name="_Toc399331815"/>
      <w:bookmarkStart w:id="259" w:name="_Toc399336996"/>
      <w:bookmarkStart w:id="260" w:name="_Toc402337601"/>
      <w:bookmarkStart w:id="261" w:name="_Toc433790368"/>
      <w:r w:rsidRPr="00FD7E86">
        <w:t>Children’s programs on commercial television</w:t>
      </w:r>
      <w:bookmarkEnd w:id="258"/>
      <w:bookmarkEnd w:id="259"/>
      <w:bookmarkEnd w:id="260"/>
      <w:bookmarkEnd w:id="261"/>
    </w:p>
    <w:p w14:paraId="0D0C4F9B" w14:textId="77777777" w:rsidR="00CF02AF" w:rsidRPr="00FD7E86" w:rsidRDefault="00CF02AF" w:rsidP="00CF02AF">
      <w:pPr>
        <w:rPr>
          <w:rFonts w:cs="Arial"/>
          <w:szCs w:val="20"/>
        </w:rPr>
      </w:pPr>
      <w:r w:rsidRPr="00FD7E86">
        <w:rPr>
          <w:rFonts w:cs="Arial"/>
          <w:szCs w:val="20"/>
        </w:rPr>
        <w:t>In conjunction with the Australian Content Standard, the Children’s Television Standards 2009 (CTS) are designed to give children under 14 years of age access to quality television programs that are specifically made for them and reflect their cultural experience.</w:t>
      </w:r>
    </w:p>
    <w:p w14:paraId="2C56ABBA" w14:textId="77777777" w:rsidR="00CF02AF" w:rsidRPr="00FD7E86" w:rsidRDefault="00CF02AF" w:rsidP="00CF02AF">
      <w:pPr>
        <w:spacing w:after="80"/>
        <w:rPr>
          <w:rFonts w:cs="Arial"/>
          <w:szCs w:val="20"/>
        </w:rPr>
      </w:pPr>
      <w:r w:rsidRPr="00FD7E86">
        <w:rPr>
          <w:rFonts w:cs="Arial"/>
          <w:szCs w:val="20"/>
        </w:rPr>
        <w:t>The CTS requires licensees to provide at least 390 hours annually of children’s programs comprising:</w:t>
      </w:r>
    </w:p>
    <w:p w14:paraId="1406BDD0" w14:textId="77777777" w:rsidR="00CF02AF" w:rsidRPr="00FD7E86" w:rsidRDefault="00CF02AF" w:rsidP="00CF02AF">
      <w:pPr>
        <w:pStyle w:val="ListBullet"/>
        <w:rPr>
          <w:rFonts w:cs="Arial"/>
          <w:szCs w:val="20"/>
        </w:rPr>
      </w:pPr>
      <w:r w:rsidRPr="00FD7E86">
        <w:rPr>
          <w:rFonts w:cs="Arial"/>
          <w:szCs w:val="20"/>
        </w:rPr>
        <w:t>260 hours of children’s (C) programs</w:t>
      </w:r>
    </w:p>
    <w:p w14:paraId="61AC93BA" w14:textId="77777777" w:rsidR="00CF02AF" w:rsidRPr="00FD7E86" w:rsidRDefault="00CF02AF" w:rsidP="000664F7">
      <w:pPr>
        <w:pStyle w:val="ListBulletLast"/>
      </w:pPr>
      <w:r w:rsidRPr="00FD7E86">
        <w:t>130 hours of preschool (P) programs.</w:t>
      </w:r>
    </w:p>
    <w:p w14:paraId="34AC2521" w14:textId="77777777" w:rsidR="00CF02AF" w:rsidRPr="00FD7E86" w:rsidRDefault="00CF02AF" w:rsidP="00CF02AF">
      <w:pPr>
        <w:rPr>
          <w:rFonts w:cs="Arial"/>
          <w:color w:val="000000" w:themeColor="text1"/>
          <w:szCs w:val="20"/>
        </w:rPr>
      </w:pPr>
      <w:r w:rsidRPr="00FD7E86">
        <w:rPr>
          <w:rFonts w:cs="Arial"/>
          <w:szCs w:val="20"/>
        </w:rPr>
        <w:t xml:space="preserve">The Australian Content Standard sets out additional annual </w:t>
      </w:r>
      <w:r w:rsidR="00775575" w:rsidRPr="00FD7E86">
        <w:rPr>
          <w:rFonts w:cs="Arial"/>
          <w:szCs w:val="20"/>
        </w:rPr>
        <w:t xml:space="preserve">and triennial </w:t>
      </w:r>
      <w:r w:rsidRPr="00FD7E86">
        <w:rPr>
          <w:rFonts w:cs="Arial"/>
          <w:szCs w:val="20"/>
        </w:rPr>
        <w:t>first</w:t>
      </w:r>
      <w:r w:rsidR="00605153" w:rsidRPr="00FD7E86">
        <w:rPr>
          <w:rFonts w:cs="Arial"/>
          <w:szCs w:val="20"/>
        </w:rPr>
        <w:t>-</w:t>
      </w:r>
      <w:r w:rsidRPr="00FD7E86">
        <w:rPr>
          <w:rFonts w:cs="Arial"/>
          <w:szCs w:val="20"/>
        </w:rPr>
        <w:t>release and C drama requirements within these quotas. For the 2014 calendar year, all Seven Network and Network Ten metropolitan free-to-air commercial television broadcasting licensees met all of these annual quotas. However, due to non-compliance in 2013, three licensees of the Nine Network failed to provide sufficient first-release C drama programming to satisfy the triennial C drama quota (Table 3.4). The remedial action taken by the Nine Network licensees in response to the 2013 non-compliance findings was considered sufficient to not warrant further action in these cases.</w:t>
      </w:r>
      <w:r w:rsidRPr="00FD7E86" w:rsidDel="00B70431">
        <w:rPr>
          <w:rFonts w:cs="Arial"/>
          <w:szCs w:val="20"/>
        </w:rPr>
        <w:t xml:space="preserve"> </w:t>
      </w:r>
    </w:p>
    <w:p w14:paraId="4B1945AB" w14:textId="77777777" w:rsidR="00CF02AF" w:rsidRPr="00FD7E86" w:rsidRDefault="00CF02AF" w:rsidP="00A67C69">
      <w:pPr>
        <w:pStyle w:val="Caption"/>
        <w:keepNext/>
        <w:keepLines/>
        <w:numPr>
          <w:ilvl w:val="0"/>
          <w:numId w:val="0"/>
        </w:numPr>
        <w:spacing w:after="160"/>
        <w:rPr>
          <w:rFonts w:cs="Arial"/>
        </w:rPr>
      </w:pPr>
      <w:r w:rsidRPr="00FD7E86">
        <w:rPr>
          <w:rFonts w:cs="Arial"/>
        </w:rPr>
        <w:lastRenderedPageBreak/>
        <w:t>Table 3.4 Metropolitan free-to-air commercial network licensee’s compliance with children’s and preschool children’s program quotas (total annual hours), for the 2014 calendar year</w:t>
      </w:r>
    </w:p>
    <w:tbl>
      <w:tblPr>
        <w:tblStyle w:val="Commsreport2014-15TABLE"/>
        <w:tblW w:w="9429" w:type="dxa"/>
        <w:tblLayout w:type="fixed"/>
        <w:tblLook w:val="01E0" w:firstRow="1" w:lastRow="1" w:firstColumn="1" w:lastColumn="1" w:noHBand="0" w:noVBand="0"/>
        <w:tblCaption w:val="Table 3.4 Metropolitan free-to-air commercial network licensee’s compliance with children’s and preschool children’s program quotas (total annual hours), for the 2014 calendar year"/>
      </w:tblPr>
      <w:tblGrid>
        <w:gridCol w:w="875"/>
        <w:gridCol w:w="1328"/>
        <w:gridCol w:w="1815"/>
        <w:gridCol w:w="1576"/>
        <w:gridCol w:w="1278"/>
        <w:gridCol w:w="1278"/>
        <w:gridCol w:w="1279"/>
      </w:tblGrid>
      <w:tr w:rsidR="00CF02AF" w:rsidRPr="00FD7E86" w14:paraId="486ACB2D" w14:textId="77777777" w:rsidTr="00A67C69">
        <w:trPr>
          <w:cnfStyle w:val="100000000000" w:firstRow="1" w:lastRow="0" w:firstColumn="0" w:lastColumn="0" w:oddVBand="0" w:evenVBand="0" w:oddHBand="0" w:evenHBand="0" w:firstRowFirstColumn="0" w:firstRowLastColumn="0" w:lastRowFirstColumn="0" w:lastRowLastColumn="0"/>
          <w:trHeight w:val="284"/>
          <w:tblHeader/>
        </w:trPr>
        <w:tc>
          <w:tcPr>
            <w:cnfStyle w:val="001000000000" w:firstRow="0" w:lastRow="0" w:firstColumn="1" w:lastColumn="0" w:oddVBand="0" w:evenVBand="0" w:oddHBand="0" w:evenHBand="0" w:firstRowFirstColumn="0" w:firstRowLastColumn="0" w:lastRowFirstColumn="0" w:lastRowLastColumn="0"/>
            <w:tcW w:w="842" w:type="dxa"/>
            <w:shd w:val="clear" w:color="auto" w:fill="auto"/>
          </w:tcPr>
          <w:p w14:paraId="2392936E" w14:textId="77777777" w:rsidR="00CF02AF" w:rsidRPr="00FD7E86" w:rsidRDefault="00CF02AF" w:rsidP="00A67C69">
            <w:pPr>
              <w:pStyle w:val="TableHeading"/>
              <w:keepNext/>
              <w:keepLines/>
              <w:rPr>
                <w:b/>
              </w:rPr>
            </w:pPr>
          </w:p>
        </w:tc>
        <w:tc>
          <w:tcPr>
            <w:tcW w:w="1276" w:type="dxa"/>
            <w:shd w:val="clear" w:color="auto" w:fill="auto"/>
          </w:tcPr>
          <w:p w14:paraId="492EA26D" w14:textId="77777777" w:rsidR="00CF02AF" w:rsidRPr="00FD7E86" w:rsidRDefault="00CF02AF" w:rsidP="00A67C69">
            <w:pPr>
              <w:pStyle w:val="TableHeading"/>
              <w:keepNext/>
              <w:keepLines/>
              <w:cnfStyle w:val="100000000000" w:firstRow="1" w:lastRow="0" w:firstColumn="0" w:lastColumn="0" w:oddVBand="0" w:evenVBand="0" w:oddHBand="0" w:evenHBand="0" w:firstRowFirstColumn="0" w:firstRowLastColumn="0" w:lastRowFirstColumn="0" w:lastRowLastColumn="0"/>
              <w:rPr>
                <w:b/>
              </w:rPr>
            </w:pPr>
          </w:p>
        </w:tc>
        <w:tc>
          <w:tcPr>
            <w:tcW w:w="1745" w:type="dxa"/>
            <w:shd w:val="clear" w:color="auto" w:fill="auto"/>
          </w:tcPr>
          <w:p w14:paraId="1D1A03AB" w14:textId="77777777" w:rsidR="00CF02AF" w:rsidRPr="00FD7E86" w:rsidRDefault="00CF02AF" w:rsidP="00A67C69">
            <w:pPr>
              <w:pStyle w:val="TableHeading"/>
              <w:keepNext/>
              <w:keepLines/>
              <w:cnfStyle w:val="100000000000" w:firstRow="1" w:lastRow="0" w:firstColumn="0" w:lastColumn="0" w:oddVBand="0" w:evenVBand="0" w:oddHBand="0" w:evenHBand="0" w:firstRowFirstColumn="0" w:firstRowLastColumn="0" w:lastRowFirstColumn="0" w:lastRowLastColumn="0"/>
              <w:rPr>
                <w:b/>
              </w:rPr>
            </w:pPr>
          </w:p>
        </w:tc>
        <w:tc>
          <w:tcPr>
            <w:tcW w:w="1515" w:type="dxa"/>
            <w:vMerge w:val="restart"/>
          </w:tcPr>
          <w:p w14:paraId="0A0B8952" w14:textId="77777777" w:rsidR="00CF02AF" w:rsidRPr="00A67C69" w:rsidRDefault="00CF02AF" w:rsidP="00A67C69">
            <w:pPr>
              <w:pStyle w:val="TableHeading"/>
              <w:keepNext/>
              <w:keepLines/>
              <w:cnfStyle w:val="100000000000" w:firstRow="1" w:lastRow="0" w:firstColumn="0" w:lastColumn="0" w:oddVBand="0" w:evenVBand="0" w:oddHBand="0" w:evenHBand="0" w:firstRowFirstColumn="0" w:firstRowLastColumn="0" w:lastRowFirstColumn="0" w:lastRowLastColumn="0"/>
              <w:rPr>
                <w:b/>
              </w:rPr>
            </w:pPr>
            <w:r w:rsidRPr="00A67C69">
              <w:rPr>
                <w:b/>
              </w:rPr>
              <w:t>Minimum annual requirement (hours)</w:t>
            </w:r>
          </w:p>
        </w:tc>
        <w:tc>
          <w:tcPr>
            <w:tcW w:w="3685" w:type="dxa"/>
            <w:gridSpan w:val="3"/>
          </w:tcPr>
          <w:p w14:paraId="779FCC3A" w14:textId="77777777" w:rsidR="00CF02AF" w:rsidRPr="00A67C69" w:rsidRDefault="00CF02AF" w:rsidP="00A67C69">
            <w:pPr>
              <w:pStyle w:val="TableHeading"/>
              <w:keepNext/>
              <w:keepLines/>
              <w:jc w:val="center"/>
              <w:cnfStyle w:val="100000000000" w:firstRow="1" w:lastRow="0" w:firstColumn="0" w:lastColumn="0" w:oddVBand="0" w:evenVBand="0" w:oddHBand="0" w:evenHBand="0" w:firstRowFirstColumn="0" w:firstRowLastColumn="0" w:lastRowFirstColumn="0" w:lastRowLastColumn="0"/>
              <w:rPr>
                <w:b/>
              </w:rPr>
            </w:pPr>
            <w:r w:rsidRPr="00A67C69">
              <w:rPr>
                <w:b/>
              </w:rPr>
              <w:t>Licensees</w:t>
            </w:r>
          </w:p>
        </w:tc>
      </w:tr>
      <w:tr w:rsidR="00CF02AF" w:rsidRPr="00FD7E86" w14:paraId="0741670F" w14:textId="77777777" w:rsidTr="000A7AE7">
        <w:trPr>
          <w:trHeight w:val="284"/>
        </w:trPr>
        <w:tc>
          <w:tcPr>
            <w:cnfStyle w:val="001000000000" w:firstRow="0" w:lastRow="0" w:firstColumn="1" w:lastColumn="0" w:oddVBand="0" w:evenVBand="0" w:oddHBand="0" w:evenHBand="0" w:firstRowFirstColumn="0" w:firstRowLastColumn="0" w:lastRowFirstColumn="0" w:lastRowLastColumn="0"/>
            <w:tcW w:w="842" w:type="dxa"/>
            <w:shd w:val="clear" w:color="auto" w:fill="auto"/>
          </w:tcPr>
          <w:p w14:paraId="44014BCC" w14:textId="77777777" w:rsidR="00CF02AF" w:rsidRPr="00FD7E86" w:rsidRDefault="00CF02AF" w:rsidP="00A67C69">
            <w:pPr>
              <w:keepNext/>
              <w:keepLines/>
              <w:rPr>
                <w:rFonts w:cs="Arial"/>
                <w:b/>
                <w:szCs w:val="18"/>
              </w:rPr>
            </w:pPr>
          </w:p>
        </w:tc>
        <w:tc>
          <w:tcPr>
            <w:tcW w:w="1276" w:type="dxa"/>
            <w:tcBorders>
              <w:bottom w:val="single" w:sz="24" w:space="0" w:color="FFFFFF" w:themeColor="background1"/>
            </w:tcBorders>
            <w:shd w:val="clear" w:color="auto" w:fill="auto"/>
          </w:tcPr>
          <w:p w14:paraId="00C5B1C5" w14:textId="77777777" w:rsidR="00CF02AF" w:rsidRPr="00FD7E86" w:rsidRDefault="00CF02AF" w:rsidP="00A67C69">
            <w:pPr>
              <w:keepNext/>
              <w:keepLines/>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1745" w:type="dxa"/>
            <w:tcBorders>
              <w:bottom w:val="single" w:sz="24" w:space="0" w:color="FFFFFF" w:themeColor="background1"/>
            </w:tcBorders>
            <w:shd w:val="clear" w:color="auto" w:fill="auto"/>
          </w:tcPr>
          <w:p w14:paraId="3B41922E" w14:textId="77777777" w:rsidR="00CF02AF" w:rsidRPr="00FD7E86" w:rsidRDefault="00CF02AF" w:rsidP="00A67C69">
            <w:pPr>
              <w:keepNext/>
              <w:keepLines/>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1515" w:type="dxa"/>
            <w:vMerge/>
          </w:tcPr>
          <w:p w14:paraId="5D91D0B8" w14:textId="77777777" w:rsidR="00CF02AF" w:rsidRPr="00FD7E86" w:rsidRDefault="00CF02AF" w:rsidP="00A67C69">
            <w:pPr>
              <w:keepNext/>
              <w:keepLines/>
              <w:ind w:right="213"/>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1228" w:type="dxa"/>
            <w:shd w:val="clear" w:color="auto" w:fill="00ADBB" w:themeFill="accent1"/>
          </w:tcPr>
          <w:p w14:paraId="3E00F843"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Seven Network</w:t>
            </w:r>
          </w:p>
        </w:tc>
        <w:tc>
          <w:tcPr>
            <w:tcW w:w="1228" w:type="dxa"/>
            <w:shd w:val="clear" w:color="auto" w:fill="00ADBB" w:themeFill="accent1"/>
          </w:tcPr>
          <w:p w14:paraId="4640FEE0"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Nine Network</w:t>
            </w:r>
          </w:p>
        </w:tc>
        <w:tc>
          <w:tcPr>
            <w:tcW w:w="1229" w:type="dxa"/>
            <w:shd w:val="clear" w:color="auto" w:fill="00ADBB" w:themeFill="accent1"/>
          </w:tcPr>
          <w:p w14:paraId="467EBDBA"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Ten Network</w:t>
            </w:r>
          </w:p>
        </w:tc>
      </w:tr>
      <w:tr w:rsidR="00CF02AF" w:rsidRPr="00FD7E86" w14:paraId="4C3A0233" w14:textId="77777777" w:rsidTr="000A7AE7">
        <w:trPr>
          <w:trHeight w:val="425"/>
        </w:trPr>
        <w:tc>
          <w:tcPr>
            <w:cnfStyle w:val="001000000000" w:firstRow="0" w:lastRow="0" w:firstColumn="1" w:lastColumn="0" w:oddVBand="0" w:evenVBand="0" w:oddHBand="0" w:evenHBand="0" w:firstRowFirstColumn="0" w:firstRowLastColumn="0" w:lastRowFirstColumn="0" w:lastRowLastColumn="0"/>
            <w:tcW w:w="842" w:type="dxa"/>
            <w:vMerge w:val="restart"/>
            <w:tcBorders>
              <w:right w:val="nil"/>
            </w:tcBorders>
          </w:tcPr>
          <w:p w14:paraId="731B5FCC" w14:textId="77777777" w:rsidR="00CF02AF" w:rsidRPr="00FD7E86" w:rsidRDefault="00CF02AF" w:rsidP="00A67C69">
            <w:pPr>
              <w:keepNext/>
              <w:keepLines/>
              <w:spacing w:before="60" w:after="60"/>
              <w:jc w:val="right"/>
              <w:rPr>
                <w:rFonts w:cs="Arial"/>
                <w:b/>
                <w:bCs/>
                <w:szCs w:val="18"/>
              </w:rPr>
            </w:pPr>
            <w:r w:rsidRPr="00FD7E86">
              <w:rPr>
                <w:rFonts w:cs="Arial"/>
                <w:b/>
                <w:bCs/>
                <w:noProof/>
                <w:szCs w:val="18"/>
              </w:rPr>
              <w:drawing>
                <wp:inline distT="0" distB="0" distL="0" distR="0" wp14:anchorId="52A620F9" wp14:editId="21D5FAD0">
                  <wp:extent cx="411481" cy="420625"/>
                  <wp:effectExtent l="0" t="0" r="7620" b="0"/>
                  <wp:docPr id="62" name="Picture 62"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icon-24.png"/>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411481" cy="420625"/>
                          </a:xfrm>
                          <a:prstGeom prst="rect">
                            <a:avLst/>
                          </a:prstGeom>
                        </pic:spPr>
                      </pic:pic>
                    </a:graphicData>
                  </a:graphic>
                </wp:inline>
              </w:drawing>
            </w:r>
          </w:p>
        </w:tc>
        <w:tc>
          <w:tcPr>
            <w:tcW w:w="1276" w:type="dxa"/>
            <w:vMerge w:val="restart"/>
            <w:tcBorders>
              <w:left w:val="nil"/>
              <w:right w:val="nil"/>
            </w:tcBorders>
            <w:shd w:val="clear" w:color="auto" w:fill="65CDD5" w:themeFill="accent2"/>
          </w:tcPr>
          <w:p w14:paraId="7C36FB88" w14:textId="77777777" w:rsidR="00CF02AF" w:rsidRPr="00C05F4C"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Australian children’s</w:t>
            </w:r>
            <w:r w:rsidRPr="00C05F4C">
              <w:rPr>
                <w:rFonts w:cs="Arial"/>
                <w:b/>
                <w:bCs/>
                <w:szCs w:val="18"/>
              </w:rPr>
              <w:br/>
              <w:t>C drama</w:t>
            </w:r>
          </w:p>
        </w:tc>
        <w:tc>
          <w:tcPr>
            <w:tcW w:w="1745" w:type="dxa"/>
            <w:tcBorders>
              <w:left w:val="nil"/>
            </w:tcBorders>
            <w:shd w:val="clear" w:color="auto" w:fill="65CDD5" w:themeFill="accent2"/>
          </w:tcPr>
          <w:p w14:paraId="645C9C4C" w14:textId="77777777" w:rsidR="00CF02AF" w:rsidRPr="00C05F4C" w:rsidRDefault="00CF02AF" w:rsidP="00A67C69">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First release</w:t>
            </w:r>
          </w:p>
        </w:tc>
        <w:tc>
          <w:tcPr>
            <w:tcW w:w="1515" w:type="dxa"/>
          </w:tcPr>
          <w:p w14:paraId="4FE4EE3E"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w:t>
            </w:r>
          </w:p>
        </w:tc>
        <w:tc>
          <w:tcPr>
            <w:tcW w:w="1228" w:type="dxa"/>
          </w:tcPr>
          <w:p w14:paraId="1C94AA2D"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37</w:t>
            </w:r>
          </w:p>
        </w:tc>
        <w:tc>
          <w:tcPr>
            <w:tcW w:w="1228" w:type="dxa"/>
          </w:tcPr>
          <w:p w14:paraId="0E51382C"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w:t>
            </w:r>
          </w:p>
        </w:tc>
        <w:tc>
          <w:tcPr>
            <w:tcW w:w="1229" w:type="dxa"/>
          </w:tcPr>
          <w:p w14:paraId="5CE4AFD2"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w:t>
            </w:r>
          </w:p>
        </w:tc>
      </w:tr>
      <w:tr w:rsidR="00CF02AF" w:rsidRPr="00FD7E86" w14:paraId="3D9FB9D4" w14:textId="77777777" w:rsidTr="000A7AE7">
        <w:trPr>
          <w:trHeight w:val="425"/>
        </w:trPr>
        <w:tc>
          <w:tcPr>
            <w:cnfStyle w:val="001000000000" w:firstRow="0" w:lastRow="0" w:firstColumn="1" w:lastColumn="0" w:oddVBand="0" w:evenVBand="0" w:oddHBand="0" w:evenHBand="0" w:firstRowFirstColumn="0" w:firstRowLastColumn="0" w:lastRowFirstColumn="0" w:lastRowLastColumn="0"/>
            <w:tcW w:w="842" w:type="dxa"/>
            <w:vMerge/>
            <w:tcBorders>
              <w:right w:val="nil"/>
            </w:tcBorders>
          </w:tcPr>
          <w:p w14:paraId="6873427B" w14:textId="77777777" w:rsidR="00CF02AF" w:rsidRPr="00FD7E86" w:rsidRDefault="00CF02AF" w:rsidP="00A67C69">
            <w:pPr>
              <w:keepNext/>
              <w:keepLines/>
              <w:spacing w:before="60" w:after="60"/>
              <w:jc w:val="right"/>
              <w:rPr>
                <w:rFonts w:cs="Arial"/>
                <w:b/>
                <w:bCs/>
                <w:szCs w:val="18"/>
              </w:rPr>
            </w:pPr>
          </w:p>
        </w:tc>
        <w:tc>
          <w:tcPr>
            <w:tcW w:w="1276" w:type="dxa"/>
            <w:vMerge/>
            <w:tcBorders>
              <w:left w:val="nil"/>
              <w:right w:val="nil"/>
            </w:tcBorders>
            <w:shd w:val="clear" w:color="auto" w:fill="65CDD5" w:themeFill="accent2"/>
          </w:tcPr>
          <w:p w14:paraId="28CA4E5D" w14:textId="77777777" w:rsidR="00CF02AF" w:rsidRPr="00C05F4C"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p>
        </w:tc>
        <w:tc>
          <w:tcPr>
            <w:tcW w:w="1745" w:type="dxa"/>
            <w:tcBorders>
              <w:left w:val="nil"/>
            </w:tcBorders>
            <w:shd w:val="clear" w:color="auto" w:fill="65CDD5" w:themeFill="accent2"/>
          </w:tcPr>
          <w:p w14:paraId="742D0BEA" w14:textId="77777777" w:rsidR="00CF02AF" w:rsidRPr="00C05F4C" w:rsidRDefault="00CF02AF" w:rsidP="00A67C69">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Triennium</w:t>
            </w:r>
          </w:p>
        </w:tc>
        <w:tc>
          <w:tcPr>
            <w:tcW w:w="1515" w:type="dxa"/>
          </w:tcPr>
          <w:p w14:paraId="7F2F10CE"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96</w:t>
            </w:r>
          </w:p>
        </w:tc>
        <w:tc>
          <w:tcPr>
            <w:tcW w:w="1228" w:type="dxa"/>
          </w:tcPr>
          <w:p w14:paraId="4BA4B854"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97</w:t>
            </w:r>
          </w:p>
        </w:tc>
        <w:tc>
          <w:tcPr>
            <w:tcW w:w="1228" w:type="dxa"/>
          </w:tcPr>
          <w:p w14:paraId="09405459"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w:t>
            </w:r>
          </w:p>
        </w:tc>
        <w:tc>
          <w:tcPr>
            <w:tcW w:w="1229" w:type="dxa"/>
          </w:tcPr>
          <w:p w14:paraId="03F0880B"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97</w:t>
            </w:r>
          </w:p>
        </w:tc>
      </w:tr>
      <w:tr w:rsidR="00CF02AF" w:rsidRPr="00FD7E86" w14:paraId="3D10A8E2" w14:textId="77777777" w:rsidTr="000A7AE7">
        <w:trPr>
          <w:trHeight w:val="425"/>
        </w:trPr>
        <w:tc>
          <w:tcPr>
            <w:cnfStyle w:val="001000000000" w:firstRow="0" w:lastRow="0" w:firstColumn="1" w:lastColumn="0" w:oddVBand="0" w:evenVBand="0" w:oddHBand="0" w:evenHBand="0" w:firstRowFirstColumn="0" w:firstRowLastColumn="0" w:lastRowFirstColumn="0" w:lastRowLastColumn="0"/>
            <w:tcW w:w="842" w:type="dxa"/>
            <w:vMerge/>
            <w:tcBorders>
              <w:right w:val="nil"/>
            </w:tcBorders>
          </w:tcPr>
          <w:p w14:paraId="33A8DDD2" w14:textId="77777777" w:rsidR="00CF02AF" w:rsidRPr="00FD7E86" w:rsidRDefault="00CF02AF" w:rsidP="00A67C69">
            <w:pPr>
              <w:keepNext/>
              <w:keepLines/>
              <w:spacing w:before="60" w:after="60"/>
              <w:jc w:val="right"/>
              <w:rPr>
                <w:rFonts w:cs="Arial"/>
                <w:b/>
                <w:bCs/>
                <w:szCs w:val="18"/>
              </w:rPr>
            </w:pPr>
          </w:p>
        </w:tc>
        <w:tc>
          <w:tcPr>
            <w:tcW w:w="1276" w:type="dxa"/>
            <w:vMerge/>
            <w:tcBorders>
              <w:left w:val="nil"/>
              <w:right w:val="nil"/>
            </w:tcBorders>
            <w:shd w:val="clear" w:color="auto" w:fill="65CDD5" w:themeFill="accent2"/>
          </w:tcPr>
          <w:p w14:paraId="70529907" w14:textId="77777777" w:rsidR="00CF02AF" w:rsidRPr="00C05F4C" w:rsidRDefault="00CF02AF" w:rsidP="00A67C69">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p>
        </w:tc>
        <w:tc>
          <w:tcPr>
            <w:tcW w:w="1745" w:type="dxa"/>
            <w:tcBorders>
              <w:left w:val="nil"/>
              <w:bottom w:val="single" w:sz="24" w:space="0" w:color="FFFFFF" w:themeColor="background1"/>
            </w:tcBorders>
            <w:shd w:val="clear" w:color="auto" w:fill="65CDD5" w:themeFill="accent2"/>
          </w:tcPr>
          <w:p w14:paraId="2BC59648" w14:textId="77777777" w:rsidR="00CF02AF" w:rsidRPr="00C05F4C" w:rsidRDefault="00CF02AF" w:rsidP="00A67C69">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Repeat</w:t>
            </w:r>
          </w:p>
        </w:tc>
        <w:tc>
          <w:tcPr>
            <w:tcW w:w="1515" w:type="dxa"/>
          </w:tcPr>
          <w:p w14:paraId="562321FF"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w:t>
            </w:r>
          </w:p>
        </w:tc>
        <w:tc>
          <w:tcPr>
            <w:tcW w:w="1228" w:type="dxa"/>
          </w:tcPr>
          <w:p w14:paraId="1CDC0550"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w:t>
            </w:r>
          </w:p>
        </w:tc>
        <w:tc>
          <w:tcPr>
            <w:tcW w:w="1228" w:type="dxa"/>
          </w:tcPr>
          <w:p w14:paraId="3FC48117"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43</w:t>
            </w:r>
          </w:p>
        </w:tc>
        <w:tc>
          <w:tcPr>
            <w:tcW w:w="1229" w:type="dxa"/>
          </w:tcPr>
          <w:p w14:paraId="70991D94" w14:textId="77777777" w:rsidR="00CF02AF" w:rsidRPr="00FD7E86" w:rsidRDefault="00CF02AF" w:rsidP="00A67C69">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67</w:t>
            </w:r>
          </w:p>
        </w:tc>
      </w:tr>
      <w:tr w:rsidR="00CF02AF" w:rsidRPr="00FD7E86" w14:paraId="019ED8B3" w14:textId="77777777" w:rsidTr="000A7AE7">
        <w:trPr>
          <w:trHeight w:val="860"/>
        </w:trPr>
        <w:tc>
          <w:tcPr>
            <w:cnfStyle w:val="001000000000" w:firstRow="0" w:lastRow="0" w:firstColumn="1" w:lastColumn="0" w:oddVBand="0" w:evenVBand="0" w:oddHBand="0" w:evenHBand="0" w:firstRowFirstColumn="0" w:firstRowLastColumn="0" w:lastRowFirstColumn="0" w:lastRowLastColumn="0"/>
            <w:tcW w:w="842" w:type="dxa"/>
            <w:tcBorders>
              <w:right w:val="nil"/>
            </w:tcBorders>
          </w:tcPr>
          <w:p w14:paraId="432BB227" w14:textId="77777777" w:rsidR="00CF02AF" w:rsidRPr="00FD7E86" w:rsidRDefault="00CF02AF" w:rsidP="00CD3347">
            <w:pPr>
              <w:keepNext/>
              <w:keepLines/>
              <w:spacing w:before="60" w:after="60"/>
              <w:jc w:val="right"/>
              <w:rPr>
                <w:rFonts w:cs="Arial"/>
                <w:b/>
                <w:bCs/>
                <w:szCs w:val="18"/>
              </w:rPr>
            </w:pPr>
            <w:r w:rsidRPr="00FD7E86">
              <w:rPr>
                <w:rFonts w:cs="Arial"/>
                <w:b/>
                <w:bCs/>
                <w:noProof/>
                <w:szCs w:val="18"/>
              </w:rPr>
              <w:drawing>
                <wp:inline distT="0" distB="0" distL="0" distR="0" wp14:anchorId="5B79964D" wp14:editId="2903CAD1">
                  <wp:extent cx="453600" cy="403200"/>
                  <wp:effectExtent l="0" t="0" r="3810" b="0"/>
                  <wp:docPr id="63" name="Picture 63"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icon-17.png"/>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453600" cy="403200"/>
                          </a:xfrm>
                          <a:prstGeom prst="rect">
                            <a:avLst/>
                          </a:prstGeom>
                        </pic:spPr>
                      </pic:pic>
                    </a:graphicData>
                  </a:graphic>
                </wp:inline>
              </w:drawing>
            </w:r>
          </w:p>
        </w:tc>
        <w:tc>
          <w:tcPr>
            <w:tcW w:w="1276" w:type="dxa"/>
            <w:tcBorders>
              <w:left w:val="nil"/>
              <w:right w:val="nil"/>
            </w:tcBorders>
            <w:shd w:val="clear" w:color="auto" w:fill="65CDD5" w:themeFill="accent2"/>
          </w:tcPr>
          <w:p w14:paraId="7E5E6A04" w14:textId="77777777" w:rsidR="00CF02AF" w:rsidRPr="00C05F4C" w:rsidRDefault="00CF02AF" w:rsidP="00CD3347">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Australian children’s</w:t>
            </w:r>
            <w:r w:rsidRPr="00C05F4C">
              <w:rPr>
                <w:rFonts w:cs="Arial"/>
                <w:b/>
                <w:bCs/>
                <w:szCs w:val="18"/>
              </w:rPr>
              <w:br/>
              <w:t>C programs</w:t>
            </w:r>
          </w:p>
        </w:tc>
        <w:tc>
          <w:tcPr>
            <w:tcW w:w="1745" w:type="dxa"/>
            <w:tcBorders>
              <w:left w:val="nil"/>
            </w:tcBorders>
            <w:shd w:val="clear" w:color="auto" w:fill="65CDD5" w:themeFill="accent2"/>
          </w:tcPr>
          <w:p w14:paraId="07161238" w14:textId="77777777" w:rsidR="00CF02AF" w:rsidRPr="00C05F4C" w:rsidRDefault="00CF02AF" w:rsidP="00CD3347">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First release including C drama</w:t>
            </w:r>
          </w:p>
        </w:tc>
        <w:tc>
          <w:tcPr>
            <w:tcW w:w="1515" w:type="dxa"/>
          </w:tcPr>
          <w:p w14:paraId="74C59E12"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w:t>
            </w:r>
          </w:p>
        </w:tc>
        <w:tc>
          <w:tcPr>
            <w:tcW w:w="1228" w:type="dxa"/>
          </w:tcPr>
          <w:p w14:paraId="5C4E0D6D"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w:t>
            </w:r>
          </w:p>
        </w:tc>
        <w:tc>
          <w:tcPr>
            <w:tcW w:w="1228" w:type="dxa"/>
          </w:tcPr>
          <w:p w14:paraId="3965F639"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w:t>
            </w:r>
          </w:p>
        </w:tc>
        <w:tc>
          <w:tcPr>
            <w:tcW w:w="1229" w:type="dxa"/>
          </w:tcPr>
          <w:p w14:paraId="17A3CA91"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w:t>
            </w:r>
          </w:p>
        </w:tc>
      </w:tr>
      <w:tr w:rsidR="00CF02AF" w:rsidRPr="00FD7E86" w14:paraId="2797E697" w14:textId="77777777" w:rsidTr="000A7AE7">
        <w:trPr>
          <w:trHeight w:val="851"/>
        </w:trPr>
        <w:tc>
          <w:tcPr>
            <w:cnfStyle w:val="001000000000" w:firstRow="0" w:lastRow="0" w:firstColumn="1" w:lastColumn="0" w:oddVBand="0" w:evenVBand="0" w:oddHBand="0" w:evenHBand="0" w:firstRowFirstColumn="0" w:firstRowLastColumn="0" w:lastRowFirstColumn="0" w:lastRowLastColumn="0"/>
            <w:tcW w:w="842" w:type="dxa"/>
            <w:tcBorders>
              <w:right w:val="nil"/>
            </w:tcBorders>
          </w:tcPr>
          <w:p w14:paraId="45EBEB19" w14:textId="77777777" w:rsidR="00CF02AF" w:rsidRPr="00FD7E86" w:rsidRDefault="00CF02AF" w:rsidP="00CD3347">
            <w:pPr>
              <w:keepNext/>
              <w:keepLines/>
              <w:spacing w:before="60" w:after="60"/>
              <w:jc w:val="right"/>
              <w:rPr>
                <w:rFonts w:cs="Arial"/>
                <w:b/>
                <w:bCs/>
                <w:szCs w:val="18"/>
              </w:rPr>
            </w:pPr>
            <w:r w:rsidRPr="00FD7E86">
              <w:rPr>
                <w:rFonts w:cs="Arial"/>
                <w:b/>
                <w:bCs/>
                <w:noProof/>
                <w:szCs w:val="18"/>
              </w:rPr>
              <w:drawing>
                <wp:inline distT="0" distB="0" distL="0" distR="0" wp14:anchorId="155B72CB" wp14:editId="118871D2">
                  <wp:extent cx="428400" cy="370800"/>
                  <wp:effectExtent l="0" t="0" r="0" b="0"/>
                  <wp:docPr id="64" name="Picture 64"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con-23.png"/>
                          <pic:cNvPicPr/>
                        </pic:nvPicPr>
                        <pic:blipFill>
                          <a:blip r:embed="rId104" cstate="print">
                            <a:extLst>
                              <a:ext uri="{28A0092B-C50C-407E-A947-70E740481C1C}">
                                <a14:useLocalDpi xmlns:a14="http://schemas.microsoft.com/office/drawing/2010/main" val="0"/>
                              </a:ext>
                            </a:extLst>
                          </a:blip>
                          <a:stretch>
                            <a:fillRect/>
                          </a:stretch>
                        </pic:blipFill>
                        <pic:spPr>
                          <a:xfrm>
                            <a:off x="0" y="0"/>
                            <a:ext cx="428400" cy="370800"/>
                          </a:xfrm>
                          <a:prstGeom prst="rect">
                            <a:avLst/>
                          </a:prstGeom>
                        </pic:spPr>
                      </pic:pic>
                    </a:graphicData>
                  </a:graphic>
                </wp:inline>
              </w:drawing>
            </w:r>
          </w:p>
        </w:tc>
        <w:tc>
          <w:tcPr>
            <w:tcW w:w="1276" w:type="dxa"/>
            <w:tcBorders>
              <w:left w:val="nil"/>
              <w:right w:val="nil"/>
            </w:tcBorders>
            <w:shd w:val="clear" w:color="auto" w:fill="65CDD5" w:themeFill="accent2"/>
          </w:tcPr>
          <w:p w14:paraId="06A6EE09" w14:textId="77777777" w:rsidR="00CF02AF" w:rsidRPr="00C05F4C" w:rsidRDefault="00CF02AF" w:rsidP="00CD3347">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Children’s</w:t>
            </w:r>
            <w:r w:rsidRPr="00C05F4C">
              <w:rPr>
                <w:rFonts w:cs="Arial"/>
                <w:b/>
                <w:bCs/>
                <w:szCs w:val="18"/>
              </w:rPr>
              <w:br/>
              <w:t>C programs</w:t>
            </w:r>
          </w:p>
        </w:tc>
        <w:tc>
          <w:tcPr>
            <w:tcW w:w="1745" w:type="dxa"/>
            <w:tcBorders>
              <w:left w:val="nil"/>
            </w:tcBorders>
            <w:shd w:val="clear" w:color="auto" w:fill="65CDD5" w:themeFill="accent2"/>
          </w:tcPr>
          <w:p w14:paraId="4D0686F1" w14:textId="77777777" w:rsidR="00CF02AF" w:rsidRPr="00C05F4C" w:rsidRDefault="00CF02AF" w:rsidP="00CD3347">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All</w:t>
            </w:r>
          </w:p>
        </w:tc>
        <w:tc>
          <w:tcPr>
            <w:tcW w:w="1515" w:type="dxa"/>
          </w:tcPr>
          <w:p w14:paraId="0E73A3D2"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260</w:t>
            </w:r>
          </w:p>
        </w:tc>
        <w:tc>
          <w:tcPr>
            <w:tcW w:w="1228" w:type="dxa"/>
          </w:tcPr>
          <w:p w14:paraId="056061B8"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262</w:t>
            </w:r>
          </w:p>
        </w:tc>
        <w:tc>
          <w:tcPr>
            <w:tcW w:w="1228" w:type="dxa"/>
          </w:tcPr>
          <w:p w14:paraId="5D918CAF"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262</w:t>
            </w:r>
          </w:p>
        </w:tc>
        <w:tc>
          <w:tcPr>
            <w:tcW w:w="1229" w:type="dxa"/>
          </w:tcPr>
          <w:p w14:paraId="33CF024C"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261</w:t>
            </w:r>
          </w:p>
        </w:tc>
      </w:tr>
      <w:tr w:rsidR="00CF02AF" w:rsidRPr="00FD7E86" w14:paraId="17BB733D" w14:textId="77777777" w:rsidTr="000A7AE7">
        <w:trPr>
          <w:trHeight w:val="851"/>
        </w:trPr>
        <w:tc>
          <w:tcPr>
            <w:cnfStyle w:val="001000000000" w:firstRow="0" w:lastRow="0" w:firstColumn="1" w:lastColumn="0" w:oddVBand="0" w:evenVBand="0" w:oddHBand="0" w:evenHBand="0" w:firstRowFirstColumn="0" w:firstRowLastColumn="0" w:lastRowFirstColumn="0" w:lastRowLastColumn="0"/>
            <w:tcW w:w="842" w:type="dxa"/>
            <w:tcBorders>
              <w:right w:val="nil"/>
            </w:tcBorders>
          </w:tcPr>
          <w:p w14:paraId="0976058D" w14:textId="77777777" w:rsidR="00CF02AF" w:rsidRPr="00FD7E86" w:rsidRDefault="00CF02AF" w:rsidP="00CD3347">
            <w:pPr>
              <w:keepNext/>
              <w:keepLines/>
              <w:spacing w:before="60" w:after="60"/>
              <w:jc w:val="right"/>
              <w:rPr>
                <w:rFonts w:cs="Arial"/>
                <w:b/>
                <w:bCs/>
                <w:szCs w:val="18"/>
              </w:rPr>
            </w:pPr>
            <w:r w:rsidRPr="00FD7E86">
              <w:rPr>
                <w:rFonts w:cs="Arial"/>
                <w:b/>
                <w:bCs/>
                <w:noProof/>
                <w:szCs w:val="18"/>
              </w:rPr>
              <w:drawing>
                <wp:inline distT="0" distB="0" distL="0" distR="0" wp14:anchorId="379AB282" wp14:editId="3A833A1D">
                  <wp:extent cx="424800" cy="392400"/>
                  <wp:effectExtent l="0" t="0" r="0" b="8255"/>
                  <wp:docPr id="65" name="Picture 65"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con-22.png"/>
                          <pic:cNvPicPr/>
                        </pic:nvPicPr>
                        <pic:blipFill>
                          <a:blip r:embed="rId105">
                            <a:extLst>
                              <a:ext uri="{28A0092B-C50C-407E-A947-70E740481C1C}">
                                <a14:useLocalDpi xmlns:a14="http://schemas.microsoft.com/office/drawing/2010/main" val="0"/>
                              </a:ext>
                            </a:extLst>
                          </a:blip>
                          <a:stretch>
                            <a:fillRect/>
                          </a:stretch>
                        </pic:blipFill>
                        <pic:spPr>
                          <a:xfrm>
                            <a:off x="0" y="0"/>
                            <a:ext cx="424800" cy="392400"/>
                          </a:xfrm>
                          <a:prstGeom prst="rect">
                            <a:avLst/>
                          </a:prstGeom>
                        </pic:spPr>
                      </pic:pic>
                    </a:graphicData>
                  </a:graphic>
                </wp:inline>
              </w:drawing>
            </w:r>
          </w:p>
        </w:tc>
        <w:tc>
          <w:tcPr>
            <w:tcW w:w="1276" w:type="dxa"/>
            <w:tcBorders>
              <w:left w:val="nil"/>
              <w:right w:val="nil"/>
            </w:tcBorders>
            <w:shd w:val="clear" w:color="auto" w:fill="65CDD5" w:themeFill="accent2"/>
          </w:tcPr>
          <w:p w14:paraId="0FBFABC5" w14:textId="77777777" w:rsidR="00CF02AF" w:rsidRPr="00C05F4C" w:rsidRDefault="00CF02AF" w:rsidP="00CD3347">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b/>
                <w:bCs/>
                <w:szCs w:val="18"/>
              </w:rPr>
            </w:pPr>
            <w:r w:rsidRPr="00C05F4C">
              <w:rPr>
                <w:rFonts w:cs="Arial"/>
                <w:b/>
                <w:bCs/>
                <w:szCs w:val="18"/>
              </w:rPr>
              <w:t>Australian preschool</w:t>
            </w:r>
            <w:r w:rsidRPr="00C05F4C">
              <w:rPr>
                <w:rFonts w:cs="Arial"/>
                <w:b/>
                <w:bCs/>
                <w:szCs w:val="18"/>
              </w:rPr>
              <w:br/>
              <w:t>P programs</w:t>
            </w:r>
          </w:p>
        </w:tc>
        <w:tc>
          <w:tcPr>
            <w:tcW w:w="1745" w:type="dxa"/>
            <w:tcBorders>
              <w:left w:val="nil"/>
            </w:tcBorders>
            <w:shd w:val="clear" w:color="auto" w:fill="65CDD5" w:themeFill="accent2"/>
          </w:tcPr>
          <w:p w14:paraId="472D6B39" w14:textId="77777777" w:rsidR="00CF02AF" w:rsidRPr="00C05F4C" w:rsidRDefault="00CF02AF" w:rsidP="00CD3347">
            <w:pPr>
              <w:keepNext/>
              <w:keepLines/>
              <w:spacing w:before="60" w:after="60"/>
              <w:ind w:left="12"/>
              <w:cnfStyle w:val="000000000000" w:firstRow="0" w:lastRow="0" w:firstColumn="0" w:lastColumn="0" w:oddVBand="0" w:evenVBand="0" w:oddHBand="0" w:evenHBand="0" w:firstRowFirstColumn="0" w:firstRowLastColumn="0" w:lastRowFirstColumn="0" w:lastRowLastColumn="0"/>
              <w:rPr>
                <w:rFonts w:cs="Arial"/>
                <w:bCs/>
                <w:szCs w:val="18"/>
              </w:rPr>
            </w:pPr>
            <w:r w:rsidRPr="00C05F4C">
              <w:rPr>
                <w:rFonts w:cs="Arial"/>
                <w:bCs/>
                <w:szCs w:val="18"/>
              </w:rPr>
              <w:t>All</w:t>
            </w:r>
          </w:p>
        </w:tc>
        <w:tc>
          <w:tcPr>
            <w:tcW w:w="1515" w:type="dxa"/>
          </w:tcPr>
          <w:p w14:paraId="34774E90"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w:t>
            </w:r>
          </w:p>
        </w:tc>
        <w:tc>
          <w:tcPr>
            <w:tcW w:w="1228" w:type="dxa"/>
          </w:tcPr>
          <w:p w14:paraId="600DB085"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131</w:t>
            </w:r>
          </w:p>
        </w:tc>
        <w:tc>
          <w:tcPr>
            <w:tcW w:w="1228" w:type="dxa"/>
          </w:tcPr>
          <w:p w14:paraId="0839BFBA"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131</w:t>
            </w:r>
          </w:p>
        </w:tc>
        <w:tc>
          <w:tcPr>
            <w:tcW w:w="1229" w:type="dxa"/>
          </w:tcPr>
          <w:p w14:paraId="2A7CFB25" w14:textId="77777777" w:rsidR="00CF02AF" w:rsidRPr="00FD7E86" w:rsidRDefault="00CF02AF" w:rsidP="00CD3347">
            <w:pPr>
              <w:keepNext/>
              <w:keepLines/>
              <w:spacing w:before="60" w:after="60"/>
              <w:ind w:right="21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131</w:t>
            </w:r>
          </w:p>
        </w:tc>
      </w:tr>
    </w:tbl>
    <w:p w14:paraId="0D40B8DD" w14:textId="77777777" w:rsidR="00CF02AF" w:rsidRPr="00FD7E86" w:rsidRDefault="00CF02AF" w:rsidP="00CD3347">
      <w:pPr>
        <w:pStyle w:val="ACMANotes"/>
        <w:keepNext/>
        <w:keepLines/>
      </w:pPr>
      <w:r w:rsidRPr="00FD7E86">
        <w:t>Note: Licensee requirements for each network are calculated by averaging across the following locations: Seven Network–five mainland state capital cities, Nine Network–Brisbane, Melbourne and Sydney, Ten Network–five mainland capital cities.</w:t>
      </w:r>
    </w:p>
    <w:p w14:paraId="0700B7A0" w14:textId="77777777" w:rsidR="00CF02AF" w:rsidRPr="00FD7E86" w:rsidRDefault="00CF02AF" w:rsidP="000E4F20">
      <w:pPr>
        <w:pStyle w:val="ACMANotes"/>
      </w:pPr>
      <w:r w:rsidRPr="00FD7E86">
        <w:t>Source: ACMA.</w:t>
      </w:r>
    </w:p>
    <w:p w14:paraId="41913796" w14:textId="77777777" w:rsidR="000B1962" w:rsidRPr="00FD7E86" w:rsidRDefault="000B1962" w:rsidP="00233BF4">
      <w:pPr>
        <w:pStyle w:val="ACMASpaceaftertable"/>
        <w:rPr>
          <w:i/>
          <w:sz w:val="16"/>
          <w:szCs w:val="16"/>
        </w:rPr>
      </w:pPr>
    </w:p>
    <w:p w14:paraId="7B0E53C0" w14:textId="77777777" w:rsidR="00CF02AF" w:rsidRPr="00FD7E86" w:rsidRDefault="00CF02AF" w:rsidP="004345FC">
      <w:pPr>
        <w:pStyle w:val="ACMAHeading2"/>
      </w:pPr>
      <w:bookmarkStart w:id="262" w:name="_Toc399331816"/>
      <w:bookmarkStart w:id="263" w:name="_Toc399336997"/>
      <w:bookmarkStart w:id="264" w:name="_Toc402337602"/>
      <w:bookmarkStart w:id="265" w:name="_Toc433790369"/>
      <w:r w:rsidRPr="00FD7E86">
        <w:t>Subscription television drama expenditure</w:t>
      </w:r>
      <w:bookmarkEnd w:id="262"/>
      <w:bookmarkEnd w:id="263"/>
      <w:bookmarkEnd w:id="264"/>
      <w:bookmarkEnd w:id="265"/>
    </w:p>
    <w:p w14:paraId="6FAFD9EB" w14:textId="77777777" w:rsidR="00CF02AF" w:rsidRPr="00FD7E86" w:rsidRDefault="00CF02AF" w:rsidP="00CF02AF">
      <w:pPr>
        <w:rPr>
          <w:rFonts w:cs="Arial"/>
          <w:szCs w:val="20"/>
        </w:rPr>
      </w:pPr>
      <w:r w:rsidRPr="00FD7E86">
        <w:rPr>
          <w:rFonts w:cs="Arial"/>
          <w:szCs w:val="20"/>
        </w:rPr>
        <w:t>The new eligible drama expenditure scheme requires subscription television broadcasting licensees and channel providers that provide drama services to spend at least 10 per cent of their annual total program expenditure on eligible drama programs during a financial year.</w:t>
      </w:r>
      <w:r w:rsidRPr="00FD7E86">
        <w:rPr>
          <w:rStyle w:val="EndnoteReference"/>
          <w:rFonts w:cs="Arial"/>
          <w:szCs w:val="20"/>
        </w:rPr>
        <w:endnoteReference w:id="103"/>
      </w:r>
      <w:r w:rsidRPr="00FD7E86">
        <w:rPr>
          <w:rFonts w:cs="Arial"/>
          <w:szCs w:val="20"/>
        </w:rPr>
        <w:t xml:space="preserve"> If the 10 per cent expenditure requirement is not met in the relevant financial year, the shortfall amount must be made up in the following year.</w:t>
      </w:r>
    </w:p>
    <w:p w14:paraId="4847FF3C" w14:textId="77777777" w:rsidR="00CF02AF" w:rsidRPr="00FD7E86" w:rsidRDefault="00CF02AF" w:rsidP="00CF02AF">
      <w:pPr>
        <w:rPr>
          <w:rFonts w:cs="Arial"/>
          <w:szCs w:val="20"/>
        </w:rPr>
      </w:pPr>
      <w:r w:rsidRPr="00FD7E86">
        <w:rPr>
          <w:rFonts w:cs="Arial"/>
          <w:szCs w:val="20"/>
        </w:rPr>
        <w:t xml:space="preserve">To be eligible, a drama program must be an Australian or New Zealand production or co-production, and must not have been televised in Australia or New Zealand on a broadcasting service at any time before the expenditure on the program was incurred. </w:t>
      </w:r>
    </w:p>
    <w:p w14:paraId="0D178C2C" w14:textId="77777777" w:rsidR="00CF02AF" w:rsidRPr="00FD7E86" w:rsidRDefault="00CF02AF" w:rsidP="00CF02AF">
      <w:pPr>
        <w:rPr>
          <w:rFonts w:cs="Arial"/>
          <w:szCs w:val="20"/>
        </w:rPr>
      </w:pPr>
      <w:r w:rsidRPr="00FD7E86">
        <w:rPr>
          <w:rFonts w:cs="Arial"/>
          <w:szCs w:val="20"/>
        </w:rPr>
        <w:t>The BSA defines a subscription television drama service as a service devoted predominantly to drama programs, that is, more than 50 per cent of the programming consists of drama programs.</w:t>
      </w:r>
    </w:p>
    <w:p w14:paraId="5B6932A0" w14:textId="77777777" w:rsidR="00CF02AF" w:rsidRPr="00FD7E86" w:rsidRDefault="00CF02AF" w:rsidP="00CF02AF">
      <w:pPr>
        <w:rPr>
          <w:rFonts w:cs="Arial"/>
          <w:szCs w:val="20"/>
        </w:rPr>
      </w:pPr>
      <w:r w:rsidRPr="00FD7E86">
        <w:rPr>
          <w:rFonts w:cs="Arial"/>
          <w:szCs w:val="20"/>
        </w:rPr>
        <w:t>For the 2013–14 compliance period</w:t>
      </w:r>
      <w:r w:rsidRPr="00FD7E86">
        <w:rPr>
          <w:rStyle w:val="EndnoteReference"/>
          <w:rFonts w:cs="Arial"/>
          <w:szCs w:val="20"/>
        </w:rPr>
        <w:endnoteReference w:id="104"/>
      </w:r>
      <w:r w:rsidR="00605153" w:rsidRPr="00FD7E86">
        <w:rPr>
          <w:rFonts w:cs="Arial"/>
          <w:szCs w:val="20"/>
        </w:rPr>
        <w:t>,</w:t>
      </w:r>
      <w:r w:rsidRPr="00FD7E86">
        <w:rPr>
          <w:rFonts w:cs="Arial"/>
          <w:szCs w:val="20"/>
        </w:rPr>
        <w:t xml:space="preserve"> five licensees and six channel providers supplied 30</w:t>
      </w:r>
      <w:r w:rsidR="000E39B8" w:rsidRPr="00FD7E86">
        <w:rPr>
          <w:rFonts w:cs="Arial"/>
          <w:szCs w:val="20"/>
        </w:rPr>
        <w:t xml:space="preserve"> </w:t>
      </w:r>
      <w:r w:rsidRPr="00FD7E86">
        <w:rPr>
          <w:rFonts w:cs="Arial"/>
          <w:szCs w:val="20"/>
        </w:rPr>
        <w:t>eligible drama channels. All participants met their expenditure obligations for 2013–14, reporting the highest level of new Australian drama expenditure of $36.81 million (aggregated). Of that expenditure, $25.76 million was nominated to acquit the expenditure shortfall for 2012–13. For 2014–15, licensees and channel providers must spend a minimum of $18.06 million (in total) on new eligible programs to acquit the remaining 2013–14 obligation.</w:t>
      </w:r>
    </w:p>
    <w:p w14:paraId="6DC7F844" w14:textId="77777777" w:rsidR="00CF02AF" w:rsidRPr="00FD7E86" w:rsidRDefault="00CF02AF" w:rsidP="00CF02AF">
      <w:pPr>
        <w:rPr>
          <w:rFonts w:cs="Arial"/>
          <w:szCs w:val="20"/>
        </w:rPr>
      </w:pPr>
      <w:r w:rsidRPr="00FD7E86">
        <w:rPr>
          <w:rFonts w:cs="Arial"/>
          <w:szCs w:val="20"/>
        </w:rPr>
        <w:t>Annual licensee and channel provider returns for the 2014–15 period fall due on 29 August 2015 and results were not available at the time of publication.</w:t>
      </w:r>
    </w:p>
    <w:p w14:paraId="2B8C483C" w14:textId="77777777" w:rsidR="00CF02AF" w:rsidRPr="00FD7E86" w:rsidRDefault="00CF02AF" w:rsidP="004345FC">
      <w:pPr>
        <w:pStyle w:val="ACMAHeading2"/>
      </w:pPr>
      <w:bookmarkStart w:id="266" w:name="_Toc433790370"/>
      <w:r w:rsidRPr="00FD7E86">
        <w:lastRenderedPageBreak/>
        <w:t>Captioning</w:t>
      </w:r>
      <w:bookmarkEnd w:id="266"/>
    </w:p>
    <w:p w14:paraId="3FBBDF44" w14:textId="77777777" w:rsidR="00CF02AF" w:rsidRPr="00FD7E86" w:rsidRDefault="00CF02AF" w:rsidP="004D4DF8">
      <w:pPr>
        <w:keepNext/>
        <w:spacing w:after="80"/>
        <w:rPr>
          <w:rFonts w:cs="Arial"/>
        </w:rPr>
      </w:pPr>
      <w:r w:rsidRPr="00FD7E86">
        <w:rPr>
          <w:rFonts w:cs="Arial"/>
        </w:rPr>
        <w:t>During 2013–14</w:t>
      </w:r>
      <w:r w:rsidRPr="00FD7E86">
        <w:rPr>
          <w:rStyle w:val="EndnoteReference"/>
          <w:rFonts w:cs="Arial"/>
          <w:szCs w:val="16"/>
        </w:rPr>
        <w:endnoteReference w:id="105"/>
      </w:r>
      <w:r w:rsidR="00E867D7" w:rsidRPr="00FD7E86">
        <w:rPr>
          <w:rFonts w:cs="Arial"/>
        </w:rPr>
        <w:t>,</w:t>
      </w:r>
      <w:r w:rsidRPr="00FD7E86">
        <w:rPr>
          <w:rFonts w:cs="Arial"/>
        </w:rPr>
        <w:t xml:space="preserve"> television service providers reported a high level of compliance with annual captioning target requirements set out in the BSA</w:t>
      </w:r>
      <w:r w:rsidR="0022218E">
        <w:rPr>
          <w:rFonts w:cs="Arial"/>
        </w:rPr>
        <w:t>:</w:t>
      </w:r>
      <w:r w:rsidRPr="00FD7E86">
        <w:rPr>
          <w:rFonts w:cs="Arial"/>
        </w:rPr>
        <w:t xml:space="preserve"> </w:t>
      </w:r>
    </w:p>
    <w:p w14:paraId="257119C2" w14:textId="77777777" w:rsidR="00CF02AF" w:rsidRPr="00FD7E86" w:rsidRDefault="00CF02AF" w:rsidP="00CF02AF">
      <w:pPr>
        <w:pStyle w:val="ListBullet"/>
        <w:rPr>
          <w:rFonts w:eastAsiaTheme="minorHAnsi" w:cs="Arial"/>
          <w:szCs w:val="22"/>
          <w:lang w:eastAsia="en-US"/>
        </w:rPr>
      </w:pPr>
      <w:r w:rsidRPr="00FD7E86">
        <w:rPr>
          <w:rFonts w:eastAsiaTheme="minorHAnsi" w:cs="Arial"/>
          <w:szCs w:val="22"/>
          <w:lang w:eastAsia="en-US"/>
        </w:rPr>
        <w:t>All commercial television broadcasting licensees (providing 75 services in total) and one national broadcaster (providing the SBS services in 12 coverage areas) complied with, and exceeded, their annual captioning target requirements.</w:t>
      </w:r>
    </w:p>
    <w:p w14:paraId="7EF5EA16" w14:textId="77777777" w:rsidR="00CF02AF" w:rsidRPr="00FD7E86" w:rsidRDefault="00CF02AF" w:rsidP="00CF02AF">
      <w:pPr>
        <w:pStyle w:val="ListBullet"/>
        <w:rPr>
          <w:rFonts w:eastAsiaTheme="minorHAnsi" w:cs="Arial"/>
          <w:szCs w:val="22"/>
          <w:lang w:eastAsia="en-US"/>
        </w:rPr>
      </w:pPr>
      <w:r w:rsidRPr="00FD7E86">
        <w:rPr>
          <w:rFonts w:eastAsiaTheme="minorHAnsi" w:cs="Arial"/>
          <w:szCs w:val="22"/>
          <w:lang w:eastAsia="en-US"/>
        </w:rPr>
        <w:t>A total of 573,352 hours of television programs were broadcast with a captioning service on the main channels of commercial and national television broadcasting services in 2013–14 (6</w:t>
      </w:r>
      <w:r w:rsidR="000E39B8" w:rsidRPr="00FD7E86">
        <w:rPr>
          <w:rFonts w:eastAsiaTheme="minorHAnsi" w:cs="Arial"/>
          <w:szCs w:val="22"/>
          <w:lang w:eastAsia="en-US"/>
        </w:rPr>
        <w:t>.00</w:t>
      </w:r>
      <w:r w:rsidR="00FD26C6" w:rsidRPr="00FD7E86">
        <w:rPr>
          <w:rFonts w:eastAsiaTheme="minorHAnsi" w:cs="Arial"/>
          <w:szCs w:val="22"/>
          <w:lang w:eastAsia="en-US"/>
        </w:rPr>
        <w:t xml:space="preserve"> </w:t>
      </w:r>
      <w:r w:rsidRPr="00FD7E86">
        <w:rPr>
          <w:rFonts w:eastAsiaTheme="minorHAnsi" w:cs="Arial"/>
          <w:szCs w:val="22"/>
          <w:lang w:eastAsia="en-US"/>
        </w:rPr>
        <w:t>am to midnight). This was an increase of 26,712 hours of captioning compared to</w:t>
      </w:r>
      <w:r w:rsidR="003B7CED" w:rsidRPr="00FD7E86">
        <w:rPr>
          <w:rFonts w:eastAsiaTheme="minorHAnsi" w:cs="Arial"/>
          <w:szCs w:val="22"/>
          <w:lang w:eastAsia="en-US"/>
        </w:rPr>
        <w:t xml:space="preserve"> </w:t>
      </w:r>
      <w:r w:rsidRPr="00FD7E86">
        <w:rPr>
          <w:rFonts w:eastAsiaTheme="minorHAnsi" w:cs="Arial"/>
          <w:szCs w:val="22"/>
          <w:lang w:eastAsia="en-US"/>
        </w:rPr>
        <w:t>the same period in 2012–13.</w:t>
      </w:r>
    </w:p>
    <w:p w14:paraId="3B223A30" w14:textId="77777777" w:rsidR="00CF02AF" w:rsidRPr="00FD7E86" w:rsidRDefault="00CF02AF" w:rsidP="00CF02AF">
      <w:pPr>
        <w:pStyle w:val="ListBullet"/>
        <w:rPr>
          <w:rFonts w:eastAsiaTheme="minorHAnsi" w:cs="Arial"/>
          <w:szCs w:val="22"/>
          <w:lang w:eastAsia="en-US"/>
        </w:rPr>
      </w:pPr>
      <w:r w:rsidRPr="00FD7E86">
        <w:rPr>
          <w:rFonts w:eastAsiaTheme="minorHAnsi" w:cs="Arial"/>
          <w:szCs w:val="22"/>
          <w:lang w:eastAsia="en-US"/>
        </w:rPr>
        <w:t>Ninety-nine per cent of subscription television licensees (656 out of 660) met their annual captioning target requirements. Sixty-seven per cent exceeded the</w:t>
      </w:r>
      <w:r w:rsidR="00E867D7" w:rsidRPr="00FD7E86">
        <w:rPr>
          <w:rFonts w:eastAsiaTheme="minorHAnsi" w:cs="Arial"/>
          <w:szCs w:val="22"/>
          <w:lang w:eastAsia="en-US"/>
        </w:rPr>
        <w:t>ir</w:t>
      </w:r>
      <w:r w:rsidRPr="00FD7E86">
        <w:rPr>
          <w:rFonts w:eastAsiaTheme="minorHAnsi" w:cs="Arial"/>
          <w:szCs w:val="22"/>
          <w:lang w:eastAsia="en-US"/>
        </w:rPr>
        <w:t xml:space="preserve"> captioning target.</w:t>
      </w:r>
    </w:p>
    <w:p w14:paraId="2B1F285E" w14:textId="77777777" w:rsidR="00CF02AF" w:rsidRPr="00FD7E86" w:rsidRDefault="00CF02AF" w:rsidP="000664F7">
      <w:pPr>
        <w:pStyle w:val="ListBulletLast"/>
        <w:rPr>
          <w:rFonts w:eastAsiaTheme="minorHAnsi"/>
          <w:lang w:eastAsia="en-US"/>
        </w:rPr>
      </w:pPr>
      <w:r w:rsidRPr="00FD7E86">
        <w:rPr>
          <w:rFonts w:eastAsiaTheme="minorHAnsi"/>
          <w:lang w:eastAsia="en-US"/>
        </w:rPr>
        <w:t>A total of 2,080,552 hours of captioned content were broadcast on subscription television services in 2013–14. This was an increase of 622,192 hours compared to 2012–13.</w:t>
      </w:r>
    </w:p>
    <w:p w14:paraId="655C6B53" w14:textId="77777777" w:rsidR="00CF02AF" w:rsidRPr="00FD7E86" w:rsidRDefault="00CF02AF" w:rsidP="00CF02AF">
      <w:pPr>
        <w:rPr>
          <w:rFonts w:cs="Arial"/>
        </w:rPr>
      </w:pPr>
      <w:r w:rsidRPr="00FD7E86">
        <w:rPr>
          <w:rFonts w:cs="Arial"/>
        </w:rPr>
        <w:t xml:space="preserve">Television service providers also reported instances when they failed to meet captioning obligations during 2013–14. All of the television service providers that did not meet their captioning obligations have taken appropriate steps to prevent similar issues recurring, including resolving technical issues, enhancing procedures and undertaking staff training. </w:t>
      </w:r>
    </w:p>
    <w:p w14:paraId="258E2C71" w14:textId="77777777" w:rsidR="00CF02AF" w:rsidRPr="00FD7E86" w:rsidRDefault="00CF02AF" w:rsidP="00CF02AF">
      <w:pPr>
        <w:rPr>
          <w:rFonts w:cs="Arial"/>
        </w:rPr>
      </w:pPr>
      <w:r w:rsidRPr="00FD7E86">
        <w:rPr>
          <w:rFonts w:cs="Arial"/>
        </w:rPr>
        <w:t>The ACMA</w:t>
      </w:r>
      <w:r w:rsidR="00FD26C6" w:rsidRPr="00FD7E86">
        <w:rPr>
          <w:rFonts w:cs="Arial"/>
        </w:rPr>
        <w:t xml:space="preserve"> </w:t>
      </w:r>
      <w:r w:rsidRPr="00FD7E86">
        <w:rPr>
          <w:rFonts w:cs="Arial"/>
        </w:rPr>
        <w:t xml:space="preserve">did not take any enforcement action </w:t>
      </w:r>
      <w:r w:rsidR="009A5160" w:rsidRPr="00FD7E86">
        <w:rPr>
          <w:rFonts w:cs="Arial"/>
        </w:rPr>
        <w:t>on</w:t>
      </w:r>
      <w:r w:rsidRPr="00FD7E86">
        <w:rPr>
          <w:rFonts w:cs="Arial"/>
        </w:rPr>
        <w:t xml:space="preserve"> these matters.</w:t>
      </w:r>
      <w:r w:rsidR="00FD26C6" w:rsidRPr="00FD7E86">
        <w:rPr>
          <w:rFonts w:cs="Arial"/>
        </w:rPr>
        <w:t xml:space="preserve"> </w:t>
      </w:r>
      <w:r w:rsidRPr="00FD7E86">
        <w:rPr>
          <w:rFonts w:cs="Arial"/>
        </w:rPr>
        <w:t xml:space="preserve">This is consistent with the ACMA’s compliance and enforcement approach—a graduated and strategic risk-based approach that generally uses the minimum power or intervention necessary to achieve the desired result. </w:t>
      </w:r>
    </w:p>
    <w:p w14:paraId="5A4BA3FF" w14:textId="77777777" w:rsidR="00CF02AF" w:rsidRPr="00FD7E86" w:rsidRDefault="00CF02AF" w:rsidP="00CF02AF">
      <w:pPr>
        <w:rPr>
          <w:rFonts w:cs="Arial"/>
        </w:rPr>
      </w:pPr>
      <w:r w:rsidRPr="00FD7E86">
        <w:rPr>
          <w:rFonts w:cs="Arial"/>
        </w:rPr>
        <w:t>Table 3.5 provides a summary of the self-reported breaches, excluding disregarded breaches</w:t>
      </w:r>
      <w:r w:rsidR="00E867D7" w:rsidRPr="00FD7E86">
        <w:rPr>
          <w:rFonts w:cs="Arial"/>
        </w:rPr>
        <w:t xml:space="preserve">, that is, </w:t>
      </w:r>
      <w:r w:rsidRPr="00FD7E86">
        <w:rPr>
          <w:rFonts w:cs="Arial"/>
        </w:rPr>
        <w:t>breaches resulting from unforeseen technical difficulties were disregarded as provided by the captioning legislation.</w:t>
      </w:r>
    </w:p>
    <w:p w14:paraId="22DF4947" w14:textId="77777777" w:rsidR="00CF02AF" w:rsidRPr="00FD7E86" w:rsidRDefault="00CF02AF" w:rsidP="00A67C69">
      <w:pPr>
        <w:pStyle w:val="Caption"/>
        <w:keepNext/>
        <w:keepLines/>
        <w:numPr>
          <w:ilvl w:val="0"/>
          <w:numId w:val="0"/>
        </w:numPr>
        <w:spacing w:after="160"/>
        <w:rPr>
          <w:noProof/>
        </w:rPr>
      </w:pPr>
      <w:r w:rsidRPr="00FD7E86">
        <w:rPr>
          <w:noProof/>
        </w:rPr>
        <w:lastRenderedPageBreak/>
        <w:t>Table 3.5: Captioning breaches reported by television services 2013–14</w:t>
      </w:r>
    </w:p>
    <w:tbl>
      <w:tblPr>
        <w:tblStyle w:val="Commsreport2014-15TABLE"/>
        <w:tblW w:w="9429" w:type="dxa"/>
        <w:tblLayout w:type="fixed"/>
        <w:tblLook w:val="04A0" w:firstRow="1" w:lastRow="0" w:firstColumn="1" w:lastColumn="0" w:noHBand="0" w:noVBand="1"/>
        <w:tblCaption w:val="Table 3.5: Captioning breaches reported by television services 2013–14"/>
      </w:tblPr>
      <w:tblGrid>
        <w:gridCol w:w="1638"/>
        <w:gridCol w:w="3878"/>
        <w:gridCol w:w="3913"/>
      </w:tblGrid>
      <w:tr w:rsidR="00CF02AF" w:rsidRPr="00A67C69" w14:paraId="29B6D007" w14:textId="77777777" w:rsidTr="00A67C69">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638" w:type="dxa"/>
            <w:vAlign w:val="top"/>
          </w:tcPr>
          <w:p w14:paraId="6B0AE1E3" w14:textId="77777777" w:rsidR="00CF02AF" w:rsidRPr="00A67C69" w:rsidRDefault="00CF02AF" w:rsidP="00A67C69">
            <w:pPr>
              <w:pStyle w:val="TableHeading"/>
              <w:keepNext/>
              <w:keepLines/>
              <w:spacing w:before="20" w:after="40"/>
              <w:rPr>
                <w:b/>
              </w:rPr>
            </w:pPr>
            <w:r w:rsidRPr="00A67C69">
              <w:rPr>
                <w:b/>
              </w:rPr>
              <w:t>Captioning obligations</w:t>
            </w:r>
          </w:p>
        </w:tc>
        <w:tc>
          <w:tcPr>
            <w:tcW w:w="3878" w:type="dxa"/>
            <w:vAlign w:val="top"/>
          </w:tcPr>
          <w:p w14:paraId="1B88AB0B" w14:textId="77777777" w:rsidR="00CF02AF" w:rsidRPr="00A67C69" w:rsidRDefault="00CF02AF" w:rsidP="00A67C69">
            <w:pPr>
              <w:pStyle w:val="TableHeading"/>
              <w:keepNext/>
              <w:keepLines/>
              <w:spacing w:before="20" w:after="20"/>
              <w:jc w:val="left"/>
              <w:cnfStyle w:val="100000000000" w:firstRow="1" w:lastRow="0" w:firstColumn="0" w:lastColumn="0" w:oddVBand="0" w:evenVBand="0" w:oddHBand="0" w:evenHBand="0" w:firstRowFirstColumn="0" w:firstRowLastColumn="0" w:lastRowFirstColumn="0" w:lastRowLastColumn="0"/>
              <w:rPr>
                <w:b/>
              </w:rPr>
            </w:pPr>
            <w:r w:rsidRPr="00A67C69">
              <w:rPr>
                <w:b/>
              </w:rPr>
              <w:t>Number of services in breach</w:t>
            </w:r>
          </w:p>
        </w:tc>
        <w:tc>
          <w:tcPr>
            <w:tcW w:w="3913" w:type="dxa"/>
            <w:vAlign w:val="top"/>
          </w:tcPr>
          <w:p w14:paraId="651675EC" w14:textId="77777777" w:rsidR="00CF02AF" w:rsidRPr="00A67C69" w:rsidRDefault="00CF02AF" w:rsidP="00A67C69">
            <w:pPr>
              <w:pStyle w:val="TableHeading"/>
              <w:keepNext/>
              <w:keepLines/>
              <w:spacing w:before="20" w:after="20"/>
              <w:jc w:val="left"/>
              <w:cnfStyle w:val="100000000000" w:firstRow="1" w:lastRow="0" w:firstColumn="0" w:lastColumn="0" w:oddVBand="0" w:evenVBand="0" w:oddHBand="0" w:evenHBand="0" w:firstRowFirstColumn="0" w:firstRowLastColumn="0" w:lastRowFirstColumn="0" w:lastRowLastColumn="0"/>
              <w:rPr>
                <w:b/>
              </w:rPr>
            </w:pPr>
            <w:r w:rsidRPr="00A67C69">
              <w:rPr>
                <w:b/>
              </w:rPr>
              <w:t>Description of obligations</w:t>
            </w:r>
          </w:p>
        </w:tc>
      </w:tr>
      <w:tr w:rsidR="007978CD" w:rsidRPr="00FD7E86" w14:paraId="7468BDEF" w14:textId="77777777" w:rsidTr="0061331D">
        <w:tc>
          <w:tcPr>
            <w:cnfStyle w:val="001000000000" w:firstRow="0" w:lastRow="0" w:firstColumn="1" w:lastColumn="0" w:oddVBand="0" w:evenVBand="0" w:oddHBand="0" w:evenHBand="0" w:firstRowFirstColumn="0" w:firstRowLastColumn="0" w:lastRowFirstColumn="0" w:lastRowLastColumn="0"/>
            <w:tcW w:w="1638" w:type="dxa"/>
            <w:vAlign w:val="top"/>
          </w:tcPr>
          <w:p w14:paraId="65576898" w14:textId="77777777" w:rsidR="007978CD" w:rsidRPr="00EE0E5F" w:rsidRDefault="007978CD" w:rsidP="00A67C69">
            <w:pPr>
              <w:keepNext/>
              <w:keepLines/>
              <w:spacing w:before="60" w:after="60"/>
              <w:rPr>
                <w:rFonts w:cs="Arial"/>
                <w:b/>
                <w:color w:val="auto"/>
                <w:szCs w:val="18"/>
              </w:rPr>
            </w:pPr>
            <w:r w:rsidRPr="00EE0E5F">
              <w:rPr>
                <w:rFonts w:cs="Arial"/>
                <w:b/>
                <w:color w:val="auto"/>
                <w:szCs w:val="18"/>
              </w:rPr>
              <w:t xml:space="preserve">Free-to-air </w:t>
            </w:r>
          </w:p>
        </w:tc>
        <w:tc>
          <w:tcPr>
            <w:tcW w:w="7791" w:type="dxa"/>
            <w:gridSpan w:val="2"/>
            <w:shd w:val="clear" w:color="auto" w:fill="65CDD5" w:themeFill="accent2"/>
            <w:vAlign w:val="top"/>
          </w:tcPr>
          <w:p w14:paraId="65547711" w14:textId="77777777" w:rsidR="007978CD" w:rsidRPr="00FD7E86" w:rsidRDefault="007978CD" w:rsidP="00A67C69">
            <w:pPr>
              <w:keepNext/>
              <w:keepLines/>
              <w:spacing w:before="60" w:after="60"/>
              <w:jc w:val="left"/>
              <w:cnfStyle w:val="000000000000" w:firstRow="0" w:lastRow="0" w:firstColumn="0" w:lastColumn="0" w:oddVBand="0" w:evenVBand="0" w:oddHBand="0" w:evenHBand="0" w:firstRowFirstColumn="0" w:firstRowLastColumn="0" w:lastRowFirstColumn="0" w:lastRowLastColumn="0"/>
              <w:rPr>
                <w:rFonts w:cs="Arial"/>
                <w:color w:val="FFFFFF" w:themeColor="background1"/>
                <w:szCs w:val="18"/>
                <w:u w:val="single"/>
              </w:rPr>
            </w:pPr>
            <w:r w:rsidRPr="00C05F4C">
              <w:rPr>
                <w:rFonts w:cs="Arial"/>
                <w:b/>
                <w:szCs w:val="18"/>
              </w:rPr>
              <w:t>Services</w:t>
            </w:r>
          </w:p>
        </w:tc>
      </w:tr>
      <w:tr w:rsidR="00CF02AF" w:rsidRPr="00FD7E86" w14:paraId="05AA215C"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714B7634" w14:textId="77777777" w:rsidR="00CF02AF" w:rsidRPr="00EE0E5F" w:rsidRDefault="00CF02AF" w:rsidP="00A67C69">
            <w:pPr>
              <w:keepNext/>
              <w:keepLines/>
              <w:spacing w:before="60" w:after="60"/>
              <w:rPr>
                <w:rFonts w:cs="Arial"/>
                <w:color w:val="auto"/>
                <w:szCs w:val="18"/>
              </w:rPr>
            </w:pPr>
            <w:r w:rsidRPr="00EE0E5F">
              <w:rPr>
                <w:rFonts w:cs="Arial"/>
                <w:color w:val="auto"/>
                <w:szCs w:val="18"/>
              </w:rPr>
              <w:t xml:space="preserve">Annual captioning </w:t>
            </w:r>
            <w:r w:rsidR="007978CD">
              <w:rPr>
                <w:rFonts w:cs="Arial"/>
                <w:color w:val="auto"/>
                <w:szCs w:val="18"/>
              </w:rPr>
              <w:br/>
            </w:r>
            <w:r w:rsidRPr="00EE0E5F">
              <w:rPr>
                <w:rFonts w:cs="Arial"/>
                <w:color w:val="auto"/>
                <w:szCs w:val="18"/>
              </w:rPr>
              <w:t xml:space="preserve">target </w:t>
            </w:r>
          </w:p>
        </w:tc>
        <w:tc>
          <w:tcPr>
            <w:tcW w:w="3878" w:type="dxa"/>
            <w:vAlign w:val="top"/>
          </w:tcPr>
          <w:p w14:paraId="770296CF" w14:textId="77777777" w:rsidR="00CF02AF" w:rsidRPr="00FD7E86" w:rsidRDefault="00CF02AF" w:rsidP="00A67C69">
            <w:pPr>
              <w:keepNext/>
              <w:keepLines/>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 national and 0 commercial licensed services</w:t>
            </w:r>
          </w:p>
          <w:p w14:paraId="39606F06" w14:textId="77777777" w:rsidR="00CF02AF" w:rsidRPr="00FD7E86" w:rsidRDefault="0019508A" w:rsidP="00A67C69">
            <w:pPr>
              <w:keepNext/>
              <w:keepLines/>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 </w:t>
            </w:r>
            <w:r w:rsidR="00CF02AF" w:rsidRPr="00FD7E86">
              <w:rPr>
                <w:rFonts w:cs="Arial"/>
                <w:szCs w:val="18"/>
              </w:rPr>
              <w:t xml:space="preserve">national broadcaster was approximately 1% under the target for its services in </w:t>
            </w:r>
            <w:r w:rsidRPr="00FD7E86">
              <w:rPr>
                <w:rFonts w:cs="Arial"/>
                <w:szCs w:val="18"/>
              </w:rPr>
              <w:t xml:space="preserve">8 </w:t>
            </w:r>
            <w:r w:rsidR="00CF02AF" w:rsidRPr="00FD7E86">
              <w:rPr>
                <w:rFonts w:cs="Arial"/>
                <w:szCs w:val="18"/>
              </w:rPr>
              <w:t xml:space="preserve">coverage areas, as </w:t>
            </w:r>
            <w:r w:rsidRPr="00FD7E86">
              <w:rPr>
                <w:rFonts w:cs="Arial"/>
                <w:szCs w:val="18"/>
              </w:rPr>
              <w:t xml:space="preserve">1 </w:t>
            </w:r>
            <w:r w:rsidR="00CF02AF" w:rsidRPr="00FD7E86">
              <w:rPr>
                <w:rFonts w:cs="Arial"/>
                <w:szCs w:val="18"/>
              </w:rPr>
              <w:t>music program was not captioned until June 2014</w:t>
            </w:r>
          </w:p>
        </w:tc>
        <w:tc>
          <w:tcPr>
            <w:tcW w:w="3913" w:type="dxa"/>
            <w:vAlign w:val="top"/>
          </w:tcPr>
          <w:p w14:paraId="438FFB57" w14:textId="77777777" w:rsidR="00CF02AF" w:rsidRPr="00FD7E86" w:rsidRDefault="00CF02AF" w:rsidP="00A67C69">
            <w:pPr>
              <w:keepNext/>
              <w:keepLines/>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 captioning between 6.00 am and midnight across the year, with exceptions*</w:t>
            </w:r>
          </w:p>
        </w:tc>
      </w:tr>
      <w:tr w:rsidR="00CF02AF" w:rsidRPr="00FD7E86" w14:paraId="0BE0A634"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6ACE7759" w14:textId="77777777" w:rsidR="00CF02AF" w:rsidRPr="00EE0E5F" w:rsidRDefault="00CF02AF">
            <w:pPr>
              <w:keepNext/>
              <w:spacing w:before="60" w:after="60"/>
              <w:rPr>
                <w:rFonts w:cs="Arial"/>
                <w:color w:val="auto"/>
                <w:szCs w:val="18"/>
              </w:rPr>
            </w:pPr>
            <w:r w:rsidRPr="00EE0E5F">
              <w:rPr>
                <w:rFonts w:cs="Arial"/>
                <w:color w:val="auto"/>
                <w:szCs w:val="18"/>
              </w:rPr>
              <w:t xml:space="preserve">Emergency warnings </w:t>
            </w:r>
          </w:p>
        </w:tc>
        <w:tc>
          <w:tcPr>
            <w:tcW w:w="3878" w:type="dxa"/>
            <w:vAlign w:val="top"/>
          </w:tcPr>
          <w:p w14:paraId="0DC582A1"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3913" w:type="dxa"/>
            <w:vAlign w:val="top"/>
          </w:tcPr>
          <w:p w14:paraId="6D31002D"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Transmit emergency warnings in text and speech and</w:t>
            </w:r>
            <w:r w:rsidR="00E867D7" w:rsidRPr="00FD7E86">
              <w:rPr>
                <w:rFonts w:cs="Arial"/>
                <w:szCs w:val="18"/>
              </w:rPr>
              <w:t>,</w:t>
            </w:r>
            <w:r w:rsidRPr="00FD7E86">
              <w:rPr>
                <w:rFonts w:cs="Arial"/>
                <w:szCs w:val="18"/>
              </w:rPr>
              <w:t xml:space="preserve"> if practicable, with captioning</w:t>
            </w:r>
          </w:p>
        </w:tc>
      </w:tr>
      <w:tr w:rsidR="00CF02AF" w:rsidRPr="00FD7E86" w14:paraId="5CA0BEC3"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4454C313" w14:textId="77777777" w:rsidR="00CF02AF" w:rsidRPr="00EE0E5F" w:rsidRDefault="00CF02AF">
            <w:pPr>
              <w:keepNext/>
              <w:spacing w:before="60" w:after="60"/>
              <w:rPr>
                <w:rFonts w:cs="Arial"/>
                <w:color w:val="auto"/>
                <w:szCs w:val="18"/>
              </w:rPr>
            </w:pPr>
            <w:r w:rsidRPr="00EE0E5F">
              <w:rPr>
                <w:rFonts w:cs="Arial"/>
                <w:color w:val="auto"/>
                <w:szCs w:val="18"/>
              </w:rPr>
              <w:t xml:space="preserve">Designated viewing hours </w:t>
            </w:r>
          </w:p>
        </w:tc>
        <w:tc>
          <w:tcPr>
            <w:tcW w:w="3878" w:type="dxa"/>
            <w:vAlign w:val="top"/>
          </w:tcPr>
          <w:p w14:paraId="02CC93DC"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eastAsiaTheme="minorHAnsi" w:cs="Arial"/>
                <w:szCs w:val="18"/>
                <w:lang w:eastAsia="en-US"/>
              </w:rPr>
              <w:t>20 national services and 42 commercial licensed services</w:t>
            </w:r>
          </w:p>
          <w:p w14:paraId="7D511E3C"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Average total duration of breaches per non-compliant service was approximately</w:t>
            </w:r>
            <w:r w:rsidR="003B7CED" w:rsidRPr="00FD7E86">
              <w:rPr>
                <w:rFonts w:cs="Arial"/>
                <w:szCs w:val="18"/>
              </w:rPr>
              <w:t xml:space="preserve"> </w:t>
            </w:r>
            <w:r w:rsidRPr="00FD7E86">
              <w:rPr>
                <w:rFonts w:cs="Arial"/>
                <w:szCs w:val="18"/>
              </w:rPr>
              <w:t>30 minutes (0.03% of the</w:t>
            </w:r>
            <w:r w:rsidR="000E39B8" w:rsidRPr="00FD7E86">
              <w:rPr>
                <w:rFonts w:cs="Arial"/>
                <w:szCs w:val="18"/>
              </w:rPr>
              <w:t xml:space="preserve"> </w:t>
            </w:r>
            <w:r w:rsidRPr="00FD7E86">
              <w:rPr>
                <w:rFonts w:cs="Arial"/>
                <w:szCs w:val="18"/>
              </w:rPr>
              <w:t>designated viewing hours in the year)</w:t>
            </w:r>
          </w:p>
        </w:tc>
        <w:tc>
          <w:tcPr>
            <w:tcW w:w="3913" w:type="dxa"/>
            <w:vAlign w:val="top"/>
          </w:tcPr>
          <w:p w14:paraId="2C01D04C"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Caption all programming between 6.00 pm and 10.30 pm each day (designated viewing hours) on main service</w:t>
            </w:r>
          </w:p>
        </w:tc>
      </w:tr>
      <w:tr w:rsidR="00CF02AF" w:rsidRPr="00FD7E86" w14:paraId="1DF962E2"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1DC31FCD" w14:textId="77777777" w:rsidR="00CF02AF" w:rsidRPr="00EE0E5F" w:rsidRDefault="00CF02AF">
            <w:pPr>
              <w:keepNext/>
              <w:spacing w:before="60" w:after="60"/>
              <w:rPr>
                <w:rFonts w:cs="Arial"/>
                <w:color w:val="auto"/>
                <w:szCs w:val="18"/>
              </w:rPr>
            </w:pPr>
            <w:r w:rsidRPr="00EE0E5F">
              <w:rPr>
                <w:rFonts w:cs="Arial"/>
                <w:color w:val="auto"/>
                <w:szCs w:val="18"/>
              </w:rPr>
              <w:t xml:space="preserve">News and </w:t>
            </w:r>
            <w:r w:rsidR="007978CD">
              <w:rPr>
                <w:rFonts w:cs="Arial"/>
                <w:color w:val="auto"/>
                <w:szCs w:val="18"/>
              </w:rPr>
              <w:br/>
            </w:r>
            <w:r w:rsidRPr="00EE0E5F">
              <w:rPr>
                <w:rFonts w:cs="Arial"/>
                <w:color w:val="auto"/>
                <w:szCs w:val="18"/>
              </w:rPr>
              <w:t>current affairs</w:t>
            </w:r>
          </w:p>
        </w:tc>
        <w:tc>
          <w:tcPr>
            <w:tcW w:w="3878" w:type="dxa"/>
            <w:vAlign w:val="top"/>
          </w:tcPr>
          <w:p w14:paraId="61A7B098"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eastAsiaTheme="minorHAnsi" w:cs="Arial"/>
                <w:szCs w:val="18"/>
                <w:lang w:eastAsia="en-US"/>
              </w:rPr>
              <w:t>20 national services and 39 commercial licensed services</w:t>
            </w:r>
          </w:p>
          <w:p w14:paraId="792EAF1A"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Average total duration of breaches per non-compliant service was approximately 35 minutes in the year</w:t>
            </w:r>
          </w:p>
        </w:tc>
        <w:tc>
          <w:tcPr>
            <w:tcW w:w="3913" w:type="dxa"/>
            <w:vAlign w:val="top"/>
          </w:tcPr>
          <w:p w14:paraId="0F006A44"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Caption all news and current affairs outside designated viewing hours on main service</w:t>
            </w:r>
          </w:p>
        </w:tc>
      </w:tr>
      <w:tr w:rsidR="00CF02AF" w:rsidRPr="00FD7E86" w14:paraId="776C4E00"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03534A14" w14:textId="77777777" w:rsidR="00CF02AF" w:rsidRPr="00EE0E5F" w:rsidRDefault="00CF02AF">
            <w:pPr>
              <w:keepNext/>
              <w:spacing w:before="60" w:after="60"/>
              <w:rPr>
                <w:rFonts w:cs="Arial"/>
                <w:color w:val="auto"/>
                <w:szCs w:val="18"/>
              </w:rPr>
            </w:pPr>
            <w:r w:rsidRPr="00EE0E5F">
              <w:rPr>
                <w:rFonts w:cs="Arial"/>
                <w:color w:val="auto"/>
                <w:szCs w:val="18"/>
              </w:rPr>
              <w:t>Multi-channel</w:t>
            </w:r>
          </w:p>
        </w:tc>
        <w:tc>
          <w:tcPr>
            <w:tcW w:w="3878" w:type="dxa"/>
            <w:vAlign w:val="top"/>
          </w:tcPr>
          <w:p w14:paraId="2D4D89CE"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eastAsiaTheme="minorHAnsi" w:cs="Arial"/>
                <w:szCs w:val="18"/>
                <w:lang w:eastAsia="en-US"/>
              </w:rPr>
              <w:t>0 national and 15 commercial licensed services</w:t>
            </w:r>
          </w:p>
          <w:p w14:paraId="12AC6195"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Average total duration of breaches per non-compliant service was approximately 41 minutes in the year</w:t>
            </w:r>
          </w:p>
        </w:tc>
        <w:tc>
          <w:tcPr>
            <w:tcW w:w="3913" w:type="dxa"/>
            <w:vAlign w:val="top"/>
          </w:tcPr>
          <w:p w14:paraId="7A284F04"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Caption repeated programs on a multi-channel if those programs have previously been broadcast with captioning on the broadcaster’s main service in the licence or coverage area</w:t>
            </w:r>
          </w:p>
        </w:tc>
      </w:tr>
      <w:tr w:rsidR="007978CD" w:rsidRPr="00FD7E86" w14:paraId="7F4CE84A"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10F95874" w14:textId="77777777" w:rsidR="007978CD" w:rsidRPr="00EE0E5F" w:rsidRDefault="007978CD">
            <w:pPr>
              <w:keepNext/>
              <w:spacing w:before="60" w:after="60"/>
              <w:rPr>
                <w:rFonts w:cs="Arial"/>
                <w:b/>
                <w:color w:val="auto"/>
                <w:szCs w:val="18"/>
              </w:rPr>
            </w:pPr>
            <w:r w:rsidRPr="00EE0E5F">
              <w:rPr>
                <w:rFonts w:cs="Arial"/>
                <w:b/>
                <w:color w:val="auto"/>
                <w:szCs w:val="18"/>
              </w:rPr>
              <w:t xml:space="preserve">Subscription </w:t>
            </w:r>
          </w:p>
        </w:tc>
        <w:tc>
          <w:tcPr>
            <w:tcW w:w="7791" w:type="dxa"/>
            <w:gridSpan w:val="2"/>
            <w:shd w:val="clear" w:color="auto" w:fill="65CDD5" w:themeFill="accent2"/>
            <w:vAlign w:val="top"/>
          </w:tcPr>
          <w:p w14:paraId="48C316C2" w14:textId="77777777" w:rsidR="007978CD" w:rsidRPr="00FD7E86" w:rsidRDefault="007978CD"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C05F4C">
              <w:rPr>
                <w:rFonts w:cs="Arial"/>
                <w:b/>
                <w:szCs w:val="18"/>
              </w:rPr>
              <w:t>Services/channels</w:t>
            </w:r>
          </w:p>
        </w:tc>
      </w:tr>
      <w:tr w:rsidR="00CF02AF" w:rsidRPr="00FD7E86" w14:paraId="68359FCB"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44785A97" w14:textId="77777777" w:rsidR="00CF02AF" w:rsidRPr="00EE0E5F" w:rsidRDefault="00CF02AF">
            <w:pPr>
              <w:keepNext/>
              <w:spacing w:before="60" w:after="60"/>
              <w:rPr>
                <w:rFonts w:cs="Arial"/>
                <w:color w:val="auto"/>
                <w:szCs w:val="18"/>
              </w:rPr>
            </w:pPr>
            <w:r w:rsidRPr="00EE0E5F">
              <w:rPr>
                <w:rFonts w:cs="Arial"/>
                <w:color w:val="auto"/>
                <w:szCs w:val="18"/>
              </w:rPr>
              <w:t xml:space="preserve">Annual captioning </w:t>
            </w:r>
            <w:r w:rsidR="007978CD">
              <w:rPr>
                <w:rFonts w:cs="Arial"/>
                <w:color w:val="auto"/>
                <w:szCs w:val="18"/>
              </w:rPr>
              <w:br/>
            </w:r>
            <w:r w:rsidRPr="00EE0E5F">
              <w:rPr>
                <w:rFonts w:cs="Arial"/>
                <w:color w:val="auto"/>
                <w:szCs w:val="18"/>
              </w:rPr>
              <w:t>target</w:t>
            </w:r>
          </w:p>
        </w:tc>
        <w:tc>
          <w:tcPr>
            <w:tcW w:w="3878" w:type="dxa"/>
            <w:vAlign w:val="top"/>
          </w:tcPr>
          <w:p w14:paraId="5838287F"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 services/channels</w:t>
            </w:r>
          </w:p>
          <w:p w14:paraId="7D768193" w14:textId="77777777" w:rsidR="00CF02AF" w:rsidRPr="00FD7E86" w:rsidRDefault="0019508A"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1 </w:t>
            </w:r>
            <w:r w:rsidR="00CF02AF" w:rsidRPr="00FD7E86">
              <w:rPr>
                <w:rFonts w:cs="Arial"/>
                <w:szCs w:val="18"/>
              </w:rPr>
              <w:t xml:space="preserve">licensee was </w:t>
            </w:r>
            <w:r w:rsidRPr="00FD7E86">
              <w:rPr>
                <w:rFonts w:cs="Arial"/>
                <w:szCs w:val="18"/>
              </w:rPr>
              <w:t xml:space="preserve">1–8% </w:t>
            </w:r>
            <w:r w:rsidR="00CF02AF" w:rsidRPr="00FD7E86">
              <w:rPr>
                <w:rFonts w:cs="Arial"/>
                <w:szCs w:val="18"/>
              </w:rPr>
              <w:t xml:space="preserve">under the various targets for </w:t>
            </w:r>
            <w:r w:rsidRPr="00FD7E86">
              <w:rPr>
                <w:rFonts w:cs="Arial"/>
                <w:szCs w:val="18"/>
              </w:rPr>
              <w:t xml:space="preserve">4 </w:t>
            </w:r>
            <w:r w:rsidR="00CF02AF" w:rsidRPr="00FD7E86">
              <w:rPr>
                <w:rFonts w:cs="Arial"/>
                <w:szCs w:val="18"/>
              </w:rPr>
              <w:t>of its services due to unanticipated issues</w:t>
            </w:r>
          </w:p>
        </w:tc>
        <w:tc>
          <w:tcPr>
            <w:tcW w:w="3913" w:type="dxa"/>
            <w:vAlign w:val="top"/>
          </w:tcPr>
          <w:p w14:paraId="4655E4C1"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5–70% captioning across the year depending on service category, with exceptions*</w:t>
            </w:r>
          </w:p>
        </w:tc>
      </w:tr>
      <w:tr w:rsidR="00CF02AF" w:rsidRPr="00FD7E86" w14:paraId="628CA9A0"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6C402D39" w14:textId="77777777" w:rsidR="00CF02AF" w:rsidRPr="00EE0E5F" w:rsidRDefault="00CF02AF">
            <w:pPr>
              <w:keepNext/>
              <w:spacing w:before="60" w:after="60"/>
              <w:rPr>
                <w:rFonts w:cs="Arial"/>
                <w:color w:val="auto"/>
                <w:szCs w:val="18"/>
              </w:rPr>
            </w:pPr>
            <w:r w:rsidRPr="00EE0E5F">
              <w:rPr>
                <w:rFonts w:cs="Arial"/>
                <w:color w:val="auto"/>
                <w:szCs w:val="18"/>
              </w:rPr>
              <w:t>Emergency warnings</w:t>
            </w:r>
          </w:p>
        </w:tc>
        <w:tc>
          <w:tcPr>
            <w:tcW w:w="3878" w:type="dxa"/>
            <w:vAlign w:val="top"/>
          </w:tcPr>
          <w:p w14:paraId="7513D4EC"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3913" w:type="dxa"/>
            <w:vAlign w:val="top"/>
          </w:tcPr>
          <w:p w14:paraId="14DC4D42"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Transmit emergency warnings in text and speech and if practicable, with captioning</w:t>
            </w:r>
          </w:p>
        </w:tc>
      </w:tr>
      <w:tr w:rsidR="00CF02AF" w:rsidRPr="00FD7E86" w14:paraId="7ECF9561"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4954585C" w14:textId="77777777" w:rsidR="00CF02AF" w:rsidRPr="00EE0E5F" w:rsidRDefault="00CF02AF">
            <w:pPr>
              <w:keepNext/>
              <w:spacing w:before="60" w:after="60"/>
              <w:rPr>
                <w:rFonts w:cs="Arial"/>
                <w:color w:val="auto"/>
                <w:szCs w:val="18"/>
              </w:rPr>
            </w:pPr>
            <w:r w:rsidRPr="00EE0E5F">
              <w:rPr>
                <w:rFonts w:cs="Arial"/>
                <w:color w:val="auto"/>
                <w:szCs w:val="18"/>
              </w:rPr>
              <w:t xml:space="preserve">Simulcast programming </w:t>
            </w:r>
          </w:p>
        </w:tc>
        <w:tc>
          <w:tcPr>
            <w:tcW w:w="3878" w:type="dxa"/>
            <w:vAlign w:val="top"/>
          </w:tcPr>
          <w:p w14:paraId="43CE9737"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 services/3 distinct channels</w:t>
            </w:r>
          </w:p>
        </w:tc>
        <w:tc>
          <w:tcPr>
            <w:tcW w:w="3913" w:type="dxa"/>
            <w:vAlign w:val="top"/>
          </w:tcPr>
          <w:p w14:paraId="678BF1FE"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Caption simulcast programs on the second service if the programs are simultaneously transmitted with captions on the first service</w:t>
            </w:r>
          </w:p>
        </w:tc>
      </w:tr>
      <w:tr w:rsidR="00CF02AF" w:rsidRPr="00FD7E86" w14:paraId="1D24CD1A" w14:textId="77777777" w:rsidTr="007978CD">
        <w:tc>
          <w:tcPr>
            <w:cnfStyle w:val="001000000000" w:firstRow="0" w:lastRow="0" w:firstColumn="1" w:lastColumn="0" w:oddVBand="0" w:evenVBand="0" w:oddHBand="0" w:evenHBand="0" w:firstRowFirstColumn="0" w:firstRowLastColumn="0" w:lastRowFirstColumn="0" w:lastRowLastColumn="0"/>
            <w:tcW w:w="1638" w:type="dxa"/>
            <w:vAlign w:val="top"/>
          </w:tcPr>
          <w:p w14:paraId="7CA2B0F5" w14:textId="77777777" w:rsidR="00CF02AF" w:rsidRPr="00EE0E5F" w:rsidRDefault="00CF02AF">
            <w:pPr>
              <w:keepNext/>
              <w:spacing w:before="60" w:after="60"/>
              <w:rPr>
                <w:rFonts w:cs="Arial"/>
                <w:color w:val="auto"/>
                <w:szCs w:val="18"/>
              </w:rPr>
            </w:pPr>
            <w:r w:rsidRPr="00EE0E5F">
              <w:rPr>
                <w:rFonts w:cs="Arial"/>
                <w:color w:val="auto"/>
                <w:szCs w:val="18"/>
              </w:rPr>
              <w:t xml:space="preserve">Repeat programming </w:t>
            </w:r>
          </w:p>
        </w:tc>
        <w:tc>
          <w:tcPr>
            <w:tcW w:w="3878" w:type="dxa"/>
            <w:vAlign w:val="top"/>
          </w:tcPr>
          <w:p w14:paraId="086B97A0"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35 services/7 distinct channels</w:t>
            </w:r>
          </w:p>
        </w:tc>
        <w:tc>
          <w:tcPr>
            <w:tcW w:w="3913" w:type="dxa"/>
            <w:vAlign w:val="top"/>
          </w:tcPr>
          <w:p w14:paraId="22A488E7" w14:textId="77777777" w:rsidR="00CF02AF" w:rsidRPr="00FD7E86" w:rsidRDefault="00CF02AF" w:rsidP="007978CD">
            <w:pPr>
              <w:keepNext/>
              <w:spacing w:before="60" w:after="60"/>
              <w:jc w:val="left"/>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Caption programs that have previously been transmitted with captions and then repeated on the same or another subscription television service provided by the licensee</w:t>
            </w:r>
          </w:p>
        </w:tc>
      </w:tr>
    </w:tbl>
    <w:p w14:paraId="27DD275A" w14:textId="77777777" w:rsidR="00CF02AF" w:rsidRPr="00FD7E86" w:rsidRDefault="00CF02AF" w:rsidP="00CF02AF">
      <w:pPr>
        <w:pStyle w:val="ACMANotes"/>
      </w:pPr>
      <w:r w:rsidRPr="00FD7E86">
        <w:t>*Captioning obligations do not apply to exempt programs, which include foreign programs (not wholly in English) and music programs that do not contain any human vocal content. In 2013–14, three commercial broadcasters had a reduced annual target of 85 per cent as a result of target reduction orders (unjustifiable hardship). Some subscription services were exempt from the annual captioning target as a result of exemption orders (unjustifiable hardship) and nominations under section 130ZX of the BSA</w:t>
      </w:r>
      <w:r w:rsidR="0078151D" w:rsidRPr="00FD7E86">
        <w:t>—</w:t>
      </w:r>
      <w:r w:rsidRPr="00FD7E86">
        <w:t>a transitional measure that allows exemption of certain services if the licensee has met the annual captioning target for the threshold number of services.</w:t>
      </w:r>
    </w:p>
    <w:p w14:paraId="6A3B776B" w14:textId="77777777" w:rsidR="00CF02AF" w:rsidRPr="00FD7E86" w:rsidRDefault="00CF02AF" w:rsidP="00E450B7">
      <w:pPr>
        <w:pStyle w:val="ACMANotes"/>
      </w:pPr>
      <w:r w:rsidRPr="00FD7E86">
        <w:t>Source: ACMA.</w:t>
      </w:r>
    </w:p>
    <w:p w14:paraId="066127E7" w14:textId="77777777" w:rsidR="00E450B7" w:rsidRPr="00FD7E86" w:rsidRDefault="00E450B7" w:rsidP="008724ED">
      <w:pPr>
        <w:pStyle w:val="ACMASpaceaftertable"/>
        <w:rPr>
          <w:i/>
          <w:sz w:val="16"/>
          <w:szCs w:val="16"/>
        </w:rPr>
      </w:pPr>
    </w:p>
    <w:p w14:paraId="58448F33" w14:textId="77777777" w:rsidR="00CF02AF" w:rsidRPr="00FD7E86" w:rsidRDefault="00CF02AF" w:rsidP="00C05F4C">
      <w:pPr>
        <w:pStyle w:val="Bodysubheader0"/>
        <w:keepNext/>
      </w:pPr>
      <w:r w:rsidRPr="00FD7E86">
        <w:lastRenderedPageBreak/>
        <w:t>Exemption orders and target reduction orders</w:t>
      </w:r>
    </w:p>
    <w:p w14:paraId="59367FE7" w14:textId="77777777" w:rsidR="00CF02AF" w:rsidRPr="00FD7E86" w:rsidRDefault="00CF02AF" w:rsidP="00CF02AF">
      <w:pPr>
        <w:rPr>
          <w:rFonts w:cs="Arial"/>
        </w:rPr>
      </w:pPr>
      <w:r w:rsidRPr="00FD7E86">
        <w:rPr>
          <w:rFonts w:cs="Arial"/>
        </w:rPr>
        <w:t xml:space="preserve">In 2014–15, the ACMA received 72 applications for captioning exemption orders and 10 applications for captioning target reduction orders. As a result, the ACMA made 72 exemption orders and four target reduction orders during the year, all for subscription television services. The ACMA met the statutory requirement to make a decision on each application for exemption orders and target reduction orders within 90 days of receiving the applications. </w:t>
      </w:r>
    </w:p>
    <w:p w14:paraId="1AD59BBC" w14:textId="77777777" w:rsidR="00CF02AF" w:rsidRPr="00FD7E86" w:rsidRDefault="00CF02AF" w:rsidP="00CF02AF">
      <w:pPr>
        <w:rPr>
          <w:rFonts w:cs="Arial"/>
        </w:rPr>
      </w:pPr>
      <w:r w:rsidRPr="00FD7E86">
        <w:rPr>
          <w:rFonts w:cs="Arial"/>
        </w:rPr>
        <w:t xml:space="preserve">Table 3.6 provides a summary of the ACMA decisions on the applications. </w:t>
      </w:r>
    </w:p>
    <w:p w14:paraId="0FC43478" w14:textId="77777777" w:rsidR="00CF02AF" w:rsidRPr="00FD7E86" w:rsidRDefault="004E56DE" w:rsidP="00C05F4C">
      <w:pPr>
        <w:pStyle w:val="Caption"/>
        <w:numPr>
          <w:ilvl w:val="0"/>
          <w:numId w:val="0"/>
        </w:numPr>
        <w:spacing w:after="160"/>
        <w:rPr>
          <w:noProof/>
        </w:rPr>
      </w:pPr>
      <w:r>
        <w:rPr>
          <w:noProof/>
        </w:rPr>
        <w:t>Table 3.6</w:t>
      </w:r>
      <w:r w:rsidR="00CF02AF" w:rsidRPr="00FD7E86">
        <w:rPr>
          <w:noProof/>
        </w:rPr>
        <w:t xml:space="preserve"> Captioning exemption orders and target reduction orders</w:t>
      </w:r>
    </w:p>
    <w:tbl>
      <w:tblPr>
        <w:tblStyle w:val="Commsreport2014-15TABLE"/>
        <w:tblW w:w="9429" w:type="dxa"/>
        <w:tblLayout w:type="fixed"/>
        <w:tblLook w:val="04A0" w:firstRow="1" w:lastRow="0" w:firstColumn="1" w:lastColumn="0" w:noHBand="0" w:noVBand="1"/>
        <w:tblCaption w:val="Table 3.6 Captioning exemption orders and target reduction orders"/>
      </w:tblPr>
      <w:tblGrid>
        <w:gridCol w:w="3204"/>
        <w:gridCol w:w="2140"/>
        <w:gridCol w:w="1945"/>
        <w:gridCol w:w="2140"/>
      </w:tblGrid>
      <w:tr w:rsidR="00CF02AF" w:rsidRPr="00A67C69" w14:paraId="058AF118" w14:textId="77777777" w:rsidTr="00A67C69">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063" w:type="dxa"/>
            <w:vAlign w:val="top"/>
          </w:tcPr>
          <w:p w14:paraId="751DA9C5" w14:textId="77777777" w:rsidR="00CF02AF" w:rsidRPr="00A67C69" w:rsidRDefault="00CF02AF" w:rsidP="00A67C69">
            <w:pPr>
              <w:pStyle w:val="TableHeading"/>
              <w:spacing w:before="20" w:after="40"/>
              <w:rPr>
                <w:b/>
              </w:rPr>
            </w:pPr>
            <w:r w:rsidRPr="00A67C69">
              <w:rPr>
                <w:b/>
              </w:rPr>
              <w:t>Application type*</w:t>
            </w:r>
          </w:p>
        </w:tc>
        <w:tc>
          <w:tcPr>
            <w:tcW w:w="2046" w:type="dxa"/>
            <w:vAlign w:val="top"/>
          </w:tcPr>
          <w:p w14:paraId="0E06E407" w14:textId="77777777" w:rsidR="00CF02AF" w:rsidRPr="00A67C69" w:rsidRDefault="00CF02AF" w:rsidP="00A67C69">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A67C69">
              <w:rPr>
                <w:b/>
              </w:rPr>
              <w:t>Approved</w:t>
            </w:r>
          </w:p>
        </w:tc>
        <w:tc>
          <w:tcPr>
            <w:tcW w:w="1860" w:type="dxa"/>
            <w:vAlign w:val="top"/>
          </w:tcPr>
          <w:p w14:paraId="3966A4F4" w14:textId="77777777" w:rsidR="00CF02AF" w:rsidRPr="00A67C69" w:rsidRDefault="00CF02AF" w:rsidP="00A67C69">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A67C69">
              <w:rPr>
                <w:b/>
              </w:rPr>
              <w:t>Refused</w:t>
            </w:r>
          </w:p>
        </w:tc>
        <w:tc>
          <w:tcPr>
            <w:tcW w:w="2046" w:type="dxa"/>
            <w:vAlign w:val="top"/>
          </w:tcPr>
          <w:p w14:paraId="31D2F843" w14:textId="77777777" w:rsidR="00CF02AF" w:rsidRPr="00A67C69" w:rsidRDefault="00CF02AF" w:rsidP="00A67C69">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A67C69">
              <w:rPr>
                <w:b/>
              </w:rPr>
              <w:t>Decision not finalised as at 30</w:t>
            </w:r>
            <w:r w:rsidR="007978CD" w:rsidRPr="00A67C69">
              <w:rPr>
                <w:b/>
              </w:rPr>
              <w:t> </w:t>
            </w:r>
            <w:r w:rsidRPr="00A67C69">
              <w:rPr>
                <w:b/>
              </w:rPr>
              <w:t>June 2015</w:t>
            </w:r>
          </w:p>
        </w:tc>
      </w:tr>
      <w:tr w:rsidR="00CF02AF" w:rsidRPr="00FD7E86" w14:paraId="4A5E857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3E4FD586" w14:textId="77777777" w:rsidR="00CF02AF" w:rsidRPr="00EE0E5F" w:rsidRDefault="00CF02AF" w:rsidP="00CF02AF">
            <w:pPr>
              <w:keepNext/>
              <w:spacing w:before="60" w:after="60"/>
              <w:rPr>
                <w:rFonts w:cs="Arial"/>
                <w:color w:val="auto"/>
                <w:szCs w:val="18"/>
              </w:rPr>
            </w:pPr>
            <w:r w:rsidRPr="00EE0E5F">
              <w:rPr>
                <w:rFonts w:cs="Arial"/>
                <w:color w:val="auto"/>
                <w:szCs w:val="18"/>
              </w:rPr>
              <w:t>Exemption order</w:t>
            </w:r>
          </w:p>
        </w:tc>
        <w:tc>
          <w:tcPr>
            <w:tcW w:w="2046" w:type="dxa"/>
          </w:tcPr>
          <w:p w14:paraId="17BF4B2D"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72</w:t>
            </w:r>
          </w:p>
        </w:tc>
        <w:tc>
          <w:tcPr>
            <w:tcW w:w="1860" w:type="dxa"/>
          </w:tcPr>
          <w:p w14:paraId="20B3BA7E"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2046" w:type="dxa"/>
          </w:tcPr>
          <w:p w14:paraId="2A062FA5"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CF02AF" w:rsidRPr="00FD7E86" w14:paraId="03A4EEC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3063" w:type="dxa"/>
          </w:tcPr>
          <w:p w14:paraId="2731F1E1" w14:textId="77777777" w:rsidR="00CF02AF" w:rsidRPr="00EE0E5F" w:rsidRDefault="00CF02AF" w:rsidP="00CF02AF">
            <w:pPr>
              <w:keepNext/>
              <w:spacing w:before="60" w:after="60"/>
              <w:rPr>
                <w:rFonts w:cs="Arial"/>
                <w:color w:val="auto"/>
                <w:szCs w:val="18"/>
              </w:rPr>
            </w:pPr>
            <w:r w:rsidRPr="00EE0E5F">
              <w:rPr>
                <w:rFonts w:cs="Arial"/>
                <w:color w:val="auto"/>
                <w:szCs w:val="18"/>
              </w:rPr>
              <w:t>Target reduction order</w:t>
            </w:r>
          </w:p>
        </w:tc>
        <w:tc>
          <w:tcPr>
            <w:tcW w:w="2046" w:type="dxa"/>
          </w:tcPr>
          <w:p w14:paraId="4219168F"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w:t>
            </w:r>
          </w:p>
        </w:tc>
        <w:tc>
          <w:tcPr>
            <w:tcW w:w="1860" w:type="dxa"/>
          </w:tcPr>
          <w:p w14:paraId="57835346"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w:t>
            </w:r>
          </w:p>
        </w:tc>
        <w:tc>
          <w:tcPr>
            <w:tcW w:w="2046" w:type="dxa"/>
          </w:tcPr>
          <w:p w14:paraId="641E90C6" w14:textId="77777777" w:rsidR="00CF02AF" w:rsidRPr="00FD7E86" w:rsidRDefault="00CF02AF" w:rsidP="00CF02AF">
            <w:pPr>
              <w:keepNext/>
              <w:spacing w:before="60" w:after="60"/>
              <w:ind w:right="21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w:t>
            </w:r>
          </w:p>
        </w:tc>
      </w:tr>
    </w:tbl>
    <w:p w14:paraId="6969CD0B" w14:textId="77777777" w:rsidR="00CF02AF" w:rsidRPr="00FD7E86" w:rsidRDefault="00CF02AF" w:rsidP="00CF02AF">
      <w:pPr>
        <w:pStyle w:val="ACMANotes"/>
      </w:pPr>
      <w:r w:rsidRPr="00FD7E86">
        <w:t>*The ACMA has the power to make an exemption order or a target reduction order for a specified commercial, national or subscription television service if the ACMA is satisfied that refusing to do so would cause unjustifiable hardship to the broadcaster or licensee.</w:t>
      </w:r>
    </w:p>
    <w:p w14:paraId="1AEBFD09" w14:textId="77777777" w:rsidR="00CF02AF" w:rsidRPr="00FD7E86" w:rsidRDefault="00CF02AF" w:rsidP="00E450B7">
      <w:pPr>
        <w:pStyle w:val="ACMANotes"/>
      </w:pPr>
      <w:r w:rsidRPr="00FD7E86">
        <w:t>Source: ACMA.</w:t>
      </w:r>
    </w:p>
    <w:p w14:paraId="6A56F42B" w14:textId="77777777" w:rsidR="00E450B7" w:rsidRPr="00FD7E86" w:rsidRDefault="00E450B7" w:rsidP="008724ED">
      <w:pPr>
        <w:pStyle w:val="ACMASpaceaftertable"/>
        <w:rPr>
          <w:i/>
          <w:sz w:val="16"/>
          <w:szCs w:val="16"/>
        </w:rPr>
      </w:pPr>
    </w:p>
    <w:p w14:paraId="24E214C7" w14:textId="77777777" w:rsidR="00CF02AF" w:rsidRPr="00FD7E86" w:rsidRDefault="00CF02AF" w:rsidP="00CF02AF">
      <w:pPr>
        <w:pStyle w:val="Bodysubheader0"/>
      </w:pPr>
      <w:r w:rsidRPr="00FD7E86">
        <w:t>Legislative amendments</w:t>
      </w:r>
    </w:p>
    <w:p w14:paraId="1043D323" w14:textId="77777777" w:rsidR="00CF02AF" w:rsidRPr="00FD7E86" w:rsidRDefault="00CF02AF" w:rsidP="00C05F4C">
      <w:pPr>
        <w:spacing w:after="80"/>
        <w:rPr>
          <w:rFonts w:cs="Arial"/>
        </w:rPr>
      </w:pPr>
      <w:r w:rsidRPr="00FD7E86">
        <w:rPr>
          <w:rFonts w:cs="Arial"/>
        </w:rPr>
        <w:t>Amendments to captioning provisions in the BSA</w:t>
      </w:r>
      <w:r w:rsidR="001F0646" w:rsidRPr="00FD7E86">
        <w:rPr>
          <w:rStyle w:val="EndnoteReference"/>
          <w:rFonts w:cs="Arial"/>
        </w:rPr>
        <w:endnoteReference w:id="106"/>
      </w:r>
      <w:r w:rsidRPr="00FD7E86">
        <w:rPr>
          <w:rFonts w:cs="Arial"/>
        </w:rPr>
        <w:t xml:space="preserve"> became effective from 20 March 2015. The amendments were introduced by the </w:t>
      </w:r>
      <w:r w:rsidR="0078151D" w:rsidRPr="00FD7E86">
        <w:rPr>
          <w:rFonts w:cs="Arial"/>
        </w:rPr>
        <w:t>g</w:t>
      </w:r>
      <w:r w:rsidRPr="00FD7E86">
        <w:rPr>
          <w:rFonts w:cs="Arial"/>
        </w:rPr>
        <w:t>overnment to improve administration arrangements and to increase flexibility for television services in complying with captioning obligations. Key changes included:</w:t>
      </w:r>
    </w:p>
    <w:p w14:paraId="1507AC13" w14:textId="77777777" w:rsidR="00CF02AF" w:rsidRPr="00FD7E86" w:rsidRDefault="00CF02AF" w:rsidP="000E4F20">
      <w:pPr>
        <w:pStyle w:val="ListBullet"/>
      </w:pPr>
      <w:r w:rsidRPr="00FD7E86">
        <w:t>requiring the ACMA to review, and vary as appropriate, the captioning quality standard to consider the differences between the captioning services for live television programs and pre-recorded television programs by 19 March 2016</w:t>
      </w:r>
    </w:p>
    <w:p w14:paraId="62611DE1" w14:textId="77777777" w:rsidR="00CF02AF" w:rsidRPr="00FD7E86" w:rsidRDefault="00CF02AF" w:rsidP="000E4F20">
      <w:pPr>
        <w:pStyle w:val="ListBullet"/>
      </w:pPr>
      <w:r w:rsidRPr="00FD7E86">
        <w:t>exempting new subscription television services in Australia from the annual captioning targets for at least the first 12 months of operation</w:t>
      </w:r>
    </w:p>
    <w:p w14:paraId="42C43DCB" w14:textId="77777777" w:rsidR="00CF02AF" w:rsidRPr="00FD7E86" w:rsidRDefault="00CF02AF" w:rsidP="000E4F20">
      <w:pPr>
        <w:pStyle w:val="ListBullet"/>
      </w:pPr>
      <w:r w:rsidRPr="00FD7E86">
        <w:t>allowing aggregation of captioning targets across subscription television sports channels supplied by the same channel provider, subject to minimum levels being met on each individual channel of the channel provider</w:t>
      </w:r>
    </w:p>
    <w:p w14:paraId="7D8374A7" w14:textId="77777777" w:rsidR="00CF02AF" w:rsidRPr="00FD7E86" w:rsidRDefault="00CF02AF" w:rsidP="000E4F20">
      <w:pPr>
        <w:pStyle w:val="ListBulletLast"/>
      </w:pPr>
      <w:r w:rsidRPr="00FD7E86">
        <w:t>amending record</w:t>
      </w:r>
      <w:r w:rsidR="009E7C5D" w:rsidRPr="00FD7E86">
        <w:t>-</w:t>
      </w:r>
      <w:r w:rsidRPr="00FD7E86">
        <w:t>keeping requirements to differentiate between written records and audio-visual records.</w:t>
      </w:r>
    </w:p>
    <w:p w14:paraId="371F17B1" w14:textId="77777777" w:rsidR="00CF02AF" w:rsidRPr="00FD7E86" w:rsidDel="00B73730" w:rsidRDefault="00CF02AF" w:rsidP="000664F7">
      <w:pPr>
        <w:pStyle w:val="ACMAHeading2"/>
      </w:pPr>
      <w:bookmarkStart w:id="267" w:name="OLE_LINK1"/>
      <w:bookmarkStart w:id="268" w:name="OLE_LINK2"/>
      <w:bookmarkStart w:id="269" w:name="_Toc433790371"/>
      <w:bookmarkEnd w:id="267"/>
      <w:bookmarkEnd w:id="268"/>
      <w:r w:rsidRPr="00FD7E86" w:rsidDel="00B73730">
        <w:t>Notification of changes in control</w:t>
      </w:r>
      <w:bookmarkEnd w:id="269"/>
    </w:p>
    <w:p w14:paraId="3EDC9FDE" w14:textId="77777777" w:rsidR="00CF02AF" w:rsidRPr="00FD7E86" w:rsidDel="00B73730" w:rsidRDefault="00CF02AF" w:rsidP="00C05F4C">
      <w:r w:rsidRPr="00FD7E86" w:rsidDel="00B73730">
        <w:t xml:space="preserve">Commercial television licensees, commercial radio licensees and publishers of associated newspapers must notify the ACMA of any changes in control within </w:t>
      </w:r>
      <w:r w:rsidR="00DE2A9B" w:rsidRPr="00FD7E86">
        <w:t>10</w:t>
      </w:r>
      <w:r w:rsidR="00DE2A9B" w:rsidRPr="00FD7E86" w:rsidDel="00B73730">
        <w:t xml:space="preserve"> </w:t>
      </w:r>
      <w:r w:rsidRPr="00FD7E86" w:rsidDel="00B73730">
        <w:t xml:space="preserve">business days of becoming aware of those changes (section 63 of the BSA). Persons who come into a position to exercise control of such licences and associated newspapers are also required to notify the ACMA within 10 business days of becoming aware of the change in control (section 64 of the BSA). </w:t>
      </w:r>
    </w:p>
    <w:p w14:paraId="30EDD4D3" w14:textId="77777777" w:rsidR="00CF02AF" w:rsidRPr="00FD7E86" w:rsidDel="00B73730" w:rsidRDefault="00CF02AF" w:rsidP="00C05F4C">
      <w:r w:rsidRPr="00FD7E86" w:rsidDel="00B73730">
        <w:t>During 2014–15, no infringement notices were given for late notifications of changes of control. Eight formal warnings were given, of which four related to late notifications submitted in the previous financial year.</w:t>
      </w:r>
    </w:p>
    <w:p w14:paraId="2F0A7FF0" w14:textId="77777777" w:rsidR="00CF02AF" w:rsidRPr="00FD7E86" w:rsidDel="00B73730" w:rsidRDefault="00CF02AF" w:rsidP="00C05F4C">
      <w:pPr>
        <w:rPr>
          <w:rFonts w:cs="Arial"/>
        </w:rPr>
      </w:pPr>
      <w:r w:rsidRPr="00FD7E86" w:rsidDel="00B73730">
        <w:rPr>
          <w:rFonts w:cs="Arial"/>
        </w:rPr>
        <w:t xml:space="preserve">Sixteen events affecting the control of media operations occurred during 2014–15. </w:t>
      </w:r>
    </w:p>
    <w:p w14:paraId="40DAF97F" w14:textId="77777777" w:rsidR="00CF02AF" w:rsidRPr="00FD7E86" w:rsidDel="00B73730" w:rsidRDefault="00CF02AF" w:rsidP="00C05F4C">
      <w:pPr>
        <w:rPr>
          <w:szCs w:val="20"/>
        </w:rPr>
      </w:pPr>
      <w:r w:rsidRPr="00FD7E86" w:rsidDel="00B73730">
        <w:t>The licensees of all 327 commercial broadcasting licences and publishers of all 46 associated newspapers lodged their annual returns (as required under section 62 of the BSA</w:t>
      </w:r>
      <w:r w:rsidR="00DA3C14">
        <w:rPr>
          <w:rStyle w:val="EndnoteReference"/>
        </w:rPr>
        <w:endnoteReference w:id="107"/>
      </w:r>
      <w:r w:rsidRPr="00FD7E86" w:rsidDel="00B73730">
        <w:t xml:space="preserve">). </w:t>
      </w:r>
    </w:p>
    <w:p w14:paraId="2BA258C7" w14:textId="77777777" w:rsidR="00CF02AF" w:rsidRPr="00FD7E86" w:rsidRDefault="00CF02AF" w:rsidP="000664F7">
      <w:pPr>
        <w:pStyle w:val="ACMAHeading2"/>
      </w:pPr>
      <w:bookmarkStart w:id="270" w:name="_Toc433790372"/>
      <w:r w:rsidRPr="00FD7E86">
        <w:lastRenderedPageBreak/>
        <w:t>Local information on regional television</w:t>
      </w:r>
      <w:bookmarkEnd w:id="270"/>
    </w:p>
    <w:p w14:paraId="0E348364" w14:textId="77777777" w:rsidR="00CF02AF" w:rsidRPr="00FD7E86" w:rsidRDefault="00CF02AF" w:rsidP="00C05F4C">
      <w:pPr>
        <w:spacing w:after="80"/>
        <w:rPr>
          <w:rFonts w:cs="Arial"/>
        </w:rPr>
      </w:pPr>
      <w:r w:rsidRPr="00FD7E86">
        <w:rPr>
          <w:rFonts w:cs="Arial"/>
        </w:rPr>
        <w:t>The following regional commercial television broadcasting licensees in Queensland, New South Wales, Victoria and Tasmania must broadcast minimum amounts of material of local significance (local content) as a result of an additional licence condition:</w:t>
      </w:r>
    </w:p>
    <w:p w14:paraId="0FA1568B" w14:textId="77777777" w:rsidR="00CF02AF" w:rsidRPr="00FD7E86" w:rsidRDefault="00CF02AF" w:rsidP="000E4F20">
      <w:pPr>
        <w:pStyle w:val="ListBullet"/>
      </w:pPr>
      <w:r w:rsidRPr="00FD7E86">
        <w:t xml:space="preserve">Seven Qld, Southern Cross and WIN TV in regional Queensland </w:t>
      </w:r>
    </w:p>
    <w:p w14:paraId="3B81C35A" w14:textId="77777777" w:rsidR="00CF02AF" w:rsidRPr="00FD7E86" w:rsidRDefault="00CF02AF" w:rsidP="000E4F20">
      <w:pPr>
        <w:pStyle w:val="ListBullet"/>
      </w:pPr>
      <w:r w:rsidRPr="00FD7E86">
        <w:t>NBN Ltd, Prime Television and Southern Cross in northern New South Wales</w:t>
      </w:r>
    </w:p>
    <w:p w14:paraId="7C3017A7" w14:textId="77777777" w:rsidR="00CF02AF" w:rsidRPr="00FD7E86" w:rsidRDefault="00CF02AF" w:rsidP="000E4F20">
      <w:pPr>
        <w:pStyle w:val="ListBullet"/>
      </w:pPr>
      <w:r w:rsidRPr="00FD7E86">
        <w:t>Prime Television, Southern Cross and WIN TV in southern New South Wales</w:t>
      </w:r>
    </w:p>
    <w:p w14:paraId="5C085834" w14:textId="77777777" w:rsidR="00CF02AF" w:rsidRPr="00FD7E86" w:rsidRDefault="00CF02AF" w:rsidP="000E4F20">
      <w:pPr>
        <w:pStyle w:val="ListBullet"/>
      </w:pPr>
      <w:r w:rsidRPr="00FD7E86">
        <w:t>Prime Television, Southern Cross and WIN TV in regional Victoria</w:t>
      </w:r>
    </w:p>
    <w:p w14:paraId="472CAA84" w14:textId="77777777" w:rsidR="00CF02AF" w:rsidRPr="00FD7E86" w:rsidRDefault="00CF02AF">
      <w:pPr>
        <w:pStyle w:val="ListBulletLast"/>
      </w:pPr>
      <w:r w:rsidRPr="00FD7E86">
        <w:t>Southern Cross, WIN TV and Southern Cross/WIN joint venture in Tasmania.</w:t>
      </w:r>
    </w:p>
    <w:p w14:paraId="17966BD0" w14:textId="77777777" w:rsidR="00CF02AF" w:rsidRPr="00FD7E86" w:rsidRDefault="00CF02AF" w:rsidP="00CF02AF">
      <w:pPr>
        <w:rPr>
          <w:rFonts w:cs="Arial"/>
        </w:rPr>
      </w:pPr>
      <w:r w:rsidRPr="00FD7E86">
        <w:rPr>
          <w:rFonts w:cs="Arial"/>
        </w:rPr>
        <w:t>For the period 1 July 2014 to 30 June 2015, the ACMA did not receive any complaints about compliance under the local content additional licence condition.</w:t>
      </w:r>
    </w:p>
    <w:p w14:paraId="00B2C696" w14:textId="77777777" w:rsidR="00CF02AF" w:rsidRPr="00FD7E86" w:rsidRDefault="00CF02AF" w:rsidP="000664F7">
      <w:pPr>
        <w:pStyle w:val="ACMAHeading2"/>
      </w:pPr>
      <w:bookmarkStart w:id="271" w:name="_Toc433790373"/>
      <w:r w:rsidRPr="00FD7E86">
        <w:t>Local content, information and presence on regional commercial radio</w:t>
      </w:r>
      <w:bookmarkEnd w:id="271"/>
    </w:p>
    <w:p w14:paraId="6579088F" w14:textId="77777777" w:rsidR="00CF02AF" w:rsidRPr="00FD7E86" w:rsidRDefault="00CF02AF" w:rsidP="007C60E0">
      <w:r w:rsidRPr="00FD7E86">
        <w:t>The Broadcasting Services (Regional Commercial Radio—Material of Local Significance) Licence Condition 2014 requires 211 regional commercial radio licensees</w:t>
      </w:r>
      <w:r w:rsidRPr="00FD7E86">
        <w:rPr>
          <w:rStyle w:val="EndnoteReference"/>
          <w:rFonts w:cs="Arial"/>
          <w:szCs w:val="16"/>
        </w:rPr>
        <w:endnoteReference w:id="108"/>
      </w:r>
      <w:r w:rsidRPr="00FD7E86">
        <w:t xml:space="preserve"> to broadcast prescribed amounts of material of local significance (local content) between 5.00 am and 8.00 pm on business days. Licensees are exempt from this obligation for a five-week ‘holiday’ period each year.</w:t>
      </w:r>
    </w:p>
    <w:p w14:paraId="6F4A4C42" w14:textId="77777777" w:rsidR="00CF02AF" w:rsidRPr="00FD7E86" w:rsidRDefault="00CF02AF" w:rsidP="00CF02AF">
      <w:pPr>
        <w:rPr>
          <w:rFonts w:cs="Arial"/>
        </w:rPr>
      </w:pPr>
      <w:r w:rsidRPr="00FD7E86">
        <w:rPr>
          <w:rFonts w:cs="Arial"/>
        </w:rPr>
        <w:t>According to the annual returns for 2013–14</w:t>
      </w:r>
      <w:r w:rsidRPr="00FD7E86">
        <w:rPr>
          <w:rStyle w:val="EndnoteReference"/>
          <w:rFonts w:cs="Arial"/>
          <w:szCs w:val="16"/>
        </w:rPr>
        <w:endnoteReference w:id="109"/>
      </w:r>
      <w:r w:rsidRPr="00FD7E86">
        <w:rPr>
          <w:rFonts w:cs="Arial"/>
        </w:rPr>
        <w:t>, all licensees broadcast the prescribed amount of local content as required by the licence condition.</w:t>
      </w:r>
    </w:p>
    <w:p w14:paraId="105C8461" w14:textId="77777777" w:rsidR="00CF02AF" w:rsidRPr="00FD7E86" w:rsidRDefault="00CF02AF" w:rsidP="00C05F4C">
      <w:pPr>
        <w:spacing w:after="80"/>
        <w:rPr>
          <w:rFonts w:cs="Arial"/>
        </w:rPr>
      </w:pPr>
      <w:r w:rsidRPr="00FD7E86">
        <w:rPr>
          <w:rFonts w:cs="Arial"/>
        </w:rPr>
        <w:t xml:space="preserve">A regional commercial radio licensee affected by certain changes in ownership or control (known as a ‘trigger event’) is required to: </w:t>
      </w:r>
    </w:p>
    <w:p w14:paraId="484F2F37" w14:textId="77777777" w:rsidR="00CF02AF" w:rsidRPr="00FD7E86" w:rsidRDefault="00CF02AF" w:rsidP="000E4F20">
      <w:pPr>
        <w:pStyle w:val="ListBullet"/>
      </w:pPr>
      <w:r w:rsidRPr="00FD7E86">
        <w:t>broadcast specified amounts of local news and information for 47 weeks per year (minimum service standards)</w:t>
      </w:r>
    </w:p>
    <w:p w14:paraId="20D330BE" w14:textId="77777777" w:rsidR="00CF02AF" w:rsidRPr="00FD7E86" w:rsidRDefault="00CF02AF" w:rsidP="00C05F4C">
      <w:pPr>
        <w:pStyle w:val="ListBulletLast"/>
      </w:pPr>
      <w:r w:rsidRPr="00FD7E86">
        <w:t>maintain existing levels of local presence (local staff and facilities) for 24 months from the date of the trigger event.</w:t>
      </w:r>
      <w:r w:rsidRPr="00FD7E86">
        <w:rPr>
          <w:rStyle w:val="EndnoteReference"/>
          <w:szCs w:val="16"/>
        </w:rPr>
        <w:endnoteReference w:id="110"/>
      </w:r>
      <w:r w:rsidRPr="00FD7E86">
        <w:rPr>
          <w:rStyle w:val="EndnoteReference"/>
          <w:szCs w:val="16"/>
        </w:rPr>
        <w:t xml:space="preserve"> </w:t>
      </w:r>
    </w:p>
    <w:p w14:paraId="6101A1BE" w14:textId="77777777" w:rsidR="00CF02AF" w:rsidRPr="00FD7E86" w:rsidRDefault="00CF02AF" w:rsidP="00C05F4C">
      <w:r w:rsidRPr="00FD7E86">
        <w:t xml:space="preserve">According to the annual returns for 2013–14, trigger event-affected licensees maintained a high level of compliance with their local content plans. Of the 110 trigger event-affected licensees reporting to the ACMA, all but two licensees complied with their approved local content plan. </w:t>
      </w:r>
    </w:p>
    <w:p w14:paraId="16A6E31F" w14:textId="77777777" w:rsidR="00CF02AF" w:rsidRPr="00FD7E86" w:rsidRDefault="00CF02AF" w:rsidP="007C60E0">
      <w:r w:rsidRPr="00FD7E86">
        <w:t xml:space="preserve">On 2 July 2014, the 24-month local presence compliance period ceased for two regional commercial radio licences affected by trigger events and on 15 March 2015, the 24-month local presence compliance period ceased for an additional two licences. </w:t>
      </w:r>
    </w:p>
    <w:p w14:paraId="1B63E1B9" w14:textId="77777777" w:rsidR="00CF02AF" w:rsidRPr="00FD7E86" w:rsidRDefault="00CF02AF" w:rsidP="000664F7">
      <w:pPr>
        <w:pStyle w:val="ACMAHeading2"/>
      </w:pPr>
      <w:bookmarkStart w:id="272" w:name="_Toc433790374"/>
      <w:r w:rsidRPr="00FD7E86">
        <w:t>Anti-siphoning provisions</w:t>
      </w:r>
      <w:bookmarkEnd w:id="272"/>
    </w:p>
    <w:p w14:paraId="61D7384B" w14:textId="77777777" w:rsidR="00CF02AF" w:rsidRPr="00FD7E86" w:rsidRDefault="00CF02AF" w:rsidP="00C05F4C">
      <w:r w:rsidRPr="00FD7E86">
        <w:t>The anti-siphoning scheme in the BSA restricts subscription television broadcasting licensees from acquiring anti-siphoning events in certain instances</w:t>
      </w:r>
      <w:r w:rsidR="0078151D" w:rsidRPr="00FD7E86">
        <w:t>. The scheme</w:t>
      </w:r>
      <w:r w:rsidRPr="00FD7E86">
        <w:t xml:space="preserve"> also restricts the broadcast of anti-siphoning events by free-to-air broadcasters on their digital multi-channels.</w:t>
      </w:r>
    </w:p>
    <w:p w14:paraId="18977708" w14:textId="77777777" w:rsidR="00CF02AF" w:rsidRPr="00FD7E86" w:rsidRDefault="00CF02AF" w:rsidP="00C05F4C">
      <w:r w:rsidRPr="00FD7E86">
        <w:t xml:space="preserve">During the reporting period, the ACMA did not commence any investigations into any commercial television licensee’s compliance with the licence condition restricting the broadcast of anti-siphoning events. </w:t>
      </w:r>
    </w:p>
    <w:p w14:paraId="05BE22F6" w14:textId="77777777" w:rsidR="00CF02AF" w:rsidRPr="00FD7E86" w:rsidRDefault="00CF02AF" w:rsidP="000664F7">
      <w:pPr>
        <w:pStyle w:val="ACMAHeading2"/>
      </w:pPr>
      <w:bookmarkStart w:id="273" w:name="_Toc433790375"/>
      <w:r w:rsidRPr="00FD7E86">
        <w:t>Digital broadcasting</w:t>
      </w:r>
      <w:bookmarkEnd w:id="273"/>
    </w:p>
    <w:p w14:paraId="6A4FDB8E" w14:textId="77777777" w:rsidR="00CF02AF" w:rsidRPr="00FD7E86" w:rsidRDefault="00CF02AF" w:rsidP="00CF02AF">
      <w:pPr>
        <w:keepNext/>
        <w:spacing w:before="60" w:after="60"/>
        <w:outlineLvl w:val="2"/>
        <w:rPr>
          <w:rFonts w:cs="Arial"/>
          <w:b/>
          <w:bCs/>
          <w:szCs w:val="26"/>
        </w:rPr>
      </w:pPr>
      <w:r w:rsidRPr="00FD7E86">
        <w:rPr>
          <w:rFonts w:cs="Arial"/>
          <w:b/>
          <w:bCs/>
          <w:szCs w:val="26"/>
        </w:rPr>
        <w:t>Digital television</w:t>
      </w:r>
    </w:p>
    <w:p w14:paraId="14A6CC87" w14:textId="77777777" w:rsidR="00CF02AF" w:rsidRPr="00FD7E86" w:rsidRDefault="00CF02AF" w:rsidP="007C60E0">
      <w:r w:rsidRPr="00FD7E86">
        <w:t xml:space="preserve">The switchover from analog to digital television broadcasting was completed across Australia on </w:t>
      </w:r>
      <w:r w:rsidR="00995600" w:rsidRPr="00FD7E86">
        <w:t>10</w:t>
      </w:r>
      <w:r w:rsidR="00995600">
        <w:t> </w:t>
      </w:r>
      <w:r w:rsidRPr="00FD7E86">
        <w:t xml:space="preserve">December 2013, when analog services </w:t>
      </w:r>
      <w:r w:rsidR="0078151D" w:rsidRPr="00FD7E86">
        <w:t xml:space="preserve">were </w:t>
      </w:r>
      <w:r w:rsidRPr="00FD7E86">
        <w:t>switched off in Melbourne and in remote central and eastern Australia.</w:t>
      </w:r>
    </w:p>
    <w:p w14:paraId="5E0106C5" w14:textId="77777777" w:rsidR="00CF02AF" w:rsidRPr="00FD7E86" w:rsidRDefault="00CF02AF" w:rsidP="004F6BD1">
      <w:r w:rsidRPr="00FD7E86">
        <w:lastRenderedPageBreak/>
        <w:t xml:space="preserve">Following switchover, 1,294 digital television transmitters servicing 367 areas moved to new channels in accordance with a new channel plan. This ‘restack’ of channels was required to clear the 700 MHz digital dividend (channels above UHF 51). The final digital television transmitters were restacked on </w:t>
      </w:r>
      <w:r w:rsidR="00995600" w:rsidRPr="00FD7E86">
        <w:t>9</w:t>
      </w:r>
      <w:r w:rsidR="00995600">
        <w:t> </w:t>
      </w:r>
      <w:r w:rsidRPr="00FD7E86">
        <w:t>December 2014</w:t>
      </w:r>
      <w:r w:rsidR="000977BB" w:rsidRPr="00FD7E86">
        <w:t xml:space="preserve">. </w:t>
      </w:r>
    </w:p>
    <w:p w14:paraId="686DA874" w14:textId="77777777" w:rsidR="00CF02AF" w:rsidRPr="00FD7E86" w:rsidRDefault="00CF02AF" w:rsidP="00CF02AF">
      <w:pPr>
        <w:keepNext/>
        <w:spacing w:before="60" w:after="60"/>
        <w:outlineLvl w:val="2"/>
        <w:rPr>
          <w:rFonts w:cs="Arial"/>
          <w:b/>
          <w:bCs/>
          <w:szCs w:val="26"/>
        </w:rPr>
      </w:pPr>
      <w:r w:rsidRPr="00FD7E86">
        <w:rPr>
          <w:rFonts w:cs="Arial"/>
          <w:b/>
          <w:bCs/>
          <w:szCs w:val="26"/>
        </w:rPr>
        <w:t xml:space="preserve">Digital radio </w:t>
      </w:r>
    </w:p>
    <w:p w14:paraId="51E451C4" w14:textId="77777777" w:rsidR="00CF02AF" w:rsidRPr="00FD7E86" w:rsidRDefault="00CF02AF" w:rsidP="007C60E0">
      <w:r w:rsidRPr="00FD7E86">
        <w:t xml:space="preserve">Digital radio services, using DAB+ technology in VHF Band III spectrum, have been running on a permanent basis in the metropolitan areas of Adelaide, Brisbane, Melbourne, Perth and Sydney since July 2009. </w:t>
      </w:r>
    </w:p>
    <w:p w14:paraId="3F21AE0F" w14:textId="77777777" w:rsidR="00CF02AF" w:rsidRPr="00FD7E86" w:rsidRDefault="00CF02AF" w:rsidP="004F6BD1">
      <w:r w:rsidRPr="00FD7E86">
        <w:t>Trials of DAB+ are being conducted in Canberra and Darwin by the peak commercial radio body, Commercial Radio Australia. The trials were to expire on 30 August 2015 but have subsequently been extended.</w:t>
      </w:r>
    </w:p>
    <w:p w14:paraId="0A1F57D5" w14:textId="77777777" w:rsidR="00FB7711" w:rsidRPr="00FD7E86" w:rsidRDefault="00FB7711" w:rsidP="004F6BD1">
      <w:pPr>
        <w:rPr>
          <w:szCs w:val="22"/>
        </w:rPr>
      </w:pPr>
      <w:r w:rsidRPr="00FD7E86">
        <w:t>On 8 July 2015, the government published a report prepared by the Department of Communications</w:t>
      </w:r>
      <w:r w:rsidR="00CD63E1">
        <w:rPr>
          <w:rStyle w:val="EndnoteReference"/>
        </w:rPr>
        <w:endnoteReference w:id="111"/>
      </w:r>
      <w:r w:rsidRPr="00FD7E86">
        <w:t xml:space="preserve"> on digital radio services in Australia.</w:t>
      </w:r>
      <w:r w:rsidR="00476C2D" w:rsidRPr="00FD7E86">
        <w:rPr>
          <w:rStyle w:val="EndnoteReference"/>
        </w:rPr>
        <w:endnoteReference w:id="112"/>
      </w:r>
      <w:r w:rsidRPr="00FD7E86">
        <w:t xml:space="preserve"> The </w:t>
      </w:r>
      <w:r w:rsidRPr="00FD7E86">
        <w:rPr>
          <w:i/>
        </w:rPr>
        <w:t>Digital Radio Report</w:t>
      </w:r>
      <w:r w:rsidRPr="00FD7E86">
        <w:t xml:space="preserve"> made several recommendations, including the establishment of a Digital Radio Planning C</w:t>
      </w:r>
      <w:r w:rsidR="00AA5634" w:rsidRPr="00FD7E86">
        <w:t>ommittee for Regional Australia</w:t>
      </w:r>
      <w:r w:rsidRPr="00FD7E86">
        <w:t xml:space="preserve"> to be chaired by the ACMA. In announcing the release of the Digital Radio Report, the then minister announced that the </w:t>
      </w:r>
      <w:r w:rsidR="0078151D" w:rsidRPr="00FD7E86">
        <w:t>g</w:t>
      </w:r>
      <w:r w:rsidRPr="00FD7E86">
        <w:t xml:space="preserve">overnment expects that the planning committee would give priority to the licensing of permanent digital radio services in Canberra and Darwin, before planning the rollout in new areas of Australia. </w:t>
      </w:r>
    </w:p>
    <w:p w14:paraId="6F794CCF" w14:textId="77777777" w:rsidR="00CF02AF" w:rsidRPr="00FD7E86" w:rsidRDefault="00CF02AF" w:rsidP="000664F7">
      <w:pPr>
        <w:pStyle w:val="ACMAHeading2"/>
      </w:pPr>
      <w:bookmarkStart w:id="274" w:name="_Toc433790376"/>
      <w:r w:rsidRPr="00FD7E86">
        <w:t>Broadcasting complaints and investigations</w:t>
      </w:r>
      <w:bookmarkEnd w:id="274"/>
    </w:p>
    <w:p w14:paraId="1B849783" w14:textId="77777777" w:rsidR="00CF02AF" w:rsidRPr="00FD7E86" w:rsidRDefault="00CF02AF" w:rsidP="00C05F4C">
      <w:r w:rsidRPr="00FD7E86">
        <w:t>The ACMA monitors the number and details of complaints it receives about possible breaches of the BSA, standards, licence conditions and code provisions. Not all complaints are investigated, as the complainant may choose not to pursue the matter further or because the complaint is outside the ACMA’s jurisdiction.</w:t>
      </w:r>
    </w:p>
    <w:p w14:paraId="48B54F3C" w14:textId="77777777" w:rsidR="00CF02AF" w:rsidRPr="00FD7E86" w:rsidRDefault="00CF02AF" w:rsidP="00C05F4C">
      <w:r w:rsidRPr="00FD7E86">
        <w:t xml:space="preserve">Further, since 17 October 2014, the ACMA has had a discretion whether to investigate complaints about broadcasting matters in the public interest. When deciding whether to investigate a particular matter, the ACMA has regard to a range of factors including the nature and </w:t>
      </w:r>
      <w:r w:rsidR="0006141E">
        <w:t>seriousness of the issue raised;</w:t>
      </w:r>
      <w:r w:rsidRPr="00FD7E86">
        <w:t xml:space="preserve"> the applicability of any relevant legislation, code of practice or st</w:t>
      </w:r>
      <w:r w:rsidR="0006141E">
        <w:t>andard;</w:t>
      </w:r>
      <w:r w:rsidRPr="00FD7E86">
        <w:t xml:space="preserve"> the potential to affect the community at large and its priority in relation to other matters of public interest.</w:t>
      </w:r>
    </w:p>
    <w:p w14:paraId="6EAD980C" w14:textId="77777777" w:rsidR="00CF02AF" w:rsidRPr="00FD7E86" w:rsidRDefault="00CF02AF" w:rsidP="00C05F4C">
      <w:r w:rsidRPr="00FD7E86">
        <w:t>From 17 October 2014 to 30 June 2015, the ACMA exercised its discretion to investigate 61 valid complaints and declined to investigate 35 valid complaints. (Note that multiple valid complaints may concern a single broadcast or matter.)</w:t>
      </w:r>
    </w:p>
    <w:p w14:paraId="14AEE9BE" w14:textId="77777777" w:rsidR="00CF02AF" w:rsidRPr="00FD7E86" w:rsidRDefault="00CF02AF" w:rsidP="00C05F4C">
      <w:r w:rsidRPr="00FD7E86">
        <w:t xml:space="preserve">There were 1,012 written complaints and enquiries made to the ACMA about broadcasting matters during 2014–15, a 36 per cent decrease from 2013–14. The number of investigations completed in 2014–15 was 145 (Table 3.7). </w:t>
      </w:r>
    </w:p>
    <w:p w14:paraId="1549C85C" w14:textId="77777777" w:rsidR="00CF02AF" w:rsidRPr="00FD7E86" w:rsidRDefault="004E56DE" w:rsidP="00C05F4C">
      <w:pPr>
        <w:pStyle w:val="Caption"/>
        <w:keepNext/>
        <w:keepLines/>
        <w:numPr>
          <w:ilvl w:val="0"/>
          <w:numId w:val="0"/>
        </w:numPr>
        <w:spacing w:after="160"/>
        <w:rPr>
          <w:rFonts w:cs="Arial"/>
        </w:rPr>
      </w:pPr>
      <w:bookmarkStart w:id="275" w:name="OLE_LINK3"/>
      <w:r>
        <w:rPr>
          <w:rFonts w:cs="Arial"/>
        </w:rPr>
        <w:lastRenderedPageBreak/>
        <w:t>Table 3.7</w:t>
      </w:r>
      <w:r w:rsidR="00CF02AF" w:rsidRPr="00FD7E86">
        <w:rPr>
          <w:rFonts w:cs="Arial"/>
        </w:rPr>
        <w:t xml:space="preserve"> ACMA broadcasting complaints and investigations by financial year</w:t>
      </w:r>
    </w:p>
    <w:bookmarkEnd w:id="275"/>
    <w:tbl>
      <w:tblPr>
        <w:tblStyle w:val="Commsreport2014-15TABLE"/>
        <w:tblW w:w="9429" w:type="dxa"/>
        <w:tblLayout w:type="fixed"/>
        <w:tblLook w:val="04A0" w:firstRow="1" w:lastRow="0" w:firstColumn="1" w:lastColumn="0" w:noHBand="0" w:noVBand="1"/>
        <w:tblCaption w:val="Table 3.7 ACMA broadcasting complaints and investigations by financial year"/>
      </w:tblPr>
      <w:tblGrid>
        <w:gridCol w:w="949"/>
        <w:gridCol w:w="2336"/>
        <w:gridCol w:w="1228"/>
        <w:gridCol w:w="1229"/>
        <w:gridCol w:w="1229"/>
        <w:gridCol w:w="1229"/>
        <w:gridCol w:w="1229"/>
      </w:tblGrid>
      <w:tr w:rsidR="00CF02AF" w:rsidRPr="00FD7E86" w14:paraId="53760297"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975" w:type="dxa"/>
            <w:tcBorders>
              <w:right w:val="nil"/>
            </w:tcBorders>
            <w:shd w:val="clear" w:color="auto" w:fill="auto"/>
          </w:tcPr>
          <w:p w14:paraId="4A983CF3" w14:textId="77777777" w:rsidR="00CF02AF" w:rsidRPr="00FD7E86" w:rsidRDefault="00CF02AF" w:rsidP="00C05F4C">
            <w:pPr>
              <w:keepNext/>
              <w:keepLines/>
              <w:spacing w:before="60" w:after="60"/>
              <w:rPr>
                <w:rFonts w:cs="Arial"/>
                <w:b w:val="0"/>
                <w:szCs w:val="18"/>
              </w:rPr>
            </w:pPr>
          </w:p>
        </w:tc>
        <w:tc>
          <w:tcPr>
            <w:tcW w:w="2409" w:type="dxa"/>
            <w:tcBorders>
              <w:left w:val="nil"/>
            </w:tcBorders>
            <w:shd w:val="clear" w:color="auto" w:fill="auto"/>
          </w:tcPr>
          <w:p w14:paraId="4D6713B6" w14:textId="77777777" w:rsidR="00CF02AF" w:rsidRPr="00FD7E86" w:rsidRDefault="00CF02AF" w:rsidP="00C05F4C">
            <w:pPr>
              <w:keepNext/>
              <w:keepLines/>
              <w:spacing w:before="60" w:after="60"/>
              <w:cnfStyle w:val="100000000000" w:firstRow="1" w:lastRow="0" w:firstColumn="0" w:lastColumn="0" w:oddVBand="0" w:evenVBand="0" w:oddHBand="0" w:evenHBand="0" w:firstRowFirstColumn="0" w:firstRowLastColumn="0" w:lastRowFirstColumn="0" w:lastRowLastColumn="0"/>
              <w:rPr>
                <w:rFonts w:cs="Arial"/>
                <w:b w:val="0"/>
                <w:szCs w:val="18"/>
              </w:rPr>
            </w:pPr>
          </w:p>
        </w:tc>
        <w:tc>
          <w:tcPr>
            <w:tcW w:w="1262" w:type="dxa"/>
          </w:tcPr>
          <w:p w14:paraId="066C1A5E" w14:textId="77777777" w:rsidR="00CF02AF" w:rsidRPr="0021202A" w:rsidRDefault="00CF02AF"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2010–11</w:t>
            </w:r>
          </w:p>
        </w:tc>
        <w:tc>
          <w:tcPr>
            <w:tcW w:w="1263" w:type="dxa"/>
          </w:tcPr>
          <w:p w14:paraId="7C3C352D" w14:textId="77777777" w:rsidR="00CF02AF" w:rsidRPr="0021202A" w:rsidRDefault="00CF02AF"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2011–12</w:t>
            </w:r>
          </w:p>
        </w:tc>
        <w:tc>
          <w:tcPr>
            <w:tcW w:w="1263" w:type="dxa"/>
          </w:tcPr>
          <w:p w14:paraId="2CD105EC" w14:textId="77777777" w:rsidR="00CF02AF" w:rsidRPr="0021202A" w:rsidRDefault="00CF02AF"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2012–13</w:t>
            </w:r>
          </w:p>
        </w:tc>
        <w:tc>
          <w:tcPr>
            <w:tcW w:w="1263" w:type="dxa"/>
          </w:tcPr>
          <w:p w14:paraId="69DCEAE6" w14:textId="77777777" w:rsidR="00CF02AF" w:rsidRPr="0021202A" w:rsidRDefault="00CF02AF"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2013–14</w:t>
            </w:r>
          </w:p>
        </w:tc>
        <w:tc>
          <w:tcPr>
            <w:tcW w:w="1263" w:type="dxa"/>
          </w:tcPr>
          <w:p w14:paraId="5B2C7449" w14:textId="77777777" w:rsidR="00CF02AF" w:rsidRPr="0021202A" w:rsidRDefault="00CF02AF"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r>
      <w:tr w:rsidR="00CF02AF" w:rsidRPr="00FD7E86" w14:paraId="68AFEC9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75" w:type="dxa"/>
            <w:tcBorders>
              <w:right w:val="nil"/>
            </w:tcBorders>
          </w:tcPr>
          <w:p w14:paraId="714E2E2C" w14:textId="77777777" w:rsidR="00CF02AF" w:rsidRPr="00FD7E86" w:rsidRDefault="00CF02AF" w:rsidP="00C05F4C">
            <w:pPr>
              <w:keepNext/>
              <w:keepLines/>
              <w:spacing w:before="60" w:after="60"/>
              <w:jc w:val="center"/>
              <w:rPr>
                <w:rFonts w:cs="Arial"/>
                <w:b/>
                <w:noProof/>
                <w:szCs w:val="18"/>
              </w:rPr>
            </w:pPr>
            <w:r w:rsidRPr="00FD7E86">
              <w:rPr>
                <w:rFonts w:cs="Arial"/>
                <w:b/>
                <w:noProof/>
                <w:szCs w:val="18"/>
              </w:rPr>
              <w:drawing>
                <wp:inline distT="0" distB="0" distL="0" distR="0" wp14:anchorId="6C3558E6" wp14:editId="5759468C">
                  <wp:extent cx="361996" cy="316004"/>
                  <wp:effectExtent l="0" t="0" r="0" b="8255"/>
                  <wp:docPr id="66" name="Picture 66"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igital switchover-04.png"/>
                          <pic:cNvPicPr/>
                        </pic:nvPicPr>
                        <pic:blipFill>
                          <a:blip r:embed="rId106" cstate="print">
                            <a:extLst>
                              <a:ext uri="{28A0092B-C50C-407E-A947-70E740481C1C}">
                                <a14:useLocalDpi xmlns:a14="http://schemas.microsoft.com/office/drawing/2010/main" val="0"/>
                              </a:ext>
                            </a:extLst>
                          </a:blip>
                          <a:stretch>
                            <a:fillRect/>
                          </a:stretch>
                        </pic:blipFill>
                        <pic:spPr>
                          <a:xfrm>
                            <a:off x="0" y="0"/>
                            <a:ext cx="377035" cy="329132"/>
                          </a:xfrm>
                          <a:prstGeom prst="rect">
                            <a:avLst/>
                          </a:prstGeom>
                        </pic:spPr>
                      </pic:pic>
                    </a:graphicData>
                  </a:graphic>
                </wp:inline>
              </w:drawing>
            </w:r>
          </w:p>
        </w:tc>
        <w:tc>
          <w:tcPr>
            <w:tcW w:w="2409" w:type="dxa"/>
            <w:tcBorders>
              <w:left w:val="nil"/>
            </w:tcBorders>
            <w:shd w:val="clear" w:color="auto" w:fill="65CDD5" w:themeFill="accent2"/>
          </w:tcPr>
          <w:p w14:paraId="5F4E4D96" w14:textId="77777777" w:rsidR="00CF02AF" w:rsidRPr="00C05F4C" w:rsidRDefault="00CF02AF" w:rsidP="00C05F4C">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Written complaints and enquiries received</w:t>
            </w:r>
          </w:p>
        </w:tc>
        <w:tc>
          <w:tcPr>
            <w:tcW w:w="1262" w:type="dxa"/>
          </w:tcPr>
          <w:p w14:paraId="5A035A38"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1,512</w:t>
            </w:r>
          </w:p>
        </w:tc>
        <w:tc>
          <w:tcPr>
            <w:tcW w:w="1263" w:type="dxa"/>
          </w:tcPr>
          <w:p w14:paraId="4DA8F14E"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2,273</w:t>
            </w:r>
          </w:p>
        </w:tc>
        <w:tc>
          <w:tcPr>
            <w:tcW w:w="1263" w:type="dxa"/>
          </w:tcPr>
          <w:p w14:paraId="653E2ACE"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2,178</w:t>
            </w:r>
            <w:r w:rsidRPr="00FD7E86">
              <w:rPr>
                <w:rFonts w:cs="Arial"/>
                <w:sz w:val="16"/>
                <w:szCs w:val="16"/>
                <w:vertAlign w:val="superscript"/>
              </w:rPr>
              <w:t>†</w:t>
            </w:r>
          </w:p>
        </w:tc>
        <w:tc>
          <w:tcPr>
            <w:tcW w:w="1263" w:type="dxa"/>
          </w:tcPr>
          <w:p w14:paraId="1CFD0923"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1,593</w:t>
            </w:r>
          </w:p>
        </w:tc>
        <w:tc>
          <w:tcPr>
            <w:tcW w:w="1263" w:type="dxa"/>
          </w:tcPr>
          <w:p w14:paraId="32545790" w14:textId="77777777" w:rsidR="00CF02AF" w:rsidRPr="00FD7E86" w:rsidRDefault="00CF02AF" w:rsidP="00C05F4C">
            <w:pPr>
              <w:keepNext/>
              <w:keepLines/>
              <w:spacing w:before="60" w:after="60"/>
              <w:ind w:right="29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1,012</w:t>
            </w:r>
          </w:p>
        </w:tc>
      </w:tr>
      <w:tr w:rsidR="00CF02AF" w:rsidRPr="00FD7E86" w14:paraId="54F6F80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75" w:type="dxa"/>
            <w:tcBorders>
              <w:right w:val="nil"/>
            </w:tcBorders>
          </w:tcPr>
          <w:p w14:paraId="4014C01D" w14:textId="77777777" w:rsidR="00CF02AF" w:rsidRPr="00FD7E86" w:rsidRDefault="00CF02AF" w:rsidP="00C05F4C">
            <w:pPr>
              <w:keepNext/>
              <w:keepLines/>
              <w:spacing w:before="60" w:after="60"/>
              <w:jc w:val="center"/>
              <w:rPr>
                <w:rFonts w:cs="Arial"/>
                <w:b/>
                <w:szCs w:val="18"/>
              </w:rPr>
            </w:pPr>
            <w:r w:rsidRPr="00FD7E86">
              <w:rPr>
                <w:rFonts w:cs="Arial"/>
                <w:b/>
                <w:noProof/>
                <w:szCs w:val="18"/>
              </w:rPr>
              <w:drawing>
                <wp:inline distT="0" distB="0" distL="0" distR="0" wp14:anchorId="06BE394C" wp14:editId="16F444CD">
                  <wp:extent cx="285472" cy="390525"/>
                  <wp:effectExtent l="0" t="0" r="635" b="0"/>
                  <wp:docPr id="2" name="Picture 2"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con-18.png"/>
                          <pic:cNvPicPr/>
                        </pic:nvPicPr>
                        <pic:blipFill>
                          <a:blip r:embed="rId107">
                            <a:extLst>
                              <a:ext uri="{28A0092B-C50C-407E-A947-70E740481C1C}">
                                <a14:useLocalDpi xmlns:a14="http://schemas.microsoft.com/office/drawing/2010/main" val="0"/>
                              </a:ext>
                            </a:extLst>
                          </a:blip>
                          <a:stretch>
                            <a:fillRect/>
                          </a:stretch>
                        </pic:blipFill>
                        <pic:spPr>
                          <a:xfrm>
                            <a:off x="0" y="0"/>
                            <a:ext cx="288734" cy="394988"/>
                          </a:xfrm>
                          <a:prstGeom prst="rect">
                            <a:avLst/>
                          </a:prstGeom>
                        </pic:spPr>
                      </pic:pic>
                    </a:graphicData>
                  </a:graphic>
                </wp:inline>
              </w:drawing>
            </w:r>
          </w:p>
        </w:tc>
        <w:tc>
          <w:tcPr>
            <w:tcW w:w="2409" w:type="dxa"/>
            <w:tcBorders>
              <w:left w:val="nil"/>
            </w:tcBorders>
            <w:shd w:val="clear" w:color="auto" w:fill="65CDD5" w:themeFill="accent2"/>
          </w:tcPr>
          <w:p w14:paraId="771AEF26" w14:textId="77777777" w:rsidR="00CF02AF" w:rsidRPr="00C05F4C" w:rsidRDefault="00CF02AF" w:rsidP="00C05F4C">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Investigations completed</w:t>
            </w:r>
          </w:p>
        </w:tc>
        <w:tc>
          <w:tcPr>
            <w:tcW w:w="1262" w:type="dxa"/>
          </w:tcPr>
          <w:p w14:paraId="5F55841B"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197</w:t>
            </w:r>
          </w:p>
        </w:tc>
        <w:tc>
          <w:tcPr>
            <w:tcW w:w="1263" w:type="dxa"/>
          </w:tcPr>
          <w:p w14:paraId="6EB9F106"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231</w:t>
            </w:r>
          </w:p>
        </w:tc>
        <w:tc>
          <w:tcPr>
            <w:tcW w:w="1263" w:type="dxa"/>
          </w:tcPr>
          <w:p w14:paraId="6E605EA0"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212</w:t>
            </w:r>
          </w:p>
        </w:tc>
        <w:tc>
          <w:tcPr>
            <w:tcW w:w="1263" w:type="dxa"/>
          </w:tcPr>
          <w:p w14:paraId="021B0C40"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180</w:t>
            </w:r>
          </w:p>
        </w:tc>
        <w:tc>
          <w:tcPr>
            <w:tcW w:w="1263" w:type="dxa"/>
          </w:tcPr>
          <w:p w14:paraId="62B1AAEC" w14:textId="77777777" w:rsidR="00CF02AF" w:rsidRPr="00FD7E86" w:rsidRDefault="00CF02AF" w:rsidP="00C05F4C">
            <w:pPr>
              <w:keepNext/>
              <w:keepLines/>
              <w:spacing w:before="60" w:after="60"/>
              <w:ind w:right="29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145</w:t>
            </w:r>
            <w:r w:rsidRPr="00FD7E86">
              <w:rPr>
                <w:rFonts w:cs="Arial"/>
                <w:szCs w:val="18"/>
                <w:vertAlign w:val="superscript"/>
              </w:rPr>
              <w:t>†</w:t>
            </w:r>
          </w:p>
        </w:tc>
      </w:tr>
      <w:tr w:rsidR="00CF02AF" w:rsidRPr="00FD7E86" w14:paraId="1323118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75" w:type="dxa"/>
            <w:tcBorders>
              <w:right w:val="nil"/>
            </w:tcBorders>
          </w:tcPr>
          <w:p w14:paraId="219507CC" w14:textId="5BFB429D" w:rsidR="00CF02AF" w:rsidRPr="00FD7E86" w:rsidRDefault="00CF02AF" w:rsidP="00C05F4C">
            <w:pPr>
              <w:keepNext/>
              <w:keepLines/>
              <w:spacing w:before="60" w:after="60"/>
              <w:jc w:val="center"/>
              <w:rPr>
                <w:rFonts w:cs="Arial"/>
                <w:b/>
                <w:szCs w:val="18"/>
              </w:rPr>
            </w:pPr>
            <w:r w:rsidRPr="00FD7E86">
              <w:rPr>
                <w:rFonts w:cs="Arial"/>
                <w:b/>
                <w:noProof/>
                <w:szCs w:val="18"/>
              </w:rPr>
              <w:drawing>
                <wp:inline distT="0" distB="0" distL="0" distR="0" wp14:anchorId="48066109" wp14:editId="560C562B">
                  <wp:extent cx="348903" cy="338537"/>
                  <wp:effectExtent l="0" t="0" r="0" b="4445"/>
                  <wp:docPr id="67" name="Picture 67"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Digital switchover-14.png"/>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360771" cy="350052"/>
                          </a:xfrm>
                          <a:prstGeom prst="rect">
                            <a:avLst/>
                          </a:prstGeom>
                        </pic:spPr>
                      </pic:pic>
                    </a:graphicData>
                  </a:graphic>
                </wp:inline>
              </w:drawing>
            </w:r>
          </w:p>
        </w:tc>
        <w:tc>
          <w:tcPr>
            <w:tcW w:w="2409" w:type="dxa"/>
            <w:tcBorders>
              <w:left w:val="nil"/>
            </w:tcBorders>
            <w:shd w:val="clear" w:color="auto" w:fill="65CDD5" w:themeFill="accent2"/>
          </w:tcPr>
          <w:p w14:paraId="6D58D0E2" w14:textId="77777777" w:rsidR="00CF02AF" w:rsidRPr="00C05F4C" w:rsidRDefault="00CF02AF" w:rsidP="00C05F4C">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 xml:space="preserve">Investigations resulting </w:t>
            </w:r>
            <w:r w:rsidRPr="00C05F4C">
              <w:rPr>
                <w:rFonts w:cs="Arial"/>
                <w:szCs w:val="18"/>
              </w:rPr>
              <w:br/>
              <w:t>in a breach finding*</w:t>
            </w:r>
          </w:p>
        </w:tc>
        <w:tc>
          <w:tcPr>
            <w:tcW w:w="1262" w:type="dxa"/>
          </w:tcPr>
          <w:p w14:paraId="03525BA7"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72</w:t>
            </w:r>
          </w:p>
        </w:tc>
        <w:tc>
          <w:tcPr>
            <w:tcW w:w="1263" w:type="dxa"/>
          </w:tcPr>
          <w:p w14:paraId="0992B85D"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71</w:t>
            </w:r>
          </w:p>
        </w:tc>
        <w:tc>
          <w:tcPr>
            <w:tcW w:w="1263" w:type="dxa"/>
          </w:tcPr>
          <w:p w14:paraId="5CB77F15"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67</w:t>
            </w:r>
          </w:p>
        </w:tc>
        <w:tc>
          <w:tcPr>
            <w:tcW w:w="1263" w:type="dxa"/>
          </w:tcPr>
          <w:p w14:paraId="06933B6A"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45</w:t>
            </w:r>
          </w:p>
        </w:tc>
        <w:tc>
          <w:tcPr>
            <w:tcW w:w="1263" w:type="dxa"/>
          </w:tcPr>
          <w:p w14:paraId="595B0030" w14:textId="77777777" w:rsidR="00CF02AF" w:rsidRPr="00FD7E86" w:rsidRDefault="00CF02AF" w:rsidP="00C05F4C">
            <w:pPr>
              <w:keepNext/>
              <w:keepLines/>
              <w:spacing w:before="60" w:after="60"/>
              <w:ind w:right="29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35</w:t>
            </w:r>
          </w:p>
        </w:tc>
      </w:tr>
      <w:tr w:rsidR="00CF02AF" w:rsidRPr="00FD7E86" w14:paraId="7366454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75" w:type="dxa"/>
            <w:tcBorders>
              <w:right w:val="nil"/>
            </w:tcBorders>
          </w:tcPr>
          <w:p w14:paraId="436309BB" w14:textId="77777777" w:rsidR="00CF02AF" w:rsidRPr="00FD7E86" w:rsidRDefault="00CF02AF" w:rsidP="00C05F4C">
            <w:pPr>
              <w:keepNext/>
              <w:keepLines/>
              <w:spacing w:before="60" w:after="60"/>
              <w:jc w:val="center"/>
              <w:rPr>
                <w:rFonts w:cs="Arial"/>
                <w:b/>
                <w:szCs w:val="18"/>
              </w:rPr>
            </w:pPr>
            <w:r w:rsidRPr="00FD7E86">
              <w:rPr>
                <w:rFonts w:cs="Arial"/>
                <w:b/>
                <w:noProof/>
                <w:szCs w:val="18"/>
              </w:rPr>
              <w:drawing>
                <wp:inline distT="0" distB="0" distL="0" distR="0" wp14:anchorId="2D0E8C79" wp14:editId="3252911B">
                  <wp:extent cx="291216" cy="334569"/>
                  <wp:effectExtent l="0" t="0" r="0" b="8890"/>
                  <wp:docPr id="68" name="Picture 68"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Digital switchover-13.png"/>
                          <pic:cNvPicPr/>
                        </pic:nvPicPr>
                        <pic:blipFill>
                          <a:blip r:embed="rId109">
                            <a:extLst>
                              <a:ext uri="{28A0092B-C50C-407E-A947-70E740481C1C}">
                                <a14:useLocalDpi xmlns:a14="http://schemas.microsoft.com/office/drawing/2010/main" val="0"/>
                              </a:ext>
                            </a:extLst>
                          </a:blip>
                          <a:stretch>
                            <a:fillRect/>
                          </a:stretch>
                        </pic:blipFill>
                        <pic:spPr>
                          <a:xfrm>
                            <a:off x="0" y="0"/>
                            <a:ext cx="298725" cy="343196"/>
                          </a:xfrm>
                          <a:prstGeom prst="rect">
                            <a:avLst/>
                          </a:prstGeom>
                        </pic:spPr>
                      </pic:pic>
                    </a:graphicData>
                  </a:graphic>
                </wp:inline>
              </w:drawing>
            </w:r>
          </w:p>
        </w:tc>
        <w:tc>
          <w:tcPr>
            <w:tcW w:w="2409" w:type="dxa"/>
            <w:tcBorders>
              <w:left w:val="nil"/>
            </w:tcBorders>
            <w:shd w:val="clear" w:color="auto" w:fill="65CDD5" w:themeFill="accent2"/>
          </w:tcPr>
          <w:p w14:paraId="4979278B" w14:textId="77777777" w:rsidR="00CF02AF" w:rsidRPr="00C05F4C" w:rsidRDefault="00CF02AF" w:rsidP="00C05F4C">
            <w:pPr>
              <w:keepNext/>
              <w:keepLines/>
              <w:spacing w:before="60" w:after="6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 xml:space="preserve">Investigations resulting </w:t>
            </w:r>
            <w:r w:rsidRPr="00C05F4C">
              <w:rPr>
                <w:rFonts w:cs="Arial"/>
                <w:szCs w:val="18"/>
              </w:rPr>
              <w:br/>
              <w:t>in a non-breach finding*</w:t>
            </w:r>
          </w:p>
        </w:tc>
        <w:tc>
          <w:tcPr>
            <w:tcW w:w="1262" w:type="dxa"/>
          </w:tcPr>
          <w:p w14:paraId="47EEECD1"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115</w:t>
            </w:r>
          </w:p>
        </w:tc>
        <w:tc>
          <w:tcPr>
            <w:tcW w:w="1263" w:type="dxa"/>
          </w:tcPr>
          <w:p w14:paraId="33FFE84A"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155</w:t>
            </w:r>
          </w:p>
        </w:tc>
        <w:tc>
          <w:tcPr>
            <w:tcW w:w="1263" w:type="dxa"/>
          </w:tcPr>
          <w:p w14:paraId="7B7F3AF7"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135</w:t>
            </w:r>
          </w:p>
        </w:tc>
        <w:tc>
          <w:tcPr>
            <w:tcW w:w="1263" w:type="dxa"/>
          </w:tcPr>
          <w:p w14:paraId="5B061EFF" w14:textId="77777777" w:rsidR="00CF02AF" w:rsidRPr="00FD7E86" w:rsidRDefault="00CF02AF" w:rsidP="00C05F4C">
            <w:pPr>
              <w:keepNext/>
              <w:keepLines/>
              <w:spacing w:before="60" w:after="60"/>
              <w:ind w:right="2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132</w:t>
            </w:r>
          </w:p>
        </w:tc>
        <w:tc>
          <w:tcPr>
            <w:tcW w:w="1263" w:type="dxa"/>
          </w:tcPr>
          <w:p w14:paraId="14E013DA" w14:textId="77777777" w:rsidR="00CF02AF" w:rsidRPr="00FD7E86" w:rsidRDefault="00CF02AF" w:rsidP="00C05F4C">
            <w:pPr>
              <w:keepNext/>
              <w:keepLines/>
              <w:spacing w:before="60" w:after="60"/>
              <w:ind w:right="29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r>
    </w:tbl>
    <w:p w14:paraId="357D49CE" w14:textId="77777777" w:rsidR="00CF02AF" w:rsidRPr="00FD7E86" w:rsidRDefault="00CF02AF" w:rsidP="00C05F4C">
      <w:pPr>
        <w:pStyle w:val="ACMANotes"/>
        <w:keepNext/>
        <w:keepLines/>
      </w:pPr>
      <w:r w:rsidRPr="00FD7E86">
        <w:t xml:space="preserve">*Investigations against a code of practice, licence condition, standard and/or provision of the </w:t>
      </w:r>
      <w:r w:rsidRPr="00FD7E86">
        <w:rPr>
          <w:i w:val="0"/>
        </w:rPr>
        <w:t>Broadcasting Services Act 1992</w:t>
      </w:r>
      <w:r w:rsidRPr="00FD7E86">
        <w:t>.</w:t>
      </w:r>
    </w:p>
    <w:p w14:paraId="22852B8B" w14:textId="77777777" w:rsidR="00CF02AF" w:rsidRPr="00FD7E86" w:rsidRDefault="00CF02AF" w:rsidP="00C05F4C">
      <w:pPr>
        <w:pStyle w:val="ACMANotes"/>
        <w:keepNext/>
        <w:keepLines/>
      </w:pPr>
      <w:r w:rsidRPr="00FD7E86">
        <w:rPr>
          <w:vertAlign w:val="superscript"/>
        </w:rPr>
        <w:t>†</w:t>
      </w:r>
      <w:r w:rsidRPr="00FD7E86">
        <w:t>Three investigations resulted in no findings and seven investigations were concluded.</w:t>
      </w:r>
    </w:p>
    <w:p w14:paraId="69E446D0" w14:textId="77777777" w:rsidR="00CF02AF" w:rsidRPr="00FD7E86" w:rsidRDefault="00CF02AF" w:rsidP="00C05F4C">
      <w:pPr>
        <w:pStyle w:val="ACMANotes"/>
        <w:keepNext/>
        <w:keepLines/>
      </w:pPr>
      <w:r w:rsidRPr="00FD7E86">
        <w:t>Note: Sum of categories does not equal total number of investigations completed due to exclusion of completed investigations with no finding; for example, where the complaint is withdrawn.</w:t>
      </w:r>
    </w:p>
    <w:p w14:paraId="757D992A" w14:textId="77777777" w:rsidR="00CF02AF" w:rsidRPr="00FD7E86" w:rsidRDefault="00CF02AF" w:rsidP="00C05F4C">
      <w:pPr>
        <w:pStyle w:val="ACMANotes"/>
        <w:keepNext/>
        <w:keepLines/>
      </w:pPr>
      <w:r w:rsidRPr="00FD7E86">
        <w:t>Source: Broadcasting complaints to the ACMA.</w:t>
      </w:r>
    </w:p>
    <w:p w14:paraId="6E69C6E8" w14:textId="77777777" w:rsidR="00E450B7" w:rsidRPr="00FD7E86" w:rsidRDefault="00E450B7" w:rsidP="008724ED">
      <w:pPr>
        <w:pStyle w:val="ACMASpaceaftertable"/>
        <w:rPr>
          <w:i/>
          <w:sz w:val="16"/>
          <w:szCs w:val="16"/>
        </w:rPr>
      </w:pPr>
    </w:p>
    <w:p w14:paraId="6B00ACC9" w14:textId="77777777" w:rsidR="00CF02AF" w:rsidRPr="00FD7E86" w:rsidRDefault="00AF3221" w:rsidP="00E41B62">
      <w:pPr>
        <w:pStyle w:val="ACMAHeading1"/>
      </w:pPr>
      <w:bookmarkStart w:id="276" w:name="_Toc433790377"/>
      <w:r w:rsidRPr="00FD7E86">
        <w:t>3.6</w:t>
      </w:r>
      <w:r w:rsidRPr="00FD7E86">
        <w:tab/>
      </w:r>
      <w:r w:rsidRPr="00FD7E86">
        <w:tab/>
        <w:t>O</w:t>
      </w:r>
      <w:r w:rsidR="00CF02AF" w:rsidRPr="00FD7E86">
        <w:t>nline content</w:t>
      </w:r>
      <w:r w:rsidRPr="00FD7E86">
        <w:t xml:space="preserve"> investigations</w:t>
      </w:r>
      <w:bookmarkEnd w:id="276"/>
    </w:p>
    <w:p w14:paraId="13F19AA0" w14:textId="77777777" w:rsidR="00CF02AF" w:rsidRPr="00FD7E86" w:rsidRDefault="00CF02AF" w:rsidP="007C60E0">
      <w:r w:rsidRPr="00FD7E86">
        <w:t>The Online Content Scheme</w:t>
      </w:r>
      <w:r w:rsidR="00AC0B0B" w:rsidRPr="00FD7E86">
        <w:t>,</w:t>
      </w:r>
      <w:r w:rsidRPr="00FD7E86">
        <w:t xml:space="preserve"> established under Schedules 5 and 7 to the BSA</w:t>
      </w:r>
      <w:r w:rsidR="00AC0B0B" w:rsidRPr="00FD7E86">
        <w:t xml:space="preserve">, </w:t>
      </w:r>
      <w:r w:rsidRPr="00FD7E86">
        <w:t xml:space="preserve">dovetails with industry codes of practice. Under the scheme, the ACMA </w:t>
      </w:r>
      <w:r w:rsidR="005D320F" w:rsidRPr="00FD7E86">
        <w:t>investigates valid complaints about online content, where the complainant considers that the content may be prohibited</w:t>
      </w:r>
      <w:r w:rsidRPr="00FD7E86">
        <w:t xml:space="preserve">. </w:t>
      </w:r>
      <w:r w:rsidR="0026295A" w:rsidRPr="00FD7E86">
        <w:t xml:space="preserve">On </w:t>
      </w:r>
      <w:r w:rsidRPr="00FD7E86">
        <w:t>1 July 2015</w:t>
      </w:r>
      <w:r w:rsidR="00AC0B0B" w:rsidRPr="00FD7E86">
        <w:t>,</w:t>
      </w:r>
      <w:r w:rsidRPr="00FD7E86">
        <w:t xml:space="preserve"> these responsibilities were transferred to the Office of the Children’s eSafety Commissioner.</w:t>
      </w:r>
    </w:p>
    <w:p w14:paraId="36C5AC7D" w14:textId="77777777" w:rsidR="00CF02AF" w:rsidRPr="00FD7E86" w:rsidRDefault="00CF02AF" w:rsidP="004F6BD1">
      <w:r w:rsidRPr="00FD7E86">
        <w:t>Prohibited online content is defined by reference to the National Classification Scheme</w:t>
      </w:r>
      <w:r w:rsidR="00AC0B0B" w:rsidRPr="00FD7E86">
        <w:t>,</w:t>
      </w:r>
      <w:r w:rsidRPr="00FD7E86">
        <w:t xml:space="preserve"> established under the </w:t>
      </w:r>
      <w:r w:rsidRPr="00FD7E86">
        <w:rPr>
          <w:i/>
        </w:rPr>
        <w:t>Classification (Publications, Films and Computer Games) Act 1995</w:t>
      </w:r>
      <w:r w:rsidRPr="00FD7E86">
        <w:t>. Content that is classified RC (Refused Classification) and X 18+ is prohibited and, in certain circumstances, content that is classified R</w:t>
      </w:r>
      <w:r w:rsidR="0051794C" w:rsidRPr="00FD7E86">
        <w:t xml:space="preserve"> </w:t>
      </w:r>
      <w:r w:rsidRPr="00FD7E86">
        <w:t>18+ and MA 15+ is also prohibited. Content that has not been formally classified by the National Classification Board, but has been assessed by the ACMA as likely to be prohibited, is termed ‘potential prohibited’ content under the BSA.</w:t>
      </w:r>
      <w:r w:rsidRPr="00FD7E86">
        <w:rPr>
          <w:rStyle w:val="EndnoteReference"/>
          <w:rFonts w:cs="Arial"/>
        </w:rPr>
        <w:endnoteReference w:id="113"/>
      </w:r>
    </w:p>
    <w:p w14:paraId="5877125F" w14:textId="77777777" w:rsidR="00CF02AF" w:rsidRPr="00FD7E86" w:rsidRDefault="00CF02AF" w:rsidP="00C05F4C">
      <w:r w:rsidRPr="00FD7E86">
        <w:t>During 2014–15, the ACMA received 4,801 complaints (an 18 per cent increase compared to 2013–14) and finalised investigations into 8,728 items of content as at 30 June 2015 (a complaint may result in the investigation of multiple items of content). Of the investigations completed, 6,708 items were assessed as prohibited or potential prohibited online content. Approximately 61 per cent of the items actioned were assessed and/or classified as RC. Of these, 95 per cent concerne</w:t>
      </w:r>
      <w:r w:rsidR="000977BB" w:rsidRPr="00FD7E86">
        <w:t xml:space="preserve">d child sexual abuse material. </w:t>
      </w:r>
    </w:p>
    <w:p w14:paraId="6B08B3FB" w14:textId="77777777" w:rsidR="00CF02AF" w:rsidRPr="00FD7E86" w:rsidRDefault="00CF02AF" w:rsidP="007C60E0">
      <w:r w:rsidRPr="00FD7E86">
        <w:t xml:space="preserve">If prohibited content is hosted in or provided from Australia, the ACMA must direct the content service provider to remove or prevent access to it (depending on its nature). If prohibited or potential prohibited content is hosted overseas, the ACMA notifies the suppliers of optional end-user (PC-based) industry accredited filters. These filters have been tested and accredited by Communications Alliance, as part of the Family Friendly Filter scheme, in accordance with the Internet and Mobile Content Code. </w:t>
      </w:r>
    </w:p>
    <w:p w14:paraId="47ED8C7C" w14:textId="77777777" w:rsidR="00CF02AF" w:rsidRPr="00FD7E86" w:rsidRDefault="00CF02AF" w:rsidP="004F6BD1">
      <w:r w:rsidRPr="00FD7E86">
        <w:t>During 2014–15,</w:t>
      </w:r>
      <w:r w:rsidRPr="00FD7E86">
        <w:rPr>
          <w:color w:val="CC0099"/>
        </w:rPr>
        <w:t xml:space="preserve"> </w:t>
      </w:r>
      <w:r w:rsidRPr="00FD7E86">
        <w:t>a total of 6,708 overseas-hosted prohibited or potential prohibited items were referred to suppliers of optional end-user industry-accredited filters (Table 3.8 below). No prohibited items were found to be hosted in Australia. Where prohibited content has been hosted in Australia, there has been a 100 per cent compliance with ‘take-down’ notices across the life of the Online Content Scheme.</w:t>
      </w:r>
    </w:p>
    <w:p w14:paraId="7F3344E3" w14:textId="77777777" w:rsidR="00CF02AF" w:rsidRPr="00FD7E86" w:rsidRDefault="004E56DE" w:rsidP="00C05F4C">
      <w:pPr>
        <w:pStyle w:val="Caption"/>
        <w:keepNext/>
        <w:numPr>
          <w:ilvl w:val="0"/>
          <w:numId w:val="0"/>
        </w:numPr>
        <w:spacing w:after="160"/>
        <w:rPr>
          <w:noProof/>
        </w:rPr>
      </w:pPr>
      <w:bookmarkStart w:id="277" w:name="OLE_LINK4"/>
      <w:r>
        <w:rPr>
          <w:noProof/>
        </w:rPr>
        <w:lastRenderedPageBreak/>
        <w:t>Table 3.8</w:t>
      </w:r>
      <w:r w:rsidR="00CF02AF" w:rsidRPr="00FD7E86">
        <w:rPr>
          <w:noProof/>
        </w:rPr>
        <w:t xml:space="preserve"> Internet content investigations by financial year</w:t>
      </w:r>
    </w:p>
    <w:bookmarkEnd w:id="277"/>
    <w:tbl>
      <w:tblPr>
        <w:tblStyle w:val="Commsreport2014-15TABLE"/>
        <w:tblpPr w:leftFromText="180" w:rightFromText="180" w:vertAnchor="text" w:horzAnchor="margin" w:tblpY="-51"/>
        <w:tblW w:w="9468" w:type="dxa"/>
        <w:tblLayout w:type="fixed"/>
        <w:tblLook w:val="01E0" w:firstRow="1" w:lastRow="1" w:firstColumn="1" w:lastColumn="1" w:noHBand="0" w:noVBand="0"/>
        <w:tblCaption w:val="Table 3.8 Internet content investigations by financial year"/>
      </w:tblPr>
      <w:tblGrid>
        <w:gridCol w:w="2522"/>
        <w:gridCol w:w="1157"/>
        <w:gridCol w:w="1158"/>
        <w:gridCol w:w="1158"/>
        <w:gridCol w:w="1157"/>
        <w:gridCol w:w="1158"/>
        <w:gridCol w:w="1158"/>
      </w:tblGrid>
      <w:tr w:rsidR="00CF02AF" w:rsidRPr="0021202A" w14:paraId="3F1D03BA"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522" w:type="dxa"/>
            <w:shd w:val="clear" w:color="auto" w:fill="auto"/>
          </w:tcPr>
          <w:p w14:paraId="6CE6C27B" w14:textId="77777777" w:rsidR="00CF02AF" w:rsidRPr="0021202A" w:rsidRDefault="00CF02AF" w:rsidP="0021202A">
            <w:pPr>
              <w:pStyle w:val="TableHeading"/>
              <w:spacing w:before="20" w:after="40"/>
              <w:rPr>
                <w:b/>
              </w:rPr>
            </w:pPr>
          </w:p>
        </w:tc>
        <w:tc>
          <w:tcPr>
            <w:tcW w:w="1157" w:type="dxa"/>
            <w:tcBorders>
              <w:bottom w:val="single" w:sz="24" w:space="0" w:color="FFFFFF" w:themeColor="background1"/>
            </w:tcBorders>
            <w:vAlign w:val="top"/>
          </w:tcPr>
          <w:p w14:paraId="6BBFD900" w14:textId="77777777" w:rsidR="00CF02AF" w:rsidRPr="0021202A" w:rsidDel="00560996" w:rsidRDefault="00CF02AF"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2010–11</w:t>
            </w:r>
          </w:p>
        </w:tc>
        <w:tc>
          <w:tcPr>
            <w:tcW w:w="1158" w:type="dxa"/>
            <w:tcBorders>
              <w:bottom w:val="single" w:sz="24" w:space="0" w:color="FFFFFF" w:themeColor="background1"/>
            </w:tcBorders>
            <w:vAlign w:val="top"/>
          </w:tcPr>
          <w:p w14:paraId="39F4B9A1" w14:textId="77777777" w:rsidR="00CF02AF" w:rsidRPr="0021202A" w:rsidDel="00560996" w:rsidRDefault="00CF02AF"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2011–12</w:t>
            </w:r>
          </w:p>
        </w:tc>
        <w:tc>
          <w:tcPr>
            <w:tcW w:w="1158" w:type="dxa"/>
            <w:tcBorders>
              <w:bottom w:val="single" w:sz="24" w:space="0" w:color="FFFFFF" w:themeColor="background1"/>
            </w:tcBorders>
            <w:vAlign w:val="top"/>
          </w:tcPr>
          <w:p w14:paraId="7C822D3A" w14:textId="77777777" w:rsidR="00CF02AF" w:rsidRPr="0021202A" w:rsidDel="00560996" w:rsidRDefault="00CF02AF"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2012–13</w:t>
            </w:r>
          </w:p>
        </w:tc>
        <w:tc>
          <w:tcPr>
            <w:tcW w:w="1157" w:type="dxa"/>
            <w:tcBorders>
              <w:bottom w:val="single" w:sz="24" w:space="0" w:color="FFFFFF" w:themeColor="background1"/>
            </w:tcBorders>
            <w:vAlign w:val="top"/>
          </w:tcPr>
          <w:p w14:paraId="290DFECF" w14:textId="77777777" w:rsidR="00CF02AF" w:rsidRPr="0021202A" w:rsidRDefault="00CF02AF"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2013–14</w:t>
            </w:r>
          </w:p>
        </w:tc>
        <w:tc>
          <w:tcPr>
            <w:tcW w:w="1158" w:type="dxa"/>
            <w:tcBorders>
              <w:bottom w:val="single" w:sz="24" w:space="0" w:color="FFFFFF" w:themeColor="background1"/>
            </w:tcBorders>
            <w:vAlign w:val="top"/>
          </w:tcPr>
          <w:p w14:paraId="18F5250A" w14:textId="77777777" w:rsidR="00CF02AF" w:rsidRPr="0021202A" w:rsidRDefault="00CF02AF"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c>
          <w:tcPr>
            <w:tcW w:w="1158" w:type="dxa"/>
            <w:tcBorders>
              <w:bottom w:val="single" w:sz="24" w:space="0" w:color="FFFFFF" w:themeColor="background1"/>
            </w:tcBorders>
            <w:vAlign w:val="top"/>
          </w:tcPr>
          <w:p w14:paraId="0F9AC24F" w14:textId="77777777" w:rsidR="00CF02AF" w:rsidRPr="0021202A" w:rsidRDefault="007978CD"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 xml:space="preserve">2013–14 </w:t>
            </w:r>
            <w:r w:rsidRPr="0021202A">
              <w:rPr>
                <w:b/>
              </w:rPr>
              <w:br/>
              <w:t xml:space="preserve">to </w:t>
            </w:r>
            <w:r w:rsidRPr="0021202A">
              <w:rPr>
                <w:b/>
              </w:rPr>
              <w:br/>
              <w:t xml:space="preserve">2014–15 </w:t>
            </w:r>
            <w:r w:rsidR="00CF02AF" w:rsidRPr="0021202A">
              <w:rPr>
                <w:b/>
              </w:rPr>
              <w:t>change</w:t>
            </w:r>
            <w:r w:rsidR="0026295A" w:rsidRPr="0021202A">
              <w:rPr>
                <w:b/>
              </w:rPr>
              <w:t xml:space="preserve"> (%)</w:t>
            </w:r>
            <w:r w:rsidR="00CF02AF" w:rsidRPr="0021202A">
              <w:rPr>
                <w:b/>
              </w:rPr>
              <w:t xml:space="preserve"> </w:t>
            </w:r>
          </w:p>
        </w:tc>
      </w:tr>
      <w:tr w:rsidR="00AA360E" w:rsidRPr="00FD7E86" w14:paraId="71532266" w14:textId="77777777" w:rsidTr="00563AA1">
        <w:trPr>
          <w:trHeight w:val="454"/>
        </w:trPr>
        <w:tc>
          <w:tcPr>
            <w:cnfStyle w:val="001000000000" w:firstRow="0" w:lastRow="0" w:firstColumn="1" w:lastColumn="0" w:oddVBand="0" w:evenVBand="0" w:oddHBand="0" w:evenHBand="0" w:firstRowFirstColumn="0" w:firstRowLastColumn="0" w:lastRowFirstColumn="0" w:lastRowLastColumn="0"/>
            <w:tcW w:w="2522" w:type="dxa"/>
            <w:tcBorders>
              <w:right w:val="nil"/>
            </w:tcBorders>
          </w:tcPr>
          <w:p w14:paraId="5724C4CB" w14:textId="77777777" w:rsidR="00AA360E" w:rsidRPr="00AA360E" w:rsidRDefault="00AA360E" w:rsidP="00AA360E">
            <w:pPr>
              <w:keepNext/>
              <w:keepLines/>
              <w:spacing w:before="60" w:after="60"/>
              <w:rPr>
                <w:rFonts w:cs="Arial"/>
                <w:szCs w:val="18"/>
              </w:rPr>
            </w:pPr>
            <w:r w:rsidRPr="00FD7E86">
              <w:rPr>
                <w:rFonts w:cs="Arial"/>
                <w:b/>
                <w:noProof/>
                <w:szCs w:val="18"/>
              </w:rPr>
              <w:drawing>
                <wp:inline distT="0" distB="0" distL="0" distR="0" wp14:anchorId="1FB027B5" wp14:editId="2495785A">
                  <wp:extent cx="359695" cy="314325"/>
                  <wp:effectExtent l="0" t="0" r="2540" b="0"/>
                  <wp:docPr id="69" name="Picture 69"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Digital switchover-04.png"/>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367411" cy="321068"/>
                          </a:xfrm>
                          <a:prstGeom prst="rect">
                            <a:avLst/>
                          </a:prstGeom>
                        </pic:spPr>
                      </pic:pic>
                    </a:graphicData>
                  </a:graphic>
                </wp:inline>
              </w:drawing>
            </w:r>
            <w:r w:rsidRPr="00AA360E">
              <w:rPr>
                <w:rFonts w:cs="Arial"/>
                <w:b/>
                <w:color w:val="auto"/>
                <w:szCs w:val="18"/>
              </w:rPr>
              <w:t xml:space="preserve">Complaints </w:t>
            </w:r>
          </w:p>
        </w:tc>
        <w:tc>
          <w:tcPr>
            <w:tcW w:w="1157" w:type="dxa"/>
            <w:tcBorders>
              <w:left w:val="nil"/>
              <w:right w:val="nil"/>
            </w:tcBorders>
            <w:shd w:val="clear" w:color="auto" w:fill="65CDD5" w:themeFill="accent2"/>
          </w:tcPr>
          <w:p w14:paraId="389E91DD"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364E9743"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000DC63A"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7" w:type="dxa"/>
            <w:tcBorders>
              <w:left w:val="nil"/>
              <w:right w:val="nil"/>
            </w:tcBorders>
            <w:shd w:val="clear" w:color="auto" w:fill="65CDD5" w:themeFill="accent2"/>
          </w:tcPr>
          <w:p w14:paraId="2B7A4D3A" w14:textId="77777777" w:rsidR="00AA360E" w:rsidRPr="00FD7E8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0DF17FB8" w14:textId="77777777" w:rsidR="00AA360E" w:rsidRPr="00FD7E8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tcBorders>
            <w:shd w:val="clear" w:color="auto" w:fill="65CDD5" w:themeFill="accent2"/>
          </w:tcPr>
          <w:p w14:paraId="04BD6833" w14:textId="77777777" w:rsidR="00AA360E" w:rsidRPr="00FD7E86" w:rsidRDefault="00AA360E"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color w:val="FFFFFF"/>
                <w:szCs w:val="18"/>
              </w:rPr>
            </w:pPr>
          </w:p>
        </w:tc>
      </w:tr>
      <w:tr w:rsidR="00CF02AF" w:rsidRPr="00FD7E86" w14:paraId="1771F6E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1D5B93E6"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Received</w:t>
            </w:r>
            <w:r w:rsidRPr="00EE0E5F">
              <w:rPr>
                <w:rFonts w:cs="Arial"/>
                <w:b/>
                <w:color w:val="auto"/>
                <w:szCs w:val="18"/>
              </w:rPr>
              <w:t>*</w:t>
            </w:r>
          </w:p>
        </w:tc>
        <w:tc>
          <w:tcPr>
            <w:tcW w:w="1157" w:type="dxa"/>
          </w:tcPr>
          <w:p w14:paraId="5D45A74F"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4,865</w:t>
            </w:r>
          </w:p>
        </w:tc>
        <w:tc>
          <w:tcPr>
            <w:tcW w:w="1158" w:type="dxa"/>
          </w:tcPr>
          <w:p w14:paraId="543069D9"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5,026</w:t>
            </w:r>
          </w:p>
        </w:tc>
        <w:tc>
          <w:tcPr>
            <w:tcW w:w="1158" w:type="dxa"/>
          </w:tcPr>
          <w:p w14:paraId="6059961A"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4,633</w:t>
            </w:r>
          </w:p>
        </w:tc>
        <w:tc>
          <w:tcPr>
            <w:tcW w:w="1157" w:type="dxa"/>
          </w:tcPr>
          <w:p w14:paraId="67E04F57"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4,051</w:t>
            </w:r>
          </w:p>
        </w:tc>
        <w:tc>
          <w:tcPr>
            <w:tcW w:w="1158" w:type="dxa"/>
          </w:tcPr>
          <w:p w14:paraId="2350AC07"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4,801</w:t>
            </w:r>
          </w:p>
        </w:tc>
        <w:tc>
          <w:tcPr>
            <w:tcW w:w="1158" w:type="dxa"/>
          </w:tcPr>
          <w:p w14:paraId="68E43FD6"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w:t>
            </w:r>
          </w:p>
        </w:tc>
      </w:tr>
      <w:tr w:rsidR="00CF02AF" w:rsidRPr="00FD7E86" w14:paraId="42F3575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0A19763A"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Invalid</w:t>
            </w:r>
            <w:r w:rsidRPr="00EE0E5F">
              <w:rPr>
                <w:rFonts w:cs="Arial"/>
                <w:color w:val="auto"/>
                <w:szCs w:val="18"/>
                <w:vertAlign w:val="superscript"/>
              </w:rPr>
              <w:t xml:space="preserve">† </w:t>
            </w:r>
          </w:p>
        </w:tc>
        <w:tc>
          <w:tcPr>
            <w:tcW w:w="1157" w:type="dxa"/>
            <w:tcBorders>
              <w:bottom w:val="single" w:sz="24" w:space="0" w:color="FFFFFF" w:themeColor="background1"/>
            </w:tcBorders>
          </w:tcPr>
          <w:p w14:paraId="0DD94A0B"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217</w:t>
            </w:r>
          </w:p>
        </w:tc>
        <w:tc>
          <w:tcPr>
            <w:tcW w:w="1158" w:type="dxa"/>
            <w:tcBorders>
              <w:bottom w:val="single" w:sz="24" w:space="0" w:color="FFFFFF" w:themeColor="background1"/>
            </w:tcBorders>
          </w:tcPr>
          <w:p w14:paraId="63FA3999"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329</w:t>
            </w:r>
          </w:p>
        </w:tc>
        <w:tc>
          <w:tcPr>
            <w:tcW w:w="1158" w:type="dxa"/>
            <w:tcBorders>
              <w:bottom w:val="single" w:sz="24" w:space="0" w:color="FFFFFF" w:themeColor="background1"/>
            </w:tcBorders>
          </w:tcPr>
          <w:p w14:paraId="118085DD"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115</w:t>
            </w:r>
          </w:p>
        </w:tc>
        <w:tc>
          <w:tcPr>
            <w:tcW w:w="1157" w:type="dxa"/>
            <w:tcBorders>
              <w:bottom w:val="single" w:sz="24" w:space="0" w:color="FFFFFF" w:themeColor="background1"/>
            </w:tcBorders>
          </w:tcPr>
          <w:p w14:paraId="0A9C3C9D"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w:t>
            </w:r>
          </w:p>
        </w:tc>
        <w:tc>
          <w:tcPr>
            <w:tcW w:w="1158" w:type="dxa"/>
            <w:tcBorders>
              <w:bottom w:val="single" w:sz="24" w:space="0" w:color="FFFFFF" w:themeColor="background1"/>
            </w:tcBorders>
          </w:tcPr>
          <w:p w14:paraId="26CE17E5"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170</w:t>
            </w:r>
          </w:p>
        </w:tc>
        <w:tc>
          <w:tcPr>
            <w:tcW w:w="1158" w:type="dxa"/>
            <w:tcBorders>
              <w:bottom w:val="single" w:sz="24" w:space="0" w:color="FFFFFF" w:themeColor="background1"/>
            </w:tcBorders>
          </w:tcPr>
          <w:p w14:paraId="4B778342" w14:textId="77777777" w:rsidR="00CF02AF" w:rsidRPr="00FD7E86" w:rsidRDefault="00CF02AF" w:rsidP="00CF02AF">
            <w:pPr>
              <w:keepNext/>
              <w:keepLines/>
              <w:tabs>
                <w:tab w:val="left" w:pos="766"/>
              </w:tab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+240</w:t>
            </w:r>
          </w:p>
        </w:tc>
      </w:tr>
      <w:tr w:rsidR="00AA360E" w:rsidRPr="00FD7E86" w14:paraId="60A2F8FD" w14:textId="77777777" w:rsidTr="00563AA1">
        <w:trPr>
          <w:trHeight w:val="454"/>
        </w:trPr>
        <w:tc>
          <w:tcPr>
            <w:cnfStyle w:val="001000000000" w:firstRow="0" w:lastRow="0" w:firstColumn="1" w:lastColumn="0" w:oddVBand="0" w:evenVBand="0" w:oddHBand="0" w:evenHBand="0" w:firstRowFirstColumn="0" w:firstRowLastColumn="0" w:lastRowFirstColumn="0" w:lastRowLastColumn="0"/>
            <w:tcW w:w="2522" w:type="dxa"/>
            <w:tcBorders>
              <w:right w:val="nil"/>
            </w:tcBorders>
          </w:tcPr>
          <w:p w14:paraId="0C6B6334" w14:textId="77777777" w:rsidR="00AA360E" w:rsidRPr="00516773" w:rsidRDefault="00AA360E" w:rsidP="00516773">
            <w:pPr>
              <w:keepNext/>
              <w:keepLines/>
              <w:spacing w:before="60" w:after="60"/>
              <w:rPr>
                <w:rFonts w:cs="Arial"/>
                <w:b/>
                <w:szCs w:val="18"/>
              </w:rPr>
            </w:pPr>
            <w:r w:rsidRPr="00FD7E86">
              <w:rPr>
                <w:rFonts w:cs="Arial"/>
                <w:b/>
                <w:noProof/>
                <w:szCs w:val="18"/>
              </w:rPr>
              <w:drawing>
                <wp:inline distT="0" distB="0" distL="0" distR="0" wp14:anchorId="6B463497" wp14:editId="1536C95F">
                  <wp:extent cx="313323" cy="428625"/>
                  <wp:effectExtent l="0" t="0" r="0" b="0"/>
                  <wp:docPr id="7" name="Picture 7"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icon-18.png"/>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316171" cy="432522"/>
                          </a:xfrm>
                          <a:prstGeom prst="rect">
                            <a:avLst/>
                          </a:prstGeom>
                        </pic:spPr>
                      </pic:pic>
                    </a:graphicData>
                  </a:graphic>
                </wp:inline>
              </w:drawing>
            </w:r>
            <w:r w:rsidRPr="00516773">
              <w:rPr>
                <w:rFonts w:cs="Arial"/>
                <w:b/>
                <w:color w:val="auto"/>
                <w:szCs w:val="18"/>
              </w:rPr>
              <w:t>Investigations</w:t>
            </w:r>
          </w:p>
        </w:tc>
        <w:tc>
          <w:tcPr>
            <w:tcW w:w="1157" w:type="dxa"/>
            <w:tcBorders>
              <w:left w:val="nil"/>
              <w:right w:val="nil"/>
            </w:tcBorders>
            <w:shd w:val="clear" w:color="auto" w:fill="65CDD5" w:themeFill="accent2"/>
          </w:tcPr>
          <w:p w14:paraId="0EC98242"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6396D293"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2C193EE0" w14:textId="77777777" w:rsidR="00AA360E" w:rsidRPr="00FD7E86" w:rsidDel="0056099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7" w:type="dxa"/>
            <w:tcBorders>
              <w:left w:val="nil"/>
              <w:right w:val="nil"/>
            </w:tcBorders>
            <w:shd w:val="clear" w:color="auto" w:fill="65CDD5" w:themeFill="accent2"/>
          </w:tcPr>
          <w:p w14:paraId="5F8DD94F" w14:textId="77777777" w:rsidR="00AA360E" w:rsidRPr="00FD7E8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5FD6A5E8" w14:textId="77777777" w:rsidR="00AA360E" w:rsidRPr="00FD7E86" w:rsidRDefault="00AA360E"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tcBorders>
            <w:shd w:val="clear" w:color="auto" w:fill="65CDD5" w:themeFill="accent2"/>
          </w:tcPr>
          <w:p w14:paraId="48A798F0" w14:textId="77777777" w:rsidR="00AA360E" w:rsidRPr="00FD7E86" w:rsidRDefault="00AA360E"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color w:val="FFFFFF"/>
                <w:szCs w:val="18"/>
              </w:rPr>
            </w:pPr>
          </w:p>
        </w:tc>
      </w:tr>
      <w:tr w:rsidR="00CF02AF" w:rsidRPr="00FD7E86" w14:paraId="62FB210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6736FEE3"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Terminated</w:t>
            </w:r>
            <w:r w:rsidRPr="00EE0E5F">
              <w:rPr>
                <w:rFonts w:cs="Arial"/>
                <w:color w:val="auto"/>
                <w:szCs w:val="18"/>
                <w:vertAlign w:val="superscript"/>
              </w:rPr>
              <w:t>‡</w:t>
            </w:r>
            <w:r w:rsidRPr="00EE0E5F">
              <w:rPr>
                <w:rFonts w:cs="Arial"/>
                <w:i/>
                <w:color w:val="auto"/>
                <w:szCs w:val="18"/>
              </w:rPr>
              <w:t xml:space="preserve"> </w:t>
            </w:r>
          </w:p>
        </w:tc>
        <w:tc>
          <w:tcPr>
            <w:tcW w:w="1157" w:type="dxa"/>
          </w:tcPr>
          <w:p w14:paraId="43DD49C5"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174</w:t>
            </w:r>
          </w:p>
        </w:tc>
        <w:tc>
          <w:tcPr>
            <w:tcW w:w="1158" w:type="dxa"/>
          </w:tcPr>
          <w:p w14:paraId="1B63D559"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210</w:t>
            </w:r>
          </w:p>
        </w:tc>
        <w:tc>
          <w:tcPr>
            <w:tcW w:w="1158" w:type="dxa"/>
          </w:tcPr>
          <w:p w14:paraId="5FFC7572"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556</w:t>
            </w:r>
          </w:p>
        </w:tc>
        <w:tc>
          <w:tcPr>
            <w:tcW w:w="1157" w:type="dxa"/>
          </w:tcPr>
          <w:p w14:paraId="73328681"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578</w:t>
            </w:r>
          </w:p>
        </w:tc>
        <w:tc>
          <w:tcPr>
            <w:tcW w:w="1158" w:type="dxa"/>
          </w:tcPr>
          <w:p w14:paraId="745EF8DF"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625</w:t>
            </w:r>
          </w:p>
        </w:tc>
        <w:tc>
          <w:tcPr>
            <w:tcW w:w="1158" w:type="dxa"/>
          </w:tcPr>
          <w:p w14:paraId="7A7E8682"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w:t>
            </w:r>
          </w:p>
        </w:tc>
      </w:tr>
      <w:tr w:rsidR="00CF02AF" w:rsidRPr="00FD7E86" w14:paraId="749DC62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572F4131"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Completed</w:t>
            </w:r>
            <w:r w:rsidRPr="00EE0E5F">
              <w:rPr>
                <w:rFonts w:cs="Arial"/>
                <w:color w:val="auto"/>
                <w:szCs w:val="18"/>
                <w:vertAlign w:val="superscript"/>
              </w:rPr>
              <w:t>§</w:t>
            </w:r>
          </w:p>
        </w:tc>
        <w:tc>
          <w:tcPr>
            <w:tcW w:w="1157" w:type="dxa"/>
          </w:tcPr>
          <w:p w14:paraId="4AE4D65B"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3,994</w:t>
            </w:r>
          </w:p>
        </w:tc>
        <w:tc>
          <w:tcPr>
            <w:tcW w:w="1158" w:type="dxa"/>
          </w:tcPr>
          <w:p w14:paraId="48004DEE"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5,403</w:t>
            </w:r>
          </w:p>
        </w:tc>
        <w:tc>
          <w:tcPr>
            <w:tcW w:w="1158" w:type="dxa"/>
          </w:tcPr>
          <w:p w14:paraId="4EBA7A61"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3,143</w:t>
            </w:r>
          </w:p>
        </w:tc>
        <w:tc>
          <w:tcPr>
            <w:tcW w:w="1157" w:type="dxa"/>
          </w:tcPr>
          <w:p w14:paraId="62F5A9B0"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10,586</w:t>
            </w:r>
          </w:p>
        </w:tc>
        <w:tc>
          <w:tcPr>
            <w:tcW w:w="1158" w:type="dxa"/>
          </w:tcPr>
          <w:p w14:paraId="057BA599"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8,103</w:t>
            </w:r>
          </w:p>
        </w:tc>
        <w:tc>
          <w:tcPr>
            <w:tcW w:w="1158" w:type="dxa"/>
          </w:tcPr>
          <w:p w14:paraId="738C9E31" w14:textId="77777777" w:rsidR="00CF02AF" w:rsidRPr="00FD7E86" w:rsidRDefault="00CF02AF" w:rsidP="00CF02AF">
            <w:pPr>
              <w:keepNext/>
              <w:keepLines/>
              <w:tabs>
                <w:tab w:val="left" w:pos="766"/>
              </w:tab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–23</w:t>
            </w:r>
          </w:p>
        </w:tc>
      </w:tr>
      <w:tr w:rsidR="00CF02AF" w:rsidRPr="00FD7E86" w14:paraId="658BB32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63C84FF0" w14:textId="77777777" w:rsidR="00CF02AF" w:rsidRPr="00EE0E5F" w:rsidRDefault="00CF02AF" w:rsidP="00CF02AF">
            <w:pPr>
              <w:keepNext/>
              <w:keepLines/>
              <w:spacing w:before="60" w:after="60"/>
              <w:rPr>
                <w:rFonts w:cs="Arial"/>
                <w:b/>
                <w:color w:val="auto"/>
                <w:szCs w:val="18"/>
              </w:rPr>
            </w:pPr>
            <w:r w:rsidRPr="00EE0E5F">
              <w:rPr>
                <w:rFonts w:cs="Arial"/>
                <w:b/>
                <w:color w:val="auto"/>
                <w:szCs w:val="18"/>
              </w:rPr>
              <w:t>Total items</w:t>
            </w:r>
            <w:r w:rsidRPr="00EE0E5F">
              <w:rPr>
                <w:rFonts w:ascii="Cambria Math" w:eastAsia="Malgun Gothic" w:hAnsi="Cambria Math" w:cs="Cambria Math" w:hint="eastAsia"/>
                <w:b/>
                <w:color w:val="auto"/>
                <w:szCs w:val="18"/>
                <w:vertAlign w:val="superscript"/>
              </w:rPr>
              <w:t>∥</w:t>
            </w:r>
            <w:r w:rsidRPr="00EE0E5F">
              <w:rPr>
                <w:rFonts w:cs="Arial"/>
                <w:b/>
                <w:color w:val="auto"/>
                <w:szCs w:val="18"/>
              </w:rPr>
              <w:t xml:space="preserve"> investigated</w:t>
            </w:r>
          </w:p>
        </w:tc>
        <w:tc>
          <w:tcPr>
            <w:tcW w:w="1157" w:type="dxa"/>
            <w:tcBorders>
              <w:bottom w:val="single" w:sz="24" w:space="0" w:color="FFFFFF" w:themeColor="background1"/>
            </w:tcBorders>
          </w:tcPr>
          <w:p w14:paraId="16AF8ED2"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6,587</w:t>
            </w:r>
          </w:p>
        </w:tc>
        <w:tc>
          <w:tcPr>
            <w:tcW w:w="1158" w:type="dxa"/>
            <w:tcBorders>
              <w:bottom w:val="single" w:sz="24" w:space="0" w:color="FFFFFF" w:themeColor="background1"/>
            </w:tcBorders>
          </w:tcPr>
          <w:p w14:paraId="6806BF97"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6,265</w:t>
            </w:r>
          </w:p>
        </w:tc>
        <w:tc>
          <w:tcPr>
            <w:tcW w:w="1158" w:type="dxa"/>
            <w:tcBorders>
              <w:bottom w:val="single" w:sz="24" w:space="0" w:color="FFFFFF" w:themeColor="background1"/>
            </w:tcBorders>
          </w:tcPr>
          <w:p w14:paraId="65F0F1A0"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 xml:space="preserve">3,793 </w:t>
            </w:r>
          </w:p>
        </w:tc>
        <w:tc>
          <w:tcPr>
            <w:tcW w:w="1157" w:type="dxa"/>
            <w:tcBorders>
              <w:bottom w:val="single" w:sz="24" w:space="0" w:color="FFFFFF" w:themeColor="background1"/>
            </w:tcBorders>
          </w:tcPr>
          <w:p w14:paraId="677264EF"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 xml:space="preserve">11,164 </w:t>
            </w:r>
          </w:p>
        </w:tc>
        <w:tc>
          <w:tcPr>
            <w:tcW w:w="1158" w:type="dxa"/>
            <w:tcBorders>
              <w:bottom w:val="single" w:sz="24" w:space="0" w:color="FFFFFF" w:themeColor="background1"/>
            </w:tcBorders>
          </w:tcPr>
          <w:p w14:paraId="2A970E8D"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8,728</w:t>
            </w:r>
          </w:p>
        </w:tc>
        <w:tc>
          <w:tcPr>
            <w:tcW w:w="1158" w:type="dxa"/>
            <w:tcBorders>
              <w:bottom w:val="single" w:sz="24" w:space="0" w:color="FFFFFF" w:themeColor="background1"/>
            </w:tcBorders>
          </w:tcPr>
          <w:p w14:paraId="0015F604"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–21</w:t>
            </w:r>
          </w:p>
        </w:tc>
      </w:tr>
      <w:tr w:rsidR="00516773" w:rsidRPr="00FD7E86" w14:paraId="5A83797A" w14:textId="77777777" w:rsidTr="00563AA1">
        <w:trPr>
          <w:trHeight w:val="454"/>
        </w:trPr>
        <w:tc>
          <w:tcPr>
            <w:cnfStyle w:val="001000000000" w:firstRow="0" w:lastRow="0" w:firstColumn="1" w:lastColumn="0" w:oddVBand="0" w:evenVBand="0" w:oddHBand="0" w:evenHBand="0" w:firstRowFirstColumn="0" w:firstRowLastColumn="0" w:lastRowFirstColumn="0" w:lastRowLastColumn="0"/>
            <w:tcW w:w="2522" w:type="dxa"/>
            <w:tcBorders>
              <w:right w:val="nil"/>
            </w:tcBorders>
          </w:tcPr>
          <w:p w14:paraId="3B656FE9" w14:textId="77777777" w:rsidR="00516773" w:rsidRPr="00516773" w:rsidRDefault="00516773" w:rsidP="00516773">
            <w:pPr>
              <w:keepNext/>
              <w:keepLines/>
              <w:spacing w:before="60" w:after="60"/>
              <w:rPr>
                <w:rFonts w:cs="Arial"/>
                <w:b/>
                <w:szCs w:val="18"/>
              </w:rPr>
            </w:pPr>
            <w:r w:rsidRPr="00FD7E86">
              <w:rPr>
                <w:rFonts w:cs="Arial"/>
                <w:b/>
                <w:noProof/>
                <w:szCs w:val="18"/>
              </w:rPr>
              <w:drawing>
                <wp:inline distT="0" distB="0" distL="0" distR="0" wp14:anchorId="1B388479" wp14:editId="71D80F96">
                  <wp:extent cx="342900" cy="337931"/>
                  <wp:effectExtent l="0" t="0" r="0" b="5080"/>
                  <wp:docPr id="70" name="Picture 70"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2" cstate="print">
                            <a:extLst>
                              <a:ext uri="{28A0092B-C50C-407E-A947-70E740481C1C}">
                                <a14:useLocalDpi xmlns:a14="http://schemas.microsoft.com/office/drawing/2010/main" val="0"/>
                              </a:ext>
                            </a:extLst>
                          </a:blip>
                          <a:srcRect/>
                          <a:stretch>
                            <a:fillRect/>
                          </a:stretch>
                        </pic:blipFill>
                        <pic:spPr bwMode="auto">
                          <a:xfrm>
                            <a:off x="0" y="0"/>
                            <a:ext cx="355025" cy="349880"/>
                          </a:xfrm>
                          <a:prstGeom prst="rect">
                            <a:avLst/>
                          </a:prstGeom>
                          <a:noFill/>
                          <a:ln>
                            <a:noFill/>
                          </a:ln>
                        </pic:spPr>
                      </pic:pic>
                    </a:graphicData>
                  </a:graphic>
                </wp:inline>
              </w:drawing>
            </w:r>
            <w:r w:rsidRPr="00516773">
              <w:rPr>
                <w:rFonts w:cs="Arial"/>
                <w:b/>
                <w:color w:val="auto"/>
                <w:szCs w:val="18"/>
              </w:rPr>
              <w:t>Action taken</w:t>
            </w:r>
          </w:p>
        </w:tc>
        <w:tc>
          <w:tcPr>
            <w:tcW w:w="1157" w:type="dxa"/>
            <w:tcBorders>
              <w:left w:val="nil"/>
              <w:right w:val="nil"/>
            </w:tcBorders>
            <w:shd w:val="clear" w:color="auto" w:fill="65CDD5" w:themeFill="accent2"/>
          </w:tcPr>
          <w:p w14:paraId="3D83055A" w14:textId="77777777" w:rsidR="00516773" w:rsidRPr="00FD7E86" w:rsidDel="00560996" w:rsidRDefault="00516773"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66712103" w14:textId="77777777" w:rsidR="00516773" w:rsidRPr="00FD7E86" w:rsidDel="00560996" w:rsidRDefault="00516773"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1D0C6FB2" w14:textId="77777777" w:rsidR="00516773" w:rsidRPr="00FD7E86" w:rsidDel="00560996" w:rsidRDefault="00516773"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7" w:type="dxa"/>
            <w:tcBorders>
              <w:left w:val="nil"/>
              <w:right w:val="nil"/>
            </w:tcBorders>
            <w:shd w:val="clear" w:color="auto" w:fill="65CDD5" w:themeFill="accent2"/>
          </w:tcPr>
          <w:p w14:paraId="0125BFF5" w14:textId="77777777" w:rsidR="00516773" w:rsidRPr="00FD7E86" w:rsidRDefault="00516773"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right w:val="nil"/>
            </w:tcBorders>
            <w:shd w:val="clear" w:color="auto" w:fill="65CDD5" w:themeFill="accent2"/>
          </w:tcPr>
          <w:p w14:paraId="2041C7A3" w14:textId="77777777" w:rsidR="00516773" w:rsidRPr="00FD7E86" w:rsidRDefault="00516773"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color w:val="FFFFFF"/>
                <w:szCs w:val="18"/>
              </w:rPr>
            </w:pPr>
          </w:p>
        </w:tc>
        <w:tc>
          <w:tcPr>
            <w:tcW w:w="1158" w:type="dxa"/>
            <w:tcBorders>
              <w:left w:val="nil"/>
            </w:tcBorders>
            <w:shd w:val="clear" w:color="auto" w:fill="65CDD5" w:themeFill="accent2"/>
          </w:tcPr>
          <w:p w14:paraId="16948372" w14:textId="77777777" w:rsidR="00516773" w:rsidRPr="00FD7E86" w:rsidRDefault="00516773"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color w:val="FFFFFF"/>
                <w:szCs w:val="18"/>
              </w:rPr>
            </w:pPr>
          </w:p>
        </w:tc>
      </w:tr>
      <w:tr w:rsidR="00CF02AF" w:rsidRPr="00FD7E86" w14:paraId="6B9B04E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00D82357"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Items actioned</w:t>
            </w:r>
            <w:r w:rsidRPr="00EE0E5F">
              <w:rPr>
                <w:rFonts w:eastAsia="Malgun Gothic" w:cs="Arial"/>
                <w:color w:val="auto"/>
                <w:szCs w:val="18"/>
                <w:vertAlign w:val="superscript"/>
              </w:rPr>
              <w:t>#</w:t>
            </w:r>
            <w:r w:rsidRPr="00EE0E5F">
              <w:rPr>
                <w:rFonts w:cs="Arial"/>
                <w:color w:val="auto"/>
                <w:szCs w:val="18"/>
              </w:rPr>
              <w:t xml:space="preserve"> (hosted in, </w:t>
            </w:r>
            <w:r w:rsidRPr="00EE0E5F">
              <w:rPr>
                <w:rFonts w:cs="Arial"/>
                <w:color w:val="auto"/>
                <w:szCs w:val="18"/>
              </w:rPr>
              <w:br/>
              <w:t>or provided from, Australia)</w:t>
            </w:r>
          </w:p>
        </w:tc>
        <w:tc>
          <w:tcPr>
            <w:tcW w:w="1157" w:type="dxa"/>
          </w:tcPr>
          <w:p w14:paraId="7ED06C83"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w:t>
            </w:r>
          </w:p>
        </w:tc>
        <w:tc>
          <w:tcPr>
            <w:tcW w:w="1158" w:type="dxa"/>
          </w:tcPr>
          <w:p w14:paraId="1CDFC85E"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w:t>
            </w:r>
          </w:p>
        </w:tc>
        <w:tc>
          <w:tcPr>
            <w:tcW w:w="1158" w:type="dxa"/>
          </w:tcPr>
          <w:p w14:paraId="50167705"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w:t>
            </w:r>
          </w:p>
        </w:tc>
        <w:tc>
          <w:tcPr>
            <w:tcW w:w="1157" w:type="dxa"/>
          </w:tcPr>
          <w:p w14:paraId="08E0CF7D"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w:t>
            </w:r>
          </w:p>
        </w:tc>
        <w:tc>
          <w:tcPr>
            <w:tcW w:w="1158" w:type="dxa"/>
          </w:tcPr>
          <w:p w14:paraId="3384ABA1"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1158" w:type="dxa"/>
          </w:tcPr>
          <w:p w14:paraId="03B90254"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r>
      <w:tr w:rsidR="00CF02AF" w:rsidRPr="00FD7E86" w14:paraId="25BBBCF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35177765"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 xml:space="preserve">Items actioned </w:t>
            </w:r>
            <w:r w:rsidRPr="00EE0E5F">
              <w:rPr>
                <w:rFonts w:cs="Arial"/>
                <w:color w:val="auto"/>
                <w:szCs w:val="18"/>
              </w:rPr>
              <w:br/>
              <w:t>(overseas-hosted)</w:t>
            </w:r>
          </w:p>
        </w:tc>
        <w:tc>
          <w:tcPr>
            <w:tcW w:w="1157" w:type="dxa"/>
          </w:tcPr>
          <w:p w14:paraId="604C2C24"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1,945</w:t>
            </w:r>
          </w:p>
        </w:tc>
        <w:tc>
          <w:tcPr>
            <w:tcW w:w="1158" w:type="dxa"/>
          </w:tcPr>
          <w:p w14:paraId="654641BC"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2,004</w:t>
            </w:r>
          </w:p>
        </w:tc>
        <w:tc>
          <w:tcPr>
            <w:tcW w:w="1158" w:type="dxa"/>
          </w:tcPr>
          <w:p w14:paraId="5354AF46"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1,845</w:t>
            </w:r>
          </w:p>
        </w:tc>
        <w:tc>
          <w:tcPr>
            <w:tcW w:w="1157" w:type="dxa"/>
          </w:tcPr>
          <w:p w14:paraId="72D4F26F"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8,980</w:t>
            </w:r>
          </w:p>
        </w:tc>
        <w:tc>
          <w:tcPr>
            <w:tcW w:w="1158" w:type="dxa"/>
          </w:tcPr>
          <w:p w14:paraId="6E657CA4"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6,708</w:t>
            </w:r>
          </w:p>
        </w:tc>
        <w:tc>
          <w:tcPr>
            <w:tcW w:w="1158" w:type="dxa"/>
          </w:tcPr>
          <w:p w14:paraId="466B8435"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w:t>
            </w:r>
          </w:p>
        </w:tc>
      </w:tr>
      <w:tr w:rsidR="00CF02AF" w:rsidRPr="00FD7E86" w14:paraId="1C15E3F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522" w:type="dxa"/>
          </w:tcPr>
          <w:p w14:paraId="2E4E5103" w14:textId="77777777" w:rsidR="00CF02AF" w:rsidRPr="00EE0E5F" w:rsidRDefault="00CF02AF" w:rsidP="00CF02AF">
            <w:pPr>
              <w:keepNext/>
              <w:keepLines/>
              <w:spacing w:before="60" w:after="60"/>
              <w:rPr>
                <w:rFonts w:cs="Arial"/>
                <w:color w:val="auto"/>
                <w:szCs w:val="18"/>
              </w:rPr>
            </w:pPr>
            <w:r w:rsidRPr="00EE0E5F">
              <w:rPr>
                <w:rFonts w:cs="Arial"/>
                <w:color w:val="auto"/>
                <w:szCs w:val="18"/>
              </w:rPr>
              <w:t>Items of online child abuse and other illegal material referred to law enforcement</w:t>
            </w:r>
          </w:p>
        </w:tc>
        <w:tc>
          <w:tcPr>
            <w:tcW w:w="1157" w:type="dxa"/>
          </w:tcPr>
          <w:p w14:paraId="0D86B9C8"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1,071</w:t>
            </w:r>
          </w:p>
        </w:tc>
        <w:tc>
          <w:tcPr>
            <w:tcW w:w="1158" w:type="dxa"/>
          </w:tcPr>
          <w:p w14:paraId="0491F165"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1,130</w:t>
            </w:r>
          </w:p>
        </w:tc>
        <w:tc>
          <w:tcPr>
            <w:tcW w:w="1158" w:type="dxa"/>
          </w:tcPr>
          <w:p w14:paraId="6DE66AF5" w14:textId="77777777" w:rsidR="00CF02AF" w:rsidRPr="00FD7E86" w:rsidDel="0056099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1,182</w:t>
            </w:r>
          </w:p>
        </w:tc>
        <w:tc>
          <w:tcPr>
            <w:tcW w:w="1157" w:type="dxa"/>
          </w:tcPr>
          <w:p w14:paraId="3BA22CD8"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7,670</w:t>
            </w:r>
          </w:p>
        </w:tc>
        <w:tc>
          <w:tcPr>
            <w:tcW w:w="1158" w:type="dxa"/>
          </w:tcPr>
          <w:p w14:paraId="579F2D6A" w14:textId="77777777" w:rsidR="00CF02AF" w:rsidRPr="00FD7E86" w:rsidRDefault="00CF02AF" w:rsidP="00CF02AF">
            <w:pPr>
              <w:keepNext/>
              <w:keepLines/>
              <w:spacing w:before="60" w:after="60"/>
              <w:ind w:right="19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5,094</w:t>
            </w:r>
          </w:p>
        </w:tc>
        <w:tc>
          <w:tcPr>
            <w:tcW w:w="1158" w:type="dxa"/>
          </w:tcPr>
          <w:p w14:paraId="109E1846" w14:textId="77777777" w:rsidR="00CF02AF" w:rsidRPr="00FD7E86" w:rsidRDefault="00CF02AF" w:rsidP="00CF02AF">
            <w:pPr>
              <w:keepNext/>
              <w:keepLines/>
              <w:spacing w:before="60" w:after="60"/>
              <w:ind w:right="14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w:t>
            </w:r>
          </w:p>
        </w:tc>
      </w:tr>
    </w:tbl>
    <w:p w14:paraId="0ED7267E" w14:textId="77777777" w:rsidR="00CF02AF" w:rsidRPr="00FD7E86" w:rsidRDefault="00CF02AF" w:rsidP="008961D9">
      <w:pPr>
        <w:pStyle w:val="ACMANotes"/>
      </w:pPr>
      <w:r w:rsidRPr="00FD7E86">
        <w:t xml:space="preserve">*A complaint may not reach investigation stage if the complainant is not eligible to make a complaint or if the complaint is about a matter that the ACMA cannot investigate. </w:t>
      </w:r>
    </w:p>
    <w:p w14:paraId="6EEC663E" w14:textId="77777777" w:rsidR="00CF02AF" w:rsidRPr="00FD7E86" w:rsidRDefault="00CF02AF" w:rsidP="008961D9">
      <w:pPr>
        <w:pStyle w:val="ACMANotes"/>
      </w:pPr>
      <w:r w:rsidRPr="00FD7E86">
        <w:rPr>
          <w:vertAlign w:val="superscript"/>
        </w:rPr>
        <w:t>†</w:t>
      </w:r>
      <w:r w:rsidRPr="00FD7E86">
        <w:t>A complaint is not investigated if the complaint is invalid. A complaint is invalid if it does not contain the required information set out at subclause 37(4) of Schedule 7 to the BSA, or has been made by a person not entitled to make a complaint.</w:t>
      </w:r>
    </w:p>
    <w:p w14:paraId="7E1B5ABF" w14:textId="77777777" w:rsidR="00CF02AF" w:rsidRPr="00FD7E86" w:rsidRDefault="00CF02AF" w:rsidP="008961D9">
      <w:pPr>
        <w:pStyle w:val="ACMANotes"/>
      </w:pPr>
      <w:r w:rsidRPr="00FD7E86">
        <w:rPr>
          <w:vertAlign w:val="superscript"/>
        </w:rPr>
        <w:t>‡</w:t>
      </w:r>
      <w:r w:rsidRPr="00FD7E86">
        <w:t xml:space="preserve">An investigation may be terminated if the ACMA is of the opinion that is does not have sufficient information to conclude the investigation. </w:t>
      </w:r>
    </w:p>
    <w:p w14:paraId="7A7545E6" w14:textId="77777777" w:rsidR="00CF02AF" w:rsidRPr="00FD7E86" w:rsidRDefault="00CF02AF" w:rsidP="008961D9">
      <w:pPr>
        <w:pStyle w:val="ACMANotes"/>
      </w:pPr>
      <w:r w:rsidRPr="00FD7E86">
        <w:rPr>
          <w:vertAlign w:val="superscript"/>
        </w:rPr>
        <w:t>§</w:t>
      </w:r>
      <w:r w:rsidRPr="00FD7E86">
        <w:t>An investigation may relate to one or many items of content. An investigation may be terminated if the ACMA does not have sufficient information to conduct its investigation.</w:t>
      </w:r>
    </w:p>
    <w:p w14:paraId="000773C8" w14:textId="77777777" w:rsidR="00CF02AF" w:rsidRPr="00FD7E86" w:rsidRDefault="00CF02AF" w:rsidP="008961D9">
      <w:pPr>
        <w:pStyle w:val="ACMANotes"/>
      </w:pPr>
      <w:r w:rsidRPr="00FD7E86">
        <w:rPr>
          <w:rFonts w:ascii="Cambria Math" w:hAnsi="Cambria Math" w:cs="Cambria Math"/>
          <w:vertAlign w:val="superscript"/>
        </w:rPr>
        <w:t>∥</w:t>
      </w:r>
      <w:r w:rsidRPr="00FD7E86">
        <w:t>An item relates to an individual page, image or other file.</w:t>
      </w:r>
    </w:p>
    <w:p w14:paraId="38F1706F" w14:textId="77777777" w:rsidR="00CF02AF" w:rsidRPr="00FD7E86" w:rsidRDefault="00CF02AF" w:rsidP="008961D9">
      <w:pPr>
        <w:pStyle w:val="ACMANotes"/>
      </w:pPr>
      <w:r w:rsidRPr="00FD7E86">
        <w:t>#Action is taken on items assessed as prohibited or potential prohibited.</w:t>
      </w:r>
    </w:p>
    <w:p w14:paraId="217335AF" w14:textId="77777777" w:rsidR="00CF02AF" w:rsidRPr="00FD7E86" w:rsidRDefault="00CF02AF" w:rsidP="008961D9">
      <w:pPr>
        <w:pStyle w:val="ACMANotes"/>
      </w:pPr>
      <w:r w:rsidRPr="00FD7E86">
        <w:t>**Three items of content were removed upon referral to law enforcement prior to any take-down notices being issued by the ACMA.</w:t>
      </w:r>
    </w:p>
    <w:p w14:paraId="5BDF3624" w14:textId="77777777" w:rsidR="00CF02AF" w:rsidRPr="00FD7E86" w:rsidRDefault="00CF02AF" w:rsidP="000E4F20">
      <w:pPr>
        <w:pStyle w:val="ACMANotes"/>
      </w:pPr>
      <w:r w:rsidRPr="00FD7E86">
        <w:t>Source: Online content complaints actioned by the ACMA.</w:t>
      </w:r>
    </w:p>
    <w:p w14:paraId="1D2CEC6E" w14:textId="77777777" w:rsidR="000B1962" w:rsidRPr="00FD7E86" w:rsidRDefault="000B1962" w:rsidP="008724ED">
      <w:pPr>
        <w:pStyle w:val="ACMASpaceaftertable"/>
        <w:rPr>
          <w:i/>
          <w:sz w:val="16"/>
          <w:szCs w:val="16"/>
        </w:rPr>
      </w:pPr>
    </w:p>
    <w:p w14:paraId="5F76FA45" w14:textId="77777777" w:rsidR="00CF02AF" w:rsidRPr="00FD7E86" w:rsidRDefault="00CF02AF" w:rsidP="000664F7">
      <w:pPr>
        <w:pStyle w:val="ACMAHeading3"/>
      </w:pPr>
      <w:bookmarkStart w:id="278" w:name="_Toc399331826"/>
      <w:bookmarkStart w:id="279" w:name="_Toc399337007"/>
      <w:bookmarkStart w:id="280" w:name="_Toc402337613"/>
      <w:r w:rsidRPr="00FD7E86">
        <w:rPr>
          <w:noProof/>
          <w:lang w:val="en-AU" w:eastAsia="en-AU"/>
        </w:rPr>
        <w:lastRenderedPageBreak/>
        <w:drawing>
          <wp:anchor distT="0" distB="540385" distL="180340" distR="114300" simplePos="0" relativeHeight="251655680" behindDoc="1" locked="0" layoutInCell="1" allowOverlap="1" wp14:anchorId="1ECAED1A" wp14:editId="69F6B5F7">
            <wp:simplePos x="0" y="0"/>
            <wp:positionH relativeFrom="column">
              <wp:posOffset>4213489</wp:posOffset>
            </wp:positionH>
            <wp:positionV relativeFrom="paragraph">
              <wp:posOffset>39370</wp:posOffset>
            </wp:positionV>
            <wp:extent cx="1861200" cy="1717200"/>
            <wp:effectExtent l="0" t="0" r="5715" b="0"/>
            <wp:wrapSquare wrapText="bothSides"/>
            <wp:docPr id="71" name="Picture 3" descr="Saying no to illegal content on the internet" title="INHOPE - International Association of Internet Hot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3" cstate="print"/>
                    <a:srcRect/>
                    <a:stretch>
                      <a:fillRect/>
                    </a:stretch>
                  </pic:blipFill>
                  <pic:spPr bwMode="auto">
                    <a:xfrm>
                      <a:off x="0" y="0"/>
                      <a:ext cx="1861200" cy="17172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FD7E86">
        <w:t>International cooperation to remove online illegal content</w:t>
      </w:r>
      <w:bookmarkEnd w:id="278"/>
      <w:bookmarkEnd w:id="279"/>
      <w:bookmarkEnd w:id="280"/>
    </w:p>
    <w:p w14:paraId="726C1FC0" w14:textId="77777777" w:rsidR="00CF02AF" w:rsidRPr="00FD7E86" w:rsidRDefault="00CF02AF" w:rsidP="00CF02AF">
      <w:pPr>
        <w:rPr>
          <w:rFonts w:cs="Arial"/>
        </w:rPr>
      </w:pPr>
      <w:r w:rsidRPr="00FD7E86">
        <w:rPr>
          <w:rFonts w:cs="Arial"/>
        </w:rPr>
        <w:t xml:space="preserve">The ACMA places a high priority on acting promptly and effectively against child sexual abuse material. The ACMA refers this content to either an Australian law enforcement agency or a law enforcement-endorsed overseas agency through the International Association of Internet Hotlines (INHOPE), of which the ACMA is a long-term member. INHOPE coordinates a network of international hotlines to take swift action in response to reports of illegal content. INHOPE acts as a rapid law enforcement notification and take-down channel across international borders. In 2014–15, the ACMA referred 5,094 items of online child abuse and other illegal material to law enforcement agencies. Of these, 5,035 items of child sexual abuse material were notified through INHOPE for take-down. </w:t>
      </w:r>
    </w:p>
    <w:p w14:paraId="390AFE2A" w14:textId="77777777" w:rsidR="00CF02AF" w:rsidRPr="00FD7E86" w:rsidRDefault="00CF02AF" w:rsidP="000664F7">
      <w:pPr>
        <w:pStyle w:val="ACMAHeading2"/>
      </w:pPr>
      <w:bookmarkStart w:id="281" w:name="_Toc433790378"/>
      <w:r w:rsidRPr="00FD7E86">
        <w:t xml:space="preserve">Interactive </w:t>
      </w:r>
      <w:r w:rsidR="007753A2" w:rsidRPr="00FD7E86">
        <w:t>g</w:t>
      </w:r>
      <w:r w:rsidRPr="00FD7E86">
        <w:t>ambling</w:t>
      </w:r>
      <w:bookmarkEnd w:id="281"/>
    </w:p>
    <w:p w14:paraId="75C55D02" w14:textId="77777777" w:rsidR="00CF02AF" w:rsidRPr="00FD7E86" w:rsidRDefault="00CF02AF" w:rsidP="007C60E0">
      <w:r w:rsidRPr="00FD7E86">
        <w:t xml:space="preserve">The </w:t>
      </w:r>
      <w:r w:rsidRPr="00FD7E86">
        <w:rPr>
          <w:i/>
        </w:rPr>
        <w:t>Interactive Gambling Act 2001</w:t>
      </w:r>
      <w:r w:rsidRPr="00FD7E86">
        <w:t xml:space="preserve"> (</w:t>
      </w:r>
      <w:r w:rsidR="009E7C5D" w:rsidRPr="00FD7E86">
        <w:t xml:space="preserve">the </w:t>
      </w:r>
      <w:r w:rsidRPr="00FD7E86">
        <w:t>IGA) prohibits certain internet gambling content, as well as the advertising of such content. IGA complaints received and actioned by the ACMA in the reporting period are outlined in Table 3.9. Under the IGA, the ACMA must not investigate Australian-hosted content but must refer complaints to an Australian police force</w:t>
      </w:r>
      <w:r w:rsidR="007B22E0" w:rsidRPr="00FD7E86">
        <w:t>, if it is warranted to do so</w:t>
      </w:r>
      <w:r w:rsidRPr="00FD7E86">
        <w:t xml:space="preserve">. The </w:t>
      </w:r>
      <w:r w:rsidR="007B22E0" w:rsidRPr="00FD7E86">
        <w:t xml:space="preserve">ACMA received a </w:t>
      </w:r>
      <w:r w:rsidRPr="00FD7E86">
        <w:t xml:space="preserve">total of </w:t>
      </w:r>
      <w:r w:rsidR="007B22E0" w:rsidRPr="00FD7E86">
        <w:t xml:space="preserve">178 </w:t>
      </w:r>
      <w:r w:rsidRPr="00FD7E86">
        <w:t xml:space="preserve">complaints and enquiries during 2014–15, </w:t>
      </w:r>
      <w:r w:rsidR="00462BD1" w:rsidRPr="00FD7E86">
        <w:t xml:space="preserve">a </w:t>
      </w:r>
      <w:r w:rsidRPr="00FD7E86">
        <w:t xml:space="preserve">47 per cent increase from 121 received in 2013–14. </w:t>
      </w:r>
      <w:r w:rsidR="009950E8" w:rsidRPr="00FD7E86">
        <w:t>A Review of the impact of illegal offshore wagering to investigate options of strengthening the enforcement of the IGA is currently underway</w:t>
      </w:r>
      <w:r w:rsidRPr="00FD7E86">
        <w:t>.</w:t>
      </w:r>
    </w:p>
    <w:p w14:paraId="2F8E0812" w14:textId="77777777" w:rsidR="00CF02AF" w:rsidRPr="00FD7E86" w:rsidRDefault="00CF02AF" w:rsidP="00C05F4C">
      <w:pPr>
        <w:pStyle w:val="Caption"/>
        <w:numPr>
          <w:ilvl w:val="0"/>
          <w:numId w:val="0"/>
        </w:numPr>
        <w:spacing w:after="160"/>
      </w:pPr>
      <w:bookmarkStart w:id="282" w:name="OLE_LINK5"/>
      <w:r w:rsidRPr="00FD7E86">
        <w:rPr>
          <w:noProof/>
        </w:rPr>
        <w:t>Table 3.9 Interactive gambling</w:t>
      </w:r>
    </w:p>
    <w:tbl>
      <w:tblPr>
        <w:tblStyle w:val="Commsreport2014-15TABLE"/>
        <w:tblW w:w="9429" w:type="dxa"/>
        <w:tblLayout w:type="fixed"/>
        <w:tblLook w:val="04A0" w:firstRow="1" w:lastRow="0" w:firstColumn="1" w:lastColumn="0" w:noHBand="0" w:noVBand="1"/>
        <w:tblCaption w:val="Table 3.9 Interactive gambling"/>
      </w:tblPr>
      <w:tblGrid>
        <w:gridCol w:w="963"/>
        <w:gridCol w:w="6038"/>
        <w:gridCol w:w="1214"/>
        <w:gridCol w:w="1214"/>
      </w:tblGrid>
      <w:tr w:rsidR="0026295A" w:rsidRPr="0021202A" w14:paraId="29AD3352"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963" w:type="dxa"/>
            <w:tcBorders>
              <w:right w:val="nil"/>
            </w:tcBorders>
          </w:tcPr>
          <w:bookmarkEnd w:id="282"/>
          <w:p w14:paraId="76D85534" w14:textId="77777777" w:rsidR="0026295A" w:rsidRPr="0021202A" w:rsidRDefault="007E1C1E" w:rsidP="0021202A">
            <w:pPr>
              <w:pStyle w:val="TableHeading"/>
              <w:spacing w:before="20" w:after="20"/>
              <w:rPr>
                <w:b/>
              </w:rPr>
            </w:pPr>
            <w:r w:rsidRPr="0021202A">
              <w:rPr>
                <w:noProof/>
              </w:rPr>
              <w:drawing>
                <wp:inline distT="0" distB="0" distL="0" distR="0" wp14:anchorId="38AFB56C" wp14:editId="08DAD1AD">
                  <wp:extent cx="427488" cy="324000"/>
                  <wp:effectExtent l="0" t="0" r="0" b="0"/>
                  <wp:docPr id="15" name="Picture 15"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Chapter 3_Interactive gambling.png"/>
                          <pic:cNvPicPr/>
                        </pic:nvPicPr>
                        <pic:blipFill>
                          <a:blip r:embed="rId114">
                            <a:extLst>
                              <a:ext uri="{28A0092B-C50C-407E-A947-70E740481C1C}">
                                <a14:useLocalDpi xmlns:a14="http://schemas.microsoft.com/office/drawing/2010/main" val="0"/>
                              </a:ext>
                            </a:extLst>
                          </a:blip>
                          <a:stretch>
                            <a:fillRect/>
                          </a:stretch>
                        </pic:blipFill>
                        <pic:spPr>
                          <a:xfrm>
                            <a:off x="0" y="0"/>
                            <a:ext cx="427488" cy="324000"/>
                          </a:xfrm>
                          <a:prstGeom prst="rect">
                            <a:avLst/>
                          </a:prstGeom>
                        </pic:spPr>
                      </pic:pic>
                    </a:graphicData>
                  </a:graphic>
                </wp:inline>
              </w:drawing>
            </w:r>
          </w:p>
        </w:tc>
        <w:tc>
          <w:tcPr>
            <w:tcW w:w="6038" w:type="dxa"/>
            <w:tcBorders>
              <w:left w:val="nil"/>
            </w:tcBorders>
          </w:tcPr>
          <w:p w14:paraId="6449B4B5" w14:textId="77777777" w:rsidR="0026295A" w:rsidRPr="0021202A" w:rsidRDefault="0026295A" w:rsidP="0021202A">
            <w:pPr>
              <w:pStyle w:val="TableHeading"/>
              <w:spacing w:before="20" w:after="20"/>
              <w:jc w:val="left"/>
              <w:cnfStyle w:val="100000000000" w:firstRow="1" w:lastRow="0" w:firstColumn="0" w:lastColumn="0" w:oddVBand="0" w:evenVBand="0" w:oddHBand="0" w:evenHBand="0" w:firstRowFirstColumn="0" w:firstRowLastColumn="0" w:lastRowFirstColumn="0" w:lastRowLastColumn="0"/>
              <w:rPr>
                <w:b/>
              </w:rPr>
            </w:pPr>
            <w:r w:rsidRPr="0021202A">
              <w:rPr>
                <w:b/>
              </w:rPr>
              <w:t>Interactive gambling</w:t>
            </w:r>
          </w:p>
        </w:tc>
        <w:tc>
          <w:tcPr>
            <w:tcW w:w="1214" w:type="dxa"/>
          </w:tcPr>
          <w:p w14:paraId="7AA677AA" w14:textId="77777777" w:rsidR="0026295A" w:rsidRPr="0021202A" w:rsidRDefault="007E1C1E"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color w:val="FFFFFF" w:themeColor="background1"/>
              </w:rPr>
              <w:t>2013–14</w:t>
            </w:r>
          </w:p>
        </w:tc>
        <w:tc>
          <w:tcPr>
            <w:tcW w:w="1214" w:type="dxa"/>
          </w:tcPr>
          <w:p w14:paraId="5F49B4E2" w14:textId="77777777" w:rsidR="0026295A" w:rsidRPr="0021202A" w:rsidRDefault="0026295A"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r>
      <w:tr w:rsidR="007E1C1E" w:rsidRPr="00FD7E86" w14:paraId="6F8F707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749695DF" w14:textId="77777777" w:rsidR="007E1C1E" w:rsidRPr="00EE0E5F" w:rsidRDefault="007E1C1E" w:rsidP="007E1C1E">
            <w:pPr>
              <w:spacing w:before="60" w:after="60"/>
              <w:rPr>
                <w:rFonts w:cs="Arial"/>
                <w:b/>
                <w:color w:val="auto"/>
                <w:szCs w:val="18"/>
              </w:rPr>
            </w:pPr>
            <w:r w:rsidRPr="00EE0E5F">
              <w:rPr>
                <w:rFonts w:cs="Arial"/>
                <w:b/>
                <w:color w:val="auto"/>
                <w:szCs w:val="18"/>
              </w:rPr>
              <w:t xml:space="preserve">Complaints and general enquiries </w:t>
            </w:r>
          </w:p>
        </w:tc>
        <w:tc>
          <w:tcPr>
            <w:tcW w:w="1214" w:type="dxa"/>
            <w:shd w:val="clear" w:color="auto" w:fill="65CDD5" w:themeFill="accent2"/>
          </w:tcPr>
          <w:p w14:paraId="500077FC" w14:textId="77777777" w:rsidR="007E1C1E" w:rsidRPr="007978CD"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b/>
                <w:szCs w:val="18"/>
              </w:rPr>
            </w:pPr>
            <w:r w:rsidRPr="007978CD">
              <w:rPr>
                <w:b/>
                <w:szCs w:val="18"/>
              </w:rPr>
              <w:t>121</w:t>
            </w:r>
          </w:p>
        </w:tc>
        <w:tc>
          <w:tcPr>
            <w:tcW w:w="1214" w:type="dxa"/>
            <w:shd w:val="clear" w:color="auto" w:fill="65CDD5" w:themeFill="accent2"/>
          </w:tcPr>
          <w:p w14:paraId="3D07CEA5" w14:textId="77777777" w:rsidR="007E1C1E" w:rsidRPr="007978CD"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b/>
                <w:szCs w:val="18"/>
              </w:rPr>
            </w:pPr>
            <w:r w:rsidRPr="007978CD">
              <w:rPr>
                <w:rFonts w:cs="Arial"/>
                <w:b/>
                <w:szCs w:val="18"/>
              </w:rPr>
              <w:t>178</w:t>
            </w:r>
          </w:p>
        </w:tc>
      </w:tr>
      <w:tr w:rsidR="007E1C1E" w:rsidRPr="00FD7E86" w14:paraId="012D4CA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6CD9C3D1" w14:textId="77777777" w:rsidR="007E1C1E" w:rsidRPr="00EE0E5F" w:rsidRDefault="007E1C1E" w:rsidP="007E1C1E">
            <w:pPr>
              <w:spacing w:before="60" w:after="60"/>
              <w:rPr>
                <w:rFonts w:cs="Arial"/>
                <w:color w:val="auto"/>
                <w:szCs w:val="18"/>
              </w:rPr>
            </w:pPr>
            <w:r w:rsidRPr="00EE0E5F">
              <w:rPr>
                <w:rFonts w:cs="Arial"/>
                <w:color w:val="auto"/>
                <w:szCs w:val="18"/>
              </w:rPr>
              <w:t>Investigations of overseas-hosted gambling content</w:t>
            </w:r>
          </w:p>
        </w:tc>
        <w:tc>
          <w:tcPr>
            <w:tcW w:w="1214" w:type="dxa"/>
          </w:tcPr>
          <w:p w14:paraId="793A133F"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szCs w:val="18"/>
              </w:rPr>
              <w:t>23</w:t>
            </w:r>
          </w:p>
        </w:tc>
        <w:tc>
          <w:tcPr>
            <w:tcW w:w="1214" w:type="dxa"/>
          </w:tcPr>
          <w:p w14:paraId="44014E80"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w:t>
            </w:r>
          </w:p>
        </w:tc>
      </w:tr>
      <w:tr w:rsidR="007E1C1E" w:rsidRPr="00FD7E86" w14:paraId="5B2495D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41E29FCC" w14:textId="77777777" w:rsidR="007E1C1E" w:rsidRPr="00EE0E5F" w:rsidRDefault="007E1C1E" w:rsidP="007E1C1E">
            <w:pPr>
              <w:spacing w:before="60" w:after="60"/>
              <w:rPr>
                <w:rFonts w:cs="Arial"/>
                <w:color w:val="auto"/>
                <w:szCs w:val="18"/>
              </w:rPr>
            </w:pPr>
            <w:r w:rsidRPr="00EE0E5F">
              <w:rPr>
                <w:rFonts w:cs="Arial"/>
                <w:color w:val="auto"/>
                <w:szCs w:val="18"/>
              </w:rPr>
              <w:t>Prohibited internet gambling content found to be in breach of the IGA, notified to accredited filter providers and the AFP</w:t>
            </w:r>
          </w:p>
        </w:tc>
        <w:tc>
          <w:tcPr>
            <w:tcW w:w="1214" w:type="dxa"/>
          </w:tcPr>
          <w:p w14:paraId="2E193BFD"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szCs w:val="18"/>
              </w:rPr>
              <w:t>11</w:t>
            </w:r>
          </w:p>
        </w:tc>
        <w:tc>
          <w:tcPr>
            <w:tcW w:w="1214" w:type="dxa"/>
          </w:tcPr>
          <w:p w14:paraId="191F26EA"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w:t>
            </w:r>
          </w:p>
        </w:tc>
      </w:tr>
      <w:tr w:rsidR="007E1C1E" w:rsidRPr="00FD7E86" w14:paraId="17E5A59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2595CAE7" w14:textId="77777777" w:rsidR="007E1C1E" w:rsidRPr="00EE0E5F" w:rsidRDefault="007E1C1E" w:rsidP="007E1C1E">
            <w:pPr>
              <w:spacing w:before="60" w:after="60"/>
              <w:rPr>
                <w:rFonts w:cs="Arial"/>
                <w:color w:val="auto"/>
                <w:szCs w:val="18"/>
              </w:rPr>
            </w:pPr>
            <w:r w:rsidRPr="00EE0E5F">
              <w:rPr>
                <w:rFonts w:cs="Arial"/>
                <w:color w:val="auto"/>
                <w:szCs w:val="18"/>
              </w:rPr>
              <w:t>Assessments of Australian-hosted gambling content</w:t>
            </w:r>
          </w:p>
        </w:tc>
        <w:tc>
          <w:tcPr>
            <w:tcW w:w="1214" w:type="dxa"/>
          </w:tcPr>
          <w:p w14:paraId="7E95B94F"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szCs w:val="18"/>
              </w:rPr>
              <w:t>25</w:t>
            </w:r>
          </w:p>
        </w:tc>
        <w:tc>
          <w:tcPr>
            <w:tcW w:w="1214" w:type="dxa"/>
          </w:tcPr>
          <w:p w14:paraId="50F31125"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w:t>
            </w:r>
          </w:p>
        </w:tc>
      </w:tr>
      <w:tr w:rsidR="007E1C1E" w:rsidRPr="00FD7E86" w14:paraId="5BB4C0A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600F4476" w14:textId="77777777" w:rsidR="007E1C1E" w:rsidRPr="00EE0E5F" w:rsidRDefault="007E1C1E" w:rsidP="007E1C1E">
            <w:pPr>
              <w:spacing w:before="60" w:after="60"/>
              <w:rPr>
                <w:rFonts w:cs="Arial"/>
                <w:color w:val="auto"/>
                <w:szCs w:val="18"/>
              </w:rPr>
            </w:pPr>
            <w:r w:rsidRPr="00EE0E5F">
              <w:rPr>
                <w:rFonts w:cs="Arial"/>
                <w:color w:val="auto"/>
                <w:szCs w:val="18"/>
              </w:rPr>
              <w:t>Potential prohibited content referred to the AFP</w:t>
            </w:r>
          </w:p>
        </w:tc>
        <w:tc>
          <w:tcPr>
            <w:tcW w:w="1214" w:type="dxa"/>
          </w:tcPr>
          <w:p w14:paraId="44C24732"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szCs w:val="18"/>
              </w:rPr>
              <w:t>10</w:t>
            </w:r>
          </w:p>
        </w:tc>
        <w:tc>
          <w:tcPr>
            <w:tcW w:w="1214" w:type="dxa"/>
          </w:tcPr>
          <w:p w14:paraId="6C322B51"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w:t>
            </w:r>
          </w:p>
        </w:tc>
      </w:tr>
      <w:tr w:rsidR="007E1C1E" w:rsidRPr="00FD7E86" w14:paraId="4CCC6BD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7001" w:type="dxa"/>
            <w:gridSpan w:val="2"/>
          </w:tcPr>
          <w:p w14:paraId="4050AF99" w14:textId="77777777" w:rsidR="007E1C1E" w:rsidRPr="00EE0E5F" w:rsidRDefault="007E1C1E" w:rsidP="007E1C1E">
            <w:pPr>
              <w:spacing w:before="60" w:after="60"/>
              <w:rPr>
                <w:rFonts w:cs="Arial"/>
                <w:color w:val="auto"/>
                <w:szCs w:val="18"/>
              </w:rPr>
            </w:pPr>
            <w:r w:rsidRPr="00EE0E5F">
              <w:rPr>
                <w:rFonts w:cs="Arial"/>
                <w:color w:val="auto"/>
                <w:szCs w:val="18"/>
              </w:rPr>
              <w:t>Investigations into the broadcast of interactive gambling advertisements</w:t>
            </w:r>
            <w:r w:rsidRPr="00EE0E5F">
              <w:rPr>
                <w:color w:val="auto"/>
              </w:rPr>
              <w:t>*</w:t>
            </w:r>
          </w:p>
        </w:tc>
        <w:tc>
          <w:tcPr>
            <w:tcW w:w="1214" w:type="dxa"/>
          </w:tcPr>
          <w:p w14:paraId="726D58FF"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szCs w:val="18"/>
              </w:rPr>
              <w:t>0</w:t>
            </w:r>
          </w:p>
        </w:tc>
        <w:tc>
          <w:tcPr>
            <w:tcW w:w="1214" w:type="dxa"/>
          </w:tcPr>
          <w:p w14:paraId="67FC155C" w14:textId="77777777" w:rsidR="007E1C1E" w:rsidRPr="00FD7E86" w:rsidRDefault="007E1C1E" w:rsidP="000E4F20">
            <w:pPr>
              <w:spacing w:before="60" w:after="60"/>
              <w:ind w:right="5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bl>
    <w:p w14:paraId="59514BBA" w14:textId="77777777" w:rsidR="00F00958" w:rsidRPr="00FD7E86" w:rsidRDefault="00CF02AF" w:rsidP="008724ED">
      <w:pPr>
        <w:pStyle w:val="ACMASpaceaftertable"/>
        <w:rPr>
          <w:i/>
          <w:sz w:val="16"/>
          <w:szCs w:val="16"/>
        </w:rPr>
      </w:pPr>
      <w:r w:rsidRPr="00FD7E86">
        <w:rPr>
          <w:i/>
          <w:sz w:val="16"/>
          <w:szCs w:val="16"/>
        </w:rPr>
        <w:t>*Under the IGA, the ACMA only investigates interactive gambling advertisements broadcast on television or radio. The Department of Communications</w:t>
      </w:r>
      <w:r w:rsidR="001F0646" w:rsidRPr="00FD7E86">
        <w:rPr>
          <w:i/>
          <w:sz w:val="16"/>
          <w:szCs w:val="16"/>
        </w:rPr>
        <w:t xml:space="preserve"> and the Arts</w:t>
      </w:r>
      <w:r w:rsidRPr="00FD7E86">
        <w:rPr>
          <w:i/>
          <w:sz w:val="16"/>
          <w:szCs w:val="16"/>
        </w:rPr>
        <w:t xml:space="preserve"> takes responsibility for all other advertising, such as online or in print</w:t>
      </w:r>
      <w:r w:rsidR="00462BD1" w:rsidRPr="00FD7E86">
        <w:rPr>
          <w:i/>
          <w:sz w:val="16"/>
          <w:szCs w:val="16"/>
        </w:rPr>
        <w:t>.</w:t>
      </w:r>
    </w:p>
    <w:p w14:paraId="1ED302C0" w14:textId="77777777" w:rsidR="00CF02AF" w:rsidRPr="00FD7E86" w:rsidRDefault="00CF02AF" w:rsidP="000664F7">
      <w:pPr>
        <w:pStyle w:val="ACMASpaceaftertable"/>
        <w:rPr>
          <w:i/>
        </w:rPr>
        <w:sectPr w:rsidR="00CF02AF" w:rsidRPr="00FD7E86" w:rsidSect="004B5EB6">
          <w:endnotePr>
            <w:numFmt w:val="decimal"/>
            <w:numRestart w:val="eachSect"/>
          </w:endnotePr>
          <w:pgSz w:w="11906" w:h="16838" w:code="9"/>
          <w:pgMar w:top="1945" w:right="1134" w:bottom="1134" w:left="1134" w:header="709" w:footer="119" w:gutter="284"/>
          <w:cols w:space="708"/>
          <w:docGrid w:linePitch="360"/>
        </w:sectPr>
      </w:pPr>
    </w:p>
    <w:p w14:paraId="201D53F9" w14:textId="77777777" w:rsidR="00CF02AF" w:rsidRPr="00FD7E86" w:rsidRDefault="00CF02AF" w:rsidP="001F6BFE">
      <w:pPr>
        <w:pStyle w:val="Heading1"/>
        <w:spacing w:after="120"/>
      </w:pPr>
      <w:bookmarkStart w:id="283" w:name="_Toc433790379"/>
      <w:r w:rsidRPr="00FD7E86">
        <w:lastRenderedPageBreak/>
        <w:t>Chapter 4</w:t>
      </w:r>
      <w:r w:rsidR="00AA67AA" w:rsidRPr="00FD7E86">
        <w:t xml:space="preserve">: </w:t>
      </w:r>
      <w:r w:rsidRPr="00FD7E86">
        <w:t>National interest issues</w:t>
      </w:r>
      <w:bookmarkEnd w:id="283"/>
    </w:p>
    <w:p w14:paraId="202B313B" w14:textId="77777777" w:rsidR="001F6BFE" w:rsidRPr="00FD7E86" w:rsidRDefault="00CF02AF" w:rsidP="001F6BFE">
      <w:pPr>
        <w:pStyle w:val="ACMAHeading1"/>
      </w:pPr>
      <w:bookmarkStart w:id="284" w:name="_Toc312157131"/>
      <w:bookmarkStart w:id="285" w:name="_Toc371589014"/>
      <w:bookmarkStart w:id="286" w:name="_Toc373149076"/>
      <w:bookmarkStart w:id="287" w:name="_Toc399331756"/>
      <w:bookmarkStart w:id="288" w:name="_Toc399336937"/>
      <w:bookmarkStart w:id="289" w:name="_Toc402337538"/>
      <w:bookmarkStart w:id="290" w:name="_Toc433790380"/>
      <w:r w:rsidRPr="00FD7E86">
        <w:t>4.1</w:t>
      </w:r>
      <w:r w:rsidRPr="00FD7E86">
        <w:tab/>
      </w:r>
      <w:r w:rsidR="000B3AFF" w:rsidRPr="00FD7E86">
        <w:tab/>
      </w:r>
      <w:r w:rsidRPr="00FD7E86">
        <w:t>Overview</w:t>
      </w:r>
      <w:bookmarkEnd w:id="284"/>
      <w:bookmarkEnd w:id="285"/>
      <w:bookmarkEnd w:id="286"/>
      <w:bookmarkEnd w:id="287"/>
      <w:bookmarkEnd w:id="288"/>
      <w:bookmarkEnd w:id="289"/>
      <w:bookmarkEnd w:id="290"/>
    </w:p>
    <w:p w14:paraId="340C59A2" w14:textId="77777777" w:rsidR="00CF02AF" w:rsidRPr="00FD7E86" w:rsidRDefault="00CF02AF" w:rsidP="007C60E0">
      <w:r w:rsidRPr="00FD7E86">
        <w:t xml:space="preserve">This chapter </w:t>
      </w:r>
      <w:r w:rsidR="00A83E41" w:rsidRPr="00FD7E86">
        <w:rPr>
          <w:rFonts w:cs="Arial"/>
        </w:rPr>
        <w:t xml:space="preserve">addresses regulatory requirements to report </w:t>
      </w:r>
      <w:r w:rsidRPr="00FD7E86">
        <w:t>on the performance of the emergency call service, other national interest issues and cooperation with law enforcement agencies. This includes information about communications industry support for law enforcement and national security agencies through the maintenance of communication</w:t>
      </w:r>
      <w:r w:rsidR="00CB3AB2" w:rsidRPr="00FD7E86">
        <w:t>s</w:t>
      </w:r>
      <w:r w:rsidRPr="00FD7E86">
        <w:t xml:space="preserve"> interception capabilities and the authorised disclosure of information. Information on the protection of Australia’s critical submarine cable infrastructure and radiocommunications interference complaints is also provided. </w:t>
      </w:r>
    </w:p>
    <w:p w14:paraId="58D77457" w14:textId="77777777" w:rsidR="00CF02AF" w:rsidRPr="00FD7E86" w:rsidRDefault="008214C1" w:rsidP="00CF02AF">
      <w:pPr>
        <w:spacing w:after="80"/>
      </w:pPr>
      <w:r w:rsidRPr="00FD7E86">
        <w:t>In summary</w:t>
      </w:r>
      <w:r w:rsidR="00CF02AF" w:rsidRPr="00FD7E86">
        <w:t>:</w:t>
      </w:r>
    </w:p>
    <w:p w14:paraId="5C971B4D" w14:textId="77777777" w:rsidR="00CF02AF" w:rsidRPr="00FD7E86" w:rsidRDefault="00CF02AF" w:rsidP="00CF02AF">
      <w:pPr>
        <w:pStyle w:val="ListBullet"/>
      </w:pPr>
      <w:r w:rsidRPr="00FD7E86">
        <w:t>mobile carriers introduc</w:t>
      </w:r>
      <w:r w:rsidR="00085A84" w:rsidRPr="00FD7E86">
        <w:t xml:space="preserve">ed </w:t>
      </w:r>
      <w:r w:rsidRPr="00FD7E86">
        <w:t xml:space="preserve">a new capability that allows emergency service organisations to more accurately determine the </w:t>
      </w:r>
      <w:r w:rsidR="00DD0279" w:rsidRPr="00FD7E86">
        <w:t xml:space="preserve">most </w:t>
      </w:r>
      <w:r w:rsidRPr="00FD7E86">
        <w:t xml:space="preserve">precise location of mobile callers to the </w:t>
      </w:r>
      <w:r w:rsidR="007B22E0" w:rsidRPr="00FD7E86">
        <w:t>T</w:t>
      </w:r>
      <w:r w:rsidRPr="00FD7E86">
        <w:t xml:space="preserve">riple </w:t>
      </w:r>
      <w:r w:rsidR="007B22E0" w:rsidRPr="00FD7E86">
        <w:t>Z</w:t>
      </w:r>
      <w:r w:rsidRPr="00FD7E86">
        <w:t>ero service</w:t>
      </w:r>
    </w:p>
    <w:p w14:paraId="2BFF2FD1" w14:textId="77777777" w:rsidR="00CF02AF" w:rsidRPr="00FD7E86" w:rsidRDefault="00CF02AF" w:rsidP="00CF02AF">
      <w:pPr>
        <w:pStyle w:val="ListBullet"/>
      </w:pPr>
      <w:r w:rsidRPr="00FD7E86">
        <w:t>Telstra again perform</w:t>
      </w:r>
      <w:r w:rsidR="00085A84" w:rsidRPr="00FD7E86">
        <w:t>ed</w:t>
      </w:r>
      <w:r w:rsidRPr="00FD7E86">
        <w:t xml:space="preserve"> above emergency call answering regulatory requirements, in terms of the time taken to answer each call </w:t>
      </w:r>
    </w:p>
    <w:p w14:paraId="77DA2C67" w14:textId="77777777" w:rsidR="00CF02AF" w:rsidRPr="00FD7E86" w:rsidRDefault="00CF02AF" w:rsidP="00CF02AF">
      <w:pPr>
        <w:pStyle w:val="ListBullet"/>
      </w:pPr>
      <w:r w:rsidRPr="00FD7E86">
        <w:rPr>
          <w:rFonts w:cs="Arial"/>
        </w:rPr>
        <w:t>66.9 per cent of emergency calls (</w:t>
      </w:r>
      <w:r w:rsidRPr="00FD7E86">
        <w:t>5,606,275)</w:t>
      </w:r>
      <w:r w:rsidRPr="00FD7E86">
        <w:rPr>
          <w:rFonts w:cs="Arial"/>
        </w:rPr>
        <w:t xml:space="preserve"> </w:t>
      </w:r>
      <w:r w:rsidR="00085A84" w:rsidRPr="00FD7E86">
        <w:rPr>
          <w:rFonts w:cs="Arial"/>
        </w:rPr>
        <w:t>were</w:t>
      </w:r>
      <w:r w:rsidRPr="00FD7E86">
        <w:rPr>
          <w:rFonts w:cs="Arial"/>
        </w:rPr>
        <w:t xml:space="preserve"> made from mobile phones</w:t>
      </w:r>
    </w:p>
    <w:p w14:paraId="07E67690" w14:textId="77777777" w:rsidR="00CF02AF" w:rsidRPr="00FD7E86" w:rsidRDefault="00764EBD" w:rsidP="00CF02AF">
      <w:pPr>
        <w:pStyle w:val="ListBullet"/>
      </w:pPr>
      <w:r w:rsidRPr="00FD7E86">
        <w:t xml:space="preserve">there was </w:t>
      </w:r>
      <w:r w:rsidR="00CF02AF" w:rsidRPr="00FD7E86">
        <w:t xml:space="preserve">a small decrease (1.2 per cent) in </w:t>
      </w:r>
      <w:r w:rsidR="004E381F" w:rsidRPr="00B94F44">
        <w:t>the</w:t>
      </w:r>
      <w:r w:rsidR="004E381F">
        <w:t xml:space="preserve"> </w:t>
      </w:r>
      <w:r w:rsidR="00CF02AF" w:rsidRPr="00FD7E86">
        <w:t>number of calls (</w:t>
      </w:r>
      <w:r w:rsidR="00CF02AF" w:rsidRPr="00FD7E86">
        <w:rPr>
          <w:rFonts w:cs="Arial"/>
        </w:rPr>
        <w:t>104,076</w:t>
      </w:r>
      <w:r w:rsidR="00CF02AF" w:rsidRPr="00FD7E86">
        <w:t xml:space="preserve">) </w:t>
      </w:r>
      <w:r w:rsidR="00311544" w:rsidRPr="00FD7E86">
        <w:t xml:space="preserve">made </w:t>
      </w:r>
      <w:r w:rsidR="00CF02AF" w:rsidRPr="00FD7E86">
        <w:t>to the emergency service numbers Triple Zero and 112</w:t>
      </w:r>
    </w:p>
    <w:p w14:paraId="2F5F31A1" w14:textId="77777777" w:rsidR="00CF02AF" w:rsidRPr="00FD7E86" w:rsidRDefault="00311544" w:rsidP="00CF02AF">
      <w:pPr>
        <w:pStyle w:val="ListBullet"/>
      </w:pPr>
      <w:r w:rsidRPr="00FD7E86">
        <w:t>domestic systems interference complaints decreased by</w:t>
      </w:r>
      <w:r w:rsidR="00CF02AF" w:rsidRPr="00FD7E86">
        <w:t xml:space="preserve"> 59 per cent</w:t>
      </w:r>
      <w:r w:rsidR="007B22E0" w:rsidRPr="00FD7E86">
        <w:t>,</w:t>
      </w:r>
      <w:r w:rsidR="00CF02AF" w:rsidRPr="00FD7E86">
        <w:t xml:space="preserve"> while radiocommunications interference complaints more than doubled from 2013–14 levels</w:t>
      </w:r>
    </w:p>
    <w:p w14:paraId="71FFB39E" w14:textId="77777777" w:rsidR="00CF02AF" w:rsidRPr="00FD7E86" w:rsidRDefault="00311544" w:rsidP="00CF02AF">
      <w:pPr>
        <w:pStyle w:val="ListBullet"/>
      </w:pPr>
      <w:r w:rsidRPr="00FD7E86">
        <w:t xml:space="preserve">the number of carriage services reported suspended by </w:t>
      </w:r>
      <w:r w:rsidR="000B57C9" w:rsidRPr="00FD7E86">
        <w:t>carriage service providers (</w:t>
      </w:r>
      <w:r w:rsidRPr="00FD7E86">
        <w:t>CSPs</w:t>
      </w:r>
      <w:r w:rsidR="000B57C9" w:rsidRPr="00FD7E86">
        <w:t>)</w:t>
      </w:r>
      <w:r w:rsidRPr="00FD7E86" w:rsidDel="00311544">
        <w:t xml:space="preserve"> </w:t>
      </w:r>
      <w:r w:rsidR="00CF02AF" w:rsidRPr="00FD7E86">
        <w:t>increase</w:t>
      </w:r>
      <w:r w:rsidRPr="00FD7E86">
        <w:t>d by 40 per cent</w:t>
      </w:r>
      <w:r w:rsidR="00CF02AF" w:rsidRPr="00FD7E86">
        <w:t>, rising from 22 in 2013–14 to 31 in 2014–15</w:t>
      </w:r>
    </w:p>
    <w:p w14:paraId="799AB532" w14:textId="77777777" w:rsidR="00CF02AF" w:rsidRPr="00FD7E86" w:rsidRDefault="00311544" w:rsidP="00CF02AF">
      <w:pPr>
        <w:pStyle w:val="ListBullet"/>
      </w:pPr>
      <w:r w:rsidRPr="00FD7E86">
        <w:t>the cost to industry of providing interception capabilities increased by</w:t>
      </w:r>
      <w:r w:rsidR="00CF02AF" w:rsidRPr="00FD7E86">
        <w:t xml:space="preserve"> 18 per cent from $19.3 million to $22.9 million </w:t>
      </w:r>
    </w:p>
    <w:p w14:paraId="3F2648A8" w14:textId="77777777" w:rsidR="00CF02AF" w:rsidRPr="00FD7E86" w:rsidRDefault="00CF02AF" w:rsidP="00CF02AF">
      <w:pPr>
        <w:pStyle w:val="ListBullet"/>
      </w:pPr>
      <w:r w:rsidRPr="00FD7E86">
        <w:t xml:space="preserve">the number of disclosures made by CSPs and carriers reported under section 308 of </w:t>
      </w:r>
      <w:r w:rsidR="00D70BED" w:rsidRPr="00FD7E86">
        <w:t xml:space="preserve">the </w:t>
      </w:r>
      <w:r w:rsidR="00D70BED" w:rsidRPr="00FD7E86">
        <w:rPr>
          <w:i/>
          <w:iCs/>
        </w:rPr>
        <w:t xml:space="preserve">Telecommunications Act 1997 </w:t>
      </w:r>
      <w:r w:rsidR="00D70BED" w:rsidRPr="00FD7E86">
        <w:rPr>
          <w:iCs/>
        </w:rPr>
        <w:t>(</w:t>
      </w:r>
      <w:r w:rsidRPr="00FD7E86">
        <w:t xml:space="preserve">the </w:t>
      </w:r>
      <w:r w:rsidR="00F813A1" w:rsidRPr="00FD7E86">
        <w:t xml:space="preserve">Telecommunications </w:t>
      </w:r>
      <w:r w:rsidRPr="00FD7E86">
        <w:t>Act</w:t>
      </w:r>
      <w:r w:rsidR="00D70BED" w:rsidRPr="00FD7E86">
        <w:t>)</w:t>
      </w:r>
      <w:r w:rsidRPr="00FD7E86">
        <w:t xml:space="preserve"> increased by 10.3</w:t>
      </w:r>
      <w:r w:rsidR="00085A84" w:rsidRPr="00FD7E86">
        <w:t xml:space="preserve"> </w:t>
      </w:r>
      <w:r w:rsidRPr="00FD7E86">
        <w:t>per cent from 748,079 to 824,841</w:t>
      </w:r>
    </w:p>
    <w:p w14:paraId="3ABE3ADC" w14:textId="77777777" w:rsidR="00CF02AF" w:rsidRPr="00FD7E86" w:rsidRDefault="00CF02AF" w:rsidP="00C05F4C">
      <w:pPr>
        <w:pStyle w:val="ListBulletLast"/>
      </w:pPr>
      <w:bookmarkStart w:id="291" w:name="_Toc371589015"/>
      <w:bookmarkStart w:id="292" w:name="_Toc373149077"/>
      <w:bookmarkStart w:id="293" w:name="_Toc399331757"/>
      <w:bookmarkStart w:id="294" w:name="_Toc399336938"/>
      <w:bookmarkStart w:id="295" w:name="_Toc402337539"/>
      <w:bookmarkStart w:id="296" w:name="_Toc308517180"/>
      <w:bookmarkStart w:id="297" w:name="_Toc308523626"/>
      <w:bookmarkStart w:id="298" w:name="_Toc312157140"/>
      <w:r w:rsidRPr="00FD7E86">
        <w:t>in December 2014</w:t>
      </w:r>
      <w:r w:rsidR="007B22E0" w:rsidRPr="00FD7E86">
        <w:t>,</w:t>
      </w:r>
      <w:r w:rsidRPr="00FD7E86">
        <w:t xml:space="preserve"> </w:t>
      </w:r>
      <w:r w:rsidR="00311544" w:rsidRPr="00FD7E86">
        <w:t>the ACMA approved</w:t>
      </w:r>
      <w:r w:rsidRPr="00FD7E86">
        <w:t xml:space="preserve"> two additional methods of verifying the identity of purchasers of pre-paid mobile services, leading to an estimated annual saving to industry of $6.2 million in compliance costs.</w:t>
      </w:r>
    </w:p>
    <w:p w14:paraId="2EE4DDFE" w14:textId="77777777" w:rsidR="00CF02AF" w:rsidRPr="00FD7E86" w:rsidRDefault="00CF02AF" w:rsidP="000B3AFF">
      <w:pPr>
        <w:pStyle w:val="ACMAHeading1"/>
      </w:pPr>
      <w:bookmarkStart w:id="299" w:name="_Toc433790381"/>
      <w:r w:rsidRPr="00FD7E86">
        <w:t>4.2</w:t>
      </w:r>
      <w:r w:rsidRPr="00FD7E86">
        <w:tab/>
      </w:r>
      <w:r w:rsidR="000B3AFF" w:rsidRPr="00FD7E86">
        <w:tab/>
      </w:r>
      <w:r w:rsidRPr="00FD7E86">
        <w:t>Emergency call service</w:t>
      </w:r>
      <w:bookmarkEnd w:id="291"/>
      <w:bookmarkEnd w:id="292"/>
      <w:bookmarkEnd w:id="293"/>
      <w:bookmarkEnd w:id="294"/>
      <w:bookmarkEnd w:id="295"/>
      <w:bookmarkEnd w:id="299"/>
    </w:p>
    <w:p w14:paraId="1D252B79" w14:textId="77777777" w:rsidR="00CF02AF" w:rsidRPr="00FD7E86" w:rsidRDefault="00CF02AF" w:rsidP="007C60E0">
      <w:r w:rsidRPr="00FD7E86">
        <w:t>Under the Telecommunications (Emergency Call Service) Determination 2009 (the Emergency Call Service Determination), CSPs are required to provide free access to the emergency call service from standard telephone and mobile services. The emergency call service is an operator-assisted service that connects callers to an emergency service organisation (ESO)—police, fire or ambulance—in life-threatening or time-critical situations.</w:t>
      </w:r>
    </w:p>
    <w:p w14:paraId="36017E66" w14:textId="77777777" w:rsidR="00CF02AF" w:rsidRPr="00FD7E86" w:rsidRDefault="00CF02AF" w:rsidP="00CF02AF">
      <w:pPr>
        <w:spacing w:after="80"/>
        <w:rPr>
          <w:rFonts w:cs="Arial"/>
        </w:rPr>
      </w:pPr>
      <w:r w:rsidRPr="00FD7E86">
        <w:rPr>
          <w:rFonts w:cs="Arial"/>
        </w:rPr>
        <w:t>The emergency call service is provided by the emergency call persons (ECPs), who are:</w:t>
      </w:r>
    </w:p>
    <w:p w14:paraId="725AE6CB" w14:textId="77777777" w:rsidR="00CF02AF" w:rsidRPr="00FD7E86" w:rsidRDefault="00CF02AF" w:rsidP="00CF02AF">
      <w:pPr>
        <w:pStyle w:val="ListBullet"/>
        <w:rPr>
          <w:rFonts w:cs="Arial"/>
        </w:rPr>
      </w:pPr>
      <w:r w:rsidRPr="00FD7E86">
        <w:rPr>
          <w:rFonts w:cs="Arial"/>
        </w:rPr>
        <w:t>Telstra—for calls made to the primary emergency service number (Triple Zero) and to the international emergency number 112 from mobile phones</w:t>
      </w:r>
    </w:p>
    <w:p w14:paraId="2454EE7D" w14:textId="77777777" w:rsidR="00CF02AF" w:rsidRPr="00FD7E86" w:rsidRDefault="00CF02AF" w:rsidP="00C05F4C">
      <w:pPr>
        <w:pStyle w:val="ListBulletLast"/>
      </w:pPr>
      <w:r w:rsidRPr="00FD7E86">
        <w:t xml:space="preserve">Australian Communication Exchange (ACE)—for calls made to the 106 text service for people who are </w:t>
      </w:r>
      <w:r w:rsidR="00995600">
        <w:t>D</w:t>
      </w:r>
      <w:r w:rsidRPr="00FD7E86">
        <w:t>eaf or have a hearing or speech impairment.</w:t>
      </w:r>
    </w:p>
    <w:p w14:paraId="694DE4E2" w14:textId="77777777" w:rsidR="00CF02AF" w:rsidRPr="00FD7E86" w:rsidRDefault="00CF02AF" w:rsidP="00C05F4C">
      <w:r w:rsidRPr="00FD7E86">
        <w:t>This section outlines the volume and type of calls to the emergency call service, along with the performance of the ECPs in answering emergency calls.</w:t>
      </w:r>
    </w:p>
    <w:p w14:paraId="6C52AA22" w14:textId="77777777" w:rsidR="00CF02AF" w:rsidRPr="00FD7E86" w:rsidRDefault="00CF02AF" w:rsidP="00DD750B">
      <w:pPr>
        <w:pStyle w:val="ACMAHeading2"/>
      </w:pPr>
      <w:bookmarkStart w:id="300" w:name="_Toc341428337"/>
      <w:bookmarkStart w:id="301" w:name="_Toc371589016"/>
      <w:bookmarkStart w:id="302" w:name="_Toc373149078"/>
      <w:bookmarkStart w:id="303" w:name="_Toc399331758"/>
      <w:bookmarkStart w:id="304" w:name="_Toc399336939"/>
      <w:bookmarkStart w:id="305" w:name="_Toc402337540"/>
      <w:bookmarkStart w:id="306" w:name="_Toc433790382"/>
      <w:r w:rsidRPr="00FD7E86">
        <w:lastRenderedPageBreak/>
        <w:t>Emergency call service—Triple Zero and 112</w:t>
      </w:r>
      <w:bookmarkEnd w:id="300"/>
      <w:bookmarkEnd w:id="301"/>
      <w:bookmarkEnd w:id="302"/>
      <w:bookmarkEnd w:id="303"/>
      <w:bookmarkEnd w:id="304"/>
      <w:bookmarkEnd w:id="305"/>
      <w:bookmarkEnd w:id="306"/>
    </w:p>
    <w:p w14:paraId="3A55DA1B" w14:textId="77777777" w:rsidR="00CF02AF" w:rsidRPr="00FD7E86" w:rsidRDefault="00CF02AF" w:rsidP="007C60E0">
      <w:r w:rsidRPr="00FD7E86">
        <w:t xml:space="preserve">When dialling </w:t>
      </w:r>
      <w:r w:rsidRPr="00FD7E86" w:rsidDel="00805C7A">
        <w:t>Triple Zero</w:t>
      </w:r>
      <w:r w:rsidRPr="00FD7E86">
        <w:t>,</w:t>
      </w:r>
      <w:r w:rsidRPr="00FD7E86" w:rsidDel="00805C7A">
        <w:t xml:space="preserve"> a</w:t>
      </w:r>
      <w:r w:rsidRPr="00FD7E86">
        <w:t xml:space="preserve"> recorded voice announcement (RVA) </w:t>
      </w:r>
      <w:r w:rsidRPr="00FD7E86" w:rsidDel="00805C7A">
        <w:t>provide</w:t>
      </w:r>
      <w:r w:rsidRPr="00FD7E86">
        <w:t>s</w:t>
      </w:r>
      <w:r w:rsidRPr="00FD7E86" w:rsidDel="00805C7A">
        <w:t xml:space="preserve"> </w:t>
      </w:r>
      <w:r w:rsidRPr="00FD7E86">
        <w:t xml:space="preserve">callers who have inadvertently dialled Triple Zero </w:t>
      </w:r>
      <w:r w:rsidR="001A3E85" w:rsidRPr="00FD7E86">
        <w:t xml:space="preserve">with </w:t>
      </w:r>
      <w:r w:rsidRPr="00FD7E86">
        <w:t xml:space="preserve">the opportunity to hang up before the call is connected to the ECP. </w:t>
      </w:r>
      <w:r w:rsidRPr="00FD7E86" w:rsidDel="00805C7A">
        <w:t xml:space="preserve">In </w:t>
      </w:r>
      <w:r w:rsidRPr="00FD7E86">
        <w:t>2014–15</w:t>
      </w:r>
      <w:r w:rsidRPr="00FD7E86" w:rsidDel="00805C7A">
        <w:t xml:space="preserve">, </w:t>
      </w:r>
      <w:r w:rsidRPr="00FD7E86">
        <w:t xml:space="preserve">3.9 </w:t>
      </w:r>
      <w:r w:rsidRPr="00FD7E86" w:rsidDel="00805C7A">
        <w:t xml:space="preserve">per cent of calls to Triple Zero were from callers who hung up </w:t>
      </w:r>
      <w:r w:rsidRPr="00FD7E86">
        <w:t xml:space="preserve">after hearing </w:t>
      </w:r>
      <w:r w:rsidRPr="00FD7E86" w:rsidDel="00805C7A">
        <w:t>the RVA</w:t>
      </w:r>
      <w:r w:rsidRPr="00FD7E86">
        <w:t xml:space="preserve"> before connection to the ECP, leaving</w:t>
      </w:r>
      <w:r w:rsidRPr="00FD7E86" w:rsidDel="00805C7A">
        <w:t xml:space="preserve"> 96</w:t>
      </w:r>
      <w:r w:rsidRPr="00FD7E86">
        <w:t>.0</w:t>
      </w:r>
      <w:r w:rsidRPr="00FD7E86" w:rsidDel="00805C7A">
        <w:t xml:space="preserve"> per cent of calls </w:t>
      </w:r>
      <w:r w:rsidRPr="00FD7E86">
        <w:t xml:space="preserve">to be </w:t>
      </w:r>
      <w:r w:rsidRPr="00FD7E86" w:rsidDel="00805C7A">
        <w:t>connected to the ECP.</w:t>
      </w:r>
    </w:p>
    <w:p w14:paraId="0A9D0C1D" w14:textId="77777777" w:rsidR="00CF02AF" w:rsidRPr="00FD7E86" w:rsidRDefault="00CF02AF" w:rsidP="004F6BD1">
      <w:r w:rsidRPr="00FD7E86" w:rsidDel="00805C7A">
        <w:t>ECP data shows the</w:t>
      </w:r>
      <w:r w:rsidRPr="00FD7E86">
        <w:t xml:space="preserve"> </w:t>
      </w:r>
      <w:r w:rsidRPr="00FD7E86" w:rsidDel="00805C7A">
        <w:t>number of calls to the Triple Zero and 112 emergency service numbers</w:t>
      </w:r>
      <w:r w:rsidR="001A3E85" w:rsidRPr="00FD7E86">
        <w:t xml:space="preserve"> fell </w:t>
      </w:r>
      <w:r w:rsidRPr="00FD7E86">
        <w:t>by 104,076 (1.2 per cent) to 8,377,394 calls in 2014–15</w:t>
      </w:r>
      <w:r w:rsidRPr="00FD7E86" w:rsidDel="00805C7A">
        <w:t xml:space="preserve"> (Table </w:t>
      </w:r>
      <w:r w:rsidRPr="00FD7E86">
        <w:t>4</w:t>
      </w:r>
      <w:r w:rsidRPr="00FD7E86" w:rsidDel="00805C7A">
        <w:t>.1).</w:t>
      </w:r>
      <w:r w:rsidRPr="00FD7E86">
        <w:t xml:space="preserve"> The ECP has attributed this decline to the increased promotion of the appropriate use of the Triple Zero </w:t>
      </w:r>
      <w:r w:rsidR="001A3E85" w:rsidRPr="00FD7E86">
        <w:t xml:space="preserve">and 112 </w:t>
      </w:r>
      <w:r w:rsidRPr="00FD7E86">
        <w:t>services and alternative numbers, such as 132 500, the State Emergency Service number.</w:t>
      </w:r>
    </w:p>
    <w:p w14:paraId="45E660E5" w14:textId="77777777" w:rsidR="00CF02AF" w:rsidRPr="00FD7E86" w:rsidRDefault="00CF02AF" w:rsidP="004F6BD1">
      <w:bookmarkStart w:id="307" w:name="_Toc341428338"/>
      <w:bookmarkStart w:id="308" w:name="_Toc371589017"/>
      <w:bookmarkStart w:id="309" w:name="_Toc373149079"/>
      <w:bookmarkStart w:id="310" w:name="_Toc399331759"/>
      <w:bookmarkStart w:id="311" w:name="_Toc399336940"/>
      <w:bookmarkStart w:id="312" w:name="_Toc402337541"/>
      <w:r w:rsidRPr="00FD7E86">
        <w:t xml:space="preserve">In 2014–15, 66.9 per cent of emergency calls (5,606,275) were made from mobile phones (Table 4.1). Calls from fixed-line telephones represented 33.2 per cent of emergency calls, while 2.4 per cent were made from public payphones. </w:t>
      </w:r>
    </w:p>
    <w:p w14:paraId="321FF90C" w14:textId="77777777" w:rsidR="00CF02AF" w:rsidRPr="00FD7E86" w:rsidRDefault="00CF02AF" w:rsidP="00DD750B">
      <w:pPr>
        <w:pStyle w:val="ACMAHeading2"/>
      </w:pPr>
      <w:bookmarkStart w:id="313" w:name="_Toc433790383"/>
      <w:r w:rsidRPr="00FD7E86">
        <w:t>Telstra’s performance in answering emergency calls</w:t>
      </w:r>
      <w:bookmarkEnd w:id="307"/>
      <w:bookmarkEnd w:id="308"/>
      <w:bookmarkEnd w:id="309"/>
      <w:bookmarkEnd w:id="310"/>
      <w:bookmarkEnd w:id="311"/>
      <w:bookmarkEnd w:id="312"/>
      <w:bookmarkEnd w:id="313"/>
    </w:p>
    <w:p w14:paraId="0FA2229F" w14:textId="77777777" w:rsidR="00CF02AF" w:rsidRPr="00FD7E86" w:rsidRDefault="00CF02AF" w:rsidP="00CF02AF">
      <w:pPr>
        <w:spacing w:after="80"/>
        <w:rPr>
          <w:rFonts w:cs="Arial"/>
        </w:rPr>
      </w:pPr>
      <w:r w:rsidRPr="00FD7E86">
        <w:rPr>
          <w:rFonts w:cs="Arial"/>
        </w:rPr>
        <w:t>Section 32 of the Emergency Call Service Determination sets out p</w:t>
      </w:r>
      <w:r w:rsidR="003D358C">
        <w:rPr>
          <w:rFonts w:cs="Arial"/>
        </w:rPr>
        <w:t>erformance criteria for the ECP</w:t>
      </w:r>
      <w:r w:rsidRPr="00FD7E86">
        <w:rPr>
          <w:rFonts w:cs="Arial"/>
        </w:rPr>
        <w:t>s answering of calls to Triple Zero and 112, as follows:</w:t>
      </w:r>
    </w:p>
    <w:p w14:paraId="5A16D865" w14:textId="77777777" w:rsidR="00CF02AF" w:rsidRPr="00FD7E86" w:rsidRDefault="00CF02AF" w:rsidP="00CF02AF">
      <w:pPr>
        <w:pStyle w:val="ListBullet"/>
        <w:rPr>
          <w:rFonts w:cs="Arial"/>
        </w:rPr>
      </w:pPr>
      <w:r w:rsidRPr="00FD7E86">
        <w:rPr>
          <w:rFonts w:cs="Arial"/>
        </w:rPr>
        <w:t xml:space="preserve">85 per cent of </w:t>
      </w:r>
      <w:r w:rsidRPr="00FD7E86" w:rsidDel="00436294">
        <w:rPr>
          <w:rFonts w:cs="Arial"/>
        </w:rPr>
        <w:t xml:space="preserve">emergency </w:t>
      </w:r>
      <w:r w:rsidRPr="00FD7E86">
        <w:rPr>
          <w:rFonts w:cs="Arial"/>
        </w:rPr>
        <w:t>calls answered within five seconds</w:t>
      </w:r>
    </w:p>
    <w:p w14:paraId="39788218" w14:textId="77777777" w:rsidR="00CF02AF" w:rsidRPr="00FD7E86" w:rsidRDefault="00CF02AF" w:rsidP="000E4F20">
      <w:pPr>
        <w:pStyle w:val="ListBulletLast"/>
      </w:pPr>
      <w:r w:rsidRPr="00FD7E86">
        <w:t xml:space="preserve">95 per cent of </w:t>
      </w:r>
      <w:r w:rsidRPr="00FD7E86" w:rsidDel="00436294">
        <w:t xml:space="preserve">emergency </w:t>
      </w:r>
      <w:r w:rsidRPr="00FD7E86">
        <w:t>calls answered within 10 seconds.</w:t>
      </w:r>
    </w:p>
    <w:p w14:paraId="5F239FAB" w14:textId="77777777" w:rsidR="00CF02AF" w:rsidRPr="00FD7E86" w:rsidRDefault="00CF02AF" w:rsidP="00CF02AF">
      <w:pPr>
        <w:rPr>
          <w:rFonts w:cs="Arial"/>
        </w:rPr>
      </w:pPr>
      <w:r w:rsidRPr="00FD7E86">
        <w:rPr>
          <w:rFonts w:cs="Arial"/>
        </w:rPr>
        <w:t>As in previous years, Telstra performed well above the regulatory requirement in the reporting period (Table 4</w:t>
      </w:r>
      <w:r w:rsidRPr="00FD7E86" w:rsidDel="00890F76">
        <w:rPr>
          <w:rFonts w:cs="Arial"/>
        </w:rPr>
        <w:t>.1).</w:t>
      </w:r>
    </w:p>
    <w:p w14:paraId="74B151DD" w14:textId="77777777" w:rsidR="00CF02AF" w:rsidRPr="00FD7E86" w:rsidRDefault="009D1861" w:rsidP="00DD750B">
      <w:pPr>
        <w:pStyle w:val="ACMAHeading2"/>
      </w:pPr>
      <w:bookmarkStart w:id="314" w:name="_Toc341428339"/>
      <w:bookmarkStart w:id="315" w:name="_Toc371589018"/>
      <w:bookmarkStart w:id="316" w:name="_Toc373149080"/>
      <w:bookmarkStart w:id="317" w:name="_Toc399331760"/>
      <w:bookmarkStart w:id="318" w:name="_Toc399336941"/>
      <w:bookmarkStart w:id="319" w:name="_Toc402337542"/>
      <w:bookmarkStart w:id="320" w:name="_Toc433790384"/>
      <w:r w:rsidRPr="00FD7E86">
        <w:t>Calls connected to emergency service organisations</w:t>
      </w:r>
      <w:bookmarkEnd w:id="314"/>
      <w:bookmarkEnd w:id="315"/>
      <w:bookmarkEnd w:id="316"/>
      <w:bookmarkEnd w:id="317"/>
      <w:bookmarkEnd w:id="318"/>
      <w:bookmarkEnd w:id="319"/>
      <w:bookmarkEnd w:id="320"/>
    </w:p>
    <w:p w14:paraId="519E76F5" w14:textId="77777777" w:rsidR="00CF02AF" w:rsidRPr="00FD7E86" w:rsidRDefault="00CF02AF" w:rsidP="007C60E0">
      <w:r w:rsidRPr="00FD7E86">
        <w:t xml:space="preserve">The ECP </w:t>
      </w:r>
      <w:r w:rsidR="00CD44C5" w:rsidRPr="00FD7E86">
        <w:t xml:space="preserve">for Triple Zero and 112 </w:t>
      </w:r>
      <w:r w:rsidRPr="00FD7E86">
        <w:t xml:space="preserve">transfers emergency calls to the relevant state or territory </w:t>
      </w:r>
      <w:r w:rsidRPr="00FD7E86" w:rsidDel="00436294">
        <w:t xml:space="preserve">emergency service answering point </w:t>
      </w:r>
      <w:r w:rsidRPr="00FD7E86">
        <w:t>that is responsible for arranging for the dispatch of an emergency response. In 2014–15, 5,888,050 calls were transferred to an ESO, an increase of 2.6 per cent on the previous year (Table 4.1).</w:t>
      </w:r>
    </w:p>
    <w:p w14:paraId="47466F98" w14:textId="77777777" w:rsidR="00CF02AF" w:rsidRPr="00FD7E86" w:rsidRDefault="00CF02AF" w:rsidP="004F6BD1">
      <w:r w:rsidRPr="00FD7E86" w:rsidDel="00805C7A">
        <w:t>Calls identified by the ECP as being non-emergency calls are not connected to an ESO. Non-emergency calls include misdials, automatically generated calls from incorrectly programmed fax machines or modems, callers reporting matters that are not emergencies, and hoax and malicious calls.</w:t>
      </w:r>
    </w:p>
    <w:p w14:paraId="7433E4D8" w14:textId="77777777" w:rsidR="00CF02AF" w:rsidRPr="00FD7E86" w:rsidRDefault="00CF02AF" w:rsidP="004F6BD1">
      <w:r w:rsidRPr="00FD7E86">
        <w:t xml:space="preserve">The proportion of ECP answered calls transferred to an ESO increased from 61.5 per cent in 2011–12 to 73.2 per cent in 2014–15. The increase in 2014–15 was 2.6 percentage points </w:t>
      </w:r>
      <w:r w:rsidR="0083278B" w:rsidRPr="00FD7E86">
        <w:t xml:space="preserve">over </w:t>
      </w:r>
      <w:r w:rsidRPr="00FD7E86">
        <w:t>the previous year (Table 4.1). This ongoing improvement reflects the efforts of the ECP in managing the number of non-emergency calls made to the Triple Zero service.</w:t>
      </w:r>
    </w:p>
    <w:p w14:paraId="05DF2F61" w14:textId="77777777" w:rsidR="00CF02AF" w:rsidRPr="00FD7E86" w:rsidRDefault="00CF02AF" w:rsidP="004F6BD1">
      <w:r w:rsidRPr="00FD7E86" w:rsidDel="00805C7A">
        <w:t xml:space="preserve">The ACMA is continuing to monitor the results of an escalated warning process that was introduced in July 2009, and is managed by Telstra (as the ECP for Triple Zero and 112) and the three mobile network </w:t>
      </w:r>
      <w:r w:rsidRPr="00FD7E86">
        <w:t>carriers</w:t>
      </w:r>
      <w:r w:rsidRPr="00FD7E86" w:rsidDel="00805C7A">
        <w:t xml:space="preserve">. </w:t>
      </w:r>
      <w:r w:rsidRPr="00FD7E86">
        <w:t>This process</w:t>
      </w:r>
      <w:r w:rsidRPr="00FD7E86" w:rsidDel="00805C7A">
        <w:t xml:space="preserve"> can lead to a mobile handset being blocked from making most calls if it is used to make repeated non-emergency calls to Triple Zero. </w:t>
      </w:r>
      <w:r w:rsidRPr="00FD7E86">
        <w:t xml:space="preserve">Experience is showing that the risk of account suspension and police referral is acting as a significant deterrent. </w:t>
      </w:r>
      <w:r w:rsidRPr="00FD7E86" w:rsidDel="00805C7A">
        <w:t xml:space="preserve">On average, </w:t>
      </w:r>
      <w:r w:rsidRPr="00FD7E86">
        <w:t>99</w:t>
      </w:r>
      <w:r w:rsidRPr="00FD7E86" w:rsidDel="00805C7A">
        <w:t xml:space="preserve"> per cent of callers making repeated non-emergency calls are deterred from further misuse after receiving a warning from the ECP. </w:t>
      </w:r>
    </w:p>
    <w:p w14:paraId="5E2947EC" w14:textId="77777777" w:rsidR="00BC12AE" w:rsidRPr="00FD7E86" w:rsidRDefault="00BC12AE" w:rsidP="00C05F4C">
      <w:pPr>
        <w:pStyle w:val="Caption"/>
        <w:keepNext/>
        <w:numPr>
          <w:ilvl w:val="0"/>
          <w:numId w:val="0"/>
        </w:numPr>
        <w:spacing w:after="160"/>
      </w:pPr>
      <w:r w:rsidRPr="00FD7E86">
        <w:lastRenderedPageBreak/>
        <w:t>Table 4.</w:t>
      </w:r>
      <w:fldSimple w:instr=" SEQ Table \r 1\* ARABIC ">
        <w:r w:rsidR="007A7220">
          <w:rPr>
            <w:noProof/>
          </w:rPr>
          <w:t>1</w:t>
        </w:r>
      </w:fldSimple>
      <w:r w:rsidRPr="00FD7E86">
        <w:t xml:space="preserve"> Call volumes to emergency call service numbers Triple Zero and 112, and call </w:t>
      </w:r>
      <w:r w:rsidRPr="00FD7E86">
        <w:br/>
        <w:t>answering times</w:t>
      </w:r>
    </w:p>
    <w:tbl>
      <w:tblPr>
        <w:tblW w:w="94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left w:w="85" w:type="dxa"/>
          <w:right w:w="0" w:type="dxa"/>
        </w:tblCellMar>
        <w:tblLook w:val="01E0" w:firstRow="1" w:lastRow="1" w:firstColumn="1" w:lastColumn="1" w:noHBand="0" w:noVBand="0"/>
        <w:tblCaption w:val="Table 4.1 Call volumes to emergency call service numbers Triple Zero and 112, and call answering times"/>
      </w:tblPr>
      <w:tblGrid>
        <w:gridCol w:w="3167"/>
        <w:gridCol w:w="1252"/>
        <w:gridCol w:w="1252"/>
        <w:gridCol w:w="1252"/>
        <w:gridCol w:w="1253"/>
        <w:gridCol w:w="1253"/>
      </w:tblGrid>
      <w:tr w:rsidR="00BC12AE" w:rsidRPr="00FD7E86" w14:paraId="43903672" w14:textId="77777777" w:rsidTr="000E4F20">
        <w:trPr>
          <w:trHeight w:val="454"/>
        </w:trPr>
        <w:tc>
          <w:tcPr>
            <w:tcW w:w="3167" w:type="dxa"/>
            <w:shd w:val="clear" w:color="auto" w:fill="auto"/>
            <w:tcMar>
              <w:top w:w="34" w:type="dxa"/>
              <w:left w:w="113" w:type="dxa"/>
            </w:tcMar>
          </w:tcPr>
          <w:p w14:paraId="70B8FE99" w14:textId="77777777" w:rsidR="00BC12AE" w:rsidRPr="00FD7E86" w:rsidRDefault="00BC12AE" w:rsidP="003C35D8">
            <w:pPr>
              <w:pStyle w:val="TableHeading"/>
              <w:keepNext/>
              <w:ind w:right="129"/>
              <w:jc w:val="right"/>
              <w:rPr>
                <w:rFonts w:cs="Arial"/>
                <w:color w:val="FFFFFF" w:themeColor="background1"/>
                <w:sz w:val="18"/>
                <w:szCs w:val="18"/>
              </w:rPr>
            </w:pPr>
          </w:p>
          <w:p w14:paraId="040C39EF" w14:textId="77777777" w:rsidR="00BC12AE" w:rsidRPr="00FD7E86" w:rsidRDefault="00BC12AE" w:rsidP="003C35D8">
            <w:pPr>
              <w:rPr>
                <w:rFonts w:cs="Arial"/>
              </w:rPr>
            </w:pPr>
          </w:p>
        </w:tc>
        <w:tc>
          <w:tcPr>
            <w:tcW w:w="1252" w:type="dxa"/>
            <w:shd w:val="clear" w:color="auto" w:fill="00ADBB" w:themeFill="accent1"/>
            <w:tcMar>
              <w:left w:w="113" w:type="dxa"/>
            </w:tcMar>
            <w:vAlign w:val="center"/>
          </w:tcPr>
          <w:p w14:paraId="64172D29" w14:textId="77777777" w:rsidR="00BC12AE" w:rsidRPr="00FD7E86" w:rsidRDefault="00BC12AE" w:rsidP="00231E53">
            <w:pPr>
              <w:pStyle w:val="TableHeading"/>
              <w:keepNext/>
              <w:ind w:right="196"/>
              <w:jc w:val="right"/>
              <w:rPr>
                <w:rFonts w:cs="Arial"/>
                <w:color w:val="FFFFFF" w:themeColor="background1"/>
                <w:sz w:val="18"/>
                <w:szCs w:val="18"/>
              </w:rPr>
            </w:pPr>
            <w:r w:rsidRPr="00FD7E86">
              <w:rPr>
                <w:rFonts w:cs="Arial"/>
                <w:color w:val="FFFFFF" w:themeColor="background1"/>
                <w:sz w:val="18"/>
                <w:szCs w:val="18"/>
              </w:rPr>
              <w:t>2010–11</w:t>
            </w:r>
          </w:p>
        </w:tc>
        <w:tc>
          <w:tcPr>
            <w:tcW w:w="1252" w:type="dxa"/>
            <w:shd w:val="clear" w:color="auto" w:fill="00ADBB" w:themeFill="accent1"/>
            <w:vAlign w:val="center"/>
          </w:tcPr>
          <w:p w14:paraId="682C6598" w14:textId="77777777" w:rsidR="00BC12AE" w:rsidRPr="00FD7E86" w:rsidRDefault="00BC12AE" w:rsidP="00231E53">
            <w:pPr>
              <w:pStyle w:val="TableHeading"/>
              <w:keepNext/>
              <w:ind w:right="196"/>
              <w:jc w:val="right"/>
              <w:rPr>
                <w:rFonts w:cs="Arial"/>
                <w:color w:val="FFFFFF" w:themeColor="background1"/>
                <w:sz w:val="18"/>
                <w:szCs w:val="18"/>
              </w:rPr>
            </w:pPr>
            <w:r w:rsidRPr="00FD7E86">
              <w:rPr>
                <w:rFonts w:cs="Arial"/>
                <w:color w:val="FFFFFF" w:themeColor="background1"/>
                <w:sz w:val="18"/>
                <w:szCs w:val="18"/>
              </w:rPr>
              <w:t>2011–12</w:t>
            </w:r>
          </w:p>
        </w:tc>
        <w:tc>
          <w:tcPr>
            <w:tcW w:w="1252" w:type="dxa"/>
            <w:shd w:val="clear" w:color="auto" w:fill="00ADBB" w:themeFill="accent1"/>
            <w:vAlign w:val="center"/>
          </w:tcPr>
          <w:p w14:paraId="0A42610C" w14:textId="77777777" w:rsidR="00BC12AE" w:rsidRPr="00FD7E86" w:rsidRDefault="00BC12AE" w:rsidP="00231E53">
            <w:pPr>
              <w:pStyle w:val="TableHeading"/>
              <w:keepNext/>
              <w:ind w:right="196"/>
              <w:jc w:val="right"/>
              <w:rPr>
                <w:rFonts w:cs="Arial"/>
                <w:color w:val="FFFFFF" w:themeColor="background1"/>
                <w:sz w:val="18"/>
                <w:szCs w:val="18"/>
              </w:rPr>
            </w:pPr>
            <w:r w:rsidRPr="00FD7E86">
              <w:rPr>
                <w:rFonts w:cs="Arial"/>
                <w:color w:val="FFFFFF" w:themeColor="background1"/>
                <w:sz w:val="18"/>
                <w:szCs w:val="18"/>
              </w:rPr>
              <w:t>2012–13</w:t>
            </w:r>
          </w:p>
        </w:tc>
        <w:tc>
          <w:tcPr>
            <w:tcW w:w="1253" w:type="dxa"/>
            <w:shd w:val="clear" w:color="auto" w:fill="00ADBB" w:themeFill="accent1"/>
            <w:vAlign w:val="center"/>
          </w:tcPr>
          <w:p w14:paraId="2F91C142" w14:textId="77777777" w:rsidR="00BC12AE" w:rsidRPr="00FD7E86" w:rsidRDefault="00BC12AE" w:rsidP="00231E53">
            <w:pPr>
              <w:pStyle w:val="TableHeading"/>
              <w:keepNext/>
              <w:ind w:right="196"/>
              <w:jc w:val="right"/>
              <w:rPr>
                <w:rFonts w:cs="Arial"/>
                <w:color w:val="FFFFFF" w:themeColor="background1"/>
                <w:sz w:val="18"/>
                <w:szCs w:val="18"/>
              </w:rPr>
            </w:pPr>
            <w:r w:rsidRPr="00FD7E86">
              <w:rPr>
                <w:rFonts w:cs="Arial"/>
                <w:color w:val="FFFFFF" w:themeColor="background1"/>
                <w:sz w:val="18"/>
                <w:szCs w:val="18"/>
              </w:rPr>
              <w:t>2013–14</w:t>
            </w:r>
          </w:p>
        </w:tc>
        <w:tc>
          <w:tcPr>
            <w:tcW w:w="1253" w:type="dxa"/>
            <w:shd w:val="clear" w:color="auto" w:fill="00ADBB" w:themeFill="accent1"/>
            <w:vAlign w:val="center"/>
          </w:tcPr>
          <w:p w14:paraId="05AFC7CA" w14:textId="77777777" w:rsidR="00BC12AE" w:rsidRPr="00FD7E86" w:rsidRDefault="00BC12AE" w:rsidP="00231E53">
            <w:pPr>
              <w:pStyle w:val="TableHeading"/>
              <w:keepNext/>
              <w:ind w:right="196"/>
              <w:jc w:val="right"/>
              <w:rPr>
                <w:rFonts w:cs="Arial"/>
                <w:color w:val="FFFFFF" w:themeColor="background1"/>
                <w:sz w:val="18"/>
                <w:szCs w:val="18"/>
              </w:rPr>
            </w:pPr>
            <w:r w:rsidRPr="00FD7E86">
              <w:rPr>
                <w:rFonts w:cs="Arial"/>
                <w:color w:val="FFFFFF" w:themeColor="background1"/>
                <w:sz w:val="18"/>
                <w:szCs w:val="18"/>
              </w:rPr>
              <w:t>2014-15</w:t>
            </w:r>
          </w:p>
        </w:tc>
      </w:tr>
      <w:tr w:rsidR="00BC12AE" w:rsidRPr="00FD7E86" w14:paraId="17C0B938" w14:textId="77777777" w:rsidTr="000E4F20">
        <w:trPr>
          <w:trHeight w:val="454"/>
        </w:trPr>
        <w:tc>
          <w:tcPr>
            <w:tcW w:w="3167" w:type="dxa"/>
            <w:shd w:val="clear" w:color="auto" w:fill="65CDD5"/>
            <w:tcMar>
              <w:left w:w="113" w:type="dxa"/>
            </w:tcMar>
            <w:vAlign w:val="center"/>
          </w:tcPr>
          <w:p w14:paraId="0E8597BF" w14:textId="77777777" w:rsidR="00BC12AE" w:rsidRPr="00C05F4C" w:rsidRDefault="00BC12AE" w:rsidP="000E4F20">
            <w:pPr>
              <w:pStyle w:val="ACMATableText"/>
              <w:keepNext/>
              <w:spacing w:line="240" w:lineRule="atLeast"/>
              <w:ind w:left="227" w:right="196"/>
              <w:rPr>
                <w:rFonts w:cs="Arial"/>
                <w:sz w:val="18"/>
                <w:szCs w:val="18"/>
                <w:lang w:eastAsia="en-AU"/>
              </w:rPr>
            </w:pPr>
            <w:r w:rsidRPr="00C05F4C">
              <w:rPr>
                <w:rFonts w:cs="Arial"/>
                <w:sz w:val="18"/>
                <w:szCs w:val="18"/>
                <w:lang w:eastAsia="en-AU"/>
              </w:rPr>
              <w:t>Calls offered from mobile phones (%)</w:t>
            </w:r>
          </w:p>
        </w:tc>
        <w:tc>
          <w:tcPr>
            <w:tcW w:w="1252" w:type="dxa"/>
            <w:shd w:val="clear" w:color="auto" w:fill="E9FBFB"/>
            <w:tcMar>
              <w:left w:w="113" w:type="dxa"/>
            </w:tcMar>
            <w:vAlign w:val="center"/>
          </w:tcPr>
          <w:p w14:paraId="361B362E"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63.9</w:t>
            </w:r>
          </w:p>
        </w:tc>
        <w:tc>
          <w:tcPr>
            <w:tcW w:w="1252" w:type="dxa"/>
            <w:shd w:val="clear" w:color="auto" w:fill="E9FBFB"/>
            <w:vAlign w:val="center"/>
          </w:tcPr>
          <w:p w14:paraId="4CFA5A9A"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67.3</w:t>
            </w:r>
          </w:p>
        </w:tc>
        <w:tc>
          <w:tcPr>
            <w:tcW w:w="1252" w:type="dxa"/>
            <w:shd w:val="clear" w:color="auto" w:fill="E9FBFB"/>
            <w:vAlign w:val="center"/>
          </w:tcPr>
          <w:p w14:paraId="3B72A242"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66.9</w:t>
            </w:r>
          </w:p>
        </w:tc>
        <w:tc>
          <w:tcPr>
            <w:tcW w:w="1253" w:type="dxa"/>
            <w:shd w:val="clear" w:color="auto" w:fill="E9FBFB"/>
            <w:vAlign w:val="center"/>
          </w:tcPr>
          <w:p w14:paraId="37C78F6D"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66.5</w:t>
            </w:r>
          </w:p>
        </w:tc>
        <w:tc>
          <w:tcPr>
            <w:tcW w:w="1253" w:type="dxa"/>
            <w:shd w:val="clear" w:color="auto" w:fill="E9FBFB"/>
            <w:vAlign w:val="center"/>
          </w:tcPr>
          <w:p w14:paraId="7DD60D14"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66.9</w:t>
            </w:r>
          </w:p>
        </w:tc>
      </w:tr>
      <w:tr w:rsidR="00BC12AE" w:rsidRPr="00FD7E86" w14:paraId="235DD8A3" w14:textId="77777777" w:rsidTr="000E4F20">
        <w:trPr>
          <w:trHeight w:val="454"/>
        </w:trPr>
        <w:tc>
          <w:tcPr>
            <w:tcW w:w="3167" w:type="dxa"/>
            <w:shd w:val="clear" w:color="auto" w:fill="65CDD5"/>
            <w:tcMar>
              <w:left w:w="113" w:type="dxa"/>
            </w:tcMar>
            <w:vAlign w:val="center"/>
          </w:tcPr>
          <w:p w14:paraId="578E640C" w14:textId="77777777" w:rsidR="00BC12AE" w:rsidRPr="00C05F4C" w:rsidRDefault="00BC12AE" w:rsidP="003C35D8">
            <w:pPr>
              <w:pStyle w:val="ACMATableText"/>
              <w:keepNext/>
              <w:spacing w:line="240" w:lineRule="atLeast"/>
              <w:ind w:left="227"/>
              <w:rPr>
                <w:rFonts w:cs="Arial"/>
                <w:spacing w:val="-28"/>
                <w:sz w:val="18"/>
                <w:szCs w:val="18"/>
                <w:lang w:eastAsia="en-AU"/>
              </w:rPr>
            </w:pPr>
            <w:r w:rsidRPr="00C05F4C">
              <w:rPr>
                <w:rFonts w:cs="Arial"/>
                <w:sz w:val="18"/>
                <w:szCs w:val="18"/>
                <w:lang w:eastAsia="en-AU"/>
              </w:rPr>
              <w:t>Calls answered (%)</w:t>
            </w:r>
          </w:p>
        </w:tc>
        <w:tc>
          <w:tcPr>
            <w:tcW w:w="1252" w:type="dxa"/>
            <w:shd w:val="clear" w:color="auto" w:fill="E9FBFB"/>
            <w:tcMar>
              <w:left w:w="113" w:type="dxa"/>
            </w:tcMar>
            <w:vAlign w:val="center"/>
          </w:tcPr>
          <w:p w14:paraId="0CA0FDE0"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95.8</w:t>
            </w:r>
          </w:p>
        </w:tc>
        <w:tc>
          <w:tcPr>
            <w:tcW w:w="1252" w:type="dxa"/>
            <w:shd w:val="clear" w:color="auto" w:fill="E9FBFB"/>
            <w:vAlign w:val="center"/>
          </w:tcPr>
          <w:p w14:paraId="173821DD"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96.0</w:t>
            </w:r>
          </w:p>
        </w:tc>
        <w:tc>
          <w:tcPr>
            <w:tcW w:w="1252" w:type="dxa"/>
            <w:shd w:val="clear" w:color="auto" w:fill="E9FBFB"/>
            <w:vAlign w:val="center"/>
          </w:tcPr>
          <w:p w14:paraId="5F77EA8F"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96.0</w:t>
            </w:r>
          </w:p>
        </w:tc>
        <w:tc>
          <w:tcPr>
            <w:tcW w:w="1253" w:type="dxa"/>
            <w:shd w:val="clear" w:color="auto" w:fill="E9FBFB"/>
            <w:vAlign w:val="center"/>
          </w:tcPr>
          <w:p w14:paraId="166E5089"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96.0</w:t>
            </w:r>
          </w:p>
        </w:tc>
        <w:tc>
          <w:tcPr>
            <w:tcW w:w="1253" w:type="dxa"/>
            <w:shd w:val="clear" w:color="auto" w:fill="E9FBFB"/>
            <w:vAlign w:val="center"/>
          </w:tcPr>
          <w:p w14:paraId="2114506B"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96.0</w:t>
            </w:r>
          </w:p>
        </w:tc>
      </w:tr>
      <w:tr w:rsidR="00BC12AE" w:rsidRPr="00FD7E86" w14:paraId="363C2F19" w14:textId="77777777" w:rsidTr="000E4F20">
        <w:trPr>
          <w:trHeight w:val="454"/>
        </w:trPr>
        <w:tc>
          <w:tcPr>
            <w:tcW w:w="3167" w:type="dxa"/>
            <w:shd w:val="clear" w:color="auto" w:fill="65CDD5"/>
            <w:tcMar>
              <w:left w:w="113" w:type="dxa"/>
            </w:tcMar>
            <w:vAlign w:val="center"/>
          </w:tcPr>
          <w:p w14:paraId="624CAECB" w14:textId="77777777" w:rsidR="00BC12AE" w:rsidRPr="00C05F4C" w:rsidRDefault="00BC12AE" w:rsidP="003C35D8">
            <w:pPr>
              <w:pStyle w:val="ACMATableText"/>
              <w:keepNext/>
              <w:spacing w:line="240" w:lineRule="atLeast"/>
              <w:ind w:left="227"/>
              <w:rPr>
                <w:rFonts w:cs="Arial"/>
                <w:sz w:val="18"/>
                <w:szCs w:val="18"/>
                <w:lang w:eastAsia="en-AU"/>
              </w:rPr>
            </w:pPr>
            <w:r w:rsidRPr="00C05F4C">
              <w:rPr>
                <w:rFonts w:cs="Arial"/>
                <w:sz w:val="18"/>
                <w:szCs w:val="18"/>
                <w:lang w:eastAsia="en-AU"/>
              </w:rPr>
              <w:t>Of calls answered, those that wait five seconds or fewer (%)</w:t>
            </w:r>
          </w:p>
        </w:tc>
        <w:tc>
          <w:tcPr>
            <w:tcW w:w="1252" w:type="dxa"/>
            <w:shd w:val="clear" w:color="auto" w:fill="E9FBFB"/>
            <w:tcMar>
              <w:left w:w="113" w:type="dxa"/>
            </w:tcMar>
            <w:vAlign w:val="center"/>
          </w:tcPr>
          <w:p w14:paraId="32DA89D3"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95.7</w:t>
            </w:r>
          </w:p>
        </w:tc>
        <w:tc>
          <w:tcPr>
            <w:tcW w:w="1252" w:type="dxa"/>
            <w:shd w:val="clear" w:color="auto" w:fill="E9FBFB"/>
            <w:vAlign w:val="center"/>
          </w:tcPr>
          <w:p w14:paraId="04E62299"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95.8</w:t>
            </w:r>
          </w:p>
        </w:tc>
        <w:tc>
          <w:tcPr>
            <w:tcW w:w="1252" w:type="dxa"/>
            <w:shd w:val="clear" w:color="auto" w:fill="E9FBFB"/>
            <w:vAlign w:val="center"/>
          </w:tcPr>
          <w:p w14:paraId="0BC9EAE0"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95.8</w:t>
            </w:r>
          </w:p>
        </w:tc>
        <w:tc>
          <w:tcPr>
            <w:tcW w:w="1253" w:type="dxa"/>
            <w:shd w:val="clear" w:color="auto" w:fill="E9FBFB"/>
            <w:vAlign w:val="center"/>
          </w:tcPr>
          <w:p w14:paraId="5C445C0E"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95.4</w:t>
            </w:r>
          </w:p>
        </w:tc>
        <w:tc>
          <w:tcPr>
            <w:tcW w:w="1253" w:type="dxa"/>
            <w:shd w:val="clear" w:color="auto" w:fill="E9FBFB"/>
            <w:vAlign w:val="center"/>
          </w:tcPr>
          <w:p w14:paraId="458C6645"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97.3</w:t>
            </w:r>
          </w:p>
        </w:tc>
      </w:tr>
      <w:tr w:rsidR="00BC12AE" w:rsidRPr="00FD7E86" w14:paraId="13F221C2" w14:textId="77777777" w:rsidTr="000E4F20">
        <w:trPr>
          <w:trHeight w:val="454"/>
        </w:trPr>
        <w:tc>
          <w:tcPr>
            <w:tcW w:w="3167" w:type="dxa"/>
            <w:shd w:val="clear" w:color="auto" w:fill="65CDD5"/>
            <w:tcMar>
              <w:left w:w="113" w:type="dxa"/>
            </w:tcMar>
            <w:vAlign w:val="center"/>
          </w:tcPr>
          <w:p w14:paraId="3DE7973E" w14:textId="77777777" w:rsidR="00BC12AE" w:rsidRPr="00C05F4C" w:rsidRDefault="00BC12AE" w:rsidP="003C35D8">
            <w:pPr>
              <w:pStyle w:val="ACMATableText"/>
              <w:keepNext/>
              <w:spacing w:line="240" w:lineRule="atLeast"/>
              <w:ind w:left="227"/>
              <w:rPr>
                <w:rFonts w:cs="Arial"/>
                <w:sz w:val="18"/>
                <w:szCs w:val="18"/>
                <w:lang w:eastAsia="en-AU"/>
              </w:rPr>
            </w:pPr>
            <w:r w:rsidRPr="00C05F4C">
              <w:rPr>
                <w:rFonts w:cs="Arial"/>
                <w:sz w:val="18"/>
                <w:szCs w:val="18"/>
                <w:lang w:eastAsia="en-AU"/>
              </w:rPr>
              <w:t>Of calls answered, those that wait 10 seconds or fewer (%)</w:t>
            </w:r>
          </w:p>
        </w:tc>
        <w:tc>
          <w:tcPr>
            <w:tcW w:w="1252" w:type="dxa"/>
            <w:shd w:val="clear" w:color="auto" w:fill="E9FBFB"/>
            <w:tcMar>
              <w:left w:w="113" w:type="dxa"/>
            </w:tcMar>
            <w:vAlign w:val="center"/>
          </w:tcPr>
          <w:p w14:paraId="78A1F219"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99.1</w:t>
            </w:r>
          </w:p>
        </w:tc>
        <w:tc>
          <w:tcPr>
            <w:tcW w:w="1252" w:type="dxa"/>
            <w:shd w:val="clear" w:color="auto" w:fill="E9FBFB"/>
            <w:vAlign w:val="center"/>
          </w:tcPr>
          <w:p w14:paraId="77D19B58"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98.9</w:t>
            </w:r>
          </w:p>
        </w:tc>
        <w:tc>
          <w:tcPr>
            <w:tcW w:w="1252" w:type="dxa"/>
            <w:shd w:val="clear" w:color="auto" w:fill="E9FBFB"/>
            <w:vAlign w:val="center"/>
          </w:tcPr>
          <w:p w14:paraId="3F417F52"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99.1</w:t>
            </w:r>
          </w:p>
        </w:tc>
        <w:tc>
          <w:tcPr>
            <w:tcW w:w="1253" w:type="dxa"/>
            <w:shd w:val="clear" w:color="auto" w:fill="E9FBFB"/>
            <w:vAlign w:val="center"/>
          </w:tcPr>
          <w:p w14:paraId="4EBE4C79"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99.3</w:t>
            </w:r>
          </w:p>
        </w:tc>
        <w:tc>
          <w:tcPr>
            <w:tcW w:w="1253" w:type="dxa"/>
            <w:shd w:val="clear" w:color="auto" w:fill="E9FBFB"/>
            <w:vAlign w:val="center"/>
          </w:tcPr>
          <w:p w14:paraId="75889612" w14:textId="77777777" w:rsidR="00BC12AE" w:rsidRPr="00FD7E86" w:rsidRDefault="00BC12AE"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98.7</w:t>
            </w:r>
          </w:p>
        </w:tc>
      </w:tr>
      <w:tr w:rsidR="000B57C9" w:rsidRPr="00FD7E86" w14:paraId="5DB15665" w14:textId="77777777" w:rsidTr="00E41B62">
        <w:trPr>
          <w:trHeight w:val="454"/>
        </w:trPr>
        <w:tc>
          <w:tcPr>
            <w:tcW w:w="3167" w:type="dxa"/>
            <w:shd w:val="clear" w:color="auto" w:fill="65CDD5" w:themeFill="accent2"/>
            <w:tcMar>
              <w:left w:w="113" w:type="dxa"/>
            </w:tcMar>
            <w:vAlign w:val="center"/>
          </w:tcPr>
          <w:p w14:paraId="4B05D4A3" w14:textId="77777777" w:rsidR="000B57C9" w:rsidRPr="00C05F4C" w:rsidRDefault="000B57C9" w:rsidP="000B57C9">
            <w:pPr>
              <w:pStyle w:val="ACMATableText"/>
              <w:keepNext/>
              <w:spacing w:line="240" w:lineRule="atLeast"/>
              <w:rPr>
                <w:rFonts w:cs="Arial"/>
                <w:b/>
                <w:sz w:val="18"/>
                <w:szCs w:val="18"/>
                <w:lang w:eastAsia="en-AU"/>
              </w:rPr>
            </w:pPr>
            <w:r w:rsidRPr="00C05F4C">
              <w:rPr>
                <w:rFonts w:cs="Arial"/>
                <w:b/>
                <w:sz w:val="18"/>
                <w:szCs w:val="18"/>
                <w:lang w:eastAsia="en-AU"/>
              </w:rPr>
              <w:t>Total number of calls offered</w:t>
            </w:r>
          </w:p>
        </w:tc>
        <w:tc>
          <w:tcPr>
            <w:tcW w:w="1252" w:type="dxa"/>
            <w:shd w:val="clear" w:color="auto" w:fill="65CDD5" w:themeFill="accent2"/>
            <w:tcMar>
              <w:left w:w="113" w:type="dxa"/>
            </w:tcMar>
            <w:vAlign w:val="center"/>
          </w:tcPr>
          <w:p w14:paraId="39BB3DCB" w14:textId="77777777" w:rsidR="000B57C9" w:rsidRPr="00C05F4C" w:rsidRDefault="000B57C9" w:rsidP="000E4F20">
            <w:pPr>
              <w:pStyle w:val="ACMATableText"/>
              <w:keepNext/>
              <w:spacing w:line="240" w:lineRule="atLeast"/>
              <w:ind w:right="196"/>
              <w:jc w:val="right"/>
              <w:rPr>
                <w:rFonts w:cs="Arial"/>
                <w:b/>
                <w:sz w:val="18"/>
                <w:szCs w:val="18"/>
                <w:lang w:eastAsia="en-AU"/>
              </w:rPr>
            </w:pPr>
            <w:r w:rsidRPr="00C05F4C">
              <w:rPr>
                <w:rFonts w:cs="Arial"/>
                <w:b/>
                <w:sz w:val="18"/>
                <w:szCs w:val="18"/>
                <w:lang w:eastAsia="en-AU"/>
              </w:rPr>
              <w:t>8,867,191</w:t>
            </w:r>
          </w:p>
        </w:tc>
        <w:tc>
          <w:tcPr>
            <w:tcW w:w="1252" w:type="dxa"/>
            <w:shd w:val="clear" w:color="auto" w:fill="65CDD5" w:themeFill="accent2"/>
            <w:vAlign w:val="center"/>
          </w:tcPr>
          <w:p w14:paraId="5F3E60A6" w14:textId="77777777" w:rsidR="000B57C9" w:rsidRPr="00C05F4C" w:rsidRDefault="000B57C9" w:rsidP="000E4F20">
            <w:pPr>
              <w:pStyle w:val="ACMATableText"/>
              <w:keepNext/>
              <w:spacing w:line="240" w:lineRule="atLeast"/>
              <w:ind w:right="196"/>
              <w:jc w:val="right"/>
              <w:rPr>
                <w:rFonts w:cs="Arial"/>
                <w:b/>
                <w:sz w:val="18"/>
                <w:szCs w:val="18"/>
                <w:lang w:eastAsia="en-AU"/>
              </w:rPr>
            </w:pPr>
            <w:r w:rsidRPr="00C05F4C">
              <w:rPr>
                <w:rFonts w:cs="Arial"/>
                <w:b/>
                <w:sz w:val="18"/>
                <w:szCs w:val="18"/>
                <w:lang w:eastAsia="en-AU"/>
              </w:rPr>
              <w:t>9,429,595</w:t>
            </w:r>
          </w:p>
        </w:tc>
        <w:tc>
          <w:tcPr>
            <w:tcW w:w="1252" w:type="dxa"/>
            <w:shd w:val="clear" w:color="auto" w:fill="65CDD5" w:themeFill="accent2"/>
            <w:vAlign w:val="center"/>
          </w:tcPr>
          <w:p w14:paraId="770E9A37" w14:textId="77777777" w:rsidR="000B57C9" w:rsidRPr="00C05F4C" w:rsidRDefault="000B57C9" w:rsidP="000E4F20">
            <w:pPr>
              <w:pStyle w:val="ACMATableText"/>
              <w:keepNext/>
              <w:spacing w:line="240" w:lineRule="atLeast"/>
              <w:ind w:right="196"/>
              <w:jc w:val="right"/>
              <w:rPr>
                <w:rFonts w:cs="Arial"/>
                <w:b/>
                <w:sz w:val="18"/>
                <w:szCs w:val="18"/>
                <w:lang w:eastAsia="en-AU"/>
              </w:rPr>
            </w:pPr>
            <w:r w:rsidRPr="00C05F4C">
              <w:rPr>
                <w:rFonts w:cs="Arial"/>
                <w:b/>
                <w:sz w:val="18"/>
                <w:szCs w:val="18"/>
                <w:lang w:eastAsia="en-AU"/>
              </w:rPr>
              <w:t>8,854,728</w:t>
            </w:r>
          </w:p>
        </w:tc>
        <w:tc>
          <w:tcPr>
            <w:tcW w:w="1253" w:type="dxa"/>
            <w:shd w:val="clear" w:color="auto" w:fill="65CDD5" w:themeFill="accent2"/>
            <w:vAlign w:val="center"/>
          </w:tcPr>
          <w:p w14:paraId="063F2EFD" w14:textId="77777777" w:rsidR="000B57C9" w:rsidRPr="00C05F4C" w:rsidRDefault="000B57C9" w:rsidP="000E4F20">
            <w:pPr>
              <w:pStyle w:val="ACMATableText"/>
              <w:keepNext/>
              <w:spacing w:line="240" w:lineRule="atLeast"/>
              <w:ind w:right="196"/>
              <w:jc w:val="right"/>
              <w:rPr>
                <w:rFonts w:cs="Arial"/>
                <w:b/>
                <w:sz w:val="18"/>
                <w:szCs w:val="18"/>
                <w:lang w:eastAsia="en-AU"/>
              </w:rPr>
            </w:pPr>
            <w:r w:rsidRPr="00C05F4C">
              <w:rPr>
                <w:rFonts w:cs="Arial"/>
                <w:b/>
                <w:sz w:val="18"/>
                <w:szCs w:val="18"/>
                <w:lang w:eastAsia="en-AU"/>
              </w:rPr>
              <w:t>8,481,470</w:t>
            </w:r>
          </w:p>
        </w:tc>
        <w:tc>
          <w:tcPr>
            <w:tcW w:w="1253" w:type="dxa"/>
            <w:shd w:val="clear" w:color="auto" w:fill="65CDD5" w:themeFill="accent2"/>
            <w:vAlign w:val="center"/>
          </w:tcPr>
          <w:p w14:paraId="40FA4EE4" w14:textId="77777777" w:rsidR="000B57C9" w:rsidRPr="00C05F4C" w:rsidRDefault="000B57C9" w:rsidP="000E4F20">
            <w:pPr>
              <w:pStyle w:val="ACMATableText"/>
              <w:keepNext/>
              <w:spacing w:line="240" w:lineRule="atLeast"/>
              <w:ind w:right="196"/>
              <w:jc w:val="center"/>
              <w:rPr>
                <w:rFonts w:cs="Arial"/>
                <w:b/>
                <w:sz w:val="18"/>
                <w:szCs w:val="18"/>
                <w:lang w:eastAsia="en-AU"/>
              </w:rPr>
            </w:pPr>
            <w:r w:rsidRPr="00C05F4C">
              <w:rPr>
                <w:rFonts w:cs="Arial"/>
                <w:b/>
                <w:sz w:val="18"/>
                <w:szCs w:val="18"/>
                <w:lang w:eastAsia="en-AU"/>
              </w:rPr>
              <w:t>8,377,394</w:t>
            </w:r>
          </w:p>
        </w:tc>
      </w:tr>
      <w:tr w:rsidR="000B57C9" w:rsidRPr="00FD7E86" w14:paraId="4679E1D1" w14:textId="77777777" w:rsidTr="000E4F20">
        <w:trPr>
          <w:trHeight w:val="454"/>
        </w:trPr>
        <w:tc>
          <w:tcPr>
            <w:tcW w:w="3167" w:type="dxa"/>
            <w:shd w:val="clear" w:color="auto" w:fill="65CDD5"/>
            <w:tcMar>
              <w:left w:w="113" w:type="dxa"/>
            </w:tcMar>
            <w:vAlign w:val="center"/>
          </w:tcPr>
          <w:p w14:paraId="774C4B29" w14:textId="77777777" w:rsidR="000B57C9" w:rsidRPr="00C05F4C" w:rsidRDefault="000B57C9" w:rsidP="000B57C9">
            <w:pPr>
              <w:pStyle w:val="ACMATableText"/>
              <w:keepNext/>
              <w:spacing w:line="240" w:lineRule="atLeast"/>
              <w:ind w:left="227"/>
              <w:rPr>
                <w:rFonts w:cs="Arial"/>
                <w:spacing w:val="-28"/>
                <w:sz w:val="18"/>
                <w:szCs w:val="18"/>
                <w:lang w:eastAsia="en-AU"/>
              </w:rPr>
            </w:pPr>
            <w:r w:rsidRPr="00C05F4C">
              <w:rPr>
                <w:rFonts w:cs="Arial"/>
                <w:sz w:val="18"/>
                <w:szCs w:val="18"/>
                <w:lang w:eastAsia="en-AU"/>
              </w:rPr>
              <w:t xml:space="preserve">Answered calls transferred to </w:t>
            </w:r>
            <w:r w:rsidRPr="00C05F4C">
              <w:rPr>
                <w:rFonts w:cs="Arial"/>
                <w:sz w:val="18"/>
                <w:szCs w:val="18"/>
                <w:lang w:eastAsia="en-AU"/>
              </w:rPr>
              <w:br/>
              <w:t>an ESO (%)</w:t>
            </w:r>
          </w:p>
        </w:tc>
        <w:tc>
          <w:tcPr>
            <w:tcW w:w="1252" w:type="dxa"/>
            <w:shd w:val="clear" w:color="auto" w:fill="E9FBFB"/>
            <w:tcMar>
              <w:left w:w="113" w:type="dxa"/>
            </w:tcMar>
            <w:vAlign w:val="center"/>
          </w:tcPr>
          <w:p w14:paraId="44EC685E" w14:textId="77777777" w:rsidR="000B57C9" w:rsidRPr="00FD7E86" w:rsidRDefault="000B57C9"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63.1</w:t>
            </w:r>
          </w:p>
        </w:tc>
        <w:tc>
          <w:tcPr>
            <w:tcW w:w="1252" w:type="dxa"/>
            <w:shd w:val="clear" w:color="auto" w:fill="E9FBFB"/>
            <w:vAlign w:val="center"/>
          </w:tcPr>
          <w:p w14:paraId="3C6CBD62" w14:textId="77777777" w:rsidR="000B57C9" w:rsidRPr="00FD7E86" w:rsidRDefault="000B57C9"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61.5</w:t>
            </w:r>
          </w:p>
        </w:tc>
        <w:tc>
          <w:tcPr>
            <w:tcW w:w="1252" w:type="dxa"/>
            <w:shd w:val="clear" w:color="auto" w:fill="E9FBFB"/>
            <w:vAlign w:val="center"/>
          </w:tcPr>
          <w:p w14:paraId="32AA2D46" w14:textId="77777777" w:rsidR="000B57C9" w:rsidRPr="00FD7E86" w:rsidRDefault="000B57C9" w:rsidP="000E4F20">
            <w:pPr>
              <w:pStyle w:val="ACMATableText"/>
              <w:keepNext/>
              <w:spacing w:line="240" w:lineRule="atLeast"/>
              <w:ind w:right="196"/>
              <w:jc w:val="right"/>
              <w:rPr>
                <w:rFonts w:cs="Arial"/>
                <w:sz w:val="18"/>
                <w:szCs w:val="18"/>
                <w:lang w:eastAsia="en-AU"/>
              </w:rPr>
            </w:pPr>
            <w:r w:rsidRPr="00FD7E86">
              <w:rPr>
                <w:rFonts w:cs="Arial"/>
                <w:sz w:val="18"/>
                <w:szCs w:val="18"/>
              </w:rPr>
              <w:t>67.5</w:t>
            </w:r>
          </w:p>
        </w:tc>
        <w:tc>
          <w:tcPr>
            <w:tcW w:w="1253" w:type="dxa"/>
            <w:shd w:val="clear" w:color="auto" w:fill="E9FBFB"/>
            <w:vAlign w:val="center"/>
          </w:tcPr>
          <w:p w14:paraId="459793A5" w14:textId="77777777" w:rsidR="000B57C9" w:rsidRPr="00FD7E86" w:rsidRDefault="000B57C9"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70.6</w:t>
            </w:r>
          </w:p>
        </w:tc>
        <w:tc>
          <w:tcPr>
            <w:tcW w:w="1253" w:type="dxa"/>
            <w:shd w:val="clear" w:color="auto" w:fill="E9FBFB"/>
            <w:vAlign w:val="center"/>
          </w:tcPr>
          <w:p w14:paraId="63080A24" w14:textId="77777777" w:rsidR="000B57C9" w:rsidRPr="00FD7E86" w:rsidRDefault="000B57C9" w:rsidP="000E4F20">
            <w:pPr>
              <w:pStyle w:val="ACMATableText"/>
              <w:keepNext/>
              <w:spacing w:line="240" w:lineRule="atLeast"/>
              <w:ind w:right="196"/>
              <w:jc w:val="right"/>
              <w:rPr>
                <w:rFonts w:cs="Arial"/>
                <w:sz w:val="18"/>
                <w:szCs w:val="18"/>
                <w:lang w:eastAsia="en-AU"/>
              </w:rPr>
            </w:pPr>
            <w:r w:rsidRPr="00FD7E86">
              <w:rPr>
                <w:rFonts w:cs="Arial"/>
                <w:sz w:val="18"/>
                <w:szCs w:val="18"/>
                <w:lang w:eastAsia="en-AU"/>
              </w:rPr>
              <w:t>73.2</w:t>
            </w:r>
          </w:p>
        </w:tc>
      </w:tr>
      <w:tr w:rsidR="000B57C9" w:rsidRPr="00FD7E86" w14:paraId="49DAAAA7" w14:textId="77777777" w:rsidTr="00E41B62">
        <w:trPr>
          <w:trHeight w:val="454"/>
        </w:trPr>
        <w:tc>
          <w:tcPr>
            <w:tcW w:w="3167" w:type="dxa"/>
            <w:shd w:val="clear" w:color="auto" w:fill="65CDD5" w:themeFill="accent2"/>
            <w:tcMar>
              <w:left w:w="113" w:type="dxa"/>
            </w:tcMar>
            <w:vAlign w:val="center"/>
          </w:tcPr>
          <w:p w14:paraId="4CD8E77E" w14:textId="77777777" w:rsidR="000B57C9" w:rsidRPr="00C05F4C" w:rsidRDefault="000B57C9" w:rsidP="007978CD">
            <w:pPr>
              <w:pStyle w:val="ACMATableText"/>
              <w:keepNext/>
              <w:spacing w:line="240" w:lineRule="atLeast"/>
              <w:rPr>
                <w:rFonts w:cs="Arial"/>
                <w:sz w:val="18"/>
                <w:szCs w:val="18"/>
                <w:lang w:eastAsia="en-AU"/>
              </w:rPr>
            </w:pPr>
            <w:r w:rsidRPr="00C05F4C">
              <w:rPr>
                <w:rFonts w:cs="Arial"/>
                <w:b/>
                <w:sz w:val="18"/>
                <w:szCs w:val="18"/>
                <w:lang w:eastAsia="en-AU"/>
              </w:rPr>
              <w:t>Calls transferred to an ESO</w:t>
            </w:r>
          </w:p>
        </w:tc>
        <w:tc>
          <w:tcPr>
            <w:tcW w:w="1252" w:type="dxa"/>
            <w:shd w:val="clear" w:color="auto" w:fill="65CDD5" w:themeFill="accent2"/>
            <w:tcMar>
              <w:left w:w="113" w:type="dxa"/>
            </w:tcMar>
            <w:vAlign w:val="center"/>
          </w:tcPr>
          <w:p w14:paraId="38359B13" w14:textId="77777777" w:rsidR="000B57C9" w:rsidRPr="00995600" w:rsidRDefault="000B57C9" w:rsidP="000E4F20">
            <w:pPr>
              <w:pStyle w:val="ACMATableText"/>
              <w:keepNext/>
              <w:spacing w:line="240" w:lineRule="atLeast"/>
              <w:ind w:right="196"/>
              <w:jc w:val="right"/>
              <w:rPr>
                <w:rFonts w:cs="Arial"/>
                <w:sz w:val="18"/>
                <w:szCs w:val="18"/>
                <w:lang w:eastAsia="en-AU"/>
              </w:rPr>
            </w:pPr>
            <w:r w:rsidRPr="00C05F4C">
              <w:rPr>
                <w:rFonts w:cs="Arial"/>
                <w:b/>
                <w:sz w:val="18"/>
                <w:szCs w:val="18"/>
                <w:lang w:eastAsia="en-AU"/>
              </w:rPr>
              <w:t>5,354,680</w:t>
            </w:r>
          </w:p>
        </w:tc>
        <w:tc>
          <w:tcPr>
            <w:tcW w:w="1252" w:type="dxa"/>
            <w:shd w:val="clear" w:color="auto" w:fill="65CDD5" w:themeFill="accent2"/>
            <w:vAlign w:val="center"/>
          </w:tcPr>
          <w:p w14:paraId="7B8AFA9F" w14:textId="77777777" w:rsidR="000B57C9" w:rsidRPr="00995600" w:rsidRDefault="000B57C9" w:rsidP="000E4F20">
            <w:pPr>
              <w:pStyle w:val="ACMATableText"/>
              <w:keepNext/>
              <w:spacing w:line="240" w:lineRule="atLeast"/>
              <w:ind w:right="196"/>
              <w:jc w:val="right"/>
              <w:rPr>
                <w:rFonts w:cs="Arial"/>
                <w:sz w:val="18"/>
                <w:szCs w:val="18"/>
                <w:lang w:eastAsia="en-AU"/>
              </w:rPr>
            </w:pPr>
            <w:r w:rsidRPr="00C05F4C">
              <w:rPr>
                <w:rFonts w:cs="Arial"/>
                <w:b/>
                <w:sz w:val="18"/>
                <w:szCs w:val="18"/>
                <w:lang w:eastAsia="en-AU"/>
              </w:rPr>
              <w:t>5,561,072</w:t>
            </w:r>
          </w:p>
        </w:tc>
        <w:tc>
          <w:tcPr>
            <w:tcW w:w="1252" w:type="dxa"/>
            <w:shd w:val="clear" w:color="auto" w:fill="65CDD5" w:themeFill="accent2"/>
            <w:vAlign w:val="center"/>
          </w:tcPr>
          <w:p w14:paraId="1DBD93FC" w14:textId="77777777" w:rsidR="000B57C9" w:rsidRPr="00995600" w:rsidRDefault="000B57C9" w:rsidP="000E4F20">
            <w:pPr>
              <w:pStyle w:val="ACMATableText"/>
              <w:keepNext/>
              <w:spacing w:line="240" w:lineRule="atLeast"/>
              <w:ind w:right="196"/>
              <w:jc w:val="right"/>
              <w:rPr>
                <w:rFonts w:cs="Arial"/>
                <w:sz w:val="18"/>
                <w:szCs w:val="18"/>
              </w:rPr>
            </w:pPr>
            <w:r w:rsidRPr="00C05F4C">
              <w:rPr>
                <w:rFonts w:cs="Arial"/>
                <w:b/>
                <w:sz w:val="18"/>
                <w:szCs w:val="18"/>
                <w:lang w:eastAsia="en-AU"/>
              </w:rPr>
              <w:t>5,727,411</w:t>
            </w:r>
          </w:p>
        </w:tc>
        <w:tc>
          <w:tcPr>
            <w:tcW w:w="1253" w:type="dxa"/>
            <w:shd w:val="clear" w:color="auto" w:fill="65CDD5" w:themeFill="accent2"/>
            <w:vAlign w:val="center"/>
          </w:tcPr>
          <w:p w14:paraId="0CE2E585" w14:textId="77777777" w:rsidR="000B57C9" w:rsidRPr="00995600" w:rsidRDefault="000B57C9" w:rsidP="000E4F20">
            <w:pPr>
              <w:pStyle w:val="ACMATableText"/>
              <w:keepNext/>
              <w:spacing w:line="240" w:lineRule="atLeast"/>
              <w:ind w:right="196"/>
              <w:jc w:val="right"/>
              <w:rPr>
                <w:rFonts w:cs="Arial"/>
                <w:sz w:val="18"/>
                <w:szCs w:val="18"/>
                <w:lang w:eastAsia="en-AU"/>
              </w:rPr>
            </w:pPr>
            <w:r w:rsidRPr="00C05F4C">
              <w:rPr>
                <w:rFonts w:cs="Arial"/>
                <w:b/>
                <w:sz w:val="18"/>
                <w:szCs w:val="18"/>
                <w:lang w:eastAsia="en-AU"/>
              </w:rPr>
              <w:t>5,738,061</w:t>
            </w:r>
          </w:p>
        </w:tc>
        <w:tc>
          <w:tcPr>
            <w:tcW w:w="1253" w:type="dxa"/>
            <w:shd w:val="clear" w:color="auto" w:fill="65CDD5" w:themeFill="accent2"/>
            <w:vAlign w:val="center"/>
          </w:tcPr>
          <w:p w14:paraId="778BD0EA" w14:textId="77777777" w:rsidR="000B57C9" w:rsidRPr="00995600" w:rsidRDefault="000B57C9" w:rsidP="000E4F20">
            <w:pPr>
              <w:pStyle w:val="ACMATableText"/>
              <w:keepNext/>
              <w:spacing w:line="240" w:lineRule="atLeast"/>
              <w:ind w:right="196"/>
              <w:jc w:val="right"/>
              <w:rPr>
                <w:rFonts w:cs="Arial"/>
                <w:sz w:val="18"/>
                <w:szCs w:val="18"/>
                <w:lang w:eastAsia="en-AU"/>
              </w:rPr>
            </w:pPr>
            <w:r w:rsidRPr="00C05F4C">
              <w:rPr>
                <w:rFonts w:cs="Arial"/>
                <w:b/>
                <w:sz w:val="18"/>
                <w:szCs w:val="18"/>
                <w:lang w:eastAsia="en-AU"/>
              </w:rPr>
              <w:t>5,888,050</w:t>
            </w:r>
          </w:p>
        </w:tc>
      </w:tr>
    </w:tbl>
    <w:p w14:paraId="64D19611" w14:textId="77777777" w:rsidR="00BC12AE" w:rsidRPr="00FD7E86" w:rsidRDefault="00BC12AE" w:rsidP="000664F7">
      <w:pPr>
        <w:pStyle w:val="ACMANotes"/>
      </w:pPr>
      <w:r w:rsidRPr="00FD7E86">
        <w:t xml:space="preserve">Note: The term ‘calls offered’ refers to the number of calls received by the ECP after the recorded voice announcement (RVA). </w:t>
      </w:r>
    </w:p>
    <w:p w14:paraId="5776FC5E" w14:textId="77777777" w:rsidR="00BC12AE" w:rsidRPr="00FD7E86" w:rsidRDefault="00BC12AE" w:rsidP="000664F7">
      <w:pPr>
        <w:pStyle w:val="ACMANotes"/>
      </w:pPr>
      <w:r w:rsidRPr="00FD7E86">
        <w:t xml:space="preserve">The RVA gives people who have inadvertently or otherwise dialled Triple Zero the opportunity to hang up before being connected </w:t>
      </w:r>
      <w:r w:rsidRPr="00FD7E86">
        <w:br/>
        <w:t>to the ECP. Calls answered refers to the percentage of these calls that were answered.</w:t>
      </w:r>
    </w:p>
    <w:p w14:paraId="0ABC7519" w14:textId="77777777" w:rsidR="00E450B7" w:rsidRPr="00FD7E86" w:rsidRDefault="00BC12AE" w:rsidP="00E450B7">
      <w:pPr>
        <w:pStyle w:val="ACMANotes"/>
      </w:pPr>
      <w:r w:rsidRPr="00FD7E86">
        <w:t>Source: Emergency call person (Telstra).</w:t>
      </w:r>
    </w:p>
    <w:p w14:paraId="7AE4F67A" w14:textId="77777777" w:rsidR="008F28D5" w:rsidRPr="00FD7E86" w:rsidRDefault="008F28D5" w:rsidP="00E450B7">
      <w:pPr>
        <w:pStyle w:val="ACMASpaceaftertable"/>
      </w:pPr>
    </w:p>
    <w:p w14:paraId="3CD0A194" w14:textId="77777777" w:rsidR="00CF02AF" w:rsidRPr="00FD7E86" w:rsidRDefault="00CF02AF" w:rsidP="00DD750B">
      <w:pPr>
        <w:pStyle w:val="ACMAHeading2"/>
      </w:pPr>
      <w:bookmarkStart w:id="321" w:name="_Toc433790385"/>
      <w:bookmarkEnd w:id="296"/>
      <w:bookmarkEnd w:id="297"/>
      <w:bookmarkEnd w:id="298"/>
      <w:r w:rsidRPr="00FD7E86">
        <w:t>Precise mobile location for emergency service organisations</w:t>
      </w:r>
      <w:bookmarkEnd w:id="321"/>
    </w:p>
    <w:p w14:paraId="2AD37CF7" w14:textId="77777777" w:rsidR="00CF02AF" w:rsidRPr="00FD7E86" w:rsidRDefault="00CF02AF" w:rsidP="007C60E0">
      <w:r w:rsidRPr="00FD7E86">
        <w:t xml:space="preserve">The Emergency Call Service Determination requires a mobile carrier to provide the most precise information it has available about the location of a person using a mobile phone to make an emergency call. This information is provided by the mobile network owners on request by an ESO. During the reporting period, the mobile carriers responded to 10,199 requests from ESOs for </w:t>
      </w:r>
      <w:r w:rsidR="00F624AD" w:rsidRPr="00FD7E86">
        <w:t xml:space="preserve">a </w:t>
      </w:r>
      <w:r w:rsidRPr="00FD7E86">
        <w:t xml:space="preserve">precise mobile location. </w:t>
      </w:r>
    </w:p>
    <w:p w14:paraId="0E6DCD2D" w14:textId="77777777" w:rsidR="00CF02AF" w:rsidRPr="00FD7E86" w:rsidRDefault="00CF02AF" w:rsidP="007C60E0">
      <w:r w:rsidRPr="00FD7E86">
        <w:t xml:space="preserve">In October 2014, the mobile carriers introduced a new capability that allows ESOs to obtain access to the location of the specific cell tower or better location information during the Triple Zero call. In most cases, callers can provide their location but this is not always possible where a caller is unaware of their location or unable to pass on information because they are stressed, disoriented, or unfamiliar with the area. Improved mobile caller location assists emergency services in helping to locate callers and to ensure emergency assistance is provided to the caller as quickly as possible. </w:t>
      </w:r>
    </w:p>
    <w:p w14:paraId="2564E8BA" w14:textId="77777777" w:rsidR="00CF02AF" w:rsidRPr="00FD7E86" w:rsidRDefault="00CF02AF" w:rsidP="00314FB5">
      <w:pPr>
        <w:rPr>
          <w:b/>
        </w:rPr>
      </w:pPr>
      <w:r w:rsidRPr="00FD7E86">
        <w:t>The ACMA has facilitated this important public safety initiative, and recognises the significant contributions made by the mobile carriers and the ECP for Triple Zero</w:t>
      </w:r>
      <w:r w:rsidR="0083278B" w:rsidRPr="00FD7E86">
        <w:t xml:space="preserve"> in </w:t>
      </w:r>
      <w:r w:rsidRPr="00FD7E86">
        <w:t>ensur</w:t>
      </w:r>
      <w:r w:rsidR="0083278B" w:rsidRPr="00FD7E86">
        <w:t>ing</w:t>
      </w:r>
      <w:r w:rsidRPr="00FD7E86">
        <w:t xml:space="preserve"> its successful delivery. The next step being explored by industry is the extraction and automatic transfer of Global Positioning System (GPS) information from the emergency caller’s mobile handset, if available, for access by ESOs.</w:t>
      </w:r>
      <w:r w:rsidR="009F4EC3" w:rsidRPr="00FD7E86">
        <w:t xml:space="preserve"> </w:t>
      </w:r>
    </w:p>
    <w:p w14:paraId="2B40F5F2" w14:textId="77777777" w:rsidR="00CF02AF" w:rsidRPr="00FD7E86" w:rsidRDefault="00CF02AF" w:rsidP="00DD750B">
      <w:pPr>
        <w:pStyle w:val="ACMAHeading2"/>
      </w:pPr>
      <w:bookmarkStart w:id="322" w:name="_Toc433790386"/>
      <w:r w:rsidRPr="00FD7E86">
        <w:t>Enquiries and complaints about the Triple Zero service</w:t>
      </w:r>
      <w:bookmarkEnd w:id="322"/>
    </w:p>
    <w:p w14:paraId="76281E9A" w14:textId="77777777" w:rsidR="00CF02AF" w:rsidRPr="00FD7E86" w:rsidRDefault="00CF02AF" w:rsidP="007C60E0">
      <w:r w:rsidRPr="00FD7E86">
        <w:t xml:space="preserve">During the reporting period, the ACMA received three complaints and enquiries about the Triple Zero service. All of these related to the handling of calls by the ESOs (and not to Telstra as the ECP for Triple Zero and 112) and were referred to the relevant organisation for a response. No formal investigations were undertaken by the ACMA. </w:t>
      </w:r>
    </w:p>
    <w:p w14:paraId="7C2AE40A" w14:textId="77777777" w:rsidR="00CF02AF" w:rsidRPr="00FD7E86" w:rsidRDefault="005153D3" w:rsidP="00DD750B">
      <w:pPr>
        <w:pStyle w:val="ACMAHeading2"/>
      </w:pPr>
      <w:bookmarkStart w:id="323" w:name="_Toc433790387"/>
      <w:r w:rsidRPr="00FD7E86">
        <w:lastRenderedPageBreak/>
        <w:t>Emergency call service—NRS</w:t>
      </w:r>
      <w:bookmarkEnd w:id="323"/>
      <w:r w:rsidRPr="00FD7E86">
        <w:t xml:space="preserve"> </w:t>
      </w:r>
    </w:p>
    <w:p w14:paraId="147B5BA1" w14:textId="77777777" w:rsidR="00CF02AF" w:rsidRPr="00FD7E86" w:rsidRDefault="00CF02AF" w:rsidP="00314FB5">
      <w:r w:rsidRPr="00FD7E86" w:rsidDel="00D7079F">
        <w:t xml:space="preserve">The relay service provider for the National Relay Service (NRS) is specified as an ECP in the Emergency Call Persons Determination. </w:t>
      </w:r>
      <w:r w:rsidRPr="00FD7E86">
        <w:t xml:space="preserve">ACE is currently contracted by the Commonwealth as the NRS </w:t>
      </w:r>
      <w:r w:rsidRPr="00FD7E86" w:rsidDel="00D7079F">
        <w:t xml:space="preserve">relay service </w:t>
      </w:r>
      <w:r w:rsidRPr="00FD7E86">
        <w:t>provider and operates a text emergency service on the 106 number in this capacity. The 106 text emergency service is available for users with a teletypewriter (TTY). There were 123 genuine calls to ESOs via the 106 text emergency service in 2014–15, compared to 155 genuine calls in 2013–14 and 199 in 2012–13.</w:t>
      </w:r>
    </w:p>
    <w:p w14:paraId="5B76FD0A" w14:textId="77777777" w:rsidR="00CF02AF" w:rsidRPr="00FD7E86" w:rsidRDefault="00CF02AF" w:rsidP="00314FB5">
      <w:r w:rsidRPr="00FD7E86">
        <w:t xml:space="preserve">As shown in Figure 4.1, a significant number of genuine calls were also relayed by the NRS to ESOs via the Triple Zero emergency services number. In these circumstances, TTY users contacted the NRS via normal access numbers and requested the call be relayed to Triple Zero, rather than dialling the 106 text emergency service number from their TTY. Calls to Triple Zero can also be relayed through the NRS for its internet relay and Speak and Listen (speech-to-speech relay) callers, as these users are unable to access the 106 number through these services. </w:t>
      </w:r>
    </w:p>
    <w:p w14:paraId="7ED64265" w14:textId="77777777" w:rsidR="00CF02AF" w:rsidRPr="00FD7E86" w:rsidRDefault="00F624AD" w:rsidP="00314FB5">
      <w:r w:rsidRPr="00FD7E86">
        <w:t>A</w:t>
      </w:r>
      <w:r w:rsidR="00CF02AF" w:rsidRPr="00FD7E86">
        <w:t xml:space="preserve"> total of 332 calls </w:t>
      </w:r>
      <w:r w:rsidRPr="00FD7E86">
        <w:t xml:space="preserve">were </w:t>
      </w:r>
      <w:r w:rsidR="00CF02AF" w:rsidRPr="00FD7E86">
        <w:t>made to Triple Zero using SMS relay (web browser), video relay, and captioned relay in 2014–15</w:t>
      </w:r>
      <w:r w:rsidRPr="00FD7E86">
        <w:t>,</w:t>
      </w:r>
      <w:r w:rsidR="00CF02AF" w:rsidRPr="00FD7E86">
        <w:t xml:space="preserve"> compared to 206 calls made using these three services in 2013</w:t>
      </w:r>
      <w:r w:rsidR="00BC12AE" w:rsidRPr="00FD7E86">
        <w:t>–</w:t>
      </w:r>
      <w:r w:rsidR="00CF02AF" w:rsidRPr="00FD7E86">
        <w:t>14. This represents a 61 per cent increase in the use of this technology, with the use of the Captioned relay alone more than doubling in the year to June 2015.</w:t>
      </w:r>
    </w:p>
    <w:p w14:paraId="7CBE0DC1" w14:textId="77777777" w:rsidR="00CF02AF" w:rsidRPr="00FD7E86" w:rsidRDefault="00CF02AF" w:rsidP="00314FB5">
      <w:r w:rsidRPr="00FD7E86">
        <w:t xml:space="preserve">The NRS launched a new app in December 2014 allowing </w:t>
      </w:r>
      <w:r w:rsidR="00F624AD" w:rsidRPr="00FD7E86">
        <w:t>I</w:t>
      </w:r>
      <w:r w:rsidRPr="00FD7E86">
        <w:t>nternet relay and Speak and Listen users to make calls via the app rather than using an internet browser. The app also allows the caller to insert the location into the call using the GPS function of the device. There were 34 calls made via the app between December 2014 and June 2015.</w:t>
      </w:r>
    </w:p>
    <w:p w14:paraId="2222A910" w14:textId="77777777" w:rsidR="00DD750B" w:rsidRPr="00FD7E86" w:rsidRDefault="00CF02AF" w:rsidP="00314FB5">
      <w:r w:rsidRPr="00FD7E86">
        <w:t xml:space="preserve">A total of 660 genuine emergency calls were made via the NRS across all modes (SMS relay, Internet relay, Captioned relay, Video relay, Speak and Listen and TTY) in 2014–15, compared with 559 during 2013–14 and 475 calls made during 2012–13. </w:t>
      </w:r>
    </w:p>
    <w:p w14:paraId="26BC9FB5" w14:textId="77777777" w:rsidR="0051794C" w:rsidRPr="00FD7E86" w:rsidRDefault="0051794C" w:rsidP="00314FB5">
      <w:pPr>
        <w:pStyle w:val="ACMAFigureHeader"/>
        <w:keepNext/>
        <w:numPr>
          <w:ilvl w:val="0"/>
          <w:numId w:val="0"/>
        </w:numPr>
        <w:ind w:left="1021" w:hanging="1021"/>
      </w:pPr>
      <w:r w:rsidRPr="00FD7E86">
        <w:lastRenderedPageBreak/>
        <w:t>Figure 4.</w:t>
      </w:r>
      <w:fldSimple w:instr=" SEQ Figure \r 1\* ARABIC ">
        <w:r w:rsidR="007A7220">
          <w:rPr>
            <w:noProof/>
          </w:rPr>
          <w:t>1</w:t>
        </w:r>
      </w:fldSimple>
      <w:r w:rsidRPr="00FD7E86">
        <w:t xml:space="preserve"> Genuine emergency calls via the NRS</w:t>
      </w:r>
    </w:p>
    <w:p w14:paraId="2D47B4E0" w14:textId="77777777" w:rsidR="0051794C" w:rsidRPr="00FD7E86" w:rsidRDefault="006E72AA" w:rsidP="00C05F4C">
      <w:pPr>
        <w:pStyle w:val="ACMAFigureHeader"/>
        <w:numPr>
          <w:ilvl w:val="0"/>
          <w:numId w:val="0"/>
        </w:numPr>
        <w:spacing w:after="0"/>
        <w:ind w:left="1021" w:hanging="1021"/>
        <w:rPr>
          <w:szCs w:val="24"/>
        </w:rPr>
      </w:pPr>
      <w:r>
        <w:rPr>
          <w:noProof/>
          <w:szCs w:val="24"/>
        </w:rPr>
        <w:drawing>
          <wp:inline distT="0" distB="0" distL="0" distR="0" wp14:anchorId="0A9C002A" wp14:editId="16672302">
            <wp:extent cx="5939790" cy="4680585"/>
            <wp:effectExtent l="0" t="0" r="3810" b="0"/>
            <wp:docPr id="37" name="Picture 37" descr="A .csv file of Figure 4.1 is available on the landing page ‘Communications report 2014–15’, available from the ACMA website. " title="Figure 4.1 Genuine emergency calls via the N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Chapter 4_Figure 4.1.png"/>
                    <pic:cNvPicPr/>
                  </pic:nvPicPr>
                  <pic:blipFill>
                    <a:blip r:embed="rId115">
                      <a:extLst>
                        <a:ext uri="{28A0092B-C50C-407E-A947-70E740481C1C}">
                          <a14:useLocalDpi xmlns:a14="http://schemas.microsoft.com/office/drawing/2010/main" val="0"/>
                        </a:ext>
                      </a:extLst>
                    </a:blip>
                    <a:stretch>
                      <a:fillRect/>
                    </a:stretch>
                  </pic:blipFill>
                  <pic:spPr>
                    <a:xfrm>
                      <a:off x="0" y="0"/>
                      <a:ext cx="5939790" cy="4680585"/>
                    </a:xfrm>
                    <a:prstGeom prst="rect">
                      <a:avLst/>
                    </a:prstGeom>
                  </pic:spPr>
                </pic:pic>
              </a:graphicData>
            </a:graphic>
          </wp:inline>
        </w:drawing>
      </w:r>
    </w:p>
    <w:p w14:paraId="32F2D236" w14:textId="77777777" w:rsidR="000B57C9" w:rsidRPr="00FD7E86" w:rsidRDefault="000B57C9" w:rsidP="000664F7">
      <w:pPr>
        <w:pStyle w:val="ACMANotes"/>
      </w:pPr>
      <w:r w:rsidRPr="00FD7E86">
        <w:t>n/a=not available.</w:t>
      </w:r>
    </w:p>
    <w:p w14:paraId="28773D7B" w14:textId="77777777" w:rsidR="0051794C" w:rsidRPr="00FD7E86" w:rsidRDefault="0051794C" w:rsidP="000664F7">
      <w:pPr>
        <w:pStyle w:val="ACMANotes"/>
      </w:pPr>
      <w:r w:rsidRPr="00FD7E86">
        <w:t>*New service introduced in December 2014.</w:t>
      </w:r>
    </w:p>
    <w:p w14:paraId="017E65B0" w14:textId="77777777" w:rsidR="0051794C" w:rsidRPr="00FD7E86" w:rsidRDefault="0051794C" w:rsidP="000664F7">
      <w:pPr>
        <w:pStyle w:val="ACMANotes"/>
      </w:pPr>
      <w:r w:rsidRPr="00FD7E86">
        <w:rPr>
          <w:vertAlign w:val="superscript"/>
        </w:rPr>
        <w:t>†</w:t>
      </w:r>
      <w:r w:rsidRPr="00FD7E86">
        <w:t xml:space="preserve">New services introduced in 2013–14. </w:t>
      </w:r>
    </w:p>
    <w:p w14:paraId="690FC7C8" w14:textId="77777777" w:rsidR="0051794C" w:rsidRPr="00FD7E86" w:rsidRDefault="0051794C" w:rsidP="000664F7">
      <w:pPr>
        <w:pStyle w:val="ACMANotes"/>
      </w:pPr>
      <w:r w:rsidRPr="00FD7E86">
        <w:t xml:space="preserve">Base: Number of calls. </w:t>
      </w:r>
    </w:p>
    <w:p w14:paraId="1D70425D" w14:textId="77777777" w:rsidR="0051794C" w:rsidRPr="00FD7E86" w:rsidRDefault="0051794C" w:rsidP="000E4F20">
      <w:pPr>
        <w:pStyle w:val="ACMANotes"/>
      </w:pPr>
      <w:r w:rsidRPr="00FD7E86">
        <w:t>Source: NRS service provider (ACE).</w:t>
      </w:r>
    </w:p>
    <w:p w14:paraId="76AEAEA4" w14:textId="77777777" w:rsidR="007F370A" w:rsidRPr="00FD7E86" w:rsidRDefault="007F370A" w:rsidP="008724ED">
      <w:pPr>
        <w:pStyle w:val="ACMASpaceaftertable"/>
        <w:rPr>
          <w:i/>
          <w:sz w:val="16"/>
          <w:szCs w:val="16"/>
        </w:rPr>
      </w:pPr>
    </w:p>
    <w:p w14:paraId="266EC703" w14:textId="77777777" w:rsidR="00CF02AF" w:rsidRPr="00FD7E86" w:rsidRDefault="00CF02AF" w:rsidP="000B3AFF">
      <w:pPr>
        <w:pStyle w:val="ACMAHeading1"/>
      </w:pPr>
      <w:bookmarkStart w:id="324" w:name="_Toc371589020"/>
      <w:bookmarkStart w:id="325" w:name="_Toc373149082"/>
      <w:bookmarkStart w:id="326" w:name="_Toc399331762"/>
      <w:bookmarkStart w:id="327" w:name="_Toc399336943"/>
      <w:bookmarkStart w:id="328" w:name="_Toc402337544"/>
      <w:bookmarkStart w:id="329" w:name="_Toc433790388"/>
      <w:bookmarkStart w:id="330" w:name="_Toc399331763"/>
      <w:bookmarkStart w:id="331" w:name="_Toc399336944"/>
      <w:bookmarkStart w:id="332" w:name="_Toc402337545"/>
      <w:r w:rsidRPr="00FD7E86">
        <w:t>4.3</w:t>
      </w:r>
      <w:r w:rsidRPr="00FD7E86">
        <w:tab/>
      </w:r>
      <w:r w:rsidR="000B3AFF" w:rsidRPr="00FD7E86">
        <w:tab/>
      </w:r>
      <w:r w:rsidRPr="00FD7E86">
        <w:t>Supporting law enforcement and national security agencies</w:t>
      </w:r>
      <w:bookmarkEnd w:id="324"/>
      <w:bookmarkEnd w:id="325"/>
      <w:bookmarkEnd w:id="326"/>
      <w:bookmarkEnd w:id="327"/>
      <w:bookmarkEnd w:id="328"/>
      <w:bookmarkEnd w:id="329"/>
    </w:p>
    <w:p w14:paraId="02D57444" w14:textId="77777777" w:rsidR="00CF02AF" w:rsidRPr="00FD7E86" w:rsidRDefault="00CF02AF" w:rsidP="00314FB5">
      <w:pPr>
        <w:spacing w:after="80"/>
      </w:pPr>
      <w:r w:rsidRPr="00FD7E86">
        <w:t xml:space="preserve">The telecommunications industry, including internet service providers, is obliged to provide reasonably necessary assistance to law enforcement and national security agencies under section 313 of the </w:t>
      </w:r>
      <w:r w:rsidR="00F813A1" w:rsidRPr="00FD7E86">
        <w:t xml:space="preserve">Telecommunications </w:t>
      </w:r>
      <w:r w:rsidRPr="00FD7E86">
        <w:t>Act</w:t>
      </w:r>
      <w:r w:rsidRPr="00FD7E86">
        <w:rPr>
          <w:i/>
        </w:rPr>
        <w:t>.</w:t>
      </w:r>
      <w:r w:rsidRPr="00FD7E86">
        <w:t xml:space="preserve"> This assistance can take many forms, but most commonly involves providing information regarding consumers of telecommunications services and their communications for the purposes of:</w:t>
      </w:r>
    </w:p>
    <w:p w14:paraId="51DA14B1" w14:textId="77777777" w:rsidR="00CF02AF" w:rsidRPr="00FD7E86" w:rsidRDefault="00CF02AF" w:rsidP="00CF02AF">
      <w:pPr>
        <w:pStyle w:val="ListBullet"/>
        <w:tabs>
          <w:tab w:val="clear" w:pos="295"/>
          <w:tab w:val="num" w:pos="0"/>
        </w:tabs>
        <w:spacing w:line="240" w:lineRule="auto"/>
        <w:rPr>
          <w:rFonts w:cs="Arial"/>
        </w:rPr>
      </w:pPr>
      <w:r w:rsidRPr="00FD7E86">
        <w:rPr>
          <w:rFonts w:cs="Arial"/>
        </w:rPr>
        <w:t>enforcing the criminal law</w:t>
      </w:r>
    </w:p>
    <w:p w14:paraId="3658A8CA" w14:textId="77777777" w:rsidR="00CF02AF" w:rsidRPr="00FD7E86" w:rsidRDefault="00CF02AF" w:rsidP="00CF02AF">
      <w:pPr>
        <w:pStyle w:val="ListBullet"/>
        <w:tabs>
          <w:tab w:val="clear" w:pos="295"/>
          <w:tab w:val="num" w:pos="0"/>
        </w:tabs>
        <w:spacing w:line="240" w:lineRule="auto"/>
        <w:rPr>
          <w:rFonts w:cs="Arial"/>
        </w:rPr>
      </w:pPr>
      <w:r w:rsidRPr="00FD7E86">
        <w:rPr>
          <w:rFonts w:cs="Arial"/>
        </w:rPr>
        <w:t>enforcing laws that impose a pecuniary penalty</w:t>
      </w:r>
    </w:p>
    <w:p w14:paraId="025019BD" w14:textId="77777777" w:rsidR="00CF02AF" w:rsidRPr="00FD7E86" w:rsidRDefault="00CF02AF" w:rsidP="00CF02AF">
      <w:pPr>
        <w:pStyle w:val="ListBullet"/>
        <w:tabs>
          <w:tab w:val="clear" w:pos="295"/>
          <w:tab w:val="num" w:pos="0"/>
        </w:tabs>
        <w:spacing w:line="240" w:lineRule="auto"/>
        <w:rPr>
          <w:rFonts w:cs="Arial"/>
        </w:rPr>
      </w:pPr>
      <w:r w:rsidRPr="00FD7E86">
        <w:rPr>
          <w:rFonts w:cs="Arial"/>
        </w:rPr>
        <w:t>assisting the enforcement of the criminal laws in force in a foreign country</w:t>
      </w:r>
    </w:p>
    <w:p w14:paraId="55F81EA8" w14:textId="77777777" w:rsidR="00CF02AF" w:rsidRPr="00FD7E86" w:rsidRDefault="00CF02AF" w:rsidP="00CF02AF">
      <w:pPr>
        <w:pStyle w:val="ListBullet"/>
        <w:tabs>
          <w:tab w:val="clear" w:pos="295"/>
          <w:tab w:val="num" w:pos="0"/>
        </w:tabs>
        <w:spacing w:line="240" w:lineRule="auto"/>
        <w:rPr>
          <w:rFonts w:cs="Arial"/>
        </w:rPr>
      </w:pPr>
      <w:r w:rsidRPr="00FD7E86">
        <w:rPr>
          <w:rFonts w:cs="Arial"/>
        </w:rPr>
        <w:t>protecting the public revenue</w:t>
      </w:r>
    </w:p>
    <w:p w14:paraId="2ABCF950" w14:textId="77777777" w:rsidR="00CF02AF" w:rsidRPr="00FD7E86" w:rsidRDefault="00CF02AF" w:rsidP="000664F7">
      <w:pPr>
        <w:pStyle w:val="ListBulletLast"/>
      </w:pPr>
      <w:r w:rsidRPr="00FD7E86">
        <w:t>safeguarding national security.</w:t>
      </w:r>
    </w:p>
    <w:p w14:paraId="2EB53A38" w14:textId="77777777" w:rsidR="00CF02AF" w:rsidRPr="00FD7E86" w:rsidRDefault="00CF02AF" w:rsidP="00314FB5">
      <w:r w:rsidRPr="00FD7E86">
        <w:lastRenderedPageBreak/>
        <w:t xml:space="preserve">During the reporting period, the Attorney-General’s Department (AGD) did not refer any carriers or CSPs to the ACMA for enforcement action for refusing to provide an agency with such assistance. </w:t>
      </w:r>
    </w:p>
    <w:p w14:paraId="79874D1C" w14:textId="77777777" w:rsidR="00CF02AF" w:rsidRPr="00FD7E86" w:rsidRDefault="00CF02AF" w:rsidP="00314FB5">
      <w:r w:rsidRPr="00FD7E86">
        <w:t xml:space="preserve">On 1 June 2015, the House of Representatives’ Standing Committee on Infrastructure and Communications tabled a report on its </w:t>
      </w:r>
      <w:r w:rsidR="00C52811" w:rsidRPr="00FD7E86">
        <w:t>i</w:t>
      </w:r>
      <w:r w:rsidRPr="00FD7E86">
        <w:t xml:space="preserve">nquiry into the use of section 313 of the </w:t>
      </w:r>
      <w:r w:rsidR="00F813A1" w:rsidRPr="00FD7E86">
        <w:t xml:space="preserve">Telecommunications </w:t>
      </w:r>
      <w:r w:rsidRPr="00FD7E86">
        <w:t xml:space="preserve">Act by government agencies to disrupt illegal online services. The </w:t>
      </w:r>
      <w:r w:rsidR="00C52811" w:rsidRPr="00FD7E86">
        <w:t>c</w:t>
      </w:r>
      <w:r w:rsidRPr="00FD7E86">
        <w:t xml:space="preserve">ommittee recommended the adoption of guidelines for use by government agencies to improve transparency and accountability around the use of section 313 to disrupt access to illegal online services. The </w:t>
      </w:r>
      <w:r w:rsidR="00C52811" w:rsidRPr="00FD7E86">
        <w:t>c</w:t>
      </w:r>
      <w:r w:rsidRPr="00FD7E86">
        <w:t>ommittee also recommended that all agencies using section 313 have the necessary level of technical expertise to carry out such activity, or procedures for drawing on the expertise of other agencies.</w:t>
      </w:r>
    </w:p>
    <w:p w14:paraId="56A6120C" w14:textId="77777777" w:rsidR="00CF02AF" w:rsidRPr="00FD7E86" w:rsidRDefault="00CF02AF" w:rsidP="00314FB5">
      <w:r w:rsidRPr="00FD7E86">
        <w:t xml:space="preserve">The government is expected to respond to the </w:t>
      </w:r>
      <w:r w:rsidR="00C52811" w:rsidRPr="00FD7E86">
        <w:t>c</w:t>
      </w:r>
      <w:r w:rsidRPr="00FD7E86">
        <w:t xml:space="preserve">ommittee’s report during 2015–16. </w:t>
      </w:r>
    </w:p>
    <w:p w14:paraId="3C0F3F56" w14:textId="77777777" w:rsidR="00CF02AF" w:rsidRPr="00FD7E86" w:rsidRDefault="00CF02AF" w:rsidP="000664F7">
      <w:pPr>
        <w:pStyle w:val="ACMAHeading2"/>
      </w:pPr>
      <w:bookmarkStart w:id="333" w:name="_Toc433790389"/>
      <w:r w:rsidRPr="00FD7E86">
        <w:t>Disclosure of customer information</w:t>
      </w:r>
      <w:bookmarkEnd w:id="330"/>
      <w:bookmarkEnd w:id="331"/>
      <w:bookmarkEnd w:id="332"/>
      <w:bookmarkEnd w:id="333"/>
    </w:p>
    <w:p w14:paraId="2FFD8C14" w14:textId="77777777" w:rsidR="00CF02AF" w:rsidRPr="00FD7E86" w:rsidRDefault="00CF02AF" w:rsidP="00314FB5">
      <w:pPr>
        <w:spacing w:after="80"/>
      </w:pPr>
      <w:r w:rsidRPr="00FD7E86">
        <w:t xml:space="preserve">Customer information provided to telecommunications carriers, CSPs and telecommunications contractors is protected under Part 13 of the </w:t>
      </w:r>
      <w:r w:rsidR="00F813A1" w:rsidRPr="00FD7E86">
        <w:t xml:space="preserve">Telecommunications </w:t>
      </w:r>
      <w:r w:rsidRPr="00FD7E86">
        <w:t>Act. Carriers, CSPs and telecommunications contractors are prohibited from disclosing information to other parties except in certain limited and restricted circumstances. Those circumstances include:</w:t>
      </w:r>
    </w:p>
    <w:p w14:paraId="2CF399D5" w14:textId="77777777" w:rsidR="00CF02AF" w:rsidRPr="00FD7E86" w:rsidRDefault="00CF02AF" w:rsidP="00CF02AF">
      <w:pPr>
        <w:pStyle w:val="ListBullet"/>
      </w:pPr>
      <w:r w:rsidRPr="00FD7E86">
        <w:t>where it is required or authorised by a warrant or under law</w:t>
      </w:r>
    </w:p>
    <w:p w14:paraId="18614D8F" w14:textId="77777777" w:rsidR="00CF02AF" w:rsidRPr="00FD7E86" w:rsidRDefault="00CF02AF" w:rsidP="00CF02AF">
      <w:pPr>
        <w:pStyle w:val="ListBullet"/>
      </w:pPr>
      <w:r w:rsidRPr="00FD7E86">
        <w:t>disclosure to the ACMA, Australian Competition and Consumer Commission (ACCC), Telecommunications Industry Ombudsman (TIO) or the (former) Telecommunications Universal Service Management Agency (TUSMA)</w:t>
      </w:r>
      <w:r w:rsidR="00C52811" w:rsidRPr="00FD7E86">
        <w:t>,</w:t>
      </w:r>
      <w:r w:rsidRPr="00FD7E86">
        <w:t xml:space="preserve"> where the disclosure may assist those agencies to carry out their functions or powers, or in the case of the TIO, assist in the consideration of a complaint</w:t>
      </w:r>
    </w:p>
    <w:p w14:paraId="67E91DDF" w14:textId="77777777" w:rsidR="00CF02AF" w:rsidRPr="00FD7E86" w:rsidRDefault="00CF02AF" w:rsidP="00CF02AF">
      <w:pPr>
        <w:pStyle w:val="ListBullet"/>
      </w:pPr>
      <w:r w:rsidRPr="00FD7E86">
        <w:t>an imminent threat to a person’s life or health</w:t>
      </w:r>
    </w:p>
    <w:p w14:paraId="752BD351" w14:textId="77777777" w:rsidR="00CF02AF" w:rsidRPr="00FD7E86" w:rsidRDefault="00CF02AF" w:rsidP="00314FB5">
      <w:pPr>
        <w:pStyle w:val="ListBulletLast"/>
      </w:pPr>
      <w:r w:rsidRPr="00FD7E86">
        <w:t xml:space="preserve">satisfying the business needs </w:t>
      </w:r>
      <w:r w:rsidRPr="00314FB5">
        <w:t>of</w:t>
      </w:r>
      <w:r w:rsidRPr="00FD7E86">
        <w:t xml:space="preserve"> other carriers and CSPs</w:t>
      </w:r>
      <w:r w:rsidR="00C52811" w:rsidRPr="00FD7E86">
        <w:t>,</w:t>
      </w:r>
      <w:r w:rsidRPr="00FD7E86">
        <w:t xml:space="preserve"> where the customer is or was a customer of a carrier or CSP.</w:t>
      </w:r>
    </w:p>
    <w:p w14:paraId="2D56CC6E" w14:textId="77777777" w:rsidR="00CF02AF" w:rsidRPr="00FD7E86" w:rsidRDefault="00CF02AF" w:rsidP="00314FB5">
      <w:r w:rsidRPr="00FD7E86">
        <w:t xml:space="preserve">Carriers and CSPs are required to report to the ACMA on any disclosures that are authorised under either Part 13 of the </w:t>
      </w:r>
      <w:r w:rsidR="00F813A1" w:rsidRPr="00FD7E86">
        <w:t xml:space="preserve">Telecommunications </w:t>
      </w:r>
      <w:r w:rsidRPr="00FD7E86">
        <w:t xml:space="preserve">Act or Chapter 4 of the </w:t>
      </w:r>
      <w:r w:rsidRPr="00FD7E86">
        <w:rPr>
          <w:i/>
        </w:rPr>
        <w:t>Telecommunications (Interception and Access) Act 1979</w:t>
      </w:r>
      <w:r w:rsidRPr="00FD7E86">
        <w:t xml:space="preserve"> (the TIA Act).</w:t>
      </w:r>
    </w:p>
    <w:p w14:paraId="75ED5121" w14:textId="77777777" w:rsidR="00CF02AF" w:rsidRPr="00FD7E86" w:rsidRDefault="00CF02AF" w:rsidP="00314FB5">
      <w:r w:rsidRPr="00FD7E86">
        <w:t xml:space="preserve">During 2014–15, the number of disclosures, as reported to the ACMA under section 308 of the </w:t>
      </w:r>
      <w:r w:rsidR="00F813A1" w:rsidRPr="00FD7E86">
        <w:t xml:space="preserve">Telecommunications </w:t>
      </w:r>
      <w:r w:rsidRPr="00FD7E86">
        <w:t xml:space="preserve">Act, was 824,841, an increase of 76,767 (10.3 per cent) from 2013–14. Of these, </w:t>
      </w:r>
      <w:r w:rsidR="003212C4" w:rsidRPr="00FD7E86">
        <w:t>71</w:t>
      </w:r>
      <w:r w:rsidR="003212C4">
        <w:t> </w:t>
      </w:r>
      <w:r w:rsidRPr="00FD7E86">
        <w:t>per cent were covered by an authorisation in force to access existing information or documents for the enforcement of the criminal law under section 178 of the TIA Act</w:t>
      </w:r>
      <w:r w:rsidR="00812BA8" w:rsidRPr="00FD7E86">
        <w:t>,</w:t>
      </w:r>
      <w:r w:rsidRPr="00FD7E86">
        <w:t xml:space="preserve"> up from 16 per cent in the previous year. </w:t>
      </w:r>
    </w:p>
    <w:p w14:paraId="2C4E4F88" w14:textId="00B742F4" w:rsidR="00FF451F" w:rsidRDefault="00CF02AF" w:rsidP="00314FB5">
      <w:r w:rsidRPr="00FD7E86">
        <w:t xml:space="preserve">Carrier and CSP data also indicates that 21 per cent of all disclosures were made with the knowledge or consent of the person concerned under section 289 of the </w:t>
      </w:r>
      <w:r w:rsidR="00F813A1" w:rsidRPr="00FD7E86">
        <w:t xml:space="preserve">Telecommunications </w:t>
      </w:r>
      <w:r w:rsidRPr="00FD7E86">
        <w:t xml:space="preserve">Act. The number and reason for disclosures made during 2014–15, as reported to the ACMA under section 308 of the </w:t>
      </w:r>
      <w:r w:rsidR="00F813A1" w:rsidRPr="00FD7E86">
        <w:t xml:space="preserve">Telecommunications </w:t>
      </w:r>
      <w:r w:rsidRPr="00FD7E86">
        <w:t>Act, are in Table 4.2.</w:t>
      </w:r>
    </w:p>
    <w:p w14:paraId="534DE7A7" w14:textId="77777777" w:rsidR="00CE55ED" w:rsidRPr="00FD7E86" w:rsidRDefault="00CE55ED" w:rsidP="00D90392">
      <w:pPr>
        <w:pStyle w:val="Caption"/>
        <w:keepNext/>
        <w:keepLines/>
        <w:numPr>
          <w:ilvl w:val="0"/>
          <w:numId w:val="0"/>
        </w:numPr>
        <w:spacing w:after="160"/>
      </w:pPr>
      <w:r w:rsidRPr="00D90392">
        <w:lastRenderedPageBreak/>
        <w:t>Table 4.</w:t>
      </w:r>
      <w:fldSimple w:instr=" SEQ Table \* ARABIC ">
        <w:r w:rsidR="007A7220" w:rsidRPr="00D90392">
          <w:t>2</w:t>
        </w:r>
      </w:fldSimple>
      <w:r w:rsidRPr="00D90392">
        <w:t xml:space="preserve"> Disclosures</w:t>
      </w:r>
      <w:r w:rsidRPr="00FD7E86">
        <w:t xml:space="preserve"> </w:t>
      </w:r>
    </w:p>
    <w:tbl>
      <w:tblPr>
        <w:tblW w:w="9429" w:type="dxa"/>
        <w:tblBorders>
          <w:top w:val="single" w:sz="24" w:space="0" w:color="FFFFFF" w:themeColor="background1"/>
          <w:left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CellMar>
          <w:left w:w="85" w:type="dxa"/>
          <w:right w:w="0" w:type="dxa"/>
        </w:tblCellMar>
        <w:tblLook w:val="01E0" w:firstRow="1" w:lastRow="1" w:firstColumn="1" w:lastColumn="1" w:noHBand="0" w:noVBand="0"/>
        <w:tblCaption w:val="Table 4.2 Disclosures "/>
      </w:tblPr>
      <w:tblGrid>
        <w:gridCol w:w="1437"/>
        <w:gridCol w:w="4349"/>
        <w:gridCol w:w="1432"/>
        <w:gridCol w:w="1058"/>
        <w:gridCol w:w="1153"/>
      </w:tblGrid>
      <w:tr w:rsidR="00CE55ED" w:rsidRPr="00FD7E86" w14:paraId="05E80089" w14:textId="77777777" w:rsidTr="00D90392">
        <w:trPr>
          <w:trHeight w:val="397"/>
        </w:trPr>
        <w:tc>
          <w:tcPr>
            <w:tcW w:w="5786" w:type="dxa"/>
            <w:gridSpan w:val="2"/>
            <w:vMerge w:val="restart"/>
            <w:shd w:val="clear" w:color="auto" w:fill="00ADBB" w:themeFill="accent1"/>
            <w:tcMar>
              <w:top w:w="34" w:type="dxa"/>
              <w:left w:w="113" w:type="dxa"/>
            </w:tcMar>
          </w:tcPr>
          <w:p w14:paraId="6EBCC3F0" w14:textId="77777777" w:rsidR="00CE55ED" w:rsidRPr="00FD7E86" w:rsidRDefault="00CE55ED" w:rsidP="00D90392">
            <w:pPr>
              <w:pStyle w:val="TableHeading"/>
              <w:keepNext/>
              <w:keepLines/>
              <w:spacing w:after="60" w:line="240" w:lineRule="auto"/>
              <w:rPr>
                <w:rFonts w:cs="Arial"/>
                <w:color w:val="FFFFFF" w:themeColor="background1"/>
                <w:sz w:val="18"/>
                <w:szCs w:val="18"/>
              </w:rPr>
            </w:pPr>
            <w:r w:rsidRPr="00FD7E86">
              <w:rPr>
                <w:rFonts w:cs="Arial"/>
                <w:color w:val="FFFFFF" w:themeColor="background1"/>
                <w:sz w:val="18"/>
                <w:szCs w:val="18"/>
              </w:rPr>
              <w:t>Reason for disclosure</w:t>
            </w:r>
          </w:p>
        </w:tc>
        <w:tc>
          <w:tcPr>
            <w:tcW w:w="1432" w:type="dxa"/>
            <w:vMerge w:val="restart"/>
            <w:shd w:val="clear" w:color="auto" w:fill="00ADBB" w:themeFill="accent1"/>
          </w:tcPr>
          <w:p w14:paraId="5AB5B8F6" w14:textId="77777777" w:rsidR="00CE55ED" w:rsidRPr="00FD7E86" w:rsidRDefault="00CE55ED" w:rsidP="00D90392">
            <w:pPr>
              <w:pStyle w:val="TableHeading"/>
              <w:keepNext/>
              <w:keepLines/>
              <w:spacing w:after="60" w:line="240" w:lineRule="auto"/>
              <w:ind w:right="148"/>
              <w:jc w:val="right"/>
              <w:rPr>
                <w:rFonts w:cs="Arial"/>
                <w:color w:val="FFFFFF" w:themeColor="background1"/>
                <w:sz w:val="18"/>
                <w:szCs w:val="18"/>
              </w:rPr>
            </w:pPr>
            <w:r w:rsidRPr="00FD7E86">
              <w:rPr>
                <w:rFonts w:cs="Arial"/>
                <w:color w:val="FFFFFF" w:themeColor="background1"/>
                <w:sz w:val="18"/>
                <w:szCs w:val="18"/>
              </w:rPr>
              <w:t>(Sub)section</w:t>
            </w:r>
          </w:p>
        </w:tc>
        <w:tc>
          <w:tcPr>
            <w:tcW w:w="2211" w:type="dxa"/>
            <w:gridSpan w:val="2"/>
            <w:shd w:val="clear" w:color="auto" w:fill="00ADBB" w:themeFill="accent1"/>
          </w:tcPr>
          <w:p w14:paraId="08858911" w14:textId="77777777" w:rsidR="00CE55ED" w:rsidRPr="00FD7E86" w:rsidRDefault="00CE55ED" w:rsidP="00D90392">
            <w:pPr>
              <w:pStyle w:val="TableHeading"/>
              <w:keepNext/>
              <w:keepLines/>
              <w:spacing w:after="60" w:line="240" w:lineRule="auto"/>
              <w:ind w:right="120"/>
              <w:jc w:val="center"/>
              <w:rPr>
                <w:rFonts w:cs="Arial"/>
                <w:color w:val="FFFFFF" w:themeColor="background1"/>
                <w:sz w:val="18"/>
                <w:szCs w:val="18"/>
              </w:rPr>
            </w:pPr>
            <w:r w:rsidRPr="00FD7E86">
              <w:rPr>
                <w:rFonts w:cs="Arial"/>
                <w:color w:val="FFFFFF" w:themeColor="background1"/>
                <w:sz w:val="18"/>
                <w:szCs w:val="18"/>
              </w:rPr>
              <w:t>Number of disclosures</w:t>
            </w:r>
          </w:p>
        </w:tc>
      </w:tr>
      <w:tr w:rsidR="00CE55ED" w:rsidRPr="00FD7E86" w14:paraId="3B1C87C2" w14:textId="77777777" w:rsidTr="00D90392">
        <w:trPr>
          <w:trHeight w:val="397"/>
        </w:trPr>
        <w:tc>
          <w:tcPr>
            <w:tcW w:w="5786" w:type="dxa"/>
            <w:gridSpan w:val="2"/>
            <w:vMerge/>
            <w:tcBorders>
              <w:bottom w:val="single" w:sz="24" w:space="0" w:color="FFFFFF" w:themeColor="background1"/>
            </w:tcBorders>
            <w:shd w:val="clear" w:color="auto" w:fill="00ADBB" w:themeFill="accent1"/>
            <w:tcMar>
              <w:top w:w="34" w:type="dxa"/>
              <w:left w:w="113" w:type="dxa"/>
            </w:tcMar>
          </w:tcPr>
          <w:p w14:paraId="30693374" w14:textId="77777777" w:rsidR="00CE55ED" w:rsidRPr="00FD7E86" w:rsidRDefault="00CE55ED" w:rsidP="00D90392">
            <w:pPr>
              <w:pStyle w:val="TableHeading"/>
              <w:keepNext/>
              <w:keepLines/>
              <w:spacing w:after="60" w:line="240" w:lineRule="auto"/>
              <w:rPr>
                <w:rFonts w:cs="Arial"/>
                <w:color w:val="FFFFFF" w:themeColor="background1"/>
                <w:sz w:val="18"/>
                <w:szCs w:val="18"/>
              </w:rPr>
            </w:pPr>
          </w:p>
        </w:tc>
        <w:tc>
          <w:tcPr>
            <w:tcW w:w="1432" w:type="dxa"/>
            <w:vMerge/>
            <w:tcBorders>
              <w:bottom w:val="single" w:sz="24" w:space="0" w:color="FFFFFF" w:themeColor="background1"/>
            </w:tcBorders>
            <w:shd w:val="clear" w:color="auto" w:fill="00ADBB" w:themeFill="accent1"/>
          </w:tcPr>
          <w:p w14:paraId="4EE7BF02" w14:textId="77777777" w:rsidR="00CE55ED" w:rsidRPr="00FD7E86" w:rsidRDefault="00CE55ED" w:rsidP="00D90392">
            <w:pPr>
              <w:pStyle w:val="TableHeading"/>
              <w:keepNext/>
              <w:keepLines/>
              <w:spacing w:after="60" w:line="240" w:lineRule="auto"/>
              <w:ind w:right="148"/>
              <w:jc w:val="right"/>
              <w:rPr>
                <w:rFonts w:cs="Arial"/>
                <w:color w:val="FFFFFF" w:themeColor="background1"/>
                <w:sz w:val="18"/>
                <w:szCs w:val="18"/>
              </w:rPr>
            </w:pPr>
          </w:p>
        </w:tc>
        <w:tc>
          <w:tcPr>
            <w:tcW w:w="1058" w:type="dxa"/>
            <w:tcBorders>
              <w:bottom w:val="single" w:sz="24" w:space="0" w:color="FFFFFF" w:themeColor="background1"/>
            </w:tcBorders>
            <w:shd w:val="clear" w:color="auto" w:fill="00ADBB" w:themeFill="accent1"/>
          </w:tcPr>
          <w:p w14:paraId="2B978FB6" w14:textId="77777777" w:rsidR="00CE55ED" w:rsidRPr="00FD7E86" w:rsidRDefault="00CE55ED" w:rsidP="00D90392">
            <w:pPr>
              <w:pStyle w:val="TableHeading"/>
              <w:keepNext/>
              <w:keepLines/>
              <w:spacing w:after="60" w:line="240" w:lineRule="auto"/>
              <w:ind w:right="120"/>
              <w:jc w:val="right"/>
              <w:rPr>
                <w:rFonts w:cs="Arial"/>
                <w:color w:val="FFFFFF" w:themeColor="background1"/>
                <w:sz w:val="18"/>
                <w:szCs w:val="18"/>
              </w:rPr>
            </w:pPr>
            <w:r w:rsidRPr="00FD7E86">
              <w:rPr>
                <w:rFonts w:cs="Arial"/>
                <w:color w:val="FFFFFF" w:themeColor="background1"/>
                <w:sz w:val="18"/>
                <w:szCs w:val="18"/>
              </w:rPr>
              <w:t>2013–14</w:t>
            </w:r>
          </w:p>
        </w:tc>
        <w:tc>
          <w:tcPr>
            <w:tcW w:w="1153" w:type="dxa"/>
            <w:shd w:val="clear" w:color="auto" w:fill="00ADBB" w:themeFill="accent1"/>
          </w:tcPr>
          <w:p w14:paraId="707106BE" w14:textId="77777777" w:rsidR="00CE55ED" w:rsidRPr="00FD7E86" w:rsidRDefault="00CE55ED" w:rsidP="00D90392">
            <w:pPr>
              <w:pStyle w:val="TableHeading"/>
              <w:keepNext/>
              <w:keepLines/>
              <w:spacing w:after="60" w:line="240" w:lineRule="auto"/>
              <w:ind w:right="115"/>
              <w:jc w:val="right"/>
              <w:rPr>
                <w:rFonts w:cs="Arial"/>
                <w:color w:val="FFFFFF" w:themeColor="background1"/>
                <w:sz w:val="18"/>
                <w:szCs w:val="18"/>
              </w:rPr>
            </w:pPr>
            <w:r w:rsidRPr="00FD7E86">
              <w:rPr>
                <w:rFonts w:cs="Arial"/>
                <w:color w:val="FFFFFF" w:themeColor="background1"/>
                <w:sz w:val="18"/>
                <w:szCs w:val="18"/>
              </w:rPr>
              <w:t>2014–15</w:t>
            </w:r>
          </w:p>
        </w:tc>
      </w:tr>
      <w:tr w:rsidR="00CE55ED" w:rsidRPr="00FD7E86" w14:paraId="43F8705D" w14:textId="77777777" w:rsidTr="00D90392">
        <w:trPr>
          <w:trHeight w:val="397"/>
        </w:trPr>
        <w:tc>
          <w:tcPr>
            <w:tcW w:w="5786" w:type="dxa"/>
            <w:gridSpan w:val="2"/>
            <w:tcBorders>
              <w:bottom w:val="single" w:sz="24" w:space="0" w:color="FFFFFF" w:themeColor="background1"/>
              <w:right w:val="nil"/>
            </w:tcBorders>
            <w:shd w:val="clear" w:color="auto" w:fill="65CDD5"/>
            <w:tcMar>
              <w:left w:w="113" w:type="dxa"/>
            </w:tcMar>
            <w:vAlign w:val="center"/>
          </w:tcPr>
          <w:p w14:paraId="5090E422" w14:textId="77777777" w:rsidR="00CE55ED" w:rsidRPr="00C05F4C" w:rsidRDefault="00CE55ED" w:rsidP="00D90392">
            <w:pPr>
              <w:keepNext/>
              <w:keepLines/>
              <w:spacing w:after="60" w:line="240" w:lineRule="auto"/>
              <w:rPr>
                <w:rFonts w:cs="Arial"/>
                <w:b/>
                <w:sz w:val="18"/>
                <w:szCs w:val="18"/>
              </w:rPr>
            </w:pPr>
            <w:r w:rsidRPr="00C05F4C">
              <w:rPr>
                <w:rFonts w:cs="Arial"/>
                <w:b/>
                <w:sz w:val="18"/>
                <w:szCs w:val="18"/>
              </w:rPr>
              <w:t xml:space="preserve">Under Part 13 of the </w:t>
            </w:r>
            <w:r w:rsidRPr="00C05F4C">
              <w:rPr>
                <w:rFonts w:cs="Arial"/>
                <w:b/>
                <w:i/>
                <w:sz w:val="18"/>
                <w:szCs w:val="18"/>
              </w:rPr>
              <w:t>Telecommunications Act 1997</w:t>
            </w:r>
          </w:p>
        </w:tc>
        <w:tc>
          <w:tcPr>
            <w:tcW w:w="1432" w:type="dxa"/>
            <w:tcBorders>
              <w:left w:val="nil"/>
              <w:bottom w:val="single" w:sz="24" w:space="0" w:color="FFFFFF" w:themeColor="background1"/>
              <w:right w:val="nil"/>
            </w:tcBorders>
            <w:shd w:val="clear" w:color="auto" w:fill="65CDD5"/>
            <w:vAlign w:val="center"/>
          </w:tcPr>
          <w:p w14:paraId="618CD134" w14:textId="77777777" w:rsidR="00CE55ED" w:rsidRPr="00FD7E86" w:rsidRDefault="00CE55ED" w:rsidP="00D90392">
            <w:pPr>
              <w:keepNext/>
              <w:keepLines/>
              <w:spacing w:after="60" w:line="240" w:lineRule="auto"/>
              <w:ind w:right="148"/>
              <w:jc w:val="right"/>
              <w:rPr>
                <w:rFonts w:cs="Arial"/>
                <w:color w:val="FFFFFF" w:themeColor="background1"/>
                <w:sz w:val="18"/>
                <w:szCs w:val="18"/>
              </w:rPr>
            </w:pPr>
          </w:p>
        </w:tc>
        <w:tc>
          <w:tcPr>
            <w:tcW w:w="1058" w:type="dxa"/>
            <w:tcBorders>
              <w:left w:val="nil"/>
              <w:bottom w:val="single" w:sz="24" w:space="0" w:color="FFFFFF" w:themeColor="background1"/>
              <w:right w:val="nil"/>
            </w:tcBorders>
            <w:shd w:val="clear" w:color="auto" w:fill="65CDD5"/>
          </w:tcPr>
          <w:p w14:paraId="7242A475" w14:textId="77777777" w:rsidR="00CE55ED" w:rsidRPr="00FD7E86" w:rsidRDefault="00CE55ED" w:rsidP="00D90392">
            <w:pPr>
              <w:keepNext/>
              <w:keepLines/>
              <w:spacing w:after="60" w:line="240" w:lineRule="auto"/>
              <w:ind w:right="120"/>
              <w:jc w:val="right"/>
              <w:rPr>
                <w:rFonts w:cs="Arial"/>
                <w:color w:val="FFFFFF" w:themeColor="background1"/>
                <w:sz w:val="18"/>
                <w:szCs w:val="18"/>
              </w:rPr>
            </w:pPr>
          </w:p>
        </w:tc>
        <w:tc>
          <w:tcPr>
            <w:tcW w:w="1153" w:type="dxa"/>
            <w:tcBorders>
              <w:left w:val="nil"/>
            </w:tcBorders>
            <w:shd w:val="clear" w:color="auto" w:fill="65CDD5"/>
          </w:tcPr>
          <w:p w14:paraId="01AC2447" w14:textId="77777777" w:rsidR="00CE55ED" w:rsidRPr="00FD7E86" w:rsidRDefault="00CE55ED" w:rsidP="00D90392">
            <w:pPr>
              <w:keepNext/>
              <w:keepLines/>
              <w:spacing w:after="60" w:line="240" w:lineRule="auto"/>
              <w:ind w:right="120"/>
              <w:jc w:val="right"/>
              <w:rPr>
                <w:rFonts w:cs="Arial"/>
                <w:color w:val="FFFFFF" w:themeColor="background1"/>
                <w:sz w:val="18"/>
                <w:szCs w:val="18"/>
              </w:rPr>
            </w:pPr>
          </w:p>
        </w:tc>
      </w:tr>
      <w:tr w:rsidR="00CE55ED" w:rsidRPr="00FD7E86" w14:paraId="56B1E3C5" w14:textId="77777777" w:rsidTr="00D90392">
        <w:trPr>
          <w:trHeight w:val="397"/>
        </w:trPr>
        <w:tc>
          <w:tcPr>
            <w:tcW w:w="5786" w:type="dxa"/>
            <w:gridSpan w:val="2"/>
            <w:tcBorders>
              <w:top w:val="single" w:sz="24" w:space="0" w:color="FFFFFF" w:themeColor="background1"/>
            </w:tcBorders>
            <w:shd w:val="clear" w:color="auto" w:fill="65CDD5" w:themeFill="accent2"/>
            <w:tcMar>
              <w:left w:w="113" w:type="dxa"/>
            </w:tcMar>
            <w:vAlign w:val="center"/>
          </w:tcPr>
          <w:p w14:paraId="2CFB7EF3"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Authorised by or under law</w:t>
            </w:r>
          </w:p>
        </w:tc>
        <w:tc>
          <w:tcPr>
            <w:tcW w:w="1432" w:type="dxa"/>
            <w:tcBorders>
              <w:top w:val="single" w:sz="24" w:space="0" w:color="FFFFFF" w:themeColor="background1"/>
            </w:tcBorders>
            <w:shd w:val="clear" w:color="auto" w:fill="E9FBFB"/>
            <w:vAlign w:val="center"/>
          </w:tcPr>
          <w:p w14:paraId="4741EE9E"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280</w:t>
            </w:r>
          </w:p>
        </w:tc>
        <w:tc>
          <w:tcPr>
            <w:tcW w:w="1058" w:type="dxa"/>
            <w:tcBorders>
              <w:top w:val="single" w:sz="24" w:space="0" w:color="FFFFFF" w:themeColor="background1"/>
            </w:tcBorders>
            <w:shd w:val="clear" w:color="auto" w:fill="E9FBFB"/>
            <w:vAlign w:val="center"/>
          </w:tcPr>
          <w:p w14:paraId="476C0208"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11,526</w:t>
            </w:r>
          </w:p>
        </w:tc>
        <w:tc>
          <w:tcPr>
            <w:tcW w:w="1153" w:type="dxa"/>
            <w:shd w:val="clear" w:color="auto" w:fill="E9FBFB"/>
            <w:vAlign w:val="center"/>
          </w:tcPr>
          <w:p w14:paraId="1596D68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13,106</w:t>
            </w:r>
          </w:p>
        </w:tc>
      </w:tr>
      <w:tr w:rsidR="00CE55ED" w:rsidRPr="00FD7E86" w14:paraId="32163DA4" w14:textId="77777777" w:rsidTr="00D90392">
        <w:trPr>
          <w:trHeight w:val="397"/>
        </w:trPr>
        <w:tc>
          <w:tcPr>
            <w:tcW w:w="5786" w:type="dxa"/>
            <w:gridSpan w:val="2"/>
            <w:shd w:val="clear" w:color="auto" w:fill="65CDD5" w:themeFill="accent2"/>
            <w:tcMar>
              <w:left w:w="113" w:type="dxa"/>
            </w:tcMar>
            <w:vAlign w:val="center"/>
          </w:tcPr>
          <w:p w14:paraId="017BE2C6"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Made as a witness under summons</w:t>
            </w:r>
          </w:p>
        </w:tc>
        <w:tc>
          <w:tcPr>
            <w:tcW w:w="1432" w:type="dxa"/>
            <w:shd w:val="clear" w:color="auto" w:fill="E9FBFB"/>
            <w:vAlign w:val="center"/>
          </w:tcPr>
          <w:p w14:paraId="08B7701E"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281</w:t>
            </w:r>
          </w:p>
        </w:tc>
        <w:tc>
          <w:tcPr>
            <w:tcW w:w="1058" w:type="dxa"/>
            <w:shd w:val="clear" w:color="auto" w:fill="E9FBFB"/>
            <w:vAlign w:val="center"/>
          </w:tcPr>
          <w:p w14:paraId="0054EC7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553</w:t>
            </w:r>
          </w:p>
        </w:tc>
        <w:tc>
          <w:tcPr>
            <w:tcW w:w="1153" w:type="dxa"/>
            <w:shd w:val="clear" w:color="auto" w:fill="E9FBFB"/>
            <w:vAlign w:val="center"/>
          </w:tcPr>
          <w:p w14:paraId="55016897"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484</w:t>
            </w:r>
          </w:p>
        </w:tc>
      </w:tr>
      <w:tr w:rsidR="00CE55ED" w:rsidRPr="00FD7E86" w14:paraId="7A48E2C5" w14:textId="77777777" w:rsidTr="00D90392">
        <w:trPr>
          <w:trHeight w:val="397"/>
        </w:trPr>
        <w:tc>
          <w:tcPr>
            <w:tcW w:w="5786" w:type="dxa"/>
            <w:gridSpan w:val="2"/>
            <w:shd w:val="clear" w:color="auto" w:fill="65CDD5" w:themeFill="accent2"/>
            <w:tcMar>
              <w:left w:w="113" w:type="dxa"/>
            </w:tcMar>
            <w:vAlign w:val="center"/>
          </w:tcPr>
          <w:p w14:paraId="1A477F6B"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To assist the ACMA</w:t>
            </w:r>
          </w:p>
        </w:tc>
        <w:tc>
          <w:tcPr>
            <w:tcW w:w="1432" w:type="dxa"/>
            <w:shd w:val="clear" w:color="auto" w:fill="E9FBFB"/>
            <w:vAlign w:val="center"/>
          </w:tcPr>
          <w:p w14:paraId="43EFE03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284(1)</w:t>
            </w:r>
          </w:p>
        </w:tc>
        <w:tc>
          <w:tcPr>
            <w:tcW w:w="1058" w:type="dxa"/>
            <w:shd w:val="clear" w:color="auto" w:fill="E9FBFB"/>
            <w:vAlign w:val="center"/>
          </w:tcPr>
          <w:p w14:paraId="647AA97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896</w:t>
            </w:r>
          </w:p>
        </w:tc>
        <w:tc>
          <w:tcPr>
            <w:tcW w:w="1153" w:type="dxa"/>
            <w:shd w:val="clear" w:color="auto" w:fill="E9FBFB"/>
            <w:vAlign w:val="center"/>
          </w:tcPr>
          <w:p w14:paraId="50C39571"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1,268</w:t>
            </w:r>
          </w:p>
        </w:tc>
      </w:tr>
      <w:tr w:rsidR="00CE55ED" w:rsidRPr="00FD7E86" w14:paraId="20F16940" w14:textId="77777777" w:rsidTr="00D90392">
        <w:trPr>
          <w:trHeight w:val="397"/>
        </w:trPr>
        <w:tc>
          <w:tcPr>
            <w:tcW w:w="5786" w:type="dxa"/>
            <w:gridSpan w:val="2"/>
            <w:shd w:val="clear" w:color="auto" w:fill="65CDD5" w:themeFill="accent2"/>
            <w:tcMar>
              <w:left w:w="113" w:type="dxa"/>
            </w:tcMar>
            <w:vAlign w:val="center"/>
          </w:tcPr>
          <w:p w14:paraId="59308DC9"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To assist the ACCC</w:t>
            </w:r>
          </w:p>
        </w:tc>
        <w:tc>
          <w:tcPr>
            <w:tcW w:w="1432" w:type="dxa"/>
            <w:shd w:val="clear" w:color="auto" w:fill="E9FBFB"/>
            <w:vAlign w:val="center"/>
          </w:tcPr>
          <w:p w14:paraId="36BC395A"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284(2)</w:t>
            </w:r>
          </w:p>
        </w:tc>
        <w:tc>
          <w:tcPr>
            <w:tcW w:w="1058" w:type="dxa"/>
            <w:shd w:val="clear" w:color="auto" w:fill="E9FBFB"/>
            <w:vAlign w:val="center"/>
          </w:tcPr>
          <w:p w14:paraId="6DF109A9"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12</w:t>
            </w:r>
          </w:p>
        </w:tc>
        <w:tc>
          <w:tcPr>
            <w:tcW w:w="1153" w:type="dxa"/>
            <w:shd w:val="clear" w:color="auto" w:fill="E9FBFB"/>
            <w:vAlign w:val="center"/>
          </w:tcPr>
          <w:p w14:paraId="530C7BAC"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11</w:t>
            </w:r>
          </w:p>
        </w:tc>
      </w:tr>
      <w:tr w:rsidR="00CE55ED" w:rsidRPr="00FD7E86" w14:paraId="6AA3C678" w14:textId="77777777" w:rsidTr="00D90392">
        <w:trPr>
          <w:trHeight w:val="397"/>
        </w:trPr>
        <w:tc>
          <w:tcPr>
            <w:tcW w:w="5786" w:type="dxa"/>
            <w:gridSpan w:val="2"/>
            <w:shd w:val="clear" w:color="auto" w:fill="65CDD5" w:themeFill="accent2"/>
            <w:tcMar>
              <w:left w:w="113" w:type="dxa"/>
            </w:tcMar>
            <w:vAlign w:val="center"/>
          </w:tcPr>
          <w:p w14:paraId="685F8813"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To assist the TIO</w:t>
            </w:r>
          </w:p>
        </w:tc>
        <w:tc>
          <w:tcPr>
            <w:tcW w:w="1432" w:type="dxa"/>
            <w:shd w:val="clear" w:color="auto" w:fill="E9FBFB"/>
            <w:vAlign w:val="center"/>
          </w:tcPr>
          <w:p w14:paraId="33F43A36"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284(3)</w:t>
            </w:r>
          </w:p>
        </w:tc>
        <w:tc>
          <w:tcPr>
            <w:tcW w:w="1058" w:type="dxa"/>
            <w:shd w:val="clear" w:color="auto" w:fill="E9FBFB"/>
            <w:vAlign w:val="center"/>
          </w:tcPr>
          <w:p w14:paraId="3B6A0661"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10,785</w:t>
            </w:r>
          </w:p>
        </w:tc>
        <w:tc>
          <w:tcPr>
            <w:tcW w:w="1153" w:type="dxa"/>
            <w:shd w:val="clear" w:color="auto" w:fill="E9FBFB"/>
            <w:vAlign w:val="center"/>
          </w:tcPr>
          <w:p w14:paraId="6D838C21"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8,749</w:t>
            </w:r>
          </w:p>
        </w:tc>
      </w:tr>
      <w:tr w:rsidR="00CE55ED" w:rsidRPr="00FD7E86" w14:paraId="5799C8E0" w14:textId="77777777" w:rsidTr="00D90392">
        <w:trPr>
          <w:trHeight w:val="397"/>
        </w:trPr>
        <w:tc>
          <w:tcPr>
            <w:tcW w:w="5786" w:type="dxa"/>
            <w:gridSpan w:val="2"/>
            <w:shd w:val="clear" w:color="auto" w:fill="65CDD5" w:themeFill="accent2"/>
            <w:tcMar>
              <w:left w:w="113" w:type="dxa"/>
            </w:tcMar>
            <w:vAlign w:val="center"/>
          </w:tcPr>
          <w:p w14:paraId="2801ECCC"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To assist the TUSMA</w:t>
            </w:r>
          </w:p>
        </w:tc>
        <w:tc>
          <w:tcPr>
            <w:tcW w:w="1432" w:type="dxa"/>
            <w:shd w:val="clear" w:color="auto" w:fill="E9FBFB"/>
            <w:vAlign w:val="center"/>
          </w:tcPr>
          <w:p w14:paraId="6CE6039B"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284(4)</w:t>
            </w:r>
          </w:p>
        </w:tc>
        <w:tc>
          <w:tcPr>
            <w:tcW w:w="1058" w:type="dxa"/>
            <w:shd w:val="clear" w:color="auto" w:fill="E9FBFB"/>
            <w:vAlign w:val="center"/>
          </w:tcPr>
          <w:p w14:paraId="4F2545AC"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0</w:t>
            </w:r>
          </w:p>
        </w:tc>
        <w:tc>
          <w:tcPr>
            <w:tcW w:w="1153" w:type="dxa"/>
            <w:shd w:val="clear" w:color="auto" w:fill="E9FBFB"/>
            <w:vAlign w:val="center"/>
          </w:tcPr>
          <w:p w14:paraId="63EEB4C5"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0</w:t>
            </w:r>
          </w:p>
        </w:tc>
      </w:tr>
      <w:tr w:rsidR="00CE55ED" w:rsidRPr="00FD7E86" w14:paraId="400F5075" w14:textId="77777777" w:rsidTr="00D90392">
        <w:trPr>
          <w:trHeight w:val="397"/>
        </w:trPr>
        <w:tc>
          <w:tcPr>
            <w:tcW w:w="5786" w:type="dxa"/>
            <w:gridSpan w:val="2"/>
            <w:shd w:val="clear" w:color="auto" w:fill="65CDD5" w:themeFill="accent2"/>
            <w:tcMar>
              <w:left w:w="113" w:type="dxa"/>
            </w:tcMar>
            <w:vAlign w:val="center"/>
          </w:tcPr>
          <w:p w14:paraId="41BC1503"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Calls to emergency service number</w:t>
            </w:r>
          </w:p>
        </w:tc>
        <w:tc>
          <w:tcPr>
            <w:tcW w:w="1432" w:type="dxa"/>
            <w:shd w:val="clear" w:color="auto" w:fill="E9FBFB"/>
            <w:vAlign w:val="center"/>
          </w:tcPr>
          <w:p w14:paraId="677EF38C"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286</w:t>
            </w:r>
          </w:p>
        </w:tc>
        <w:tc>
          <w:tcPr>
            <w:tcW w:w="1058" w:type="dxa"/>
            <w:shd w:val="clear" w:color="auto" w:fill="E9FBFB"/>
            <w:vAlign w:val="center"/>
          </w:tcPr>
          <w:p w14:paraId="0C522B70"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8,422</w:t>
            </w:r>
          </w:p>
        </w:tc>
        <w:tc>
          <w:tcPr>
            <w:tcW w:w="1153" w:type="dxa"/>
            <w:shd w:val="clear" w:color="auto" w:fill="E9FBFB"/>
            <w:vAlign w:val="center"/>
          </w:tcPr>
          <w:p w14:paraId="4759188A"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10,073</w:t>
            </w:r>
          </w:p>
        </w:tc>
      </w:tr>
      <w:tr w:rsidR="00CE55ED" w:rsidRPr="00FD7E86" w14:paraId="4A9489F1" w14:textId="77777777" w:rsidTr="00D90392">
        <w:trPr>
          <w:trHeight w:val="397"/>
        </w:trPr>
        <w:tc>
          <w:tcPr>
            <w:tcW w:w="5786" w:type="dxa"/>
            <w:gridSpan w:val="2"/>
            <w:shd w:val="clear" w:color="auto" w:fill="65CDD5" w:themeFill="accent2"/>
            <w:tcMar>
              <w:left w:w="113" w:type="dxa"/>
            </w:tcMar>
            <w:vAlign w:val="center"/>
          </w:tcPr>
          <w:p w14:paraId="268E68AE"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To avert a threat to a person’s life or health</w:t>
            </w:r>
          </w:p>
        </w:tc>
        <w:tc>
          <w:tcPr>
            <w:tcW w:w="1432" w:type="dxa"/>
            <w:shd w:val="clear" w:color="auto" w:fill="E9FBFB"/>
            <w:vAlign w:val="center"/>
          </w:tcPr>
          <w:p w14:paraId="40529C5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287</w:t>
            </w:r>
          </w:p>
        </w:tc>
        <w:tc>
          <w:tcPr>
            <w:tcW w:w="1058" w:type="dxa"/>
            <w:shd w:val="clear" w:color="auto" w:fill="E9FBFB"/>
            <w:vAlign w:val="center"/>
          </w:tcPr>
          <w:p w14:paraId="3C43F01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12,453</w:t>
            </w:r>
          </w:p>
        </w:tc>
        <w:tc>
          <w:tcPr>
            <w:tcW w:w="1153" w:type="dxa"/>
            <w:shd w:val="clear" w:color="auto" w:fill="E9FBFB"/>
            <w:vAlign w:val="center"/>
          </w:tcPr>
          <w:p w14:paraId="155DCD2A"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14,500</w:t>
            </w:r>
          </w:p>
        </w:tc>
      </w:tr>
      <w:tr w:rsidR="00CE55ED" w:rsidRPr="00FD7E86" w14:paraId="47966051" w14:textId="77777777" w:rsidTr="00D90392">
        <w:trPr>
          <w:trHeight w:val="397"/>
        </w:trPr>
        <w:tc>
          <w:tcPr>
            <w:tcW w:w="5786" w:type="dxa"/>
            <w:gridSpan w:val="2"/>
            <w:shd w:val="clear" w:color="auto" w:fill="65CDD5" w:themeFill="accent2"/>
            <w:tcMar>
              <w:left w:w="113" w:type="dxa"/>
            </w:tcMar>
            <w:vAlign w:val="center"/>
          </w:tcPr>
          <w:p w14:paraId="3F7CB98B"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Communications for maritime purposes</w:t>
            </w:r>
          </w:p>
        </w:tc>
        <w:tc>
          <w:tcPr>
            <w:tcW w:w="1432" w:type="dxa"/>
            <w:shd w:val="clear" w:color="auto" w:fill="E9FBFB"/>
            <w:vAlign w:val="center"/>
          </w:tcPr>
          <w:p w14:paraId="2EE6DEEA"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288</w:t>
            </w:r>
          </w:p>
        </w:tc>
        <w:tc>
          <w:tcPr>
            <w:tcW w:w="1058" w:type="dxa"/>
            <w:shd w:val="clear" w:color="auto" w:fill="E9FBFB"/>
            <w:vAlign w:val="center"/>
          </w:tcPr>
          <w:p w14:paraId="6A02938B"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0</w:t>
            </w:r>
          </w:p>
        </w:tc>
        <w:tc>
          <w:tcPr>
            <w:tcW w:w="1153" w:type="dxa"/>
            <w:shd w:val="clear" w:color="auto" w:fill="E9FBFB"/>
            <w:vAlign w:val="center"/>
          </w:tcPr>
          <w:p w14:paraId="7FE321D8"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0</w:t>
            </w:r>
          </w:p>
        </w:tc>
      </w:tr>
      <w:tr w:rsidR="00CE55ED" w:rsidRPr="00FD7E86" w14:paraId="192E45CE" w14:textId="77777777" w:rsidTr="00D90392">
        <w:trPr>
          <w:trHeight w:val="397"/>
        </w:trPr>
        <w:tc>
          <w:tcPr>
            <w:tcW w:w="5786" w:type="dxa"/>
            <w:gridSpan w:val="2"/>
            <w:shd w:val="clear" w:color="auto" w:fill="65CDD5" w:themeFill="accent2"/>
            <w:tcMar>
              <w:left w:w="113" w:type="dxa"/>
            </w:tcMar>
            <w:vAlign w:val="center"/>
          </w:tcPr>
          <w:p w14:paraId="6EF9DF36"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With the knowledge or consent of the person concerned</w:t>
            </w:r>
          </w:p>
        </w:tc>
        <w:tc>
          <w:tcPr>
            <w:tcW w:w="1432" w:type="dxa"/>
            <w:shd w:val="clear" w:color="auto" w:fill="E9FBFB"/>
            <w:vAlign w:val="center"/>
          </w:tcPr>
          <w:p w14:paraId="02F50804"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289</w:t>
            </w:r>
          </w:p>
        </w:tc>
        <w:tc>
          <w:tcPr>
            <w:tcW w:w="1058" w:type="dxa"/>
            <w:shd w:val="clear" w:color="auto" w:fill="E9FBFB"/>
            <w:vAlign w:val="center"/>
          </w:tcPr>
          <w:p w14:paraId="0D413C6D"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120,357</w:t>
            </w:r>
          </w:p>
        </w:tc>
        <w:tc>
          <w:tcPr>
            <w:tcW w:w="1153" w:type="dxa"/>
            <w:shd w:val="clear" w:color="auto" w:fill="E9FBFB"/>
            <w:vAlign w:val="center"/>
          </w:tcPr>
          <w:p w14:paraId="1AB7D335"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171,926</w:t>
            </w:r>
          </w:p>
        </w:tc>
      </w:tr>
      <w:tr w:rsidR="00CE55ED" w:rsidRPr="00FD7E86" w14:paraId="0126A225" w14:textId="77777777" w:rsidTr="00D90392">
        <w:trPr>
          <w:trHeight w:val="397"/>
        </w:trPr>
        <w:tc>
          <w:tcPr>
            <w:tcW w:w="5786" w:type="dxa"/>
            <w:gridSpan w:val="2"/>
            <w:shd w:val="clear" w:color="auto" w:fill="65CDD5" w:themeFill="accent2"/>
            <w:tcMar>
              <w:left w:w="113" w:type="dxa"/>
            </w:tcMar>
            <w:vAlign w:val="center"/>
          </w:tcPr>
          <w:p w14:paraId="1F38A4DA"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In circumstances prescribed in the Telecommunications Regulations 2001</w:t>
            </w:r>
          </w:p>
        </w:tc>
        <w:tc>
          <w:tcPr>
            <w:tcW w:w="1432" w:type="dxa"/>
            <w:shd w:val="clear" w:color="auto" w:fill="E9FBFB"/>
            <w:vAlign w:val="center"/>
          </w:tcPr>
          <w:p w14:paraId="5B18F315"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292</w:t>
            </w:r>
          </w:p>
        </w:tc>
        <w:tc>
          <w:tcPr>
            <w:tcW w:w="1058" w:type="dxa"/>
            <w:shd w:val="clear" w:color="auto" w:fill="E9FBFB"/>
            <w:vAlign w:val="center"/>
          </w:tcPr>
          <w:p w14:paraId="67325171"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w:t>
            </w:r>
          </w:p>
        </w:tc>
        <w:tc>
          <w:tcPr>
            <w:tcW w:w="1153" w:type="dxa"/>
            <w:shd w:val="clear" w:color="auto" w:fill="E9FBFB"/>
            <w:vAlign w:val="center"/>
          </w:tcPr>
          <w:p w14:paraId="106B5849"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0</w:t>
            </w:r>
          </w:p>
        </w:tc>
      </w:tr>
      <w:tr w:rsidR="00CE55ED" w:rsidRPr="00FD7E86" w14:paraId="27D53B8D" w14:textId="77777777" w:rsidTr="00D90392">
        <w:trPr>
          <w:trHeight w:val="397"/>
        </w:trPr>
        <w:tc>
          <w:tcPr>
            <w:tcW w:w="5786" w:type="dxa"/>
            <w:gridSpan w:val="2"/>
            <w:shd w:val="clear" w:color="auto" w:fill="65CDD5" w:themeFill="accent2"/>
            <w:tcMar>
              <w:left w:w="113" w:type="dxa"/>
            </w:tcMar>
            <w:vAlign w:val="center"/>
          </w:tcPr>
          <w:p w14:paraId="42270CB4"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 xml:space="preserve">Connected with an exempt disclosure </w:t>
            </w:r>
          </w:p>
        </w:tc>
        <w:tc>
          <w:tcPr>
            <w:tcW w:w="1432" w:type="dxa"/>
            <w:shd w:val="clear" w:color="auto" w:fill="E9FBFB"/>
            <w:vAlign w:val="center"/>
          </w:tcPr>
          <w:p w14:paraId="6F1F361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293</w:t>
            </w:r>
          </w:p>
        </w:tc>
        <w:tc>
          <w:tcPr>
            <w:tcW w:w="1058" w:type="dxa"/>
            <w:shd w:val="clear" w:color="auto" w:fill="E9FBFB"/>
            <w:vAlign w:val="center"/>
          </w:tcPr>
          <w:p w14:paraId="1B6C3BAD"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273</w:t>
            </w:r>
          </w:p>
        </w:tc>
        <w:tc>
          <w:tcPr>
            <w:tcW w:w="1153" w:type="dxa"/>
            <w:shd w:val="clear" w:color="auto" w:fill="E9FBFB"/>
            <w:vAlign w:val="center"/>
          </w:tcPr>
          <w:p w14:paraId="223A0B6E"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6</w:t>
            </w:r>
          </w:p>
        </w:tc>
      </w:tr>
      <w:tr w:rsidR="00CE55ED" w:rsidRPr="00FD7E86" w14:paraId="49D9EF78" w14:textId="77777777" w:rsidTr="00D90392">
        <w:trPr>
          <w:trHeight w:val="397"/>
        </w:trPr>
        <w:tc>
          <w:tcPr>
            <w:tcW w:w="5786" w:type="dxa"/>
            <w:gridSpan w:val="2"/>
            <w:tcBorders>
              <w:bottom w:val="single" w:sz="24" w:space="0" w:color="FFFFFF" w:themeColor="background1"/>
            </w:tcBorders>
            <w:shd w:val="clear" w:color="auto" w:fill="65CDD5" w:themeFill="accent2"/>
            <w:tcMar>
              <w:left w:w="113" w:type="dxa"/>
            </w:tcMar>
            <w:vAlign w:val="center"/>
          </w:tcPr>
          <w:p w14:paraId="3A5A59BA" w14:textId="77777777" w:rsidR="00CE55ED" w:rsidRPr="00C05F4C" w:rsidRDefault="00CE55ED" w:rsidP="00D90392">
            <w:pPr>
              <w:keepNext/>
              <w:keepLines/>
              <w:spacing w:after="60" w:line="240" w:lineRule="auto"/>
              <w:rPr>
                <w:rFonts w:cs="Arial"/>
                <w:b/>
                <w:sz w:val="18"/>
                <w:szCs w:val="18"/>
              </w:rPr>
            </w:pPr>
            <w:r w:rsidRPr="00C05F4C">
              <w:rPr>
                <w:rFonts w:cs="Arial"/>
                <w:b/>
                <w:sz w:val="18"/>
                <w:szCs w:val="18"/>
              </w:rPr>
              <w:t>Subtotal</w:t>
            </w:r>
          </w:p>
        </w:tc>
        <w:tc>
          <w:tcPr>
            <w:tcW w:w="1432" w:type="dxa"/>
            <w:tcBorders>
              <w:bottom w:val="single" w:sz="24" w:space="0" w:color="FFFFFF" w:themeColor="background1"/>
            </w:tcBorders>
            <w:shd w:val="clear" w:color="auto" w:fill="E9FBFB"/>
            <w:vAlign w:val="center"/>
          </w:tcPr>
          <w:p w14:paraId="373115AE" w14:textId="77777777" w:rsidR="00CE55ED" w:rsidRPr="00FD7E86" w:rsidRDefault="00CE55ED" w:rsidP="00D90392">
            <w:pPr>
              <w:keepNext/>
              <w:keepLines/>
              <w:spacing w:after="60" w:line="240" w:lineRule="auto"/>
              <w:ind w:right="216"/>
              <w:jc w:val="right"/>
              <w:rPr>
                <w:rFonts w:cs="Arial"/>
                <w:i/>
                <w:sz w:val="18"/>
                <w:szCs w:val="18"/>
              </w:rPr>
            </w:pPr>
          </w:p>
        </w:tc>
        <w:tc>
          <w:tcPr>
            <w:tcW w:w="1058" w:type="dxa"/>
            <w:tcBorders>
              <w:bottom w:val="single" w:sz="24" w:space="0" w:color="FFFFFF" w:themeColor="background1"/>
            </w:tcBorders>
            <w:shd w:val="clear" w:color="auto" w:fill="E9FBFB"/>
            <w:vAlign w:val="center"/>
          </w:tcPr>
          <w:p w14:paraId="71197745" w14:textId="77777777" w:rsidR="00CE55ED" w:rsidRPr="00FD7E86" w:rsidRDefault="00CE55ED" w:rsidP="00D90392">
            <w:pPr>
              <w:keepNext/>
              <w:keepLines/>
              <w:spacing w:after="60" w:line="240" w:lineRule="auto"/>
              <w:ind w:right="216"/>
              <w:jc w:val="right"/>
              <w:rPr>
                <w:rFonts w:cs="Arial"/>
                <w:b/>
                <w:i/>
                <w:sz w:val="18"/>
                <w:szCs w:val="18"/>
              </w:rPr>
            </w:pPr>
            <w:r w:rsidRPr="00FD7E86">
              <w:rPr>
                <w:rFonts w:cs="Arial"/>
                <w:b/>
                <w:i/>
                <w:sz w:val="18"/>
                <w:szCs w:val="18"/>
              </w:rPr>
              <w:t>165,279</w:t>
            </w:r>
          </w:p>
        </w:tc>
        <w:tc>
          <w:tcPr>
            <w:tcW w:w="1153" w:type="dxa"/>
            <w:shd w:val="clear" w:color="auto" w:fill="E9FBFB"/>
            <w:vAlign w:val="center"/>
          </w:tcPr>
          <w:p w14:paraId="790181B5" w14:textId="77777777" w:rsidR="00CE55ED" w:rsidRPr="00FD7E86" w:rsidRDefault="00CE55ED" w:rsidP="00D90392">
            <w:pPr>
              <w:keepNext/>
              <w:keepLines/>
              <w:spacing w:after="60" w:line="240" w:lineRule="auto"/>
              <w:ind w:right="216"/>
              <w:jc w:val="right"/>
              <w:rPr>
                <w:rFonts w:cs="Arial"/>
                <w:b/>
                <w:i/>
                <w:sz w:val="18"/>
                <w:szCs w:val="18"/>
              </w:rPr>
            </w:pPr>
            <w:r w:rsidRPr="00FD7E86">
              <w:rPr>
                <w:rFonts w:cs="Arial"/>
                <w:b/>
                <w:i/>
                <w:sz w:val="18"/>
                <w:szCs w:val="18"/>
              </w:rPr>
              <w:t xml:space="preserve"> 220,123</w:t>
            </w:r>
          </w:p>
        </w:tc>
      </w:tr>
      <w:tr w:rsidR="00CE55ED" w:rsidRPr="00FD7E86" w14:paraId="142EDC09" w14:textId="77777777" w:rsidTr="00D90392">
        <w:trPr>
          <w:trHeight w:val="397"/>
        </w:trPr>
        <w:tc>
          <w:tcPr>
            <w:tcW w:w="5786" w:type="dxa"/>
            <w:gridSpan w:val="2"/>
            <w:tcBorders>
              <w:bottom w:val="single" w:sz="24" w:space="0" w:color="FFFFFF" w:themeColor="background1"/>
              <w:right w:val="nil"/>
            </w:tcBorders>
            <w:shd w:val="clear" w:color="auto" w:fill="65CDD5" w:themeFill="accent2"/>
            <w:tcMar>
              <w:left w:w="113" w:type="dxa"/>
            </w:tcMar>
            <w:vAlign w:val="center"/>
          </w:tcPr>
          <w:p w14:paraId="48C4AC07" w14:textId="77777777" w:rsidR="00CE55ED" w:rsidRPr="00C05F4C" w:rsidRDefault="00CE55ED" w:rsidP="00D90392">
            <w:pPr>
              <w:keepNext/>
              <w:keepLines/>
              <w:spacing w:after="60" w:line="240" w:lineRule="auto"/>
              <w:rPr>
                <w:rFonts w:cs="Arial"/>
                <w:b/>
                <w:i/>
                <w:sz w:val="18"/>
                <w:szCs w:val="18"/>
              </w:rPr>
            </w:pPr>
            <w:r w:rsidRPr="00C05F4C">
              <w:rPr>
                <w:rFonts w:cs="Arial"/>
                <w:b/>
                <w:sz w:val="18"/>
                <w:szCs w:val="18"/>
              </w:rPr>
              <w:t>Under the</w:t>
            </w:r>
            <w:r w:rsidRPr="00C05F4C">
              <w:rPr>
                <w:rFonts w:cs="Arial"/>
                <w:b/>
                <w:i/>
                <w:sz w:val="18"/>
                <w:szCs w:val="18"/>
              </w:rPr>
              <w:t xml:space="preserve"> Telecommunications (Interception and Access) Act 1979</w:t>
            </w:r>
          </w:p>
        </w:tc>
        <w:tc>
          <w:tcPr>
            <w:tcW w:w="1432" w:type="dxa"/>
            <w:tcBorders>
              <w:left w:val="nil"/>
              <w:bottom w:val="single" w:sz="24" w:space="0" w:color="FFFFFF" w:themeColor="background1"/>
              <w:right w:val="nil"/>
            </w:tcBorders>
            <w:shd w:val="clear" w:color="auto" w:fill="65CDD5"/>
            <w:vAlign w:val="center"/>
          </w:tcPr>
          <w:p w14:paraId="3C0875CA" w14:textId="77777777" w:rsidR="00CE55ED" w:rsidRPr="00FD7E86" w:rsidRDefault="00CE55ED" w:rsidP="00D90392">
            <w:pPr>
              <w:keepNext/>
              <w:keepLines/>
              <w:spacing w:after="60" w:line="240" w:lineRule="auto"/>
              <w:ind w:right="216"/>
              <w:jc w:val="right"/>
              <w:rPr>
                <w:rFonts w:cs="Arial"/>
                <w:color w:val="FFFFFF" w:themeColor="background1"/>
                <w:sz w:val="18"/>
                <w:szCs w:val="18"/>
              </w:rPr>
            </w:pPr>
          </w:p>
        </w:tc>
        <w:tc>
          <w:tcPr>
            <w:tcW w:w="1058" w:type="dxa"/>
            <w:tcBorders>
              <w:left w:val="nil"/>
              <w:bottom w:val="single" w:sz="24" w:space="0" w:color="FFFFFF" w:themeColor="background1"/>
              <w:right w:val="nil"/>
            </w:tcBorders>
            <w:shd w:val="clear" w:color="auto" w:fill="65CDD5"/>
            <w:vAlign w:val="center"/>
          </w:tcPr>
          <w:p w14:paraId="2B9B99C8" w14:textId="77777777" w:rsidR="00CE55ED" w:rsidRPr="00FD7E86" w:rsidRDefault="00CE55ED" w:rsidP="00D90392">
            <w:pPr>
              <w:keepNext/>
              <w:keepLines/>
              <w:spacing w:after="60" w:line="240" w:lineRule="auto"/>
              <w:ind w:right="216"/>
              <w:jc w:val="right"/>
              <w:rPr>
                <w:rFonts w:cs="Arial"/>
                <w:color w:val="FFFFFF" w:themeColor="background1"/>
                <w:sz w:val="18"/>
                <w:szCs w:val="18"/>
              </w:rPr>
            </w:pPr>
          </w:p>
        </w:tc>
        <w:tc>
          <w:tcPr>
            <w:tcW w:w="1153" w:type="dxa"/>
            <w:tcBorders>
              <w:left w:val="nil"/>
            </w:tcBorders>
            <w:shd w:val="clear" w:color="auto" w:fill="65CDD5"/>
            <w:vAlign w:val="center"/>
          </w:tcPr>
          <w:p w14:paraId="0B674781" w14:textId="77777777" w:rsidR="00CE55ED" w:rsidRPr="00FD7E86" w:rsidRDefault="00CE55ED" w:rsidP="00D90392">
            <w:pPr>
              <w:keepNext/>
              <w:keepLines/>
              <w:spacing w:after="60" w:line="240" w:lineRule="auto"/>
              <w:ind w:right="216"/>
              <w:jc w:val="right"/>
              <w:rPr>
                <w:rFonts w:cs="Arial"/>
                <w:color w:val="FFFFFF" w:themeColor="background1"/>
                <w:sz w:val="18"/>
                <w:szCs w:val="18"/>
              </w:rPr>
            </w:pPr>
          </w:p>
        </w:tc>
      </w:tr>
      <w:tr w:rsidR="00CE55ED" w:rsidRPr="00FD7E86" w14:paraId="7A61D1B1" w14:textId="77777777" w:rsidTr="00D90392">
        <w:trPr>
          <w:trHeight w:val="397"/>
        </w:trPr>
        <w:tc>
          <w:tcPr>
            <w:tcW w:w="5786" w:type="dxa"/>
            <w:gridSpan w:val="2"/>
            <w:tcBorders>
              <w:top w:val="single" w:sz="24" w:space="0" w:color="FFFFFF" w:themeColor="background1"/>
            </w:tcBorders>
            <w:shd w:val="clear" w:color="auto" w:fill="65CDD5" w:themeFill="accent2"/>
            <w:tcMar>
              <w:left w:w="113" w:type="dxa"/>
            </w:tcMar>
            <w:vAlign w:val="center"/>
          </w:tcPr>
          <w:p w14:paraId="64BBF346"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Voluntary disclosures</w:t>
            </w:r>
          </w:p>
        </w:tc>
        <w:tc>
          <w:tcPr>
            <w:tcW w:w="1432" w:type="dxa"/>
            <w:tcBorders>
              <w:top w:val="single" w:sz="24" w:space="0" w:color="FFFFFF" w:themeColor="background1"/>
            </w:tcBorders>
            <w:shd w:val="clear" w:color="auto" w:fill="E9FBFB"/>
            <w:vAlign w:val="center"/>
          </w:tcPr>
          <w:p w14:paraId="1970B281"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177</w:t>
            </w:r>
          </w:p>
        </w:tc>
        <w:tc>
          <w:tcPr>
            <w:tcW w:w="1058" w:type="dxa"/>
            <w:tcBorders>
              <w:top w:val="single" w:sz="24" w:space="0" w:color="FFFFFF" w:themeColor="background1"/>
            </w:tcBorders>
            <w:shd w:val="clear" w:color="auto" w:fill="E9FBFB"/>
            <w:vAlign w:val="center"/>
          </w:tcPr>
          <w:p w14:paraId="137CABD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73</w:t>
            </w:r>
          </w:p>
        </w:tc>
        <w:tc>
          <w:tcPr>
            <w:tcW w:w="1153" w:type="dxa"/>
            <w:shd w:val="clear" w:color="auto" w:fill="E9FBFB"/>
            <w:vAlign w:val="center"/>
          </w:tcPr>
          <w:p w14:paraId="30D87088"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437</w:t>
            </w:r>
          </w:p>
        </w:tc>
      </w:tr>
      <w:tr w:rsidR="00CE55ED" w:rsidRPr="00FD7E86" w14:paraId="2E3E1440" w14:textId="77777777" w:rsidTr="00D90392">
        <w:trPr>
          <w:trHeight w:val="397"/>
        </w:trPr>
        <w:tc>
          <w:tcPr>
            <w:tcW w:w="1437" w:type="dxa"/>
            <w:vMerge w:val="restart"/>
            <w:shd w:val="clear" w:color="auto" w:fill="65CDD5" w:themeFill="accent2"/>
            <w:tcMar>
              <w:left w:w="113" w:type="dxa"/>
            </w:tcMar>
            <w:vAlign w:val="center"/>
          </w:tcPr>
          <w:p w14:paraId="15B66DA9"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Authorisations for access to existing information or documents</w:t>
            </w:r>
          </w:p>
        </w:tc>
        <w:tc>
          <w:tcPr>
            <w:tcW w:w="4349" w:type="dxa"/>
            <w:shd w:val="clear" w:color="auto" w:fill="65CDD5" w:themeFill="accent2"/>
            <w:vAlign w:val="center"/>
          </w:tcPr>
          <w:p w14:paraId="1299B7B3"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Enforcement of the criminal law</w:t>
            </w:r>
          </w:p>
        </w:tc>
        <w:tc>
          <w:tcPr>
            <w:tcW w:w="1432" w:type="dxa"/>
            <w:shd w:val="clear" w:color="auto" w:fill="E9FBFB"/>
            <w:vAlign w:val="center"/>
          </w:tcPr>
          <w:p w14:paraId="2E29168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178</w:t>
            </w:r>
          </w:p>
        </w:tc>
        <w:tc>
          <w:tcPr>
            <w:tcW w:w="1058" w:type="dxa"/>
            <w:shd w:val="clear" w:color="auto" w:fill="E9FBFB"/>
            <w:vAlign w:val="center"/>
          </w:tcPr>
          <w:p w14:paraId="79533F31" w14:textId="77777777" w:rsidR="00CE55ED" w:rsidRPr="00FD7E86" w:rsidRDefault="00CE55ED" w:rsidP="00D90392">
            <w:pPr>
              <w:keepNext/>
              <w:keepLines/>
              <w:tabs>
                <w:tab w:val="right" w:pos="838"/>
              </w:tabs>
              <w:spacing w:after="60" w:line="240" w:lineRule="auto"/>
              <w:ind w:right="216"/>
              <w:jc w:val="right"/>
              <w:rPr>
                <w:rFonts w:cs="Arial"/>
                <w:sz w:val="18"/>
                <w:szCs w:val="18"/>
              </w:rPr>
            </w:pPr>
            <w:r w:rsidRPr="00FD7E86">
              <w:rPr>
                <w:rFonts w:cs="Arial"/>
                <w:sz w:val="18"/>
                <w:szCs w:val="18"/>
              </w:rPr>
              <w:t>563,012</w:t>
            </w:r>
          </w:p>
        </w:tc>
        <w:tc>
          <w:tcPr>
            <w:tcW w:w="1153" w:type="dxa"/>
            <w:shd w:val="clear" w:color="auto" w:fill="E9FBFB"/>
            <w:vAlign w:val="center"/>
          </w:tcPr>
          <w:p w14:paraId="09AC3370" w14:textId="77777777" w:rsidR="00CE55ED" w:rsidRPr="00FD7E86" w:rsidRDefault="00CE55ED" w:rsidP="00D90392">
            <w:pPr>
              <w:keepNext/>
              <w:keepLines/>
              <w:tabs>
                <w:tab w:val="right" w:pos="838"/>
              </w:tabs>
              <w:spacing w:after="60" w:line="240" w:lineRule="auto"/>
              <w:ind w:right="216"/>
              <w:jc w:val="right"/>
              <w:rPr>
                <w:rFonts w:cs="Arial"/>
                <w:sz w:val="18"/>
                <w:szCs w:val="18"/>
              </w:rPr>
            </w:pPr>
            <w:r w:rsidRPr="00FD7E86">
              <w:rPr>
                <w:rFonts w:cs="Arial"/>
                <w:sz w:val="18"/>
                <w:szCs w:val="18"/>
              </w:rPr>
              <w:t>584,029</w:t>
            </w:r>
          </w:p>
        </w:tc>
      </w:tr>
      <w:tr w:rsidR="00CE55ED" w:rsidRPr="00FD7E86" w14:paraId="4DC09A90" w14:textId="77777777" w:rsidTr="00D90392">
        <w:trPr>
          <w:trHeight w:val="397"/>
        </w:trPr>
        <w:tc>
          <w:tcPr>
            <w:tcW w:w="1437" w:type="dxa"/>
            <w:vMerge/>
            <w:shd w:val="clear" w:color="auto" w:fill="65CDD5" w:themeFill="accent2"/>
            <w:tcMar>
              <w:left w:w="113" w:type="dxa"/>
            </w:tcMar>
            <w:vAlign w:val="center"/>
          </w:tcPr>
          <w:p w14:paraId="1E9B9672" w14:textId="77777777" w:rsidR="00CE55ED" w:rsidRPr="00C05F4C" w:rsidRDefault="00CE55ED" w:rsidP="00D90392">
            <w:pPr>
              <w:keepNext/>
              <w:keepLines/>
              <w:spacing w:after="60" w:line="240" w:lineRule="auto"/>
              <w:rPr>
                <w:rFonts w:cs="Arial"/>
                <w:sz w:val="18"/>
                <w:szCs w:val="18"/>
              </w:rPr>
            </w:pPr>
          </w:p>
        </w:tc>
        <w:tc>
          <w:tcPr>
            <w:tcW w:w="4349" w:type="dxa"/>
            <w:shd w:val="clear" w:color="auto" w:fill="65CDD5" w:themeFill="accent2"/>
            <w:vAlign w:val="center"/>
          </w:tcPr>
          <w:p w14:paraId="51E759EC"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Locating missing persons</w:t>
            </w:r>
          </w:p>
        </w:tc>
        <w:tc>
          <w:tcPr>
            <w:tcW w:w="1432" w:type="dxa"/>
            <w:shd w:val="clear" w:color="auto" w:fill="E9FBFB"/>
            <w:vAlign w:val="center"/>
          </w:tcPr>
          <w:p w14:paraId="337189A7"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178A</w:t>
            </w:r>
          </w:p>
        </w:tc>
        <w:tc>
          <w:tcPr>
            <w:tcW w:w="1058" w:type="dxa"/>
            <w:shd w:val="clear" w:color="auto" w:fill="E9FBFB"/>
            <w:vAlign w:val="center"/>
          </w:tcPr>
          <w:p w14:paraId="25BA9A1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3,170</w:t>
            </w:r>
          </w:p>
        </w:tc>
        <w:tc>
          <w:tcPr>
            <w:tcW w:w="1153" w:type="dxa"/>
            <w:shd w:val="clear" w:color="auto" w:fill="E9FBFB"/>
            <w:vAlign w:val="center"/>
          </w:tcPr>
          <w:p w14:paraId="02B7518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4,195</w:t>
            </w:r>
          </w:p>
        </w:tc>
      </w:tr>
      <w:tr w:rsidR="00CE55ED" w:rsidRPr="00FD7E86" w14:paraId="6E970099" w14:textId="77777777" w:rsidTr="00D90392">
        <w:trPr>
          <w:trHeight w:val="397"/>
        </w:trPr>
        <w:tc>
          <w:tcPr>
            <w:tcW w:w="1437" w:type="dxa"/>
            <w:vMerge/>
            <w:shd w:val="clear" w:color="auto" w:fill="65CDD5" w:themeFill="accent2"/>
            <w:tcMar>
              <w:left w:w="113" w:type="dxa"/>
            </w:tcMar>
            <w:vAlign w:val="center"/>
          </w:tcPr>
          <w:p w14:paraId="70F66852" w14:textId="77777777" w:rsidR="00CE55ED" w:rsidRPr="00C05F4C" w:rsidRDefault="00CE55ED" w:rsidP="00D90392">
            <w:pPr>
              <w:keepNext/>
              <w:keepLines/>
              <w:spacing w:after="60" w:line="240" w:lineRule="auto"/>
              <w:rPr>
                <w:rFonts w:cs="Arial"/>
                <w:sz w:val="18"/>
                <w:szCs w:val="18"/>
              </w:rPr>
            </w:pPr>
          </w:p>
        </w:tc>
        <w:tc>
          <w:tcPr>
            <w:tcW w:w="4349" w:type="dxa"/>
            <w:shd w:val="clear" w:color="auto" w:fill="65CDD5" w:themeFill="accent2"/>
            <w:vAlign w:val="center"/>
          </w:tcPr>
          <w:p w14:paraId="380CF2BF"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Enforcement of a law imposing pecuniary penalty or protection of the public revenue</w:t>
            </w:r>
          </w:p>
        </w:tc>
        <w:tc>
          <w:tcPr>
            <w:tcW w:w="1432" w:type="dxa"/>
            <w:shd w:val="clear" w:color="auto" w:fill="E9FBFB"/>
            <w:vAlign w:val="center"/>
          </w:tcPr>
          <w:p w14:paraId="63C96506"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179</w:t>
            </w:r>
          </w:p>
        </w:tc>
        <w:tc>
          <w:tcPr>
            <w:tcW w:w="1058" w:type="dxa"/>
            <w:shd w:val="clear" w:color="auto" w:fill="E9FBFB"/>
            <w:vAlign w:val="center"/>
          </w:tcPr>
          <w:p w14:paraId="403576A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9,162</w:t>
            </w:r>
          </w:p>
        </w:tc>
        <w:tc>
          <w:tcPr>
            <w:tcW w:w="1153" w:type="dxa"/>
            <w:shd w:val="clear" w:color="auto" w:fill="E9FBFB"/>
            <w:vAlign w:val="center"/>
          </w:tcPr>
          <w:p w14:paraId="5E1534CA"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7,206</w:t>
            </w:r>
          </w:p>
        </w:tc>
      </w:tr>
      <w:tr w:rsidR="00CE55ED" w:rsidRPr="00FD7E86" w14:paraId="6C96F740" w14:textId="77777777" w:rsidTr="00D90392">
        <w:trPr>
          <w:trHeight w:val="397"/>
        </w:trPr>
        <w:tc>
          <w:tcPr>
            <w:tcW w:w="5786" w:type="dxa"/>
            <w:gridSpan w:val="2"/>
            <w:shd w:val="clear" w:color="auto" w:fill="65CDD5" w:themeFill="accent2"/>
            <w:tcMar>
              <w:left w:w="113" w:type="dxa"/>
            </w:tcMar>
            <w:vAlign w:val="center"/>
          </w:tcPr>
          <w:p w14:paraId="31FED7E8"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 xml:space="preserve">Authorisations for access to prospective information or documents </w:t>
            </w:r>
          </w:p>
        </w:tc>
        <w:tc>
          <w:tcPr>
            <w:tcW w:w="1432" w:type="dxa"/>
            <w:shd w:val="clear" w:color="auto" w:fill="E9FBFB"/>
            <w:vAlign w:val="center"/>
          </w:tcPr>
          <w:p w14:paraId="18ADAF88"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180</w:t>
            </w:r>
          </w:p>
        </w:tc>
        <w:tc>
          <w:tcPr>
            <w:tcW w:w="1058" w:type="dxa"/>
            <w:shd w:val="clear" w:color="auto" w:fill="E9FBFB"/>
            <w:vAlign w:val="center"/>
          </w:tcPr>
          <w:p w14:paraId="5A33BC7C"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7,346</w:t>
            </w:r>
          </w:p>
        </w:tc>
        <w:tc>
          <w:tcPr>
            <w:tcW w:w="1153" w:type="dxa"/>
            <w:shd w:val="clear" w:color="auto" w:fill="E9FBFB"/>
            <w:vAlign w:val="center"/>
          </w:tcPr>
          <w:p w14:paraId="0DD2D736"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8784</w:t>
            </w:r>
          </w:p>
        </w:tc>
      </w:tr>
      <w:tr w:rsidR="00CE55ED" w:rsidRPr="00FD7E86" w14:paraId="2F780B88" w14:textId="77777777" w:rsidTr="00D90392">
        <w:trPr>
          <w:trHeight w:val="397"/>
        </w:trPr>
        <w:tc>
          <w:tcPr>
            <w:tcW w:w="1437" w:type="dxa"/>
            <w:vMerge w:val="restart"/>
            <w:shd w:val="clear" w:color="auto" w:fill="65CDD5" w:themeFill="accent2"/>
            <w:tcMar>
              <w:left w:w="113" w:type="dxa"/>
            </w:tcMar>
            <w:vAlign w:val="center"/>
          </w:tcPr>
          <w:p w14:paraId="76983AC6"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Enforcement of the criminal law of a foreign country</w:t>
            </w:r>
          </w:p>
        </w:tc>
        <w:tc>
          <w:tcPr>
            <w:tcW w:w="4349" w:type="dxa"/>
            <w:shd w:val="clear" w:color="auto" w:fill="65CDD5" w:themeFill="accent2"/>
            <w:vAlign w:val="center"/>
          </w:tcPr>
          <w:p w14:paraId="4913A6C1"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Existing information</w:t>
            </w:r>
          </w:p>
        </w:tc>
        <w:tc>
          <w:tcPr>
            <w:tcW w:w="1432" w:type="dxa"/>
            <w:shd w:val="clear" w:color="auto" w:fill="E9FBFB"/>
            <w:vAlign w:val="center"/>
          </w:tcPr>
          <w:p w14:paraId="11F11873"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180A</w:t>
            </w:r>
          </w:p>
        </w:tc>
        <w:tc>
          <w:tcPr>
            <w:tcW w:w="1058" w:type="dxa"/>
            <w:shd w:val="clear" w:color="auto" w:fill="E9FBFB"/>
            <w:vAlign w:val="center"/>
          </w:tcPr>
          <w:p w14:paraId="6943C18D"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17</w:t>
            </w:r>
          </w:p>
        </w:tc>
        <w:tc>
          <w:tcPr>
            <w:tcW w:w="1153" w:type="dxa"/>
            <w:shd w:val="clear" w:color="auto" w:fill="E9FBFB"/>
            <w:vAlign w:val="center"/>
          </w:tcPr>
          <w:p w14:paraId="67652CE4"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52</w:t>
            </w:r>
          </w:p>
        </w:tc>
      </w:tr>
      <w:tr w:rsidR="00CE55ED" w:rsidRPr="00FD7E86" w14:paraId="24C4874A" w14:textId="77777777" w:rsidTr="00D90392">
        <w:trPr>
          <w:trHeight w:val="397"/>
        </w:trPr>
        <w:tc>
          <w:tcPr>
            <w:tcW w:w="1437" w:type="dxa"/>
            <w:vMerge/>
            <w:shd w:val="clear" w:color="auto" w:fill="65CDD5" w:themeFill="accent2"/>
            <w:tcMar>
              <w:left w:w="113" w:type="dxa"/>
            </w:tcMar>
            <w:vAlign w:val="center"/>
          </w:tcPr>
          <w:p w14:paraId="2B5F3F0B" w14:textId="77777777" w:rsidR="00CE55ED" w:rsidRPr="00C05F4C" w:rsidRDefault="00CE55ED" w:rsidP="00D90392">
            <w:pPr>
              <w:keepNext/>
              <w:keepLines/>
              <w:spacing w:after="60" w:line="240" w:lineRule="auto"/>
              <w:rPr>
                <w:rFonts w:cs="Arial"/>
                <w:sz w:val="18"/>
                <w:szCs w:val="18"/>
              </w:rPr>
            </w:pPr>
          </w:p>
        </w:tc>
        <w:tc>
          <w:tcPr>
            <w:tcW w:w="4349" w:type="dxa"/>
            <w:shd w:val="clear" w:color="auto" w:fill="65CDD5" w:themeFill="accent2"/>
            <w:vAlign w:val="center"/>
          </w:tcPr>
          <w:p w14:paraId="00024C49" w14:textId="77777777" w:rsidR="00CE55ED" w:rsidRPr="00C05F4C" w:rsidRDefault="00CE55ED" w:rsidP="00D90392">
            <w:pPr>
              <w:keepNext/>
              <w:keepLines/>
              <w:spacing w:after="60" w:line="240" w:lineRule="auto"/>
              <w:rPr>
                <w:rFonts w:cs="Arial"/>
                <w:sz w:val="18"/>
                <w:szCs w:val="18"/>
              </w:rPr>
            </w:pPr>
            <w:r w:rsidRPr="00C05F4C">
              <w:rPr>
                <w:rFonts w:cs="Arial"/>
                <w:sz w:val="18"/>
                <w:szCs w:val="18"/>
              </w:rPr>
              <w:t>Prospective information</w:t>
            </w:r>
          </w:p>
        </w:tc>
        <w:tc>
          <w:tcPr>
            <w:tcW w:w="1432" w:type="dxa"/>
            <w:shd w:val="clear" w:color="auto" w:fill="E9FBFB"/>
            <w:vAlign w:val="center"/>
          </w:tcPr>
          <w:p w14:paraId="73354457"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180B</w:t>
            </w:r>
          </w:p>
        </w:tc>
        <w:tc>
          <w:tcPr>
            <w:tcW w:w="1058" w:type="dxa"/>
            <w:shd w:val="clear" w:color="auto" w:fill="E9FBFB"/>
            <w:vAlign w:val="center"/>
          </w:tcPr>
          <w:p w14:paraId="5D8BA3C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20</w:t>
            </w:r>
          </w:p>
        </w:tc>
        <w:tc>
          <w:tcPr>
            <w:tcW w:w="1153" w:type="dxa"/>
            <w:shd w:val="clear" w:color="auto" w:fill="E9FBFB"/>
            <w:vAlign w:val="center"/>
          </w:tcPr>
          <w:p w14:paraId="51181AAF" w14:textId="77777777" w:rsidR="00CE55ED" w:rsidRPr="00FD7E86" w:rsidRDefault="00CE55ED" w:rsidP="00D90392">
            <w:pPr>
              <w:keepNext/>
              <w:keepLines/>
              <w:spacing w:after="60" w:line="240" w:lineRule="auto"/>
              <w:ind w:right="216"/>
              <w:jc w:val="right"/>
              <w:rPr>
                <w:rFonts w:cs="Arial"/>
                <w:sz w:val="18"/>
                <w:szCs w:val="18"/>
              </w:rPr>
            </w:pPr>
            <w:r w:rsidRPr="00FD7E86">
              <w:rPr>
                <w:rFonts w:cs="Arial"/>
                <w:sz w:val="18"/>
                <w:szCs w:val="18"/>
              </w:rPr>
              <w:t>15</w:t>
            </w:r>
          </w:p>
        </w:tc>
      </w:tr>
      <w:tr w:rsidR="00CE55ED" w:rsidRPr="00FD7E86" w14:paraId="634DD8CC" w14:textId="77777777" w:rsidTr="00D90392">
        <w:trPr>
          <w:trHeight w:val="397"/>
        </w:trPr>
        <w:tc>
          <w:tcPr>
            <w:tcW w:w="5786" w:type="dxa"/>
            <w:gridSpan w:val="2"/>
            <w:shd w:val="clear" w:color="auto" w:fill="65CDD5" w:themeFill="accent2"/>
            <w:tcMar>
              <w:left w:w="113" w:type="dxa"/>
            </w:tcMar>
            <w:vAlign w:val="center"/>
          </w:tcPr>
          <w:p w14:paraId="2286E1F3" w14:textId="77777777" w:rsidR="00CE55ED" w:rsidRPr="00C05F4C" w:rsidRDefault="00CE55ED" w:rsidP="00D90392">
            <w:pPr>
              <w:keepNext/>
              <w:keepLines/>
              <w:spacing w:after="60" w:line="240" w:lineRule="auto"/>
              <w:rPr>
                <w:rFonts w:cs="Arial"/>
                <w:b/>
                <w:sz w:val="18"/>
                <w:szCs w:val="18"/>
              </w:rPr>
            </w:pPr>
            <w:r w:rsidRPr="00C05F4C">
              <w:rPr>
                <w:rFonts w:cs="Arial"/>
                <w:b/>
                <w:sz w:val="18"/>
                <w:szCs w:val="18"/>
              </w:rPr>
              <w:t>Subtotal</w:t>
            </w:r>
          </w:p>
        </w:tc>
        <w:tc>
          <w:tcPr>
            <w:tcW w:w="1432" w:type="dxa"/>
            <w:shd w:val="clear" w:color="auto" w:fill="E9FBFB"/>
            <w:vAlign w:val="center"/>
          </w:tcPr>
          <w:p w14:paraId="2B96E65E" w14:textId="77777777" w:rsidR="00CE55ED" w:rsidRPr="00FD7E86" w:rsidRDefault="00CE55ED" w:rsidP="00D90392">
            <w:pPr>
              <w:keepNext/>
              <w:keepLines/>
              <w:spacing w:after="60" w:line="240" w:lineRule="auto"/>
              <w:ind w:right="216"/>
              <w:rPr>
                <w:rFonts w:cs="Arial"/>
                <w:i/>
                <w:sz w:val="18"/>
                <w:szCs w:val="18"/>
              </w:rPr>
            </w:pPr>
          </w:p>
        </w:tc>
        <w:tc>
          <w:tcPr>
            <w:tcW w:w="1058" w:type="dxa"/>
            <w:shd w:val="clear" w:color="auto" w:fill="E9FBFB"/>
            <w:vAlign w:val="center"/>
          </w:tcPr>
          <w:p w14:paraId="57107BBD" w14:textId="77777777" w:rsidR="00CE55ED" w:rsidRPr="00FD7E86" w:rsidRDefault="00CE55ED" w:rsidP="00D90392">
            <w:pPr>
              <w:keepNext/>
              <w:keepLines/>
              <w:spacing w:after="60" w:line="240" w:lineRule="auto"/>
              <w:ind w:right="216"/>
              <w:jc w:val="right"/>
              <w:rPr>
                <w:rFonts w:cs="Arial"/>
                <w:b/>
                <w:i/>
                <w:sz w:val="18"/>
                <w:szCs w:val="18"/>
              </w:rPr>
            </w:pPr>
            <w:r w:rsidRPr="00D90392">
              <w:rPr>
                <w:rFonts w:cs="Arial"/>
                <w:b/>
                <w:i/>
                <w:sz w:val="18"/>
                <w:szCs w:val="18"/>
              </w:rPr>
              <w:t>582,800</w:t>
            </w:r>
          </w:p>
        </w:tc>
        <w:tc>
          <w:tcPr>
            <w:tcW w:w="1153" w:type="dxa"/>
            <w:shd w:val="clear" w:color="auto" w:fill="E9FBFB"/>
            <w:vAlign w:val="center"/>
          </w:tcPr>
          <w:p w14:paraId="2E67E877" w14:textId="77777777" w:rsidR="00CE55ED" w:rsidRPr="00FD7E86" w:rsidRDefault="00CE55ED" w:rsidP="00D90392">
            <w:pPr>
              <w:keepNext/>
              <w:keepLines/>
              <w:spacing w:after="60" w:line="240" w:lineRule="auto"/>
              <w:ind w:right="216"/>
              <w:jc w:val="right"/>
              <w:rPr>
                <w:rFonts w:cs="Arial"/>
                <w:b/>
                <w:i/>
                <w:sz w:val="18"/>
                <w:szCs w:val="18"/>
              </w:rPr>
            </w:pPr>
            <w:r w:rsidRPr="00FD7E86">
              <w:rPr>
                <w:rFonts w:cs="Arial"/>
                <w:b/>
                <w:i/>
                <w:sz w:val="18"/>
                <w:szCs w:val="18"/>
              </w:rPr>
              <w:t>604,718</w:t>
            </w:r>
          </w:p>
        </w:tc>
      </w:tr>
      <w:tr w:rsidR="00CE55ED" w:rsidRPr="00FD7E86" w14:paraId="4CD5528B" w14:textId="77777777" w:rsidTr="00D90392">
        <w:trPr>
          <w:trHeight w:val="397"/>
        </w:trPr>
        <w:tc>
          <w:tcPr>
            <w:tcW w:w="5786" w:type="dxa"/>
            <w:gridSpan w:val="2"/>
            <w:shd w:val="clear" w:color="auto" w:fill="65CDD5"/>
            <w:tcMar>
              <w:left w:w="113" w:type="dxa"/>
            </w:tcMar>
            <w:vAlign w:val="center"/>
          </w:tcPr>
          <w:p w14:paraId="3C82F376" w14:textId="77777777" w:rsidR="00CE55ED" w:rsidRPr="00C05F4C" w:rsidRDefault="00CE55ED" w:rsidP="00D90392">
            <w:pPr>
              <w:keepNext/>
              <w:keepLines/>
              <w:spacing w:after="60" w:line="240" w:lineRule="auto"/>
              <w:rPr>
                <w:rFonts w:cs="Arial"/>
                <w:b/>
                <w:sz w:val="18"/>
                <w:szCs w:val="18"/>
              </w:rPr>
            </w:pPr>
            <w:r w:rsidRPr="00C05F4C">
              <w:rPr>
                <w:rFonts w:cs="Arial"/>
                <w:b/>
                <w:sz w:val="18"/>
                <w:szCs w:val="18"/>
              </w:rPr>
              <w:t>Total</w:t>
            </w:r>
          </w:p>
        </w:tc>
        <w:tc>
          <w:tcPr>
            <w:tcW w:w="1432" w:type="dxa"/>
            <w:shd w:val="clear" w:color="auto" w:fill="65CDD5"/>
            <w:vAlign w:val="bottom"/>
          </w:tcPr>
          <w:p w14:paraId="06C2B82F" w14:textId="77777777" w:rsidR="00CE55ED" w:rsidRPr="00FD7E86" w:rsidRDefault="00CE55ED" w:rsidP="00D90392">
            <w:pPr>
              <w:keepNext/>
              <w:keepLines/>
              <w:spacing w:after="60" w:line="240" w:lineRule="auto"/>
              <w:ind w:right="216"/>
              <w:rPr>
                <w:rFonts w:cs="Arial"/>
                <w:color w:val="FFFFFF" w:themeColor="background1"/>
                <w:sz w:val="18"/>
                <w:szCs w:val="18"/>
              </w:rPr>
            </w:pPr>
          </w:p>
        </w:tc>
        <w:tc>
          <w:tcPr>
            <w:tcW w:w="1058" w:type="dxa"/>
            <w:shd w:val="clear" w:color="auto" w:fill="65CDD5"/>
            <w:vAlign w:val="center"/>
          </w:tcPr>
          <w:p w14:paraId="77208D08" w14:textId="77777777" w:rsidR="00CE55ED" w:rsidRPr="007978CD" w:rsidRDefault="00CE55ED" w:rsidP="00D90392">
            <w:pPr>
              <w:keepNext/>
              <w:keepLines/>
              <w:spacing w:after="60" w:line="240" w:lineRule="auto"/>
              <w:ind w:right="216"/>
              <w:jc w:val="right"/>
              <w:rPr>
                <w:rFonts w:cs="Arial"/>
                <w:b/>
                <w:sz w:val="18"/>
                <w:szCs w:val="18"/>
              </w:rPr>
            </w:pPr>
            <w:r w:rsidRPr="007978CD">
              <w:rPr>
                <w:rFonts w:cs="Arial"/>
                <w:b/>
                <w:sz w:val="18"/>
                <w:szCs w:val="18"/>
              </w:rPr>
              <w:t>748,079</w:t>
            </w:r>
          </w:p>
        </w:tc>
        <w:tc>
          <w:tcPr>
            <w:tcW w:w="1153" w:type="dxa"/>
            <w:shd w:val="clear" w:color="auto" w:fill="65CDD5"/>
            <w:vAlign w:val="center"/>
          </w:tcPr>
          <w:p w14:paraId="36CF6152" w14:textId="77777777" w:rsidR="00CE55ED" w:rsidRPr="007978CD" w:rsidRDefault="00CE55ED" w:rsidP="00D90392">
            <w:pPr>
              <w:keepNext/>
              <w:keepLines/>
              <w:spacing w:after="60" w:line="240" w:lineRule="auto"/>
              <w:ind w:right="216"/>
              <w:jc w:val="right"/>
              <w:rPr>
                <w:rFonts w:cs="Arial"/>
                <w:b/>
                <w:sz w:val="18"/>
                <w:szCs w:val="18"/>
              </w:rPr>
            </w:pPr>
            <w:r w:rsidRPr="007978CD">
              <w:rPr>
                <w:rFonts w:cs="Arial"/>
                <w:b/>
                <w:sz w:val="18"/>
                <w:szCs w:val="18"/>
              </w:rPr>
              <w:t>824,841</w:t>
            </w:r>
          </w:p>
        </w:tc>
      </w:tr>
    </w:tbl>
    <w:p w14:paraId="2ECC6A7A" w14:textId="77777777" w:rsidR="00DF6146" w:rsidRPr="00FD7E86" w:rsidRDefault="00CE55ED" w:rsidP="00D90392">
      <w:pPr>
        <w:pStyle w:val="ACMANotes"/>
        <w:keepNext/>
        <w:keepLines/>
      </w:pPr>
      <w:r w:rsidRPr="00FD7E86">
        <w:t>Source: Carriers.</w:t>
      </w:r>
    </w:p>
    <w:p w14:paraId="731D84D6" w14:textId="6F45A206" w:rsidR="00E450B7" w:rsidRPr="00FD7E86" w:rsidRDefault="00E450B7" w:rsidP="007B7086">
      <w:pPr>
        <w:pStyle w:val="ACMASpaceaftertable"/>
        <w:tabs>
          <w:tab w:val="left" w:pos="3393"/>
        </w:tabs>
        <w:rPr>
          <w:i/>
          <w:sz w:val="16"/>
          <w:szCs w:val="16"/>
        </w:rPr>
      </w:pPr>
    </w:p>
    <w:p w14:paraId="4E7E00A0" w14:textId="77777777" w:rsidR="00CF02AF" w:rsidRPr="00FD7E86" w:rsidRDefault="00CF02AF" w:rsidP="00314FB5">
      <w:r w:rsidRPr="00FD7E86">
        <w:lastRenderedPageBreak/>
        <w:t xml:space="preserve">Information </w:t>
      </w:r>
      <w:r w:rsidR="00CE5E74" w:rsidRPr="00FD7E86">
        <w:t>about</w:t>
      </w:r>
      <w:r w:rsidRPr="00FD7E86">
        <w:t xml:space="preserve"> enforcement agency use of powers under the TIA Act to obtain information from carriers and carriage service providers is contained in annual reports prepared by the Attorney-General under subsection 186(2) of the TIA Act.</w:t>
      </w:r>
    </w:p>
    <w:p w14:paraId="52EACFC4" w14:textId="77777777" w:rsidR="00CF02AF" w:rsidRPr="00FD7E86" w:rsidRDefault="00CE5E74" w:rsidP="00314FB5">
      <w:r w:rsidRPr="00FD7E86">
        <w:t>For</w:t>
      </w:r>
      <w:r w:rsidR="00CF02AF" w:rsidRPr="00FD7E86">
        <w:t xml:space="preserve"> disclosures made under</w:t>
      </w:r>
      <w:r w:rsidR="00CF02AF" w:rsidRPr="00FD7E86">
        <w:rPr>
          <w:bCs/>
        </w:rPr>
        <w:t xml:space="preserve"> sections 177, 178, 178A, 179, 180, 180A and 180B of</w:t>
      </w:r>
      <w:r w:rsidR="00CF02AF" w:rsidRPr="00FD7E86">
        <w:t xml:space="preserve"> the TIA Act, law enforcement agencies</w:t>
      </w:r>
      <w:r w:rsidR="00CF02AF" w:rsidRPr="00FD7E86">
        <w:rPr>
          <w:bCs/>
        </w:rPr>
        <w:t xml:space="preserve"> (civil and criminal)</w:t>
      </w:r>
      <w:r w:rsidR="00CF02AF" w:rsidRPr="00FD7E86">
        <w:t xml:space="preserve"> must be satisfied that the information they request is reasonably necessary to perform their law enforcement functions. An authorised officer must also consider </w:t>
      </w:r>
      <w:r w:rsidR="00CF02AF" w:rsidRPr="00FD7E86">
        <w:rPr>
          <w:bCs/>
        </w:rPr>
        <w:t>whether</w:t>
      </w:r>
      <w:r w:rsidR="00CF02AF" w:rsidRPr="00FD7E86">
        <w:t xml:space="preserve"> any interference with the privacy of any person or persons that may result from the disclosure is justifiable, having regard to the likely relevance and usefulness of the information or documents</w:t>
      </w:r>
      <w:r w:rsidRPr="00FD7E86">
        <w:t>,</w:t>
      </w:r>
      <w:r w:rsidR="00CF02AF" w:rsidRPr="00FD7E86">
        <w:t xml:space="preserve"> and the reason why the disclosure concerned was authorised. </w:t>
      </w:r>
    </w:p>
    <w:p w14:paraId="153183A6" w14:textId="77777777" w:rsidR="00CF02AF" w:rsidRPr="00FD7E86" w:rsidRDefault="00CF02AF" w:rsidP="00DD750B">
      <w:pPr>
        <w:pStyle w:val="ACMAHeading2"/>
      </w:pPr>
      <w:bookmarkStart w:id="334" w:name="_Toc399331764"/>
      <w:bookmarkStart w:id="335" w:name="_Toc399336945"/>
      <w:bookmarkStart w:id="336" w:name="_Toc402337546"/>
      <w:bookmarkStart w:id="337" w:name="_Toc433790390"/>
      <w:r w:rsidRPr="00FD7E86">
        <w:t>Emergency suspension of carriage services</w:t>
      </w:r>
      <w:bookmarkEnd w:id="334"/>
      <w:bookmarkEnd w:id="335"/>
      <w:bookmarkEnd w:id="336"/>
      <w:bookmarkEnd w:id="337"/>
    </w:p>
    <w:p w14:paraId="27942AEF" w14:textId="77777777" w:rsidR="00CF02AF" w:rsidRPr="00FD7E86" w:rsidRDefault="00CF02AF" w:rsidP="00CF02AF">
      <w:r w:rsidRPr="00FD7E86">
        <w:t xml:space="preserve">Under section 315 of the </w:t>
      </w:r>
      <w:r w:rsidR="00F813A1" w:rsidRPr="00FD7E86">
        <w:t xml:space="preserve">Telecommunications </w:t>
      </w:r>
      <w:r w:rsidRPr="00FD7E86">
        <w:t>Act, a senior police officer of a police force or service who holds a rank not lower than the rank of ‘Assistant Commissioner’ can</w:t>
      </w:r>
      <w:r w:rsidRPr="00314FB5">
        <w:t xml:space="preserve"> </w:t>
      </w:r>
      <w:r w:rsidRPr="00FD7E86">
        <w:t>request the suspension of a carriage service</w:t>
      </w:r>
      <w:r w:rsidR="00CE5E74" w:rsidRPr="00FD7E86">
        <w:t>,</w:t>
      </w:r>
      <w:r w:rsidRPr="00FD7E86">
        <w:t xml:space="preserve"> if there is an imminent threat to someone’s life or health. CSPs reported the suspension of 31 carriage services in 2014–15, up from 22 in 2013–14.</w:t>
      </w:r>
    </w:p>
    <w:p w14:paraId="7A3FCC11" w14:textId="77777777" w:rsidR="00CF02AF" w:rsidRPr="00FD7E86" w:rsidRDefault="00CF02AF" w:rsidP="000B3AFF">
      <w:pPr>
        <w:pStyle w:val="ACMAHeading1"/>
      </w:pPr>
      <w:bookmarkStart w:id="338" w:name="_Toc399331765"/>
      <w:bookmarkStart w:id="339" w:name="_Toc399336946"/>
      <w:bookmarkStart w:id="340" w:name="_Toc402337547"/>
      <w:bookmarkStart w:id="341" w:name="_Toc433790391"/>
      <w:r w:rsidRPr="00FD7E86">
        <w:t>4.4</w:t>
      </w:r>
      <w:r w:rsidRPr="00FD7E86">
        <w:tab/>
      </w:r>
      <w:r w:rsidR="000B3AFF" w:rsidRPr="00FD7E86">
        <w:tab/>
      </w:r>
      <w:r w:rsidRPr="00FD7E86">
        <w:t>Interception</w:t>
      </w:r>
      <w:bookmarkEnd w:id="338"/>
      <w:bookmarkEnd w:id="339"/>
      <w:bookmarkEnd w:id="340"/>
      <w:bookmarkEnd w:id="341"/>
    </w:p>
    <w:p w14:paraId="7C849FAF" w14:textId="77777777" w:rsidR="00CF02AF" w:rsidRPr="00FD7E86" w:rsidRDefault="00CF02AF" w:rsidP="00314FB5">
      <w:r w:rsidRPr="00FD7E86">
        <w:t>The content of communications between users of telecommunications services is strictly protected in Australia as one of the most crucial areas of telecommunications privacy protection. Interception may only be authorised by law enforcement and national security agencies in accordance with a warrant under the TIA Act. Interception for other purposes is prohibited, with criminal penalties applicable for breaches of the TIA</w:t>
      </w:r>
      <w:r w:rsidR="00D630CD" w:rsidRPr="00FD7E86">
        <w:t xml:space="preserve"> </w:t>
      </w:r>
      <w:r w:rsidRPr="00FD7E86">
        <w:t>Act.</w:t>
      </w:r>
    </w:p>
    <w:p w14:paraId="06EEF1FE" w14:textId="77777777" w:rsidR="00CF02AF" w:rsidRPr="00FD7E86" w:rsidRDefault="00CF02AF" w:rsidP="00DD750B">
      <w:pPr>
        <w:pStyle w:val="ACMAHeading2"/>
      </w:pPr>
      <w:bookmarkStart w:id="342" w:name="_Toc399331766"/>
      <w:bookmarkStart w:id="343" w:name="_Toc399336947"/>
      <w:bookmarkStart w:id="344" w:name="_Toc402337548"/>
      <w:bookmarkStart w:id="345" w:name="_Toc433790392"/>
      <w:r w:rsidRPr="00FD7E86">
        <w:t>Cost of providing assistance</w:t>
      </w:r>
      <w:bookmarkEnd w:id="342"/>
      <w:bookmarkEnd w:id="343"/>
      <w:bookmarkEnd w:id="344"/>
      <w:bookmarkEnd w:id="345"/>
      <w:r w:rsidRPr="00FD7E86">
        <w:t xml:space="preserve"> </w:t>
      </w:r>
    </w:p>
    <w:p w14:paraId="17C642AA" w14:textId="77777777" w:rsidR="00CF02AF" w:rsidRPr="00FD7E86" w:rsidRDefault="00CF02AF" w:rsidP="00314FB5">
      <w:r w:rsidRPr="00FD7E86">
        <w:t xml:space="preserve">Section 314 of the </w:t>
      </w:r>
      <w:r w:rsidR="00F813A1" w:rsidRPr="00FD7E86">
        <w:t xml:space="preserve">Telecommunications </w:t>
      </w:r>
      <w:r w:rsidRPr="00FD7E86">
        <w:t>Act applies if a carrier or carriage service provider is required to provide help to an agency. Such persons must comply with a requirement on the basis that the person neither profits from, nor bears the costs of, giving that help.</w:t>
      </w:r>
    </w:p>
    <w:p w14:paraId="2BF83FBD" w14:textId="77777777" w:rsidR="00CF02AF" w:rsidRPr="00FD7E86" w:rsidRDefault="00CF02AF" w:rsidP="00CF02AF">
      <w:pPr>
        <w:rPr>
          <w:rFonts w:cs="Arial"/>
        </w:rPr>
      </w:pPr>
      <w:r w:rsidRPr="00FD7E86">
        <w:rPr>
          <w:rFonts w:cs="Arial"/>
        </w:rPr>
        <w:t>Chapter 5 of the TIA Act obliges carriers and CSPs to ensure that their networks, facilities and carriage services are capable of enabling communications to be intercepted upon presentation of an interception warrant.</w:t>
      </w:r>
      <w:r w:rsidRPr="00FD7E86">
        <w:rPr>
          <w:rStyle w:val="EndnoteReference"/>
          <w:rFonts w:cs="Arial"/>
        </w:rPr>
        <w:endnoteReference w:id="114"/>
      </w:r>
      <w:r w:rsidRPr="00FD7E86">
        <w:rPr>
          <w:rFonts w:cs="Arial"/>
        </w:rPr>
        <w:t xml:space="preserve"> This obligation includes a requirement to develop, install and maintain an interception capability. Under section 207 of the TIA Act, carriers and CSPs are responsible for the costs associated with providing interception capability in their networks. </w:t>
      </w:r>
    </w:p>
    <w:p w14:paraId="6DB1F02D" w14:textId="77777777" w:rsidR="00DD750B" w:rsidRPr="00FD7E86" w:rsidRDefault="00CF02AF" w:rsidP="00314FB5">
      <w:r w:rsidRPr="00FD7E86">
        <w:t>In 2014–15, the cost to industry of providing interception capability was reported to the ACMA as $22.9 million (Figure</w:t>
      </w:r>
      <w:r w:rsidR="00D630CD" w:rsidRPr="00FD7E86">
        <w:t xml:space="preserve"> </w:t>
      </w:r>
      <w:r w:rsidRPr="00FD7E86">
        <w:t xml:space="preserve">4.2), an increase of approximately 18 per cent from 2013–14. </w:t>
      </w:r>
    </w:p>
    <w:p w14:paraId="5E57E93B" w14:textId="77777777" w:rsidR="00CF02AF" w:rsidRPr="00FD7E86" w:rsidRDefault="00D630CD" w:rsidP="00C05F4C">
      <w:pPr>
        <w:pStyle w:val="Captionfigure"/>
        <w:numPr>
          <w:ilvl w:val="0"/>
          <w:numId w:val="0"/>
        </w:numPr>
        <w:spacing w:after="160"/>
        <w:ind w:left="1021" w:hanging="1021"/>
      </w:pPr>
      <w:r w:rsidRPr="00FD7E86">
        <w:t>Figure 4.</w:t>
      </w:r>
      <w:fldSimple w:instr=" SEQ Figure \* ARABIC ">
        <w:r w:rsidR="007A7220">
          <w:rPr>
            <w:noProof/>
          </w:rPr>
          <w:t>2</w:t>
        </w:r>
      </w:fldSimple>
      <w:r w:rsidRPr="00FD7E86">
        <w:t xml:space="preserve"> Cost of providing interception capabilities ($ million)</w:t>
      </w:r>
    </w:p>
    <w:p w14:paraId="6D9B5213" w14:textId="77777777" w:rsidR="00D630CD" w:rsidRPr="00FD7E86" w:rsidRDefault="00B42283" w:rsidP="00C05F4C">
      <w:pPr>
        <w:pStyle w:val="Captionfigure"/>
        <w:numPr>
          <w:ilvl w:val="0"/>
          <w:numId w:val="0"/>
        </w:numPr>
        <w:spacing w:after="0"/>
        <w:ind w:left="1021" w:hanging="1021"/>
      </w:pPr>
      <w:r>
        <w:rPr>
          <w:noProof/>
        </w:rPr>
        <w:drawing>
          <wp:inline distT="0" distB="0" distL="0" distR="0" wp14:anchorId="41621970" wp14:editId="0B9A087E">
            <wp:extent cx="5939790" cy="1524635"/>
            <wp:effectExtent l="0" t="0" r="0" b="0"/>
            <wp:docPr id="77" name="Picture 77" descr="A .csv file of Figure 4.2 is available on the landing page ‘Communications report 2014–15’, available from the ACMA website. " title="Figure 4.2 Cost of providing interception capabilities ($ mill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Chapter 4_Figure 4.2.png"/>
                    <pic:cNvPicPr/>
                  </pic:nvPicPr>
                  <pic:blipFill>
                    <a:blip r:embed="rId116">
                      <a:extLst>
                        <a:ext uri="{28A0092B-C50C-407E-A947-70E740481C1C}">
                          <a14:useLocalDpi xmlns:a14="http://schemas.microsoft.com/office/drawing/2010/main" val="0"/>
                        </a:ext>
                      </a:extLst>
                    </a:blip>
                    <a:stretch>
                      <a:fillRect/>
                    </a:stretch>
                  </pic:blipFill>
                  <pic:spPr>
                    <a:xfrm>
                      <a:off x="0" y="0"/>
                      <a:ext cx="5939790" cy="1524635"/>
                    </a:xfrm>
                    <a:prstGeom prst="rect">
                      <a:avLst/>
                    </a:prstGeom>
                  </pic:spPr>
                </pic:pic>
              </a:graphicData>
            </a:graphic>
          </wp:inline>
        </w:drawing>
      </w:r>
    </w:p>
    <w:p w14:paraId="7AA89457" w14:textId="77777777" w:rsidR="00D630CD" w:rsidRPr="00FD7E86" w:rsidRDefault="00D630CD" w:rsidP="00314FB5">
      <w:pPr>
        <w:pStyle w:val="ACMANotes"/>
        <w:spacing w:after="240"/>
      </w:pPr>
      <w:r w:rsidRPr="00FD7E86">
        <w:t>Source: ACMA annual industry data request.</w:t>
      </w:r>
    </w:p>
    <w:p w14:paraId="304FCE1C" w14:textId="77777777" w:rsidR="00CF02AF" w:rsidRPr="00FD7E86" w:rsidRDefault="00CF02AF" w:rsidP="000664F7">
      <w:pPr>
        <w:pStyle w:val="ACMAHeading2"/>
      </w:pPr>
      <w:bookmarkStart w:id="346" w:name="_Toc399331767"/>
      <w:bookmarkStart w:id="347" w:name="_Toc399336948"/>
      <w:bookmarkStart w:id="348" w:name="_Toc402337549"/>
      <w:bookmarkStart w:id="349" w:name="_Toc433790393"/>
      <w:bookmarkStart w:id="350" w:name="_Toc399331769"/>
      <w:bookmarkStart w:id="351" w:name="_Toc399336950"/>
      <w:bookmarkStart w:id="352" w:name="_Toc402337551"/>
      <w:bookmarkStart w:id="353" w:name="_Toc341428348"/>
      <w:r w:rsidRPr="00FD7E86">
        <w:lastRenderedPageBreak/>
        <w:t>Interception capability plan compliance</w:t>
      </w:r>
      <w:bookmarkEnd w:id="346"/>
      <w:bookmarkEnd w:id="347"/>
      <w:bookmarkEnd w:id="348"/>
      <w:bookmarkEnd w:id="349"/>
    </w:p>
    <w:p w14:paraId="00A2CF6F" w14:textId="77777777" w:rsidR="00CF02AF" w:rsidRPr="00FD7E86" w:rsidRDefault="00CF02AF" w:rsidP="00CF02AF">
      <w:pPr>
        <w:rPr>
          <w:rFonts w:cs="Arial"/>
        </w:rPr>
      </w:pPr>
      <w:r w:rsidRPr="00FD7E86">
        <w:rPr>
          <w:rFonts w:cs="Arial"/>
        </w:rPr>
        <w:t>Under sections 196 and 197 of the TIA Act, carriers and nominated CSPs must lodge an interception capability plan by 1 July each year with the Communications Access Co-ordinator (CAC) in AGD.</w:t>
      </w:r>
      <w:r w:rsidRPr="00FD7E86">
        <w:rPr>
          <w:rStyle w:val="EndnoteReference"/>
          <w:rFonts w:cs="Arial"/>
        </w:rPr>
        <w:endnoteReference w:id="115"/>
      </w:r>
      <w:r w:rsidRPr="00FD7E86">
        <w:rPr>
          <w:rFonts w:cs="Arial"/>
        </w:rPr>
        <w:t xml:space="preserve"> The ACMA’s role is to enforce this obligation. </w:t>
      </w:r>
    </w:p>
    <w:p w14:paraId="00FC7ED7" w14:textId="77777777" w:rsidR="00CF02AF" w:rsidRPr="00FD7E86" w:rsidRDefault="00CF02AF" w:rsidP="00314FB5">
      <w:pPr>
        <w:spacing w:after="80"/>
        <w:rPr>
          <w:rFonts w:cs="Arial"/>
        </w:rPr>
      </w:pPr>
      <w:r w:rsidRPr="00FD7E86">
        <w:rPr>
          <w:rFonts w:cs="Arial"/>
        </w:rPr>
        <w:t>During the reporting period, AGD referred five carriers to the ACMA for enforcement action</w:t>
      </w:r>
      <w:r w:rsidR="009E206B" w:rsidRPr="00FD7E86">
        <w:rPr>
          <w:rFonts w:cs="Arial"/>
        </w:rPr>
        <w:t xml:space="preserve"> in relation to these provisions</w:t>
      </w:r>
      <w:r w:rsidRPr="00FD7E86">
        <w:rPr>
          <w:rFonts w:cs="Arial"/>
        </w:rPr>
        <w:t>. Of these referrals:</w:t>
      </w:r>
    </w:p>
    <w:p w14:paraId="719AA358" w14:textId="77777777" w:rsidR="00CF02AF" w:rsidRPr="00FD7E86" w:rsidRDefault="00CF02AF" w:rsidP="00CF02AF">
      <w:pPr>
        <w:pStyle w:val="ListBullet"/>
        <w:rPr>
          <w:rFonts w:cs="Arial"/>
          <w:szCs w:val="20"/>
        </w:rPr>
      </w:pPr>
      <w:r w:rsidRPr="00FD7E86">
        <w:rPr>
          <w:rFonts w:cs="Arial"/>
          <w:szCs w:val="20"/>
        </w:rPr>
        <w:t>one carrier submitted its interception capability plan to the CAC following the ACMA’s request that it comply with its legislative obligations</w:t>
      </w:r>
    </w:p>
    <w:p w14:paraId="547956DF" w14:textId="77777777" w:rsidR="00CF02AF" w:rsidRPr="00FD7E86" w:rsidRDefault="00CF02AF" w:rsidP="00CF02AF">
      <w:pPr>
        <w:pStyle w:val="ListBullet"/>
        <w:rPr>
          <w:rFonts w:cs="Arial"/>
          <w:szCs w:val="20"/>
        </w:rPr>
      </w:pPr>
      <w:r w:rsidRPr="00FD7E86">
        <w:rPr>
          <w:rFonts w:cs="Arial"/>
          <w:szCs w:val="20"/>
        </w:rPr>
        <w:t xml:space="preserve">one carrier was deregistered by </w:t>
      </w:r>
      <w:r w:rsidR="008836B1" w:rsidRPr="00FD7E86">
        <w:rPr>
          <w:rFonts w:cs="Arial"/>
          <w:szCs w:val="20"/>
        </w:rPr>
        <w:t xml:space="preserve">the </w:t>
      </w:r>
      <w:r w:rsidR="008836B1" w:rsidRPr="00FD7E86">
        <w:t>Australian Securities and Investments Commission</w:t>
      </w:r>
      <w:r w:rsidR="008836B1" w:rsidRPr="00FD7E86">
        <w:rPr>
          <w:rFonts w:cs="Arial"/>
          <w:szCs w:val="20"/>
        </w:rPr>
        <w:t xml:space="preserve"> </w:t>
      </w:r>
      <w:r w:rsidRPr="00FD7E86">
        <w:rPr>
          <w:rFonts w:cs="Arial"/>
          <w:szCs w:val="20"/>
        </w:rPr>
        <w:t>and therefore had its licence cancelled by the ACMA</w:t>
      </w:r>
    </w:p>
    <w:p w14:paraId="4E0689E5" w14:textId="77777777" w:rsidR="00CF02AF" w:rsidRPr="00FD7E86" w:rsidRDefault="00CF02AF" w:rsidP="000664F7">
      <w:pPr>
        <w:pStyle w:val="ListBulletLast"/>
      </w:pPr>
      <w:r w:rsidRPr="00FD7E86">
        <w:t>three carriers surrendered their carrier licences.</w:t>
      </w:r>
    </w:p>
    <w:p w14:paraId="6BE4EAB5" w14:textId="77777777" w:rsidR="00CF02AF" w:rsidRPr="00FD7E86" w:rsidRDefault="00CF02AF" w:rsidP="000B3AFF">
      <w:pPr>
        <w:pStyle w:val="ACMAHeading1"/>
      </w:pPr>
      <w:bookmarkStart w:id="354" w:name="_Toc433790394"/>
      <w:bookmarkStart w:id="355" w:name="_Toc371589027"/>
      <w:bookmarkStart w:id="356" w:name="_Toc373149089"/>
      <w:bookmarkStart w:id="357" w:name="_Toc399331768"/>
      <w:bookmarkStart w:id="358" w:name="_Toc399336949"/>
      <w:bookmarkStart w:id="359" w:name="_Toc402337550"/>
      <w:r w:rsidRPr="00FD7E86">
        <w:t xml:space="preserve">4.5 </w:t>
      </w:r>
      <w:r w:rsidR="000B3AFF" w:rsidRPr="00FD7E86">
        <w:tab/>
      </w:r>
      <w:r w:rsidRPr="00FD7E86">
        <w:tab/>
        <w:t>Identity checking requirements for prepaid mobile carriage services</w:t>
      </w:r>
      <w:bookmarkEnd w:id="354"/>
    </w:p>
    <w:p w14:paraId="480D1DC3" w14:textId="77777777" w:rsidR="00CF02AF" w:rsidRPr="00FD7E86" w:rsidRDefault="00CF02AF" w:rsidP="00314FB5">
      <w:r w:rsidRPr="00FD7E86">
        <w:t>Under the Telecommunications (Service Provider</w:t>
      </w:r>
      <w:r w:rsidR="00A12C39" w:rsidRPr="00FD7E86">
        <w:t>—</w:t>
      </w:r>
      <w:r w:rsidRPr="00FD7E86">
        <w:t xml:space="preserve">Identity Checks for Prepaid Mobile Carriage Services) Determination 2013, CSPs are required to obtain and verify identity information about the purchasers or service activators of prepaid mobile services. The </w:t>
      </w:r>
      <w:r w:rsidR="00C2764F" w:rsidRPr="00FD7E86">
        <w:t>d</w:t>
      </w:r>
      <w:r w:rsidRPr="00FD7E86">
        <w:t>etermination allows CSPs to use up to eight methods to verify identity information. Two additional verification methods were approved by the ACMA in December 2014, estimated to lead to an annual saving to industry of $6.2 million in compliance costs.</w:t>
      </w:r>
    </w:p>
    <w:p w14:paraId="3A3B8CFE" w14:textId="77777777" w:rsidR="00CF02AF" w:rsidRPr="00FD7E86" w:rsidRDefault="00CF02AF" w:rsidP="00314FB5">
      <w:r w:rsidRPr="00FD7E86">
        <w:t>As part of its 2014</w:t>
      </w:r>
      <w:r w:rsidR="009272FE" w:rsidRPr="00FD7E86">
        <w:t>–</w:t>
      </w:r>
      <w:r w:rsidRPr="00FD7E86">
        <w:t>15 compliance program, the ACMA reviewed the</w:t>
      </w:r>
      <w:r w:rsidRPr="00FD7E86" w:rsidDel="001D633F">
        <w:t xml:space="preserve"> written</w:t>
      </w:r>
      <w:r w:rsidRPr="00FD7E86">
        <w:t xml:space="preserve"> arrangements</w:t>
      </w:r>
      <w:r w:rsidR="006F1FD1">
        <w:t xml:space="preserve"> </w:t>
      </w:r>
      <w:r w:rsidR="006F1FD1" w:rsidRPr="006915D7">
        <w:t>that</w:t>
      </w:r>
      <w:r w:rsidRPr="00FD7E86">
        <w:t xml:space="preserve"> a number of CSPs have in place to comply with the </w:t>
      </w:r>
      <w:r w:rsidR="00C2764F" w:rsidRPr="00FD7E86">
        <w:t>d</w:t>
      </w:r>
      <w:r w:rsidRPr="00FD7E86">
        <w:t>etermination. The program resulted in potential compliance issues being raised with three of the nine CSPs that were selected to participate in this compliance activity. Two CSPs contacted by the ACMA immediately refined their processes to address the potential compliance issues. The ACMA is monitoring the implementation of the remedial action proposed by the remaining CSP as a priority.</w:t>
      </w:r>
    </w:p>
    <w:p w14:paraId="199CCD3C" w14:textId="77777777" w:rsidR="00CF02AF" w:rsidRPr="00FD7E86" w:rsidRDefault="00CF02AF" w:rsidP="000B3AFF">
      <w:pPr>
        <w:pStyle w:val="ACMAHeading1"/>
      </w:pPr>
      <w:bookmarkStart w:id="360" w:name="_Toc433790395"/>
      <w:r w:rsidRPr="00FD7E86">
        <w:t>4.6</w:t>
      </w:r>
      <w:r w:rsidRPr="00FD7E86">
        <w:tab/>
      </w:r>
      <w:r w:rsidR="000B3AFF" w:rsidRPr="00FD7E86">
        <w:tab/>
      </w:r>
      <w:r w:rsidRPr="00FD7E86">
        <w:t>Role of the Integrated Public Number Database</w:t>
      </w:r>
      <w:bookmarkEnd w:id="355"/>
      <w:bookmarkEnd w:id="356"/>
      <w:bookmarkEnd w:id="357"/>
      <w:bookmarkEnd w:id="358"/>
      <w:r w:rsidRPr="00FD7E86">
        <w:t xml:space="preserve"> (IPND)</w:t>
      </w:r>
      <w:bookmarkEnd w:id="359"/>
      <w:bookmarkEnd w:id="360"/>
    </w:p>
    <w:p w14:paraId="2F7A2BEC" w14:textId="77777777" w:rsidR="00CF02AF" w:rsidRPr="00FD7E86" w:rsidRDefault="00CF02AF" w:rsidP="00314FB5">
      <w:r w:rsidRPr="00FD7E86">
        <w:t xml:space="preserve">The IPND is a telecommunications industry-wide database of all listed and unlisted public numbers and their associated customer data. Law enforcement agencies and emergency services regularly access customer data from the IPND and it is critical that the data is accurate for these purposes. </w:t>
      </w:r>
      <w:r w:rsidR="009E7C5D" w:rsidRPr="00FD7E86">
        <w:t>The IPND is managed by Telstra.</w:t>
      </w:r>
    </w:p>
    <w:p w14:paraId="7CF3CE41" w14:textId="77777777" w:rsidR="00CF02AF" w:rsidRPr="00FD7E86" w:rsidRDefault="00CF02AF" w:rsidP="00314FB5">
      <w:r w:rsidRPr="00FD7E86">
        <w:t>Telstra</w:t>
      </w:r>
      <w:r w:rsidR="009E7C5D" w:rsidRPr="00FD7E86">
        <w:t xml:space="preserve"> </w:t>
      </w:r>
      <w:r w:rsidRPr="00FD7E86">
        <w:t>reported that the IPND contained 66.2 million connected services at 30 June 2015, an increase of just over two per cent on the 64.8 million records held one year previously.</w:t>
      </w:r>
      <w:r w:rsidR="00076857" w:rsidRPr="00FD7E86">
        <w:t xml:space="preserve"> </w:t>
      </w:r>
    </w:p>
    <w:p w14:paraId="303C856E" w14:textId="77777777" w:rsidR="00CF02AF" w:rsidRPr="00FD7E86" w:rsidRDefault="00CF02AF" w:rsidP="000664F7">
      <w:pPr>
        <w:pStyle w:val="ACMAHeading2"/>
      </w:pPr>
      <w:bookmarkStart w:id="361" w:name="_Toc433790396"/>
      <w:bookmarkEnd w:id="350"/>
      <w:bookmarkEnd w:id="351"/>
      <w:bookmarkEnd w:id="352"/>
      <w:r w:rsidRPr="00FD7E86">
        <w:t>CSP compliance with IPND requirements</w:t>
      </w:r>
      <w:bookmarkEnd w:id="361"/>
    </w:p>
    <w:p w14:paraId="1CD7A381" w14:textId="77777777" w:rsidR="00CF02AF" w:rsidRPr="00FD7E86" w:rsidRDefault="00CF02AF" w:rsidP="00314FB5">
      <w:r w:rsidRPr="00FD7E86">
        <w:t xml:space="preserve">The ACMA’s compliance program includes a package of measures developed to improve compliance by CSPs with their IPND-related regulatory obligations and, in so doing, improve the quality and completeness of data contained in the IPND. </w:t>
      </w:r>
    </w:p>
    <w:p w14:paraId="17A85DD6" w14:textId="77777777" w:rsidR="00CF02AF" w:rsidRPr="00FD7E86" w:rsidRDefault="00CF02AF" w:rsidP="00314FB5">
      <w:r w:rsidRPr="00FD7E86">
        <w:t>In 2014</w:t>
      </w:r>
      <w:r w:rsidR="00D630CD" w:rsidRPr="00FD7E86">
        <w:t>–</w:t>
      </w:r>
      <w:r w:rsidRPr="00FD7E86">
        <w:t>15, the ACMA continued its key compliance activity of monitoring, on a monthly basis, the percentage of customer records each data provider has in the IPND with one or more errors, as identified by the IPND Manager. This monitoring resulted in the ACMA raising compliance issues with 16 CSPs. All 16 CSPs contacted by the ACMA have taken steps to improve the quality of the customer data they provide to the IPND Manager.</w:t>
      </w:r>
    </w:p>
    <w:p w14:paraId="3124A9A5" w14:textId="77777777" w:rsidR="00CF02AF" w:rsidRPr="00FD7E86" w:rsidRDefault="00CF02AF" w:rsidP="000664F7">
      <w:pPr>
        <w:pStyle w:val="ACMAHeading3"/>
      </w:pPr>
      <w:r w:rsidRPr="00FD7E86">
        <w:t>Southern Phone Company (SPC) enforceable undertaking and direction to comply with TCP Code</w:t>
      </w:r>
    </w:p>
    <w:p w14:paraId="668CDCAE" w14:textId="77777777" w:rsidR="00CF02AF" w:rsidRPr="00FD7E86" w:rsidRDefault="00CF02AF" w:rsidP="00314FB5">
      <w:r w:rsidRPr="00FD7E86">
        <w:t xml:space="preserve">In May 2015, the ACMA directed Southern Phone Company (SPC) to comply with clause 4.6.3 of the </w:t>
      </w:r>
      <w:r w:rsidR="00F461A0" w:rsidRPr="00FD7E86">
        <w:t>C628:2012</w:t>
      </w:r>
      <w:r w:rsidR="00F461A0" w:rsidRPr="00FD7E86">
        <w:rPr>
          <w:i/>
        </w:rPr>
        <w:t xml:space="preserve"> </w:t>
      </w:r>
      <w:r w:rsidRPr="00FD7E86">
        <w:rPr>
          <w:i/>
        </w:rPr>
        <w:t>Telecommunications Consumer Protections Code</w:t>
      </w:r>
      <w:r w:rsidRPr="00FD7E86">
        <w:t xml:space="preserve"> (the TCP Code). This followed an </w:t>
      </w:r>
      <w:r w:rsidRPr="00FD7E86">
        <w:lastRenderedPageBreak/>
        <w:t>investigation that found SPC failed to protect the privacy of its customers’ personal details after it incorrectly classified 3,869 silent numbers in the IPND. The error resulted in those silent numbers and the associated name and address details, being published in authorised public number directories (but not being published in the White Pages produced by Telstra)</w:t>
      </w:r>
      <w:r w:rsidR="00076857" w:rsidRPr="00FD7E86">
        <w:t xml:space="preserve">. </w:t>
      </w:r>
    </w:p>
    <w:p w14:paraId="44FAF2D3" w14:textId="77777777" w:rsidR="00CF02AF" w:rsidRPr="00FD7E86" w:rsidRDefault="00CF02AF" w:rsidP="00314FB5">
      <w:r w:rsidRPr="00FD7E86">
        <w:t xml:space="preserve">The ACMA also found SPC had breached the </w:t>
      </w:r>
      <w:r w:rsidR="00F813A1" w:rsidRPr="00FD7E86">
        <w:t xml:space="preserve">Telecommunications </w:t>
      </w:r>
      <w:r w:rsidRPr="00FD7E86">
        <w:t>Act and the</w:t>
      </w:r>
      <w:r w:rsidR="00F461A0" w:rsidRPr="00FD7E86">
        <w:t xml:space="preserve"> C555:2008</w:t>
      </w:r>
      <w:r w:rsidRPr="00FD7E86">
        <w:t xml:space="preserve"> </w:t>
      </w:r>
      <w:r w:rsidRPr="00FD7E86">
        <w:rPr>
          <w:i/>
        </w:rPr>
        <w:t xml:space="preserve">IPND Industry Code </w:t>
      </w:r>
      <w:r w:rsidRPr="00FD7E86">
        <w:t xml:space="preserve">by failing to provide accurate information to the IPND. The ACMA subsequently accepted an enforceable undertaking from SPC to address the non-compliance with the IPND requirements under the </w:t>
      </w:r>
      <w:r w:rsidR="00F813A1" w:rsidRPr="00FD7E86">
        <w:t xml:space="preserve">Telecommunications </w:t>
      </w:r>
      <w:r w:rsidRPr="00FD7E86">
        <w:t xml:space="preserve">Act. </w:t>
      </w:r>
    </w:p>
    <w:p w14:paraId="6A426CE7" w14:textId="77777777" w:rsidR="00CF02AF" w:rsidRPr="00FD7E86" w:rsidRDefault="00CF02AF" w:rsidP="00CF02AF">
      <w:pPr>
        <w:keepNext/>
        <w:spacing w:after="80"/>
        <w:rPr>
          <w:rFonts w:cs="Arial"/>
          <w:iCs/>
          <w:szCs w:val="21"/>
        </w:rPr>
      </w:pPr>
      <w:r w:rsidRPr="00FD7E86">
        <w:rPr>
          <w:rFonts w:cs="Arial"/>
          <w:iCs/>
          <w:szCs w:val="21"/>
        </w:rPr>
        <w:t>The enforceable undertaking commits SPC to:</w:t>
      </w:r>
    </w:p>
    <w:p w14:paraId="1158DB79" w14:textId="77777777" w:rsidR="00CF02AF" w:rsidRPr="00FD7E86" w:rsidRDefault="00CF02AF" w:rsidP="00CF02AF">
      <w:pPr>
        <w:pStyle w:val="ListBullet"/>
        <w:rPr>
          <w:rFonts w:cs="Arial"/>
          <w:szCs w:val="20"/>
        </w:rPr>
      </w:pPr>
      <w:r w:rsidRPr="00FD7E86">
        <w:rPr>
          <w:rFonts w:cs="Arial"/>
          <w:szCs w:val="20"/>
        </w:rPr>
        <w:t>upgrade its data collection processes</w:t>
      </w:r>
    </w:p>
    <w:p w14:paraId="18E8669C" w14:textId="77777777" w:rsidR="00CF02AF" w:rsidRPr="00FD7E86" w:rsidRDefault="00CF02AF" w:rsidP="00CF02AF">
      <w:pPr>
        <w:pStyle w:val="ListBullet"/>
        <w:rPr>
          <w:rFonts w:cs="Arial"/>
          <w:szCs w:val="20"/>
        </w:rPr>
      </w:pPr>
      <w:r w:rsidRPr="00FD7E86">
        <w:rPr>
          <w:rFonts w:cs="Arial"/>
          <w:szCs w:val="20"/>
        </w:rPr>
        <w:t>engage an independent auditor to review its IPND processes</w:t>
      </w:r>
    </w:p>
    <w:p w14:paraId="26B5243F" w14:textId="77777777" w:rsidR="00CF02AF" w:rsidRPr="00FD7E86" w:rsidRDefault="00CF02AF" w:rsidP="00CF02AF">
      <w:pPr>
        <w:pStyle w:val="ListBullet"/>
        <w:rPr>
          <w:rFonts w:cs="Arial"/>
          <w:szCs w:val="20"/>
        </w:rPr>
      </w:pPr>
      <w:r w:rsidRPr="00FD7E86">
        <w:rPr>
          <w:rFonts w:cs="Arial"/>
          <w:szCs w:val="20"/>
        </w:rPr>
        <w:t xml:space="preserve">instigate a comprehensive education and training program </w:t>
      </w:r>
    </w:p>
    <w:p w14:paraId="0E3C59DC" w14:textId="77777777" w:rsidR="00CF02AF" w:rsidRPr="00FD7E86" w:rsidRDefault="00CF02AF" w:rsidP="000664F7">
      <w:pPr>
        <w:pStyle w:val="ListBulletLast"/>
      </w:pPr>
      <w:r w:rsidRPr="00FD7E86">
        <w:t xml:space="preserve">report </w:t>
      </w:r>
      <w:r w:rsidR="00F461A0" w:rsidRPr="00FD7E86">
        <w:t xml:space="preserve">regularly </w:t>
      </w:r>
      <w:r w:rsidRPr="00FD7E86">
        <w:t>to the ACMA for two years.</w:t>
      </w:r>
    </w:p>
    <w:p w14:paraId="3C4FFFA6" w14:textId="77777777" w:rsidR="00CF02AF" w:rsidRPr="00FD7E86" w:rsidRDefault="00CF02AF" w:rsidP="00314FB5">
      <w:r w:rsidRPr="00FD7E86">
        <w:t>SPC cooperated fully with the ACMA during the investigation and acknowledged that the ACMA had reasonable</w:t>
      </w:r>
      <w:r w:rsidR="00076857" w:rsidRPr="00FD7E86">
        <w:t xml:space="preserve"> grounds to make the findings. </w:t>
      </w:r>
    </w:p>
    <w:p w14:paraId="640F5C05" w14:textId="77777777" w:rsidR="00CF02AF" w:rsidRPr="00FD7E86" w:rsidRDefault="00CF02AF" w:rsidP="000B3AFF">
      <w:pPr>
        <w:pStyle w:val="ACMAHeading1"/>
      </w:pPr>
      <w:bookmarkStart w:id="362" w:name="_Toc433790397"/>
      <w:bookmarkStart w:id="363" w:name="_Toc371589028"/>
      <w:bookmarkStart w:id="364" w:name="_Toc373149090"/>
      <w:bookmarkStart w:id="365" w:name="_Toc399331771"/>
      <w:bookmarkStart w:id="366" w:name="_Toc399336952"/>
      <w:bookmarkStart w:id="367" w:name="_Toc402337553"/>
      <w:bookmarkEnd w:id="353"/>
      <w:r w:rsidRPr="00FD7E86">
        <w:t>4.7</w:t>
      </w:r>
      <w:r w:rsidRPr="00FD7E86">
        <w:tab/>
      </w:r>
      <w:r w:rsidR="000B3AFF" w:rsidRPr="00FD7E86">
        <w:tab/>
      </w:r>
      <w:r w:rsidRPr="00FD7E86">
        <w:t>Handling of life-threatening and unwelcome communications</w:t>
      </w:r>
      <w:bookmarkEnd w:id="362"/>
      <w:r w:rsidRPr="00FD7E86">
        <w:t xml:space="preserve"> </w:t>
      </w:r>
      <w:bookmarkEnd w:id="363"/>
      <w:bookmarkEnd w:id="364"/>
      <w:bookmarkEnd w:id="365"/>
      <w:bookmarkEnd w:id="366"/>
      <w:bookmarkEnd w:id="367"/>
    </w:p>
    <w:p w14:paraId="3C4A080E" w14:textId="77777777" w:rsidR="00CF02AF" w:rsidRPr="00FD7E86" w:rsidRDefault="00CF02AF" w:rsidP="00314FB5">
      <w:r w:rsidRPr="00FD7E86">
        <w:t>The C525:2010</w:t>
      </w:r>
      <w:r w:rsidRPr="00FD7E86">
        <w:rPr>
          <w:i/>
        </w:rPr>
        <w:t xml:space="preserve"> Handling of Life Threatening and Unwelcome Communications</w:t>
      </w:r>
      <w:r w:rsidRPr="00FD7E86">
        <w:t xml:space="preserve"> industry code sets out obligations on carriers, CSPs and the NRS provider in responding to requests from customers and police to resolve life-threatening situations and unwelcome communications. </w:t>
      </w:r>
    </w:p>
    <w:p w14:paraId="7F23CB90" w14:textId="77777777" w:rsidR="00CF02AF" w:rsidRPr="00FD7E86" w:rsidRDefault="00CF02AF" w:rsidP="00314FB5">
      <w:r w:rsidRPr="00FD7E86">
        <w:t xml:space="preserve">During the reporting period, the TIO confirmed that it had found no breaches </w:t>
      </w:r>
      <w:r w:rsidR="00C2764F" w:rsidRPr="00FD7E86">
        <w:t xml:space="preserve">under this code </w:t>
      </w:r>
      <w:r w:rsidRPr="00FD7E86">
        <w:t xml:space="preserve">and that new complaint issues declined from 523 to 413, a 21 per cent decrease </w:t>
      </w:r>
      <w:r w:rsidR="00563AAB" w:rsidRPr="00FD7E86">
        <w:t>compared to</w:t>
      </w:r>
      <w:r w:rsidRPr="00FD7E86">
        <w:t xml:space="preserve"> the previous year. </w:t>
      </w:r>
    </w:p>
    <w:p w14:paraId="1B454249" w14:textId="77777777" w:rsidR="00CF02AF" w:rsidRPr="00FD7E86" w:rsidRDefault="00CF02AF" w:rsidP="000B3AFF">
      <w:pPr>
        <w:pStyle w:val="ACMAHeading1"/>
      </w:pPr>
      <w:bookmarkStart w:id="368" w:name="_Toc399331772"/>
      <w:bookmarkStart w:id="369" w:name="_Toc399336953"/>
      <w:bookmarkStart w:id="370" w:name="_Toc402337554"/>
      <w:bookmarkStart w:id="371" w:name="_Toc433790398"/>
      <w:bookmarkStart w:id="372" w:name="_Toc399331773"/>
      <w:bookmarkStart w:id="373" w:name="_Toc399336954"/>
      <w:bookmarkStart w:id="374" w:name="_Toc402337555"/>
      <w:bookmarkStart w:id="375" w:name="_Toc371589030"/>
      <w:bookmarkStart w:id="376" w:name="_Toc373149092"/>
      <w:r w:rsidRPr="00FD7E86">
        <w:t>4.8</w:t>
      </w:r>
      <w:r w:rsidRPr="00FD7E86">
        <w:tab/>
      </w:r>
      <w:r w:rsidR="000B3AFF" w:rsidRPr="00FD7E86">
        <w:tab/>
      </w:r>
      <w:r w:rsidRPr="00FD7E86">
        <w:t>Submarine cable protection</w:t>
      </w:r>
      <w:bookmarkEnd w:id="368"/>
      <w:bookmarkEnd w:id="369"/>
      <w:bookmarkEnd w:id="370"/>
      <w:bookmarkEnd w:id="371"/>
    </w:p>
    <w:p w14:paraId="4B0C9E72" w14:textId="77777777" w:rsidR="00CF02AF" w:rsidRPr="00FD7E86" w:rsidRDefault="00CF02AF" w:rsidP="00314FB5">
      <w:r w:rsidRPr="00FD7E86">
        <w:t>Submarine cables carry the bulk of Australia’s international voice and data traffic and contribute significantly to the Australian economy. At present there are nine international submarine cables connecting Australia to many countries around the world.</w:t>
      </w:r>
    </w:p>
    <w:p w14:paraId="3E275088" w14:textId="77777777" w:rsidR="00CF02AF" w:rsidRPr="00FD7E86" w:rsidRDefault="00CF02AF" w:rsidP="00314FB5">
      <w:r w:rsidRPr="00FD7E86">
        <w:t xml:space="preserve">Schedule 3A </w:t>
      </w:r>
      <w:r w:rsidR="00703994" w:rsidRPr="00FD7E86">
        <w:t>to</w:t>
      </w:r>
      <w:r w:rsidRPr="00FD7E86">
        <w:t xml:space="preserve"> the </w:t>
      </w:r>
      <w:r w:rsidR="00F813A1" w:rsidRPr="00FD7E86">
        <w:rPr>
          <w:iCs/>
          <w:szCs w:val="21"/>
        </w:rPr>
        <w:t>Telecommunications</w:t>
      </w:r>
      <w:r w:rsidR="00F813A1" w:rsidRPr="00FD7E86">
        <w:t xml:space="preserve"> </w:t>
      </w:r>
      <w:r w:rsidRPr="00FD7E86">
        <w:t xml:space="preserve">Act enables the ACMA to declare protection zones over nationally significant submarine cables and to prohibit or restrict activities that pose a risk of damaging cables in these zones. The legislation establishes offences for damaging a cable or for breaching prohibitions and restrictions, and creates penalties for these offences. </w:t>
      </w:r>
    </w:p>
    <w:p w14:paraId="05495870" w14:textId="77777777" w:rsidR="00CF02AF" w:rsidRPr="00FD7E86" w:rsidRDefault="00CF02AF" w:rsidP="00314FB5">
      <w:r w:rsidRPr="00FD7E86">
        <w:t xml:space="preserve">Australia currently has three submarine cable protection zones—two located off the Sydney coast and one located off the Perth coast. </w:t>
      </w:r>
    </w:p>
    <w:p w14:paraId="69D26ACC" w14:textId="77777777" w:rsidR="00CF02AF" w:rsidRPr="00FD7E86" w:rsidRDefault="00CF02AF" w:rsidP="00314FB5">
      <w:r w:rsidRPr="00FD7E86">
        <w:t xml:space="preserve">No requests for new submarine cable protection zones were considered during 2014–15. However, applications made in July 2015 regarding proposed new installations off the Sunshine Coast indicate that this is an area of renewed activity. </w:t>
      </w:r>
    </w:p>
    <w:p w14:paraId="4857F118" w14:textId="77777777" w:rsidR="00CF02AF" w:rsidRPr="00FD7E86" w:rsidRDefault="00CF02AF" w:rsidP="00314FB5">
      <w:pPr>
        <w:rPr>
          <w:sz w:val="16"/>
          <w:szCs w:val="16"/>
        </w:rPr>
      </w:pPr>
      <w:r w:rsidRPr="00FD7E86">
        <w:t xml:space="preserve">The legislation also provides for a permit regime that requires carriers to obtain a protection zone installation permit (PZ permit) from the ACMA to install a new submarine cable inside a protection zone or a non-protection zone permit (NPZ permit) to install an international submarine cable outside of a protection zone. </w:t>
      </w:r>
    </w:p>
    <w:p w14:paraId="70C90F84" w14:textId="77777777" w:rsidR="00CF02AF" w:rsidRPr="00FD7E86" w:rsidRDefault="00CF02AF" w:rsidP="00314FB5">
      <w:pPr>
        <w:rPr>
          <w:rFonts w:cs="Arial"/>
        </w:rPr>
      </w:pPr>
      <w:r w:rsidRPr="00FD7E86">
        <w:rPr>
          <w:rFonts w:cs="Arial"/>
        </w:rPr>
        <w:t xml:space="preserve">Three NPZ permits were granted during 2014–15. All three authorised the installation of international submarine cables in waters off the west coast of Australia. </w:t>
      </w:r>
    </w:p>
    <w:p w14:paraId="6C652713" w14:textId="77777777" w:rsidR="00CF02AF" w:rsidRPr="00FD7E86" w:rsidRDefault="00CF02AF" w:rsidP="00314FB5">
      <w:pPr>
        <w:rPr>
          <w:rFonts w:cs="Arial"/>
        </w:rPr>
      </w:pPr>
      <w:r w:rsidRPr="00FD7E86">
        <w:rPr>
          <w:rFonts w:cs="Arial"/>
        </w:rPr>
        <w:lastRenderedPageBreak/>
        <w:t xml:space="preserve">One PZ permit was also granted during 2014–15 to install an international submarine cable via the Perth Protection Zone to Indonesia and Singapore. </w:t>
      </w:r>
    </w:p>
    <w:p w14:paraId="7F98E1EF" w14:textId="77777777" w:rsidR="00CF02AF" w:rsidRPr="00FD7E86" w:rsidRDefault="00CF02AF" w:rsidP="00314FB5">
      <w:pPr>
        <w:rPr>
          <w:rFonts w:cs="Arial"/>
        </w:rPr>
      </w:pPr>
      <w:r w:rsidRPr="00FD7E86">
        <w:rPr>
          <w:rFonts w:cs="Arial"/>
        </w:rPr>
        <w:t xml:space="preserve">The ACMA granted three requests to extend an existing PZ permit and one request to extend an existing NPZ permit </w:t>
      </w:r>
      <w:r w:rsidR="00C2764F" w:rsidRPr="00FD7E86">
        <w:rPr>
          <w:rFonts w:cs="Arial"/>
        </w:rPr>
        <w:t>for</w:t>
      </w:r>
      <w:r w:rsidRPr="00FD7E86">
        <w:rPr>
          <w:rFonts w:cs="Arial"/>
        </w:rPr>
        <w:t xml:space="preserve"> a single international submarine cable to be installed between Perth and Singapore. Multiple extensions of the permit were required because of delays in obtaining </w:t>
      </w:r>
      <w:r w:rsidR="00076857" w:rsidRPr="00FD7E86">
        <w:rPr>
          <w:rFonts w:cs="Arial"/>
        </w:rPr>
        <w:t xml:space="preserve">overseas regulatory approvals. </w:t>
      </w:r>
    </w:p>
    <w:p w14:paraId="27208C88" w14:textId="77777777" w:rsidR="00CF02AF" w:rsidRPr="00FD7E86" w:rsidRDefault="00CF02AF" w:rsidP="000B3AFF">
      <w:pPr>
        <w:pStyle w:val="ACMAHeading1"/>
      </w:pPr>
      <w:bookmarkStart w:id="377" w:name="_Toc433790399"/>
      <w:bookmarkEnd w:id="372"/>
      <w:bookmarkEnd w:id="373"/>
      <w:bookmarkEnd w:id="374"/>
      <w:r w:rsidRPr="00FD7E86">
        <w:t>4.9</w:t>
      </w:r>
      <w:r w:rsidRPr="00FD7E86">
        <w:tab/>
      </w:r>
      <w:r w:rsidR="000B3AFF" w:rsidRPr="00FD7E86">
        <w:tab/>
      </w:r>
      <w:r w:rsidRPr="00FD7E86">
        <w:t>Radiocommunications interference complaints</w:t>
      </w:r>
      <w:bookmarkEnd w:id="377"/>
      <w:r w:rsidRPr="00FD7E86">
        <w:t xml:space="preserve"> </w:t>
      </w:r>
    </w:p>
    <w:p w14:paraId="26BBF6E1" w14:textId="77777777" w:rsidR="00CF02AF" w:rsidRPr="00FD7E86" w:rsidRDefault="00CF02AF" w:rsidP="00314FB5">
      <w:r w:rsidRPr="00FD7E86">
        <w:rPr>
          <w:iCs/>
        </w:rPr>
        <w:t>The performance of wireless services depends on the management of interference across wireless networks and devices.</w:t>
      </w:r>
      <w:r w:rsidR="00D630CD" w:rsidRPr="00FD7E86">
        <w:rPr>
          <w:iCs/>
        </w:rPr>
        <w:t xml:space="preserve"> </w:t>
      </w:r>
      <w:r w:rsidRPr="00FD7E86">
        <w:t xml:space="preserve">Under the </w:t>
      </w:r>
      <w:r w:rsidRPr="00FD7E86">
        <w:rPr>
          <w:i/>
        </w:rPr>
        <w:t>Radiocommunications Act 1992</w:t>
      </w:r>
      <w:r w:rsidRPr="00FD7E86">
        <w:t>, the ACMA investigates complaints about interference to licensed radiocommunications. The ACMA classifies interference as either domestic systems or radiocommunications interference.</w:t>
      </w:r>
    </w:p>
    <w:p w14:paraId="13FAD56E" w14:textId="77777777" w:rsidR="00CF02AF" w:rsidRPr="00FD7E86" w:rsidRDefault="00CF02AF" w:rsidP="000664F7">
      <w:pPr>
        <w:pStyle w:val="ACMAHeading2"/>
      </w:pPr>
      <w:bookmarkStart w:id="378" w:name="_Toc433790400"/>
      <w:r w:rsidRPr="00FD7E86">
        <w:t>Domestic systems interference</w:t>
      </w:r>
      <w:bookmarkEnd w:id="378"/>
    </w:p>
    <w:p w14:paraId="18DA9F93" w14:textId="77777777" w:rsidR="00CF02AF" w:rsidRPr="00FD7E86" w:rsidRDefault="00CF02AF" w:rsidP="00314FB5">
      <w:r w:rsidRPr="00FD7E86">
        <w:t>Domestic systems interference (DSI) refers to interference to the reception of radio or television broadcasting, usually in domestic premises. It also encompasses audio interference caused by nearby radio transmitters, such as those used by citizen band or amateur radio operators, or from other radio services with a transmitter located nearby. Household equipment is the major contributing source of</w:t>
      </w:r>
      <w:r w:rsidR="00D630CD" w:rsidRPr="00FD7E86">
        <w:t xml:space="preserve"> </w:t>
      </w:r>
      <w:r w:rsidRPr="00FD7E86">
        <w:t xml:space="preserve">DSI. </w:t>
      </w:r>
    </w:p>
    <w:p w14:paraId="1628903D" w14:textId="77777777" w:rsidR="00CF02AF" w:rsidRPr="00FD7E86" w:rsidRDefault="00CF02AF" w:rsidP="00314FB5">
      <w:pPr>
        <w:rPr>
          <w:rFonts w:ascii="Calibri" w:hAnsi="Calibri"/>
        </w:rPr>
      </w:pPr>
      <w:r w:rsidRPr="00FD7E86">
        <w:t>During 2014–15, there were 475 DSI complaints to the ACMA, significantly fewer than in 2013</w:t>
      </w:r>
      <w:r w:rsidR="00D630CD" w:rsidRPr="00FD7E86">
        <w:t>–</w:t>
      </w:r>
      <w:r w:rsidRPr="00FD7E86">
        <w:t xml:space="preserve">14, and in line with complaint levels of previous years (Figure 4.3). Seventy-two per cent of DSI complaints were about terrestrial digital television </w:t>
      </w:r>
      <w:r w:rsidR="000827E9" w:rsidRPr="00FD7E86">
        <w:t xml:space="preserve">interference </w:t>
      </w:r>
      <w:r w:rsidRPr="00FD7E86">
        <w:t>and 28</w:t>
      </w:r>
      <w:r w:rsidR="00D630CD" w:rsidRPr="00FD7E86">
        <w:t xml:space="preserve"> </w:t>
      </w:r>
      <w:r w:rsidRPr="00FD7E86">
        <w:t>per cent about other domestic systems interference. The large proportion of digital television interference complaints can be associated with the move to digital-only reception. The peak in DSI complaints in the 2013</w:t>
      </w:r>
      <w:r w:rsidR="00D630CD" w:rsidRPr="00FD7E86">
        <w:t>–</w:t>
      </w:r>
      <w:r w:rsidRPr="00FD7E86">
        <w:t xml:space="preserve">14 year may reflect a combination of factors, including </w:t>
      </w:r>
      <w:r w:rsidR="000827E9" w:rsidRPr="00FD7E86">
        <w:t xml:space="preserve">the </w:t>
      </w:r>
      <w:r w:rsidRPr="00FD7E86">
        <w:t xml:space="preserve">increased </w:t>
      </w:r>
      <w:r w:rsidR="000827E9" w:rsidRPr="00FD7E86">
        <w:t xml:space="preserve">use of </w:t>
      </w:r>
      <w:r w:rsidRPr="00FD7E86">
        <w:t>non-compliant LED downlight</w:t>
      </w:r>
      <w:r w:rsidR="000827E9" w:rsidRPr="00FD7E86">
        <w:t>s</w:t>
      </w:r>
      <w:r w:rsidRPr="00FD7E86">
        <w:t>.</w:t>
      </w:r>
    </w:p>
    <w:p w14:paraId="2D3232BA" w14:textId="77777777" w:rsidR="00CF02AF" w:rsidRPr="00FD7E86" w:rsidRDefault="00CF02AF" w:rsidP="00CF02AF">
      <w:pPr>
        <w:rPr>
          <w:rFonts w:cs="Arial"/>
        </w:rPr>
      </w:pPr>
      <w:r w:rsidRPr="00FD7E86">
        <w:rPr>
          <w:rFonts w:cs="Arial"/>
        </w:rPr>
        <w:t>Twelve per cent of DSI complaints resulted in compliance action by the ACMA in 2014–15.</w:t>
      </w:r>
    </w:p>
    <w:p w14:paraId="79D0D6BE" w14:textId="77777777" w:rsidR="00CF02AF" w:rsidRPr="00FD7E86" w:rsidRDefault="00CF02AF" w:rsidP="000664F7">
      <w:pPr>
        <w:pStyle w:val="ACMAHeading2"/>
      </w:pPr>
      <w:bookmarkStart w:id="379" w:name="_Toc433790401"/>
      <w:r w:rsidRPr="00FD7E86">
        <w:t>Radiocommunications interference</w:t>
      </w:r>
      <w:bookmarkEnd w:id="379"/>
    </w:p>
    <w:p w14:paraId="5BCB3AAC" w14:textId="77777777" w:rsidR="00CF02AF" w:rsidRPr="00FD7E86" w:rsidRDefault="00CF02AF" w:rsidP="00314FB5">
      <w:r w:rsidRPr="00FD7E86">
        <w:t>Radiocommunications interference is interference affecting a radiocommunications receiver used for non-broadcasting purposes</w:t>
      </w:r>
      <w:r w:rsidR="000827E9" w:rsidRPr="00FD7E86">
        <w:t>,</w:t>
      </w:r>
      <w:r w:rsidRPr="00FD7E86">
        <w:t xml:space="preserve"> such as public safety, commercial and recreational services.</w:t>
      </w:r>
    </w:p>
    <w:p w14:paraId="1E96B7DF" w14:textId="77777777" w:rsidR="00CF02AF" w:rsidRPr="00FD7E86" w:rsidRDefault="00CF02AF" w:rsidP="00314FB5">
      <w:r w:rsidRPr="00FD7E86">
        <w:t>During 2014–15, mobile telephone services continued to be more affected by interference than any other type of service. Complaints of interference to 3G and 4G mobile services reduced slightly compared to the previous year, while complaints about 2G (GSM) mobile services remained similar.</w:t>
      </w:r>
    </w:p>
    <w:p w14:paraId="1718A242" w14:textId="77777777" w:rsidR="00CF02AF" w:rsidRPr="00FD7E86" w:rsidRDefault="00CF02AF" w:rsidP="00314FB5">
      <w:r w:rsidRPr="00FD7E86">
        <w:t xml:space="preserve">The number of </w:t>
      </w:r>
      <w:r w:rsidR="0076632E" w:rsidRPr="00FD7E86">
        <w:t xml:space="preserve">radiocommunications interference </w:t>
      </w:r>
      <w:r w:rsidRPr="00FD7E86">
        <w:t>complaints more than doubled in the year to June 2015, rising from 398 in 2013–14 to 847 in 2014–15 (Figure</w:t>
      </w:r>
      <w:r w:rsidR="00D630CD" w:rsidRPr="00FD7E86">
        <w:t xml:space="preserve"> </w:t>
      </w:r>
      <w:r w:rsidRPr="00FD7E86">
        <w:t xml:space="preserve">4.3). Radiocommunications transmitters continue to be the significant source of interference. During the reporting </w:t>
      </w:r>
      <w:r w:rsidR="003D358C" w:rsidRPr="00FD7E86">
        <w:t>period,</w:t>
      </w:r>
      <w:r w:rsidRPr="00FD7E86">
        <w:t xml:space="preserve"> there was an increase in compliance actions involving issuing advice and warning notices. These compliance actions were generally effective and required no further action. </w:t>
      </w:r>
    </w:p>
    <w:p w14:paraId="271572F4" w14:textId="77777777" w:rsidR="00DC3A7E" w:rsidRPr="00FD7E86" w:rsidRDefault="00DC3A7E" w:rsidP="00DC3A7E">
      <w:pPr>
        <w:pStyle w:val="ACMAHeading2"/>
      </w:pPr>
      <w:bookmarkStart w:id="380" w:name="_Toc433790402"/>
      <w:r w:rsidRPr="00FD7E86">
        <w:t xml:space="preserve">ACMA </w:t>
      </w:r>
      <w:r w:rsidR="00400A00" w:rsidRPr="00FD7E86">
        <w:t xml:space="preserve">radiocommunications </w:t>
      </w:r>
      <w:r w:rsidRPr="00FD7E86">
        <w:t>compliance program</w:t>
      </w:r>
      <w:bookmarkEnd w:id="380"/>
    </w:p>
    <w:p w14:paraId="7CE7BE39" w14:textId="77777777" w:rsidR="00CF02AF" w:rsidRPr="00FD7E86" w:rsidRDefault="00F87755" w:rsidP="00314FB5">
      <w:r w:rsidRPr="00FD7E86">
        <w:t>The decrease in DSI compliance actions is the result of an increase in the efficiency of the ACMA’s radiocommunications compliance program. Since the introduction of the ACMA’s ta</w:t>
      </w:r>
      <w:r w:rsidRPr="00314FB5">
        <w:t>r</w:t>
      </w:r>
      <w:r w:rsidRPr="00FD7E86">
        <w:t>geted priority compliance area program in 2012, the ACMA has been able to reduce the number of radiocommunications investigations conducted by adapting its resource allocation to reflect the variable risk levels associated with interference and harm in the communications environment. The reduction in the number of investigations has been offset by an increase in the number of warning notices and infringement notices issued.</w:t>
      </w:r>
    </w:p>
    <w:p w14:paraId="61798AC3" w14:textId="77777777" w:rsidR="00CF02AF" w:rsidRPr="00FD7E86" w:rsidRDefault="00D630CD" w:rsidP="00C05F4C">
      <w:pPr>
        <w:pStyle w:val="Captionfigure"/>
        <w:numPr>
          <w:ilvl w:val="0"/>
          <w:numId w:val="0"/>
        </w:numPr>
        <w:spacing w:after="160"/>
      </w:pPr>
      <w:r w:rsidRPr="00FD7E86">
        <w:lastRenderedPageBreak/>
        <w:t>Figure 4.3 Domestic systems interference and radiocommunications interference complaints and compliance actions</w:t>
      </w:r>
    </w:p>
    <w:p w14:paraId="0ECD5700" w14:textId="77777777" w:rsidR="00D630CD" w:rsidRPr="00FD7E86" w:rsidRDefault="004B5A2D" w:rsidP="00C05F4C">
      <w:pPr>
        <w:spacing w:after="0"/>
      </w:pPr>
      <w:r>
        <w:rPr>
          <w:noProof/>
        </w:rPr>
        <w:drawing>
          <wp:inline distT="0" distB="0" distL="0" distR="0" wp14:anchorId="4363139D" wp14:editId="31706D78">
            <wp:extent cx="5939790" cy="3785870"/>
            <wp:effectExtent l="0" t="0" r="3810" b="5080"/>
            <wp:docPr id="80" name="Picture 80" descr="A .csv file of Figure 4.3 is available on the landing page ‘Communications report 2014–15’, available from the ACMA website. " title="Figure 4.3 Domestic systems interference and radiocommunications interference complaints and compliance 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Chapter 4_Figure 4.3.png"/>
                    <pic:cNvPicPr/>
                  </pic:nvPicPr>
                  <pic:blipFill>
                    <a:blip r:embed="rId117">
                      <a:extLst>
                        <a:ext uri="{28A0092B-C50C-407E-A947-70E740481C1C}">
                          <a14:useLocalDpi xmlns:a14="http://schemas.microsoft.com/office/drawing/2010/main" val="0"/>
                        </a:ext>
                      </a:extLst>
                    </a:blip>
                    <a:stretch>
                      <a:fillRect/>
                    </a:stretch>
                  </pic:blipFill>
                  <pic:spPr>
                    <a:xfrm>
                      <a:off x="0" y="0"/>
                      <a:ext cx="5939790" cy="3785870"/>
                    </a:xfrm>
                    <a:prstGeom prst="rect">
                      <a:avLst/>
                    </a:prstGeom>
                  </pic:spPr>
                </pic:pic>
              </a:graphicData>
            </a:graphic>
          </wp:inline>
        </w:drawing>
      </w:r>
    </w:p>
    <w:p w14:paraId="768F4DA6" w14:textId="77777777" w:rsidR="00D630CD" w:rsidRPr="00FD7E86" w:rsidRDefault="00D630CD" w:rsidP="000664F7">
      <w:pPr>
        <w:pStyle w:val="ACMANotes"/>
      </w:pPr>
      <w:r w:rsidRPr="00FD7E86">
        <w:t>Base: Number of complaints and compliance actions.</w:t>
      </w:r>
    </w:p>
    <w:p w14:paraId="72A2D169" w14:textId="77777777" w:rsidR="00D630CD" w:rsidRPr="00FD7E86" w:rsidRDefault="00D630CD" w:rsidP="00E450B7">
      <w:pPr>
        <w:pStyle w:val="ACMANotes"/>
      </w:pPr>
      <w:r w:rsidRPr="00FD7E86">
        <w:t>Source: Domestic system interference and radiocommunications interference complaints to the ACMA.</w:t>
      </w:r>
    </w:p>
    <w:p w14:paraId="6B48AFF0" w14:textId="77777777" w:rsidR="00E450B7" w:rsidRPr="00FD7E86" w:rsidRDefault="00E450B7" w:rsidP="004E0897">
      <w:pPr>
        <w:pStyle w:val="ACMASpaceaftertable"/>
        <w:rPr>
          <w:i/>
          <w:sz w:val="16"/>
          <w:szCs w:val="16"/>
        </w:rPr>
      </w:pPr>
    </w:p>
    <w:p w14:paraId="5E9281B2" w14:textId="77777777" w:rsidR="00D630CD" w:rsidRPr="00FD7E86" w:rsidRDefault="00D630CD" w:rsidP="000664F7">
      <w:pPr>
        <w:pStyle w:val="ACMASpaceaftertable"/>
      </w:pPr>
    </w:p>
    <w:bookmarkEnd w:id="375"/>
    <w:bookmarkEnd w:id="376"/>
    <w:p w14:paraId="35867F14" w14:textId="77777777" w:rsidR="00CF02AF" w:rsidRPr="00FD7E86" w:rsidRDefault="00CF02AF" w:rsidP="00CF02AF">
      <w:pPr>
        <w:sectPr w:rsidR="00CF02AF" w:rsidRPr="00FD7E86" w:rsidSect="00380CCB">
          <w:endnotePr>
            <w:numFmt w:val="decimal"/>
            <w:numRestart w:val="eachSect"/>
          </w:endnotePr>
          <w:pgSz w:w="11906" w:h="16838" w:code="9"/>
          <w:pgMar w:top="1945" w:right="1134" w:bottom="1134" w:left="1134" w:header="709" w:footer="119" w:gutter="284"/>
          <w:cols w:space="708"/>
          <w:docGrid w:linePitch="360"/>
        </w:sectPr>
      </w:pPr>
    </w:p>
    <w:p w14:paraId="03C5EDF2" w14:textId="77777777" w:rsidR="00A2339C" w:rsidRPr="00FD7E86" w:rsidRDefault="00A2339C" w:rsidP="00A2339C">
      <w:pPr>
        <w:pStyle w:val="Heading1"/>
      </w:pPr>
      <w:bookmarkStart w:id="381" w:name="_Toc433790403"/>
      <w:r w:rsidRPr="00FD7E86">
        <w:lastRenderedPageBreak/>
        <w:t>Chapter 5: Telecommunications consumer safeguards and quality of service</w:t>
      </w:r>
      <w:bookmarkEnd w:id="381"/>
    </w:p>
    <w:p w14:paraId="5B4621EC" w14:textId="77777777" w:rsidR="00A2339C" w:rsidRPr="00FD7E86" w:rsidRDefault="001276AF" w:rsidP="000B3AFF">
      <w:pPr>
        <w:pStyle w:val="ACMAHeading1"/>
      </w:pPr>
      <w:bookmarkStart w:id="382" w:name="_Toc433790404"/>
      <w:r w:rsidRPr="00FD7E86">
        <w:t>5.1</w:t>
      </w:r>
      <w:r w:rsidRPr="00FD7E86">
        <w:tab/>
      </w:r>
      <w:r w:rsidRPr="00FD7E86">
        <w:tab/>
      </w:r>
      <w:r w:rsidR="00A2339C" w:rsidRPr="00FD7E86">
        <w:t>Overview</w:t>
      </w:r>
      <w:bookmarkEnd w:id="382"/>
    </w:p>
    <w:p w14:paraId="2C903FBD" w14:textId="77777777" w:rsidR="00A2339C" w:rsidRPr="00FD7E86" w:rsidRDefault="00A2339C" w:rsidP="00314FB5">
      <w:r w:rsidRPr="00FD7E86">
        <w:t xml:space="preserve">This chapter </w:t>
      </w:r>
      <w:r w:rsidR="00A83E41" w:rsidRPr="00FD7E86">
        <w:rPr>
          <w:rFonts w:cs="Arial"/>
        </w:rPr>
        <w:t xml:space="preserve">addresses regulatory requirements to report </w:t>
      </w:r>
      <w:r w:rsidR="005A4609" w:rsidRPr="00FD7E86">
        <w:rPr>
          <w:rFonts w:cs="Arial"/>
        </w:rPr>
        <w:t xml:space="preserve">on </w:t>
      </w:r>
      <w:r w:rsidRPr="00FD7E86">
        <w:t>the efficiency of the supply of telecommunications service, the adequacy and quality of these services</w:t>
      </w:r>
      <w:r w:rsidR="00BA14D6" w:rsidRPr="00FD7E86">
        <w:t>,</w:t>
      </w:r>
      <w:r w:rsidRPr="00FD7E86">
        <w:t xml:space="preserve"> and carrier obligations with respect to codes and standards. The chapter presents analysis and information about the telecommunications industry’s performance in meeting key regulatory obligations</w:t>
      </w:r>
      <w:r w:rsidR="00BA14D6" w:rsidRPr="00FD7E86">
        <w:t>,</w:t>
      </w:r>
      <w:r w:rsidRPr="00FD7E86">
        <w:t xml:space="preserve"> including the Telecommunications (Customer Service Guarantee) Standard 2011 (CSG Standard), the Network Reliability Framework (NRF), provision of priority assistance to customers, number portability, telemarketing and spam investigations, industry compliance with telecommunications codes, and trends in Telecommunications Industry Ombudsman (TIO) complaints.</w:t>
      </w:r>
    </w:p>
    <w:p w14:paraId="34EA09CE" w14:textId="77777777" w:rsidR="00A2339C" w:rsidRPr="00FD7E86" w:rsidRDefault="008214C1" w:rsidP="00314FB5">
      <w:pPr>
        <w:spacing w:after="80"/>
      </w:pPr>
      <w:r w:rsidRPr="00FD7E86">
        <w:t>In summary</w:t>
      </w:r>
      <w:r w:rsidR="00A2339C" w:rsidRPr="00FD7E86">
        <w:t>:</w:t>
      </w:r>
    </w:p>
    <w:p w14:paraId="1186FD01" w14:textId="77777777" w:rsidR="00A2339C" w:rsidRPr="00FD7E86" w:rsidRDefault="00A2339C" w:rsidP="00A2339C">
      <w:pPr>
        <w:pStyle w:val="ListBullet"/>
      </w:pPr>
      <w:r w:rsidRPr="00FD7E86">
        <w:t xml:space="preserve">all qualifying carriage service providers </w:t>
      </w:r>
      <w:r w:rsidR="005A4609" w:rsidRPr="00FD7E86">
        <w:t xml:space="preserve">met </w:t>
      </w:r>
      <w:r w:rsidRPr="00FD7E86">
        <w:t>the Customer Service Guarantee (CSG) performance benchmarks</w:t>
      </w:r>
    </w:p>
    <w:p w14:paraId="02A4C8B0" w14:textId="77777777" w:rsidR="00A2339C" w:rsidRPr="00FD7E86" w:rsidRDefault="005A4609" w:rsidP="00A2339C">
      <w:pPr>
        <w:pStyle w:val="ListBullet"/>
      </w:pPr>
      <w:r w:rsidRPr="00FD7E86">
        <w:t xml:space="preserve">there was </w:t>
      </w:r>
      <w:r w:rsidR="00A2339C" w:rsidRPr="00FD7E86">
        <w:t>a six per cent increase in the number of telephone numbers listed on the Do Not Call Register (DNCR)</w:t>
      </w:r>
      <w:r w:rsidR="00BA14D6" w:rsidRPr="00FD7E86">
        <w:t xml:space="preserve"> to </w:t>
      </w:r>
      <w:r w:rsidR="00A2339C" w:rsidRPr="00FD7E86">
        <w:t>more than 660,000 numbers in 2014–15, taking the amount of numbers listed to 10.26 million</w:t>
      </w:r>
    </w:p>
    <w:p w14:paraId="06B3B9B2" w14:textId="77777777" w:rsidR="00A2339C" w:rsidRPr="00FD7E86" w:rsidRDefault="005A4609" w:rsidP="00A2339C">
      <w:pPr>
        <w:pStyle w:val="ListBullet"/>
      </w:pPr>
      <w:r w:rsidRPr="00FD7E86">
        <w:t xml:space="preserve">there was </w:t>
      </w:r>
      <w:r w:rsidR="00A2339C" w:rsidRPr="00FD7E86">
        <w:t>a 10.4 per cent decline in the number of complaints to the TIO, down to 124,417 new complaints in 2014–15</w:t>
      </w:r>
    </w:p>
    <w:p w14:paraId="37E78628" w14:textId="77777777" w:rsidR="00A2339C" w:rsidRPr="00FD7E86" w:rsidRDefault="005A4609" w:rsidP="00A2339C">
      <w:pPr>
        <w:pStyle w:val="ListBullet"/>
      </w:pPr>
      <w:r w:rsidRPr="00FD7E86">
        <w:t xml:space="preserve">there were </w:t>
      </w:r>
      <w:r w:rsidR="00A2339C" w:rsidRPr="00FD7E86">
        <w:t>declines in the total number of payphones (down 7.8 per cent in 2014–15 to 25,876) and the number of fixed-line services covered by the CSG Standard (down 3.1 per cent to 6.34 million services)</w:t>
      </w:r>
    </w:p>
    <w:p w14:paraId="4812889C" w14:textId="77777777" w:rsidR="00A2339C" w:rsidRPr="00FD7E86" w:rsidRDefault="00A77BDC" w:rsidP="00A2339C">
      <w:pPr>
        <w:pStyle w:val="ListBullet"/>
      </w:pPr>
      <w:r w:rsidRPr="00FD7E86">
        <w:t xml:space="preserve">there was </w:t>
      </w:r>
      <w:r w:rsidR="00A2339C" w:rsidRPr="00FD7E86">
        <w:t xml:space="preserve">a decrease in the amount of compensation </w:t>
      </w:r>
      <w:r w:rsidR="00BA14D6" w:rsidRPr="00FD7E86">
        <w:t xml:space="preserve">paid </w:t>
      </w:r>
      <w:r w:rsidR="00A2339C" w:rsidRPr="00FD7E86">
        <w:t>to customers as a result of failing to meet CSG Standard time frames, down 27.6 per cent to $5.85 million</w:t>
      </w:r>
    </w:p>
    <w:p w14:paraId="0A0F9C4C" w14:textId="77777777" w:rsidR="00A2339C" w:rsidRPr="00FD7E86" w:rsidRDefault="00A77BDC" w:rsidP="00A2339C">
      <w:pPr>
        <w:pStyle w:val="ListBullet"/>
      </w:pPr>
      <w:r w:rsidRPr="00FD7E86">
        <w:t xml:space="preserve">there was </w:t>
      </w:r>
      <w:r w:rsidR="00A2339C" w:rsidRPr="00FD7E86">
        <w:t>a 41 per cent increase in the number of local numbers ported (up to 1.22 million) and a three per cent increase in the number of mobile phone numbers ported (up to 1.72 million)</w:t>
      </w:r>
    </w:p>
    <w:p w14:paraId="13EBB800" w14:textId="77777777" w:rsidR="00A2339C" w:rsidRPr="00FD7E86" w:rsidRDefault="00A77BDC" w:rsidP="00A2339C">
      <w:pPr>
        <w:pStyle w:val="ListBulletLast"/>
      </w:pPr>
      <w:r w:rsidRPr="00FD7E86">
        <w:t xml:space="preserve">there was </w:t>
      </w:r>
      <w:r w:rsidR="00A2339C" w:rsidRPr="00FD7E86">
        <w:t xml:space="preserve">an increase in the average number per day of computer infections reported under the Australian Internet Security Initiative (AISI), up from an average of 25,839 per day in 2013–14 to 26,645 per day in 2014–15. </w:t>
      </w:r>
    </w:p>
    <w:p w14:paraId="54FE87CE" w14:textId="77777777" w:rsidR="00A2339C" w:rsidRPr="00FD7E86" w:rsidRDefault="001276AF" w:rsidP="000B3AFF">
      <w:pPr>
        <w:pStyle w:val="ACMAHeading1"/>
      </w:pPr>
      <w:bookmarkStart w:id="383" w:name="_Toc433790405"/>
      <w:r w:rsidRPr="00FD7E86">
        <w:t>5.2</w:t>
      </w:r>
      <w:r w:rsidRPr="00FD7E86">
        <w:tab/>
      </w:r>
      <w:r w:rsidRPr="00FD7E86">
        <w:tab/>
      </w:r>
      <w:r w:rsidR="00A2339C" w:rsidRPr="00FD7E86">
        <w:t>Telecommunications Industry Levy (TIL) and telecommunications public policy outcomes</w:t>
      </w:r>
      <w:bookmarkEnd w:id="383"/>
    </w:p>
    <w:p w14:paraId="43ACBF54" w14:textId="77777777" w:rsidR="00A2339C" w:rsidRPr="00FD7E86" w:rsidRDefault="00A2339C" w:rsidP="00314FB5">
      <w:bookmarkStart w:id="384" w:name="_Toc287540178"/>
      <w:bookmarkStart w:id="385" w:name="_Toc308517202"/>
      <w:bookmarkStart w:id="386" w:name="_Toc308523642"/>
      <w:bookmarkStart w:id="387" w:name="_Toc312157157"/>
      <w:bookmarkStart w:id="388" w:name="_Toc371589037"/>
      <w:bookmarkStart w:id="389" w:name="_Toc373149099"/>
      <w:r w:rsidRPr="00FD7E86">
        <w:t>The TIL funds the residual costs (after government funding) of the payment of contractors and grant recipients, and eligible administrative costs</w:t>
      </w:r>
      <w:r w:rsidR="00BA14D6" w:rsidRPr="00FD7E86">
        <w:t>,</w:t>
      </w:r>
      <w:r w:rsidRPr="00FD7E86">
        <w:t xml:space="preserve"> to ensure continuity of key telecommunications safeguards. </w:t>
      </w:r>
    </w:p>
    <w:p w14:paraId="5534DD05" w14:textId="77777777" w:rsidR="00A2339C" w:rsidRPr="00FD7E86" w:rsidRDefault="00A2339C" w:rsidP="00314FB5">
      <w:pPr>
        <w:spacing w:after="80"/>
      </w:pPr>
      <w:r w:rsidRPr="00FD7E86">
        <w:t>In particular, this levy provides funding for:</w:t>
      </w:r>
    </w:p>
    <w:p w14:paraId="680FEB0C" w14:textId="77777777" w:rsidR="00A2339C" w:rsidRPr="00FD7E86" w:rsidRDefault="00A2339C" w:rsidP="00A2339C">
      <w:pPr>
        <w:pStyle w:val="ListBullet"/>
      </w:pPr>
      <w:r w:rsidRPr="00FD7E86">
        <w:t>reasonably accessible standard telephone services and payphone services to all Australians on an equitable basis, wherever they reside or carry on business</w:t>
      </w:r>
      <w:r w:rsidRPr="00FD7E86" w:rsidDel="00E87498">
        <w:t xml:space="preserve"> </w:t>
      </w:r>
      <w:r w:rsidRPr="00FD7E86">
        <w:t>(the universal service obligation or USO)</w:t>
      </w:r>
    </w:p>
    <w:p w14:paraId="45B90A38" w14:textId="77777777" w:rsidR="00A2339C" w:rsidRPr="00FD7E86" w:rsidRDefault="00A2339C" w:rsidP="00A2339C">
      <w:pPr>
        <w:pStyle w:val="ListBullet"/>
      </w:pPr>
      <w:r w:rsidRPr="00FD7E86">
        <w:t xml:space="preserve">a national telephone service to enable people who are deaf or have a hearing and/or speech </w:t>
      </w:r>
      <w:r w:rsidR="009950E8" w:rsidRPr="00FD7E86">
        <w:t xml:space="preserve">impairment </w:t>
      </w:r>
      <w:r w:rsidRPr="00FD7E86">
        <w:t>to make and receive telephone calls (the National Relay Service or NRS) wherever they reside or carry on business</w:t>
      </w:r>
    </w:p>
    <w:p w14:paraId="66C9DE88" w14:textId="77777777" w:rsidR="00A2339C" w:rsidRPr="00FD7E86" w:rsidRDefault="00A2339C" w:rsidP="00A2339C">
      <w:pPr>
        <w:pStyle w:val="ListBullet"/>
      </w:pPr>
      <w:r w:rsidRPr="00FD7E86">
        <w:t>end</w:t>
      </w:r>
      <w:r w:rsidR="00AC0B0B" w:rsidRPr="00FD7E86">
        <w:t xml:space="preserve"> </w:t>
      </w:r>
      <w:r w:rsidRPr="00FD7E86">
        <w:t xml:space="preserve">users of standard telephone services in Australia to have access, free of charge, to an emergency call service </w:t>
      </w:r>
    </w:p>
    <w:p w14:paraId="696AFF97" w14:textId="77777777" w:rsidR="00A2339C" w:rsidRPr="00FD7E86" w:rsidRDefault="00A2339C" w:rsidP="00314FB5">
      <w:pPr>
        <w:pStyle w:val="ListBulletLast"/>
      </w:pPr>
      <w:r w:rsidRPr="00FD7E86">
        <w:lastRenderedPageBreak/>
        <w:t xml:space="preserve">delivery of other public policy </w:t>
      </w:r>
      <w:r w:rsidRPr="00314FB5">
        <w:t>telecommunications</w:t>
      </w:r>
      <w:r w:rsidRPr="00FD7E86">
        <w:t xml:space="preserve"> outcomes</w:t>
      </w:r>
      <w:r w:rsidR="00BA14D6" w:rsidRPr="00FD7E86">
        <w:t xml:space="preserve">, </w:t>
      </w:r>
      <w:r w:rsidRPr="00FD7E86">
        <w:t>for example</w:t>
      </w:r>
      <w:r w:rsidR="00BA14D6" w:rsidRPr="00FD7E86">
        <w:t>,</w:t>
      </w:r>
      <w:r w:rsidRPr="00FD7E86">
        <w:t xml:space="preserve"> untimed local calls.</w:t>
      </w:r>
    </w:p>
    <w:p w14:paraId="48DC2B2E" w14:textId="77777777" w:rsidR="00A2339C" w:rsidRPr="00FD7E86" w:rsidRDefault="00A2339C" w:rsidP="00314FB5">
      <w:pPr>
        <w:rPr>
          <w:rFonts w:cs="Arial"/>
        </w:rPr>
      </w:pPr>
      <w:r w:rsidRPr="00FD7E86">
        <w:rPr>
          <w:rFonts w:cs="Arial"/>
        </w:rPr>
        <w:t xml:space="preserve">The ACMA is </w:t>
      </w:r>
      <w:r w:rsidRPr="00FD7E86">
        <w:t xml:space="preserve">responsible for the billing and collection of the TIL, while the </w:t>
      </w:r>
      <w:r w:rsidRPr="00FD7E86">
        <w:rPr>
          <w:szCs w:val="20"/>
        </w:rPr>
        <w:t>Telecommunications Universal Service Management Authority (</w:t>
      </w:r>
      <w:r w:rsidRPr="00FD7E86">
        <w:t>TUSMA) managed the contractual arrangements and service provider payments up to the end of the 2014–15 financial</w:t>
      </w:r>
      <w:r w:rsidRPr="00FD7E86">
        <w:rPr>
          <w:rFonts w:cs="Arial"/>
        </w:rPr>
        <w:t xml:space="preserve"> year. </w:t>
      </w:r>
      <w:r w:rsidRPr="00FD7E86">
        <w:rPr>
          <w:rFonts w:cs="Arial"/>
          <w:color w:val="000000" w:themeColor="text1"/>
        </w:rPr>
        <w:t>O</w:t>
      </w:r>
      <w:r w:rsidRPr="00FD7E86">
        <w:rPr>
          <w:rFonts w:cs="Arial"/>
        </w:rPr>
        <w:t>n 1 July 2015, TUSMA was abolished and functions were transferred to the Department of Communications.</w:t>
      </w:r>
      <w:r w:rsidR="00F44E2E" w:rsidRPr="00FD7E86">
        <w:rPr>
          <w:rStyle w:val="EndnoteReference"/>
          <w:rFonts w:cs="Arial"/>
        </w:rPr>
        <w:endnoteReference w:id="116"/>
      </w:r>
    </w:p>
    <w:p w14:paraId="4171700F" w14:textId="77777777" w:rsidR="00A2339C" w:rsidRPr="00FD7E86" w:rsidRDefault="00A2339C" w:rsidP="00DD750B">
      <w:pPr>
        <w:pStyle w:val="ACMAHeading2"/>
      </w:pPr>
      <w:bookmarkStart w:id="390" w:name="_Toc399331779"/>
      <w:bookmarkStart w:id="391" w:name="_Toc399336960"/>
      <w:bookmarkStart w:id="392" w:name="_Toc402337561"/>
      <w:bookmarkStart w:id="393" w:name="_Toc433790406"/>
      <w:r w:rsidRPr="00FD7E86">
        <w:t>Industry levies and payments</w:t>
      </w:r>
      <w:bookmarkEnd w:id="384"/>
      <w:bookmarkEnd w:id="385"/>
      <w:bookmarkEnd w:id="386"/>
      <w:bookmarkEnd w:id="387"/>
      <w:bookmarkEnd w:id="388"/>
      <w:bookmarkEnd w:id="389"/>
      <w:bookmarkEnd w:id="390"/>
      <w:bookmarkEnd w:id="391"/>
      <w:bookmarkEnd w:id="392"/>
      <w:bookmarkEnd w:id="393"/>
    </w:p>
    <w:p w14:paraId="37E4BBF4" w14:textId="77777777" w:rsidR="00A2339C" w:rsidRPr="00FD7E86" w:rsidRDefault="00A2339C" w:rsidP="00314FB5">
      <w:r w:rsidRPr="00FD7E86">
        <w:t>The TIL amount of a licensed telecommunications carrier</w:t>
      </w:r>
      <w:r w:rsidRPr="00FD7E86" w:rsidDel="007761F9">
        <w:t xml:space="preserve"> </w:t>
      </w:r>
      <w:r w:rsidRPr="00FD7E86">
        <w:t>is the amount which that carrier must contribute to the cost of funding the activities previously undertaken by TUSMA, and which are now undertaken by the Department of Communications</w:t>
      </w:r>
      <w:r w:rsidR="00F44E2E" w:rsidRPr="00FD7E86">
        <w:t xml:space="preserve"> and the Arts</w:t>
      </w:r>
      <w:r w:rsidRPr="00FD7E86">
        <w:t>. For the purposes of the TIL, a ‘participating person’ is</w:t>
      </w:r>
      <w:r w:rsidRPr="00FD7E86">
        <w:rPr>
          <w:lang w:val="en"/>
        </w:rPr>
        <w:t xml:space="preserve"> a carrier with eligible revenue in excess of $25</w:t>
      </w:r>
      <w:r w:rsidR="00F44E2E" w:rsidRPr="00FD7E86">
        <w:rPr>
          <w:lang w:val="en"/>
        </w:rPr>
        <w:t xml:space="preserve"> </w:t>
      </w:r>
      <w:r w:rsidRPr="00FD7E86">
        <w:rPr>
          <w:lang w:val="en"/>
        </w:rPr>
        <w:t>million. Carriers who submit an eligible statutory declaration by 31 October and whose revenue is less than $25 million are not assessed for the TIL.</w:t>
      </w:r>
      <w:r w:rsidRPr="00FD7E86">
        <w:t xml:space="preserve"> Contributions are, in general, proportionate to that participating person’s share of the industry’s total eligible revenue for the relevant period. </w:t>
      </w:r>
    </w:p>
    <w:p w14:paraId="5D0B4493" w14:textId="77777777" w:rsidR="00A2339C" w:rsidRPr="00FD7E86" w:rsidRDefault="00A2339C" w:rsidP="00314FB5">
      <w:r w:rsidRPr="00FD7E86">
        <w:t>The ACMA manages the assessment and collection of levies over a three-year cycle (</w:t>
      </w:r>
      <w:r w:rsidR="003D7358" w:rsidRPr="00FD7E86">
        <w:t>Figure 5.1</w:t>
      </w:r>
      <w:r w:rsidRPr="00FD7E86">
        <w:t>).</w:t>
      </w:r>
      <w:r w:rsidRPr="00FD7E86" w:rsidDel="00D25ADA">
        <w:t xml:space="preserve"> </w:t>
      </w:r>
      <w:bookmarkStart w:id="394" w:name="_Ref398796465"/>
      <w:bookmarkStart w:id="395" w:name="_Ref399324461"/>
    </w:p>
    <w:bookmarkEnd w:id="394"/>
    <w:bookmarkEnd w:id="395"/>
    <w:p w14:paraId="14529971" w14:textId="77777777" w:rsidR="00A2339C" w:rsidRPr="00FD7E86" w:rsidRDefault="00DD750B" w:rsidP="00DD750B">
      <w:pPr>
        <w:pStyle w:val="ACMAFigureHeader"/>
        <w:numPr>
          <w:ilvl w:val="0"/>
          <w:numId w:val="0"/>
        </w:numPr>
      </w:pPr>
      <w:r w:rsidRPr="00FD7E86">
        <w:t xml:space="preserve">Figure 5.1 </w:t>
      </w:r>
      <w:r w:rsidR="00A2339C" w:rsidRPr="00FD7E86">
        <w:t>Collection and assessment of levies</w:t>
      </w:r>
    </w:p>
    <w:p w14:paraId="3FD535F4" w14:textId="77777777" w:rsidR="00A2339C" w:rsidRPr="00FD7E86" w:rsidRDefault="004B5A2D" w:rsidP="00C05F4C">
      <w:pPr>
        <w:spacing w:after="0"/>
        <w:rPr>
          <w:rFonts w:cs="Arial"/>
        </w:rPr>
      </w:pPr>
      <w:r>
        <w:rPr>
          <w:rFonts w:cs="Arial"/>
          <w:noProof/>
        </w:rPr>
        <w:drawing>
          <wp:inline distT="0" distB="0" distL="0" distR="0" wp14:anchorId="17BE3654" wp14:editId="389455AB">
            <wp:extent cx="5939790" cy="1998345"/>
            <wp:effectExtent l="0" t="0" r="3810" b="1905"/>
            <wp:docPr id="85" name="Picture 85" descr="A .csv file of Figure 5.1 is available on the landing page ‘Communications report 2014–15’, available from the ACMA website. " title="Figure 5.1 Collection and assessment of lev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Chapter 5_Figure 5.1.png"/>
                    <pic:cNvPicPr/>
                  </pic:nvPicPr>
                  <pic:blipFill>
                    <a:blip r:embed="rId118">
                      <a:extLst>
                        <a:ext uri="{28A0092B-C50C-407E-A947-70E740481C1C}">
                          <a14:useLocalDpi xmlns:a14="http://schemas.microsoft.com/office/drawing/2010/main" val="0"/>
                        </a:ext>
                      </a:extLst>
                    </a:blip>
                    <a:stretch>
                      <a:fillRect/>
                    </a:stretch>
                  </pic:blipFill>
                  <pic:spPr>
                    <a:xfrm>
                      <a:off x="0" y="0"/>
                      <a:ext cx="5939790" cy="1998345"/>
                    </a:xfrm>
                    <a:prstGeom prst="rect">
                      <a:avLst/>
                    </a:prstGeom>
                  </pic:spPr>
                </pic:pic>
              </a:graphicData>
            </a:graphic>
          </wp:inline>
        </w:drawing>
      </w:r>
    </w:p>
    <w:p w14:paraId="7183AA6E" w14:textId="77777777" w:rsidR="00E450B7" w:rsidRPr="00FD7E86" w:rsidRDefault="00E450B7" w:rsidP="00E450B7">
      <w:pPr>
        <w:pStyle w:val="ACMASpaceaftertable"/>
      </w:pPr>
    </w:p>
    <w:p w14:paraId="632E212A" w14:textId="77777777" w:rsidR="00A2339C" w:rsidRPr="00FD7E86" w:rsidRDefault="00A2339C" w:rsidP="00DD750B">
      <w:pPr>
        <w:pStyle w:val="ACMAHeading2"/>
      </w:pPr>
      <w:bookmarkStart w:id="396" w:name="_Toc371589038"/>
      <w:bookmarkStart w:id="397" w:name="_Toc373149100"/>
      <w:bookmarkStart w:id="398" w:name="_Toc399331780"/>
      <w:bookmarkStart w:id="399" w:name="_Toc399336961"/>
      <w:bookmarkStart w:id="400" w:name="_Toc402337562"/>
      <w:bookmarkStart w:id="401" w:name="_Toc433790407"/>
      <w:r w:rsidRPr="00FD7E86">
        <w:t>Final TIL assessment</w:t>
      </w:r>
      <w:bookmarkEnd w:id="396"/>
      <w:bookmarkEnd w:id="397"/>
      <w:bookmarkEnd w:id="398"/>
      <w:bookmarkEnd w:id="399"/>
      <w:bookmarkEnd w:id="400"/>
      <w:bookmarkEnd w:id="401"/>
    </w:p>
    <w:p w14:paraId="7BBB34FA" w14:textId="77777777" w:rsidR="00A2339C" w:rsidRPr="00FD7E86" w:rsidRDefault="00A2339C" w:rsidP="00314FB5">
      <w:r w:rsidRPr="00FD7E86">
        <w:t>Following advice from TUSMA, the Minister for Communications determined on 24 September 2014 that the amount of TIL to be collected for the 2013–14 ELP was $221,000,000. The ACMA subsequently issued invoices and the full amount was collected during the 2014–15 financial year.</w:t>
      </w:r>
    </w:p>
    <w:p w14:paraId="57EC4A2A" w14:textId="77777777" w:rsidR="00A2339C" w:rsidRPr="00FD7E86" w:rsidRDefault="00A2339C" w:rsidP="00314FB5">
      <w:r w:rsidRPr="00FD7E86">
        <w:t xml:space="preserve">There were 223 licensed telecommunications carriers in the 2013–14 ERP and, of these, 52 were assessed as participating persons for the 2014–15 ELP. The </w:t>
      </w:r>
      <w:r w:rsidR="00494947" w:rsidRPr="00FD7E86">
        <w:t>Secretary of the Department</w:t>
      </w:r>
      <w:r w:rsidRPr="00FD7E86">
        <w:t xml:space="preserve"> will determine the amount of TIL to be collected for the 2014–15 ELP and invoices will be issued in the 2015–16 financial year.</w:t>
      </w:r>
    </w:p>
    <w:p w14:paraId="1EE6041A" w14:textId="77777777" w:rsidR="00A2339C" w:rsidRPr="00FD7E86" w:rsidRDefault="001276AF" w:rsidP="000B3AFF">
      <w:pPr>
        <w:pStyle w:val="ACMAHeading1"/>
      </w:pPr>
      <w:bookmarkStart w:id="402" w:name="_Toc433790408"/>
      <w:r w:rsidRPr="00FD7E86">
        <w:t>5.3</w:t>
      </w:r>
      <w:r w:rsidRPr="00FD7E86">
        <w:tab/>
      </w:r>
      <w:r w:rsidRPr="00FD7E86">
        <w:tab/>
      </w:r>
      <w:r w:rsidR="00A2339C" w:rsidRPr="00FD7E86">
        <w:t>Public payphones</w:t>
      </w:r>
      <w:bookmarkEnd w:id="402"/>
      <w:r w:rsidR="00A2339C" w:rsidRPr="00FD7E86">
        <w:t xml:space="preserve"> </w:t>
      </w:r>
    </w:p>
    <w:p w14:paraId="793820EC" w14:textId="77777777" w:rsidR="00A2339C" w:rsidRPr="00FD7E86" w:rsidRDefault="00A2339C" w:rsidP="00314FB5">
      <w:r w:rsidRPr="00FD7E86">
        <w:t>Payphone services in Australia are provided on either a commercial basis or as part of the</w:t>
      </w:r>
      <w:r w:rsidRPr="00FD7E86" w:rsidDel="007761F9">
        <w:t xml:space="preserve"> </w:t>
      </w:r>
      <w:r w:rsidR="00BA14D6" w:rsidRPr="00FD7E86">
        <w:t>u</w:t>
      </w:r>
      <w:r w:rsidRPr="00FD7E86">
        <w:t xml:space="preserve">niversal </w:t>
      </w:r>
      <w:r w:rsidR="00BA14D6" w:rsidRPr="00FD7E86">
        <w:t>s</w:t>
      </w:r>
      <w:r w:rsidRPr="00FD7E86">
        <w:t xml:space="preserve">ervice </w:t>
      </w:r>
      <w:r w:rsidR="00BA14D6" w:rsidRPr="00FD7E86">
        <w:t>o</w:t>
      </w:r>
      <w:r w:rsidRPr="00FD7E86">
        <w:t xml:space="preserve">bligation (USO). Telstra is the current primary universal service provider (PUSP) for payphones and it must comply with payphone performance standards and benchmarks made by the </w:t>
      </w:r>
      <w:r w:rsidR="00641679" w:rsidRPr="00FD7E86">
        <w:t>m</w:t>
      </w:r>
      <w:r w:rsidRPr="00FD7E86">
        <w:t xml:space="preserve">inister under the </w:t>
      </w:r>
      <w:r w:rsidRPr="00FD7E86">
        <w:rPr>
          <w:i/>
        </w:rPr>
        <w:t xml:space="preserve">Telecommunications (Consumer Protection and Service Standards) Act 1999 </w:t>
      </w:r>
      <w:r w:rsidRPr="00FD7E86">
        <w:t xml:space="preserve">(the TCPSS Act). </w:t>
      </w:r>
    </w:p>
    <w:p w14:paraId="795408DF" w14:textId="77777777" w:rsidR="00A2339C" w:rsidRPr="00FD7E86" w:rsidRDefault="00A2339C" w:rsidP="00314FB5">
      <w:r w:rsidRPr="00FD7E86">
        <w:t>The ACMA monitors Telstra’s payphone performance and also receives information about the number of payphones supplied or operated on a commercial basis by other providers.</w:t>
      </w:r>
    </w:p>
    <w:p w14:paraId="27E55F0E" w14:textId="77777777" w:rsidR="00A2339C" w:rsidRPr="00FD7E86" w:rsidRDefault="00A2339C" w:rsidP="00DD750B">
      <w:pPr>
        <w:pStyle w:val="ACMAHeading2"/>
      </w:pPr>
      <w:bookmarkStart w:id="403" w:name="_Toc399331782"/>
      <w:bookmarkStart w:id="404" w:name="_Toc399336963"/>
      <w:bookmarkStart w:id="405" w:name="_Toc402337564"/>
      <w:bookmarkStart w:id="406" w:name="_Toc433790409"/>
      <w:r w:rsidRPr="00FD7E86">
        <w:lastRenderedPageBreak/>
        <w:t>Numbers of payphones and payphone sites</w:t>
      </w:r>
      <w:bookmarkEnd w:id="403"/>
      <w:bookmarkEnd w:id="404"/>
      <w:bookmarkEnd w:id="405"/>
      <w:bookmarkEnd w:id="406"/>
    </w:p>
    <w:p w14:paraId="257C624C" w14:textId="77777777" w:rsidR="00A2339C" w:rsidRPr="00FD7E86" w:rsidRDefault="00A2339C" w:rsidP="00A2339C">
      <w:pPr>
        <w:spacing w:after="80"/>
        <w:rPr>
          <w:rFonts w:cs="Arial"/>
        </w:rPr>
      </w:pPr>
      <w:r w:rsidRPr="00FD7E86">
        <w:rPr>
          <w:rFonts w:cs="Arial"/>
        </w:rPr>
        <w:t>During 2014–15, the total number of payphones (both Telstra-operated and privately operated) in Australia fell by 7.8 per cent from 28,068 to 25,876. This comprised a:</w:t>
      </w:r>
    </w:p>
    <w:p w14:paraId="2FD3B8A7" w14:textId="77777777" w:rsidR="00A2339C" w:rsidRPr="00FD7E86" w:rsidRDefault="00A2339C" w:rsidP="00A2339C">
      <w:pPr>
        <w:pStyle w:val="ListBullet"/>
      </w:pPr>
      <w:r w:rsidRPr="00FD7E86">
        <w:t xml:space="preserve">net decrease of 1.7 per cent in the number of Telstra-operated payphones, from 17,805 to </w:t>
      </w:r>
      <w:r w:rsidRPr="00FD7E86">
        <w:rPr>
          <w:rFonts w:cs="Arial"/>
        </w:rPr>
        <w:t>17,511</w:t>
      </w:r>
    </w:p>
    <w:p w14:paraId="685FBD9A" w14:textId="77777777" w:rsidR="00A2339C" w:rsidRPr="00FD7E86" w:rsidRDefault="00A2339C" w:rsidP="00314FB5">
      <w:pPr>
        <w:pStyle w:val="ListBulletLast"/>
      </w:pPr>
      <w:r w:rsidRPr="00FD7E86">
        <w:t xml:space="preserve">net decrease of 18.5 per cent in the number of privately operated payphones, </w:t>
      </w:r>
      <w:r w:rsidRPr="00314FB5">
        <w:t>from</w:t>
      </w:r>
      <w:r w:rsidRPr="00FD7E86">
        <w:t xml:space="preserve"> 10,263</w:t>
      </w:r>
      <w:r w:rsidRPr="00FD7E86" w:rsidDel="0069206A">
        <w:t xml:space="preserve"> </w:t>
      </w:r>
      <w:r w:rsidRPr="00FD7E86">
        <w:t>to 8,365.</w:t>
      </w:r>
    </w:p>
    <w:p w14:paraId="3BF99C1B" w14:textId="77777777" w:rsidR="00A2339C" w:rsidRPr="00FD7E86" w:rsidRDefault="00A2339C" w:rsidP="00314FB5">
      <w:r w:rsidRPr="00FD7E86">
        <w:t xml:space="preserve">During the reporting period, there was an increase of 1.7 per cent in the number of Telstra-operated payphone sites, from 14,915 to 15,170 (noting some sites have more than one payphone). At 30 June 2015, 67.7 per cent of payphones were operated by Telstra. The remaining payphones were provided by other companies, such as hotels, clubs and convenience stores. </w:t>
      </w:r>
    </w:p>
    <w:p w14:paraId="71E68582" w14:textId="77777777" w:rsidR="00A2339C" w:rsidRPr="00FD7E86" w:rsidRDefault="000503E8" w:rsidP="00314FB5">
      <w:r w:rsidRPr="00FD7E86">
        <w:t xml:space="preserve">Figure 5.2 </w:t>
      </w:r>
      <w:r w:rsidR="00A2339C" w:rsidRPr="00FD7E86">
        <w:t>shows that</w:t>
      </w:r>
      <w:r w:rsidR="00976C83" w:rsidRPr="00FD7E86">
        <w:t>,</w:t>
      </w:r>
      <w:r w:rsidR="00A2339C" w:rsidRPr="00FD7E86">
        <w:t xml:space="preserve"> while the total number of Telstra-operated and non-Telstra-operated payphones has decreased over the past five reporting periods, the annual rate of Telstra payphone removals has slowed over the same period. The net annual reduction in Telstra-operated payphones has declined from 467 payphones in the 2011–12 reporting period to 294 payphones in 2014–15.</w:t>
      </w:r>
    </w:p>
    <w:p w14:paraId="339CB3EE" w14:textId="77777777" w:rsidR="00A2339C" w:rsidRPr="00FD7E86" w:rsidRDefault="00DD750B" w:rsidP="00DD750B">
      <w:pPr>
        <w:pStyle w:val="ACMAFigureHeader"/>
        <w:numPr>
          <w:ilvl w:val="0"/>
          <w:numId w:val="0"/>
        </w:numPr>
        <w:ind w:left="1021" w:hanging="1021"/>
      </w:pPr>
      <w:r w:rsidRPr="00FD7E86">
        <w:t xml:space="preserve">Figure 5.2 </w:t>
      </w:r>
      <w:r w:rsidR="00A2339C" w:rsidRPr="00FD7E86">
        <w:t>Number of payphones in operation at 30 June</w:t>
      </w:r>
    </w:p>
    <w:p w14:paraId="1DAF73ED" w14:textId="77777777" w:rsidR="00A2339C" w:rsidRPr="00FD7E86" w:rsidRDefault="004B5A2D" w:rsidP="00C05F4C">
      <w:pPr>
        <w:pStyle w:val="ACMATableHeader"/>
        <w:numPr>
          <w:ilvl w:val="0"/>
          <w:numId w:val="0"/>
        </w:numPr>
        <w:spacing w:after="0"/>
      </w:pPr>
      <w:r>
        <w:rPr>
          <w:noProof/>
        </w:rPr>
        <w:drawing>
          <wp:inline distT="0" distB="0" distL="0" distR="0" wp14:anchorId="0FA59600" wp14:editId="1A709B05">
            <wp:extent cx="5939790" cy="3284220"/>
            <wp:effectExtent l="0" t="0" r="0" b="0"/>
            <wp:docPr id="87" name="Picture 87" descr="A .csv file of Figure 5.2 is available on the landing page ‘Communications report 2014–15’, available from the ACMA website. " title="Figure 5.2 Number of payphones in operation at 30 Ju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Chapter 5_Figure 5.2.png"/>
                    <pic:cNvPicPr/>
                  </pic:nvPicPr>
                  <pic:blipFill>
                    <a:blip r:embed="rId119">
                      <a:extLst>
                        <a:ext uri="{28A0092B-C50C-407E-A947-70E740481C1C}">
                          <a14:useLocalDpi xmlns:a14="http://schemas.microsoft.com/office/drawing/2010/main" val="0"/>
                        </a:ext>
                      </a:extLst>
                    </a:blip>
                    <a:stretch>
                      <a:fillRect/>
                    </a:stretch>
                  </pic:blipFill>
                  <pic:spPr>
                    <a:xfrm>
                      <a:off x="0" y="0"/>
                      <a:ext cx="5939790" cy="3284220"/>
                    </a:xfrm>
                    <a:prstGeom prst="rect">
                      <a:avLst/>
                    </a:prstGeom>
                  </pic:spPr>
                </pic:pic>
              </a:graphicData>
            </a:graphic>
          </wp:inline>
        </w:drawing>
      </w:r>
    </w:p>
    <w:p w14:paraId="6EFF02FE" w14:textId="77777777" w:rsidR="00A2339C" w:rsidRPr="00FD7E86" w:rsidRDefault="00A2339C" w:rsidP="00A2339C">
      <w:pPr>
        <w:pStyle w:val="ACMANotes"/>
      </w:pPr>
      <w:r w:rsidRPr="00FD7E86">
        <w:t>*Includes TriTel payphones (until June 2014) and payphones provided via Telstra access lines. June 2015 data includes Telstra access lines only as the number of TriTel payphones was not available.</w:t>
      </w:r>
    </w:p>
    <w:p w14:paraId="4822B772" w14:textId="77777777" w:rsidR="00A2339C" w:rsidRPr="00FD7E86" w:rsidRDefault="00A2339C" w:rsidP="00E450B7">
      <w:pPr>
        <w:pStyle w:val="ACMANotes"/>
      </w:pPr>
      <w:r w:rsidRPr="00FD7E86">
        <w:t>Source: Telstra and TriTel.</w:t>
      </w:r>
    </w:p>
    <w:p w14:paraId="76E45CEA" w14:textId="77777777" w:rsidR="00E450B7" w:rsidRPr="00FD7E86" w:rsidRDefault="00E450B7" w:rsidP="00BE5048">
      <w:pPr>
        <w:pStyle w:val="ACMASpaceaftertable"/>
        <w:rPr>
          <w:i/>
          <w:sz w:val="16"/>
          <w:szCs w:val="16"/>
        </w:rPr>
      </w:pPr>
    </w:p>
    <w:p w14:paraId="31CD684E" w14:textId="77777777" w:rsidR="00A2339C" w:rsidRPr="00FD7E86" w:rsidRDefault="005455DE" w:rsidP="00314FB5">
      <w:r w:rsidRPr="00FD7E86">
        <w:t xml:space="preserve">Table 5.1 </w:t>
      </w:r>
      <w:r w:rsidR="00A2339C" w:rsidRPr="00FD7E86">
        <w:t>provides the geographic distribution of Telstra payphones and payphones provided via Telstra access lines as at 30 June 2015.</w:t>
      </w:r>
    </w:p>
    <w:p w14:paraId="3027565F" w14:textId="77777777" w:rsidR="00A2339C" w:rsidRPr="00FD7E86" w:rsidRDefault="00DD750B" w:rsidP="00314FB5">
      <w:pPr>
        <w:pStyle w:val="ACMATableHeader"/>
        <w:keepNext/>
        <w:numPr>
          <w:ilvl w:val="0"/>
          <w:numId w:val="0"/>
        </w:numPr>
        <w:ind w:left="964" w:hanging="964"/>
      </w:pPr>
      <w:r w:rsidRPr="00FD7E86">
        <w:lastRenderedPageBreak/>
        <w:t xml:space="preserve">Table 5.1 </w:t>
      </w:r>
      <w:r w:rsidR="00A2339C" w:rsidRPr="00FD7E86">
        <w:t>Distribution of Telstra payphones by geographical category, 30 June 2015</w:t>
      </w:r>
    </w:p>
    <w:tbl>
      <w:tblPr>
        <w:tblStyle w:val="Commsreport2014-15TABLE"/>
        <w:tblW w:w="9429" w:type="dxa"/>
        <w:tblLayout w:type="fixed"/>
        <w:tblLook w:val="04A0" w:firstRow="1" w:lastRow="0" w:firstColumn="1" w:lastColumn="0" w:noHBand="0" w:noVBand="1"/>
        <w:tblCaption w:val="Table 5.1 Distribution of Telstra payphones by geographical category, 30 June 2015"/>
      </w:tblPr>
      <w:tblGrid>
        <w:gridCol w:w="4397"/>
        <w:gridCol w:w="1258"/>
        <w:gridCol w:w="1258"/>
        <w:gridCol w:w="1258"/>
        <w:gridCol w:w="1258"/>
      </w:tblGrid>
      <w:tr w:rsidR="00A2339C" w:rsidRPr="0021202A" w14:paraId="3DEC6162"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4496" w:type="dxa"/>
            <w:shd w:val="clear" w:color="auto" w:fill="auto"/>
          </w:tcPr>
          <w:p w14:paraId="702952C6" w14:textId="77777777" w:rsidR="00A2339C" w:rsidRPr="0021202A" w:rsidRDefault="00A2339C" w:rsidP="0021202A">
            <w:pPr>
              <w:pStyle w:val="TableHeading"/>
              <w:spacing w:before="20" w:after="20"/>
              <w:rPr>
                <w:b/>
              </w:rPr>
            </w:pPr>
          </w:p>
        </w:tc>
        <w:tc>
          <w:tcPr>
            <w:tcW w:w="1282" w:type="dxa"/>
          </w:tcPr>
          <w:p w14:paraId="7C597514"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Urban</w:t>
            </w:r>
          </w:p>
        </w:tc>
        <w:tc>
          <w:tcPr>
            <w:tcW w:w="1283" w:type="dxa"/>
          </w:tcPr>
          <w:p w14:paraId="0EED89EA"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Rural</w:t>
            </w:r>
          </w:p>
        </w:tc>
        <w:tc>
          <w:tcPr>
            <w:tcW w:w="1283" w:type="dxa"/>
          </w:tcPr>
          <w:p w14:paraId="49D07D0C"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Remote*</w:t>
            </w:r>
          </w:p>
        </w:tc>
        <w:tc>
          <w:tcPr>
            <w:tcW w:w="1283" w:type="dxa"/>
          </w:tcPr>
          <w:p w14:paraId="5E5A012F"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RIC</w:t>
            </w:r>
          </w:p>
        </w:tc>
      </w:tr>
      <w:tr w:rsidR="00A2339C" w:rsidRPr="00FD7E86" w14:paraId="11E5CB3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4496" w:type="dxa"/>
          </w:tcPr>
          <w:p w14:paraId="3060C95D" w14:textId="77777777" w:rsidR="00A2339C" w:rsidRPr="00C04B4C" w:rsidRDefault="00A2339C" w:rsidP="003708BA">
            <w:pPr>
              <w:keepNext/>
              <w:keepLines/>
              <w:spacing w:before="40" w:after="40"/>
              <w:rPr>
                <w:rFonts w:cs="Arial"/>
                <w:color w:val="auto"/>
                <w:szCs w:val="18"/>
              </w:rPr>
            </w:pPr>
            <w:r w:rsidRPr="00C04B4C">
              <w:rPr>
                <w:rFonts w:cs="Arial"/>
                <w:color w:val="auto"/>
                <w:szCs w:val="18"/>
              </w:rPr>
              <w:t>Telstra-operated payphones</w:t>
            </w:r>
          </w:p>
          <w:p w14:paraId="0C19C9AF" w14:textId="77777777" w:rsidR="00A2339C" w:rsidRPr="00C04B4C" w:rsidRDefault="00A2339C" w:rsidP="003708BA">
            <w:pPr>
              <w:keepNext/>
              <w:keepLines/>
              <w:spacing w:before="40" w:after="40"/>
              <w:rPr>
                <w:rFonts w:cs="Arial"/>
                <w:color w:val="auto"/>
                <w:szCs w:val="18"/>
              </w:rPr>
            </w:pPr>
            <w:r w:rsidRPr="00C04B4C">
              <w:rPr>
                <w:rFonts w:cs="Arial"/>
                <w:color w:val="auto"/>
                <w:szCs w:val="18"/>
              </w:rPr>
              <w:tab/>
              <w:t>% of total</w:t>
            </w:r>
          </w:p>
        </w:tc>
        <w:tc>
          <w:tcPr>
            <w:tcW w:w="1282" w:type="dxa"/>
          </w:tcPr>
          <w:p w14:paraId="545AEA55"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11,929</w:t>
            </w:r>
          </w:p>
          <w:p w14:paraId="3EDC9BB7"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68.1</w:t>
            </w:r>
          </w:p>
        </w:tc>
        <w:tc>
          <w:tcPr>
            <w:tcW w:w="1283" w:type="dxa"/>
          </w:tcPr>
          <w:p w14:paraId="304E9758"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4,727</w:t>
            </w:r>
          </w:p>
          <w:p w14:paraId="5210D8F8"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27.0</w:t>
            </w:r>
          </w:p>
        </w:tc>
        <w:tc>
          <w:tcPr>
            <w:tcW w:w="1283" w:type="dxa"/>
          </w:tcPr>
          <w:p w14:paraId="6B607F4D"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855</w:t>
            </w:r>
          </w:p>
          <w:p w14:paraId="7000ABAC"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4.9</w:t>
            </w:r>
          </w:p>
        </w:tc>
        <w:tc>
          <w:tcPr>
            <w:tcW w:w="1283" w:type="dxa"/>
          </w:tcPr>
          <w:p w14:paraId="64C6EBAE"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579</w:t>
            </w:r>
          </w:p>
          <w:p w14:paraId="3E4C5857" w14:textId="77777777" w:rsidR="00A2339C" w:rsidRPr="00FD7E86" w:rsidRDefault="00A2339C" w:rsidP="003708BA">
            <w:pPr>
              <w:keepNext/>
              <w:keepLines/>
              <w:spacing w:before="40" w:after="4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3.3</w:t>
            </w:r>
          </w:p>
        </w:tc>
      </w:tr>
      <w:tr w:rsidR="00A2339C" w:rsidRPr="00FD7E86" w14:paraId="333534F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4496" w:type="dxa"/>
          </w:tcPr>
          <w:p w14:paraId="37B0B227" w14:textId="77777777" w:rsidR="00A2339C" w:rsidRPr="00C04B4C" w:rsidRDefault="00A2339C" w:rsidP="003708BA">
            <w:pPr>
              <w:keepNext/>
              <w:keepLines/>
              <w:spacing w:before="120" w:after="120"/>
              <w:rPr>
                <w:rFonts w:cs="Arial"/>
                <w:color w:val="auto"/>
                <w:szCs w:val="18"/>
              </w:rPr>
            </w:pPr>
            <w:r w:rsidRPr="00C04B4C">
              <w:rPr>
                <w:rFonts w:cs="Arial"/>
                <w:color w:val="auto"/>
                <w:szCs w:val="18"/>
              </w:rPr>
              <w:t>Other payphones (provided via Telstra access lines)</w:t>
            </w:r>
          </w:p>
        </w:tc>
        <w:tc>
          <w:tcPr>
            <w:tcW w:w="1282" w:type="dxa"/>
          </w:tcPr>
          <w:p w14:paraId="10AF411C" w14:textId="77777777" w:rsidR="00A2339C" w:rsidRPr="00FD7E86" w:rsidRDefault="000B7653" w:rsidP="003708BA">
            <w:pPr>
              <w:keepNext/>
              <w:keepLines/>
              <w:spacing w:before="120" w:after="12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 </w:t>
            </w:r>
            <w:r w:rsidR="00A2339C" w:rsidRPr="00FD7E86">
              <w:rPr>
                <w:rFonts w:cs="Arial"/>
                <w:szCs w:val="18"/>
              </w:rPr>
              <w:t>6,667</w:t>
            </w:r>
          </w:p>
        </w:tc>
        <w:tc>
          <w:tcPr>
            <w:tcW w:w="1283" w:type="dxa"/>
          </w:tcPr>
          <w:p w14:paraId="2E6198D4" w14:textId="77777777" w:rsidR="00A2339C" w:rsidRPr="00FD7E86" w:rsidRDefault="00A2339C" w:rsidP="003708BA">
            <w:pPr>
              <w:keepNext/>
              <w:keepLines/>
              <w:spacing w:before="120" w:after="12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1,345</w:t>
            </w:r>
          </w:p>
        </w:tc>
        <w:tc>
          <w:tcPr>
            <w:tcW w:w="1283" w:type="dxa"/>
          </w:tcPr>
          <w:p w14:paraId="7130C5B2" w14:textId="77777777" w:rsidR="00A2339C" w:rsidRPr="00FD7E86" w:rsidRDefault="00A2339C" w:rsidP="003708BA">
            <w:pPr>
              <w:keepNext/>
              <w:keepLines/>
              <w:spacing w:before="120" w:after="12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353</w:t>
            </w:r>
          </w:p>
        </w:tc>
        <w:tc>
          <w:tcPr>
            <w:tcW w:w="1283" w:type="dxa"/>
          </w:tcPr>
          <w:p w14:paraId="771D1ED8" w14:textId="77777777" w:rsidR="00A2339C" w:rsidRPr="00FD7E86" w:rsidRDefault="00A2339C" w:rsidP="003708BA">
            <w:pPr>
              <w:keepNext/>
              <w:keepLines/>
              <w:spacing w:before="120" w:after="120"/>
              <w:ind w:left="-264" w:right="19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251</w:t>
            </w:r>
          </w:p>
        </w:tc>
      </w:tr>
    </w:tbl>
    <w:p w14:paraId="1B3CA764" w14:textId="77777777" w:rsidR="00A2339C" w:rsidRPr="00FD7E86" w:rsidRDefault="00A2339C" w:rsidP="00A2339C">
      <w:pPr>
        <w:pStyle w:val="ACMANotes"/>
      </w:pPr>
      <w:r w:rsidRPr="00FD7E86">
        <w:t xml:space="preserve">*Including remote </w:t>
      </w:r>
      <w:r w:rsidR="00976C83" w:rsidRPr="00FD7E86">
        <w:t>I</w:t>
      </w:r>
      <w:r w:rsidRPr="00FD7E86">
        <w:t>ndigenous communities (RIC).</w:t>
      </w:r>
    </w:p>
    <w:p w14:paraId="00EE76C2" w14:textId="77777777" w:rsidR="00A2339C" w:rsidRPr="00FD7E86" w:rsidRDefault="00A2339C" w:rsidP="00E450B7">
      <w:pPr>
        <w:pStyle w:val="ACMANotes"/>
      </w:pPr>
      <w:r w:rsidRPr="00FD7E86">
        <w:t>Source: Telstra.</w:t>
      </w:r>
    </w:p>
    <w:p w14:paraId="574E9245" w14:textId="77777777" w:rsidR="00E450B7" w:rsidRPr="00FD7E86" w:rsidRDefault="00E450B7" w:rsidP="00BE5048">
      <w:pPr>
        <w:pStyle w:val="ACMASpaceaftertable"/>
        <w:rPr>
          <w:i/>
          <w:sz w:val="16"/>
          <w:szCs w:val="16"/>
        </w:rPr>
      </w:pPr>
    </w:p>
    <w:p w14:paraId="7C4E37D5" w14:textId="77777777" w:rsidR="00A2339C" w:rsidRPr="00FD7E86" w:rsidRDefault="00A2339C" w:rsidP="00DD750B">
      <w:pPr>
        <w:pStyle w:val="ACMAHeading2"/>
      </w:pPr>
      <w:bookmarkStart w:id="407" w:name="_Toc287540182"/>
      <w:bookmarkStart w:id="408" w:name="_Toc308517206"/>
      <w:bookmarkStart w:id="409" w:name="_Toc308523646"/>
      <w:bookmarkStart w:id="410" w:name="_Toc310326863"/>
      <w:bookmarkStart w:id="411" w:name="_Toc371589041"/>
      <w:bookmarkStart w:id="412" w:name="_Toc373149103"/>
      <w:bookmarkStart w:id="413" w:name="_Toc399331783"/>
      <w:bookmarkStart w:id="414" w:name="_Toc399336964"/>
      <w:bookmarkStart w:id="415" w:name="_Toc402337565"/>
      <w:bookmarkStart w:id="416" w:name="_Toc433790410"/>
      <w:r w:rsidRPr="00FD7E86">
        <w:t>Payphone fault repair performance</w:t>
      </w:r>
      <w:bookmarkEnd w:id="407"/>
      <w:bookmarkEnd w:id="408"/>
      <w:bookmarkEnd w:id="409"/>
      <w:bookmarkEnd w:id="410"/>
      <w:bookmarkEnd w:id="411"/>
      <w:bookmarkEnd w:id="412"/>
      <w:bookmarkEnd w:id="413"/>
      <w:bookmarkEnd w:id="414"/>
      <w:bookmarkEnd w:id="415"/>
      <w:bookmarkEnd w:id="416"/>
    </w:p>
    <w:p w14:paraId="5FC0D8B8" w14:textId="77777777" w:rsidR="00A2339C" w:rsidRPr="00FD7E86" w:rsidRDefault="00A2339C" w:rsidP="00314FB5">
      <w:r w:rsidRPr="00FD7E86">
        <w:t xml:space="preserve">Timely repair of payphone faults is an important component of the equitable provision of payphone services under the USO. </w:t>
      </w:r>
    </w:p>
    <w:p w14:paraId="0446EBE1" w14:textId="77777777" w:rsidR="00A2339C" w:rsidRPr="00FD7E86" w:rsidRDefault="00A2339C" w:rsidP="00314FB5">
      <w:r w:rsidRPr="00FD7E86">
        <w:t>Regulatory benchmarks are in place to measure Telstra’s performance in remediating faults under the Telecommunications Universal Service Obligation (Payphone Performance Benchmarks) Instrument (No. 1) 2011 (Payphone Performance Benchmarks). The time frames vary according to the location of the service—one working day for urban locations, two for rural and three for remote locations (including remote Indigenous communities). Failure to meet a benchmark may result in the ACMA taking compliance action.</w:t>
      </w:r>
    </w:p>
    <w:p w14:paraId="2FD3D2D5" w14:textId="77777777" w:rsidR="00A2339C" w:rsidRPr="00FD7E86" w:rsidRDefault="00683643" w:rsidP="00314FB5">
      <w:r w:rsidRPr="00FD7E86">
        <w:t>Table 5.2</w:t>
      </w:r>
      <w:r w:rsidR="00A2339C" w:rsidRPr="00FD7E86">
        <w:t xml:space="preserve"> shows that Telstra met the national payphone performance benchmarks in urban, rural and remote areas in 2014–15. </w:t>
      </w:r>
    </w:p>
    <w:p w14:paraId="6C4C02C7" w14:textId="77777777" w:rsidR="00A2339C" w:rsidRPr="00FD7E86" w:rsidRDefault="00DD750B" w:rsidP="00DD750B">
      <w:pPr>
        <w:pStyle w:val="ACMATableHeader"/>
        <w:numPr>
          <w:ilvl w:val="0"/>
          <w:numId w:val="0"/>
        </w:numPr>
      </w:pPr>
      <w:r w:rsidRPr="00FD7E86">
        <w:rPr>
          <w:rFonts w:cs="Arial"/>
        </w:rPr>
        <w:t xml:space="preserve">Table 5.2 </w:t>
      </w:r>
      <w:r w:rsidR="00A2339C" w:rsidRPr="00FD7E86">
        <w:rPr>
          <w:rFonts w:cs="Arial"/>
        </w:rPr>
        <w:t>Telstra payphone fault repair performance, 2014–15</w:t>
      </w:r>
    </w:p>
    <w:tbl>
      <w:tblPr>
        <w:tblStyle w:val="Commsreport2014-15TABLE"/>
        <w:tblW w:w="9537" w:type="dxa"/>
        <w:tblLayout w:type="fixed"/>
        <w:tblLook w:val="01E0" w:firstRow="1" w:lastRow="1" w:firstColumn="1" w:lastColumn="1" w:noHBand="0" w:noVBand="0"/>
        <w:tblCaption w:val="Table 5.2 Telstra payphone fault repair performance, 2014–15"/>
      </w:tblPr>
      <w:tblGrid>
        <w:gridCol w:w="5087"/>
        <w:gridCol w:w="1483"/>
        <w:gridCol w:w="1483"/>
        <w:gridCol w:w="1484"/>
      </w:tblGrid>
      <w:tr w:rsidR="00A2339C" w:rsidRPr="00FD7E86" w14:paraId="0A3442F2" w14:textId="77777777" w:rsidTr="0021202A">
        <w:trPr>
          <w:cnfStyle w:val="100000000000" w:firstRow="1" w:lastRow="0" w:firstColumn="0" w:lastColumn="0" w:oddVBand="0" w:evenVBand="0" w:oddHBand="0" w:evenHBand="0" w:firstRowFirstColumn="0" w:firstRowLastColumn="0" w:lastRowFirstColumn="0" w:lastRowLastColumn="0"/>
          <w:trHeight w:val="355"/>
          <w:tblHeader/>
        </w:trPr>
        <w:tc>
          <w:tcPr>
            <w:cnfStyle w:val="001000000000" w:firstRow="0" w:lastRow="0" w:firstColumn="1" w:lastColumn="0" w:oddVBand="0" w:evenVBand="0" w:oddHBand="0" w:evenHBand="0" w:firstRowFirstColumn="0" w:firstRowLastColumn="0" w:lastRowFirstColumn="0" w:lastRowLastColumn="0"/>
            <w:tcW w:w="5087" w:type="dxa"/>
            <w:shd w:val="clear" w:color="auto" w:fill="auto"/>
          </w:tcPr>
          <w:p w14:paraId="3B137E7C" w14:textId="77777777" w:rsidR="00A2339C" w:rsidRPr="00FD7E86" w:rsidRDefault="00A2339C" w:rsidP="0021202A">
            <w:pPr>
              <w:pStyle w:val="TableHeading"/>
              <w:spacing w:before="20" w:after="40"/>
              <w:ind w:right="145"/>
              <w:jc w:val="right"/>
              <w:rPr>
                <w:rFonts w:cs="Arial"/>
                <w:szCs w:val="18"/>
              </w:rPr>
            </w:pPr>
          </w:p>
        </w:tc>
        <w:tc>
          <w:tcPr>
            <w:tcW w:w="1483" w:type="dxa"/>
          </w:tcPr>
          <w:p w14:paraId="75E82DFD" w14:textId="77777777" w:rsidR="00A2339C" w:rsidRPr="004E56DE" w:rsidRDefault="00A2339C" w:rsidP="0021202A">
            <w:pPr>
              <w:pStyle w:val="TableHeading"/>
              <w:spacing w:before="20" w:after="40"/>
              <w:ind w:right="346"/>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 xml:space="preserve">Urban </w:t>
            </w:r>
          </w:p>
          <w:p w14:paraId="67394608" w14:textId="77777777" w:rsidR="00A2339C" w:rsidRPr="004E56DE" w:rsidRDefault="00A2339C" w:rsidP="0021202A">
            <w:pPr>
              <w:pStyle w:val="TableHeading"/>
              <w:spacing w:before="20" w:after="40"/>
              <w:ind w:right="346"/>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w:t>
            </w:r>
          </w:p>
        </w:tc>
        <w:tc>
          <w:tcPr>
            <w:tcW w:w="1483" w:type="dxa"/>
          </w:tcPr>
          <w:p w14:paraId="1B409C51" w14:textId="77777777" w:rsidR="00A2339C" w:rsidRPr="004E56DE" w:rsidRDefault="00A2339C" w:rsidP="0021202A">
            <w:pPr>
              <w:pStyle w:val="TableHeading"/>
              <w:spacing w:before="20" w:after="40"/>
              <w:ind w:right="346"/>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 xml:space="preserve">Rural </w:t>
            </w:r>
          </w:p>
          <w:p w14:paraId="18B98920" w14:textId="77777777" w:rsidR="00A2339C" w:rsidRPr="004E56DE" w:rsidRDefault="00A2339C" w:rsidP="0021202A">
            <w:pPr>
              <w:pStyle w:val="TableHeading"/>
              <w:spacing w:before="20" w:after="40"/>
              <w:ind w:right="346"/>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w:t>
            </w:r>
          </w:p>
        </w:tc>
        <w:tc>
          <w:tcPr>
            <w:tcW w:w="1484" w:type="dxa"/>
          </w:tcPr>
          <w:p w14:paraId="20CE3EDC" w14:textId="77777777" w:rsidR="00A2339C" w:rsidRPr="004E56DE" w:rsidRDefault="00A2339C" w:rsidP="0021202A">
            <w:pPr>
              <w:pStyle w:val="TableHeading"/>
              <w:spacing w:before="20" w:after="40"/>
              <w:ind w:right="346" w:hanging="144"/>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 xml:space="preserve">Remote </w:t>
            </w:r>
          </w:p>
          <w:p w14:paraId="234E342C" w14:textId="77777777" w:rsidR="00A2339C" w:rsidRPr="004E56DE" w:rsidRDefault="00A2339C" w:rsidP="0021202A">
            <w:pPr>
              <w:pStyle w:val="TableHeading"/>
              <w:spacing w:before="20" w:after="40"/>
              <w:ind w:right="346" w:hanging="144"/>
              <w:cnfStyle w:val="100000000000" w:firstRow="1" w:lastRow="0" w:firstColumn="0" w:lastColumn="0" w:oddVBand="0" w:evenVBand="0" w:oddHBand="0" w:evenHBand="0" w:firstRowFirstColumn="0" w:firstRowLastColumn="0" w:lastRowFirstColumn="0" w:lastRowLastColumn="0"/>
              <w:rPr>
                <w:rFonts w:cs="Arial"/>
                <w:b/>
                <w:szCs w:val="18"/>
              </w:rPr>
            </w:pPr>
            <w:r w:rsidRPr="004E56DE">
              <w:rPr>
                <w:rFonts w:cs="Arial"/>
                <w:b/>
                <w:szCs w:val="18"/>
              </w:rPr>
              <w:t>(%)*</w:t>
            </w:r>
          </w:p>
        </w:tc>
      </w:tr>
      <w:tr w:rsidR="00A2339C" w:rsidRPr="00FD7E86" w14:paraId="629680EB" w14:textId="77777777" w:rsidTr="003708BA">
        <w:trPr>
          <w:trHeight w:val="383"/>
        </w:trPr>
        <w:tc>
          <w:tcPr>
            <w:cnfStyle w:val="001000000000" w:firstRow="0" w:lastRow="0" w:firstColumn="1" w:lastColumn="0" w:oddVBand="0" w:evenVBand="0" w:oddHBand="0" w:evenHBand="0" w:firstRowFirstColumn="0" w:firstRowLastColumn="0" w:lastRowFirstColumn="0" w:lastRowLastColumn="0"/>
            <w:tcW w:w="5087" w:type="dxa"/>
          </w:tcPr>
          <w:p w14:paraId="11F8F1EB" w14:textId="77777777" w:rsidR="00A2339C" w:rsidRPr="00C04B4C" w:rsidRDefault="00A2339C" w:rsidP="003708BA">
            <w:pPr>
              <w:spacing w:before="120" w:after="120"/>
              <w:rPr>
                <w:rFonts w:cs="Arial"/>
                <w:color w:val="auto"/>
                <w:szCs w:val="18"/>
              </w:rPr>
            </w:pPr>
            <w:r w:rsidRPr="00C04B4C">
              <w:rPr>
                <w:rFonts w:cs="Arial"/>
                <w:color w:val="auto"/>
                <w:szCs w:val="18"/>
              </w:rPr>
              <w:t>Payphone fault repair benchmark</w:t>
            </w:r>
          </w:p>
        </w:tc>
        <w:tc>
          <w:tcPr>
            <w:tcW w:w="1483" w:type="dxa"/>
          </w:tcPr>
          <w:p w14:paraId="16657A19"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90.0</w:t>
            </w:r>
          </w:p>
        </w:tc>
        <w:tc>
          <w:tcPr>
            <w:tcW w:w="1483" w:type="dxa"/>
          </w:tcPr>
          <w:p w14:paraId="4E09CDA0"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90.0</w:t>
            </w:r>
          </w:p>
        </w:tc>
        <w:tc>
          <w:tcPr>
            <w:tcW w:w="1484" w:type="dxa"/>
          </w:tcPr>
          <w:p w14:paraId="692243F8"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80.0</w:t>
            </w:r>
          </w:p>
        </w:tc>
      </w:tr>
      <w:tr w:rsidR="00A2339C" w:rsidRPr="00FD7E86" w14:paraId="6D4E29D4" w14:textId="77777777" w:rsidTr="003708BA">
        <w:trPr>
          <w:trHeight w:val="418"/>
        </w:trPr>
        <w:tc>
          <w:tcPr>
            <w:cnfStyle w:val="001000000000" w:firstRow="0" w:lastRow="0" w:firstColumn="1" w:lastColumn="0" w:oddVBand="0" w:evenVBand="0" w:oddHBand="0" w:evenHBand="0" w:firstRowFirstColumn="0" w:firstRowLastColumn="0" w:lastRowFirstColumn="0" w:lastRowLastColumn="0"/>
            <w:tcW w:w="5087" w:type="dxa"/>
          </w:tcPr>
          <w:p w14:paraId="42DCB2EE" w14:textId="77777777" w:rsidR="00A2339C" w:rsidRPr="00C04B4C" w:rsidRDefault="00A2339C" w:rsidP="003708BA">
            <w:pPr>
              <w:spacing w:before="120" w:after="120"/>
              <w:rPr>
                <w:rFonts w:cs="Arial"/>
                <w:color w:val="auto"/>
                <w:szCs w:val="18"/>
              </w:rPr>
            </w:pPr>
            <w:r w:rsidRPr="00C04B4C">
              <w:rPr>
                <w:rFonts w:cs="Arial"/>
                <w:color w:val="auto"/>
                <w:szCs w:val="18"/>
              </w:rPr>
              <w:t>Fault repair performance</w:t>
            </w:r>
          </w:p>
        </w:tc>
        <w:tc>
          <w:tcPr>
            <w:tcW w:w="1483" w:type="dxa"/>
          </w:tcPr>
          <w:p w14:paraId="27C91C18"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96.8</w:t>
            </w:r>
          </w:p>
        </w:tc>
        <w:tc>
          <w:tcPr>
            <w:tcW w:w="1483" w:type="dxa"/>
          </w:tcPr>
          <w:p w14:paraId="69479112"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95.3</w:t>
            </w:r>
          </w:p>
        </w:tc>
        <w:tc>
          <w:tcPr>
            <w:tcW w:w="1484" w:type="dxa"/>
          </w:tcPr>
          <w:p w14:paraId="79953CE6" w14:textId="77777777" w:rsidR="00A2339C" w:rsidRPr="00FD7E86" w:rsidRDefault="00A2339C" w:rsidP="003708BA">
            <w:pPr>
              <w:spacing w:before="120" w:after="120"/>
              <w:ind w:right="344"/>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92.8</w:t>
            </w:r>
          </w:p>
        </w:tc>
      </w:tr>
    </w:tbl>
    <w:p w14:paraId="6AA7A7F8" w14:textId="77777777" w:rsidR="00A2339C" w:rsidRPr="00FD7E86" w:rsidRDefault="00A2339C" w:rsidP="00A2339C">
      <w:pPr>
        <w:pStyle w:val="ACMANotes"/>
      </w:pPr>
      <w:r w:rsidRPr="00FD7E86">
        <w:t xml:space="preserve">*Including remote </w:t>
      </w:r>
      <w:r w:rsidR="00976C83" w:rsidRPr="00FD7E86">
        <w:t>I</w:t>
      </w:r>
      <w:r w:rsidRPr="00FD7E86">
        <w:t>ndigenous communities.</w:t>
      </w:r>
    </w:p>
    <w:p w14:paraId="3CE3BBF9" w14:textId="77777777" w:rsidR="00A2339C" w:rsidRPr="00FD7E86" w:rsidRDefault="00A2339C" w:rsidP="00E450B7">
      <w:pPr>
        <w:pStyle w:val="ACMANotes"/>
      </w:pPr>
      <w:r w:rsidRPr="00FD7E86">
        <w:t>Source: Telstra.</w:t>
      </w:r>
    </w:p>
    <w:p w14:paraId="07AF01FF" w14:textId="77777777" w:rsidR="00E450B7" w:rsidRPr="00FD7E86" w:rsidRDefault="00E450B7" w:rsidP="00216D8C">
      <w:pPr>
        <w:pStyle w:val="ACMASpaceaftertable"/>
        <w:rPr>
          <w:i/>
          <w:sz w:val="16"/>
          <w:szCs w:val="16"/>
        </w:rPr>
      </w:pPr>
    </w:p>
    <w:p w14:paraId="5FEC5280" w14:textId="77777777" w:rsidR="00A2339C" w:rsidRPr="00FD7E86" w:rsidRDefault="00A2339C" w:rsidP="00DD750B">
      <w:pPr>
        <w:pStyle w:val="ACMAHeading2"/>
      </w:pPr>
      <w:bookmarkStart w:id="417" w:name="_Toc287540185"/>
      <w:bookmarkStart w:id="418" w:name="_Toc308517208"/>
      <w:bookmarkStart w:id="419" w:name="_Toc308523648"/>
      <w:bookmarkStart w:id="420" w:name="_Toc310326865"/>
      <w:bookmarkStart w:id="421" w:name="_Toc341428364"/>
      <w:bookmarkStart w:id="422" w:name="_Toc371589044"/>
      <w:bookmarkStart w:id="423" w:name="_Toc373149106"/>
      <w:bookmarkStart w:id="424" w:name="_Toc399331784"/>
      <w:bookmarkStart w:id="425" w:name="_Toc399336965"/>
      <w:bookmarkStart w:id="426" w:name="_Toc402337566"/>
      <w:bookmarkStart w:id="427" w:name="_Toc433790411"/>
      <w:r w:rsidRPr="00FD7E86">
        <w:t>Payphones for people with disabilities</w:t>
      </w:r>
      <w:bookmarkEnd w:id="417"/>
      <w:bookmarkEnd w:id="418"/>
      <w:bookmarkEnd w:id="419"/>
      <w:bookmarkEnd w:id="420"/>
      <w:bookmarkEnd w:id="421"/>
      <w:bookmarkEnd w:id="422"/>
      <w:bookmarkEnd w:id="423"/>
      <w:bookmarkEnd w:id="424"/>
      <w:bookmarkEnd w:id="425"/>
      <w:bookmarkEnd w:id="426"/>
      <w:bookmarkEnd w:id="427"/>
    </w:p>
    <w:p w14:paraId="0825E18E" w14:textId="77777777" w:rsidR="00A2339C" w:rsidRPr="00FD7E86" w:rsidRDefault="00A2339C" w:rsidP="00314FB5">
      <w:r w:rsidRPr="00FD7E86">
        <w:t>At 30 June 2015, Telstra had 153 teletypewriter payphones in operation in metropolitan and regional areas, the same as the previous year.</w:t>
      </w:r>
    </w:p>
    <w:p w14:paraId="304AAB07" w14:textId="77777777" w:rsidR="00A2339C" w:rsidRPr="00FD7E86" w:rsidRDefault="001276AF" w:rsidP="000B3AFF">
      <w:pPr>
        <w:pStyle w:val="ACMAHeading1"/>
      </w:pPr>
      <w:bookmarkStart w:id="428" w:name="_Toc433790412"/>
      <w:r w:rsidRPr="00FD7E86">
        <w:t>5.4</w:t>
      </w:r>
      <w:r w:rsidRPr="00FD7E86">
        <w:tab/>
      </w:r>
      <w:r w:rsidRPr="00FD7E86">
        <w:tab/>
      </w:r>
      <w:r w:rsidR="00A2339C" w:rsidRPr="00FD7E86">
        <w:t>Customer Service Guarantee Standard</w:t>
      </w:r>
      <w:bookmarkEnd w:id="428"/>
    </w:p>
    <w:p w14:paraId="3B8FE5FD" w14:textId="77777777" w:rsidR="00A2339C" w:rsidRPr="00FD7E86" w:rsidRDefault="00A2339C" w:rsidP="00A2339C">
      <w:pPr>
        <w:rPr>
          <w:rFonts w:cs="Arial"/>
        </w:rPr>
      </w:pPr>
      <w:r w:rsidRPr="00FD7E86">
        <w:rPr>
          <w:rFonts w:cs="Arial"/>
        </w:rPr>
        <w:t xml:space="preserve">The </w:t>
      </w:r>
      <w:r w:rsidR="00025557" w:rsidRPr="00FD7E86">
        <w:rPr>
          <w:rFonts w:cs="Arial"/>
        </w:rPr>
        <w:t xml:space="preserve">Telecommunications (Customer Service Guarantee) Standard 2011 (the CSG Standard) </w:t>
      </w:r>
      <w:r w:rsidRPr="00FD7E86">
        <w:rPr>
          <w:rFonts w:cs="Arial"/>
        </w:rPr>
        <w:t>sets minimum service standards for carriage service providers (CSPs) in installing, repairing and meeting appointments for standard telephone services for residential and small business customers. The CSG Standard allows for exemptions from meeting s</w:t>
      </w:r>
      <w:r w:rsidRPr="00314FB5">
        <w:t>e</w:t>
      </w:r>
      <w:r w:rsidRPr="00FD7E86">
        <w:rPr>
          <w:rFonts w:cs="Arial"/>
        </w:rPr>
        <w:t>rvice standards under certain circumstances. If a CSP fails to meet the minimum performance standards, compensation may be payable to the customer.</w:t>
      </w:r>
    </w:p>
    <w:p w14:paraId="1A76E877" w14:textId="77777777" w:rsidR="00A2339C" w:rsidRPr="00FD7E86" w:rsidRDefault="00A2339C" w:rsidP="00314FB5">
      <w:r w:rsidRPr="00FD7E86">
        <w:t>At 30 June 2015, there were 6.34 million services subject to the CSG Standard, compared to 6.54 million at 30</w:t>
      </w:r>
      <w:r w:rsidR="00256D66" w:rsidRPr="00FD7E86">
        <w:t xml:space="preserve"> </w:t>
      </w:r>
      <w:r w:rsidRPr="00FD7E86">
        <w:t>June 2014—a decline of 3.1 per cent (</w:t>
      </w:r>
      <w:r w:rsidR="00CB0D4A" w:rsidRPr="00FD7E86">
        <w:t>Table 5.3</w:t>
      </w:r>
      <w:r w:rsidRPr="00FD7E86">
        <w:t>).</w:t>
      </w:r>
    </w:p>
    <w:p w14:paraId="5EC0D0A1" w14:textId="77777777" w:rsidR="00A2339C" w:rsidRPr="00FD7E86" w:rsidRDefault="00DD750B" w:rsidP="00314FB5">
      <w:pPr>
        <w:pStyle w:val="ACMATableHeader"/>
        <w:keepNext/>
        <w:numPr>
          <w:ilvl w:val="0"/>
          <w:numId w:val="0"/>
        </w:numPr>
        <w:ind w:left="964" w:hanging="964"/>
      </w:pPr>
      <w:r w:rsidRPr="00FD7E86">
        <w:rPr>
          <w:rFonts w:cs="Arial"/>
        </w:rPr>
        <w:lastRenderedPageBreak/>
        <w:t xml:space="preserve">Table 5.3 </w:t>
      </w:r>
      <w:r w:rsidR="00A2339C" w:rsidRPr="00FD7E86">
        <w:rPr>
          <w:rFonts w:cs="Arial"/>
        </w:rPr>
        <w:t>Services subject to the CSG Standard by provider at 30 June</w:t>
      </w:r>
    </w:p>
    <w:tbl>
      <w:tblPr>
        <w:tblStyle w:val="Commsreport2014-15TABLE"/>
        <w:tblW w:w="9429" w:type="dxa"/>
        <w:tblLayout w:type="fixed"/>
        <w:tblLook w:val="01E0" w:firstRow="1" w:lastRow="1" w:firstColumn="1" w:lastColumn="1" w:noHBand="0" w:noVBand="0"/>
        <w:tblCaption w:val="Table 5.2 Telstra payphone fault repair performance, 2014–15"/>
      </w:tblPr>
      <w:tblGrid>
        <w:gridCol w:w="2059"/>
        <w:gridCol w:w="1474"/>
        <w:gridCol w:w="1474"/>
        <w:gridCol w:w="1474"/>
        <w:gridCol w:w="1474"/>
        <w:gridCol w:w="1474"/>
      </w:tblGrid>
      <w:tr w:rsidR="00A2339C" w:rsidRPr="0021202A" w14:paraId="2C9C5A34"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124" w:type="dxa"/>
            <w:shd w:val="clear" w:color="auto" w:fill="auto"/>
          </w:tcPr>
          <w:p w14:paraId="2610A18F" w14:textId="77777777" w:rsidR="00A2339C" w:rsidRPr="0021202A" w:rsidRDefault="00A2339C" w:rsidP="0021202A">
            <w:pPr>
              <w:pStyle w:val="TableHeading"/>
              <w:spacing w:before="20"/>
              <w:jc w:val="center"/>
              <w:rPr>
                <w:b/>
              </w:rPr>
            </w:pPr>
          </w:p>
        </w:tc>
        <w:tc>
          <w:tcPr>
            <w:tcW w:w="1518" w:type="dxa"/>
          </w:tcPr>
          <w:p w14:paraId="6712A218" w14:textId="77777777" w:rsidR="00A2339C" w:rsidRPr="0021202A" w:rsidRDefault="00A2339C"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2011</w:t>
            </w:r>
            <w:r w:rsidRPr="0021202A">
              <w:rPr>
                <w:b/>
              </w:rPr>
              <w:br/>
              <w:t>(‘000)</w:t>
            </w:r>
          </w:p>
        </w:tc>
        <w:tc>
          <w:tcPr>
            <w:tcW w:w="1519" w:type="dxa"/>
          </w:tcPr>
          <w:p w14:paraId="50E166EF" w14:textId="77777777" w:rsidR="00A2339C" w:rsidRPr="0021202A" w:rsidRDefault="00A2339C"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2012</w:t>
            </w:r>
            <w:r w:rsidRPr="0021202A">
              <w:rPr>
                <w:b/>
              </w:rPr>
              <w:br/>
              <w:t>(‘000)</w:t>
            </w:r>
          </w:p>
        </w:tc>
        <w:tc>
          <w:tcPr>
            <w:tcW w:w="1518" w:type="dxa"/>
          </w:tcPr>
          <w:p w14:paraId="7236AE18" w14:textId="77777777" w:rsidR="00A2339C" w:rsidRPr="0021202A" w:rsidRDefault="00A2339C"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2013</w:t>
            </w:r>
            <w:r w:rsidRPr="0021202A">
              <w:rPr>
                <w:b/>
              </w:rPr>
              <w:br/>
              <w:t>(‘000)</w:t>
            </w:r>
          </w:p>
        </w:tc>
        <w:tc>
          <w:tcPr>
            <w:tcW w:w="1519" w:type="dxa"/>
          </w:tcPr>
          <w:p w14:paraId="36C1D5AA" w14:textId="77777777" w:rsidR="00A2339C" w:rsidRPr="0021202A" w:rsidRDefault="00A2339C"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2014</w:t>
            </w:r>
            <w:r w:rsidRPr="0021202A">
              <w:rPr>
                <w:b/>
              </w:rPr>
              <w:br/>
              <w:t>(‘000)</w:t>
            </w:r>
          </w:p>
        </w:tc>
        <w:tc>
          <w:tcPr>
            <w:tcW w:w="1519" w:type="dxa"/>
          </w:tcPr>
          <w:p w14:paraId="452EB9D8" w14:textId="77777777" w:rsidR="00A2339C" w:rsidRPr="0021202A" w:rsidRDefault="00A2339C" w:rsidP="0021202A">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2015</w:t>
            </w:r>
            <w:r w:rsidRPr="0021202A">
              <w:rPr>
                <w:b/>
              </w:rPr>
              <w:br/>
              <w:t>(‘000)</w:t>
            </w:r>
          </w:p>
        </w:tc>
      </w:tr>
      <w:tr w:rsidR="00A2339C" w:rsidRPr="00FD7E86" w14:paraId="5263467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124" w:type="dxa"/>
          </w:tcPr>
          <w:p w14:paraId="053D425A" w14:textId="77777777" w:rsidR="00A2339C" w:rsidRPr="00C04B4C" w:rsidRDefault="00A2339C" w:rsidP="003708BA">
            <w:pPr>
              <w:keepNext/>
              <w:keepLines/>
              <w:spacing w:before="120" w:after="120"/>
              <w:rPr>
                <w:rFonts w:cs="Arial"/>
                <w:bCs/>
                <w:color w:val="auto"/>
                <w:szCs w:val="18"/>
              </w:rPr>
            </w:pPr>
            <w:r w:rsidRPr="00C04B4C">
              <w:rPr>
                <w:rFonts w:cs="Arial"/>
                <w:bCs/>
                <w:color w:val="auto"/>
                <w:szCs w:val="18"/>
              </w:rPr>
              <w:t>iiNet</w:t>
            </w:r>
          </w:p>
        </w:tc>
        <w:tc>
          <w:tcPr>
            <w:tcW w:w="1518" w:type="dxa"/>
          </w:tcPr>
          <w:p w14:paraId="1A2738C9"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370*</w:t>
            </w:r>
          </w:p>
        </w:tc>
        <w:tc>
          <w:tcPr>
            <w:tcW w:w="1519" w:type="dxa"/>
          </w:tcPr>
          <w:p w14:paraId="6DBA326F"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493</w:t>
            </w:r>
          </w:p>
        </w:tc>
        <w:tc>
          <w:tcPr>
            <w:tcW w:w="1518" w:type="dxa"/>
          </w:tcPr>
          <w:p w14:paraId="1B2DCE1A"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418</w:t>
            </w:r>
          </w:p>
        </w:tc>
        <w:tc>
          <w:tcPr>
            <w:tcW w:w="1519" w:type="dxa"/>
          </w:tcPr>
          <w:p w14:paraId="47488600"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443</w:t>
            </w:r>
          </w:p>
        </w:tc>
        <w:tc>
          <w:tcPr>
            <w:tcW w:w="1519" w:type="dxa"/>
          </w:tcPr>
          <w:p w14:paraId="44497D93"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473</w:t>
            </w:r>
          </w:p>
        </w:tc>
      </w:tr>
      <w:tr w:rsidR="00A2339C" w:rsidRPr="00FD7E86" w14:paraId="12350A3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124" w:type="dxa"/>
          </w:tcPr>
          <w:p w14:paraId="459444A9" w14:textId="77777777" w:rsidR="00A2339C" w:rsidRPr="00C04B4C" w:rsidRDefault="00A2339C" w:rsidP="003708BA">
            <w:pPr>
              <w:keepNext/>
              <w:keepLines/>
              <w:spacing w:before="120" w:after="120"/>
              <w:rPr>
                <w:rFonts w:cs="Arial"/>
                <w:bCs/>
                <w:color w:val="auto"/>
                <w:szCs w:val="18"/>
              </w:rPr>
            </w:pPr>
            <w:r w:rsidRPr="00C04B4C">
              <w:rPr>
                <w:rFonts w:cs="Arial"/>
                <w:bCs/>
                <w:color w:val="auto"/>
                <w:szCs w:val="18"/>
              </w:rPr>
              <w:t>Optus</w:t>
            </w:r>
          </w:p>
        </w:tc>
        <w:tc>
          <w:tcPr>
            <w:tcW w:w="1518" w:type="dxa"/>
          </w:tcPr>
          <w:p w14:paraId="641AEF05"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930</w:t>
            </w:r>
          </w:p>
        </w:tc>
        <w:tc>
          <w:tcPr>
            <w:tcW w:w="1519" w:type="dxa"/>
          </w:tcPr>
          <w:p w14:paraId="785074AB"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913</w:t>
            </w:r>
          </w:p>
        </w:tc>
        <w:tc>
          <w:tcPr>
            <w:tcW w:w="1518" w:type="dxa"/>
          </w:tcPr>
          <w:p w14:paraId="4198CCDE"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850</w:t>
            </w:r>
          </w:p>
        </w:tc>
        <w:tc>
          <w:tcPr>
            <w:tcW w:w="1519" w:type="dxa"/>
          </w:tcPr>
          <w:p w14:paraId="1DF82729"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799</w:t>
            </w:r>
          </w:p>
        </w:tc>
        <w:tc>
          <w:tcPr>
            <w:tcW w:w="1519" w:type="dxa"/>
          </w:tcPr>
          <w:p w14:paraId="54030072"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808</w:t>
            </w:r>
          </w:p>
        </w:tc>
      </w:tr>
      <w:tr w:rsidR="00A2339C" w:rsidRPr="00FD7E86" w14:paraId="33EE72F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124" w:type="dxa"/>
          </w:tcPr>
          <w:p w14:paraId="17D633BB" w14:textId="77777777" w:rsidR="00A2339C" w:rsidRPr="00C04B4C" w:rsidRDefault="00A2339C" w:rsidP="003708BA">
            <w:pPr>
              <w:keepNext/>
              <w:keepLines/>
              <w:spacing w:before="120" w:after="120"/>
              <w:rPr>
                <w:rFonts w:cs="Arial"/>
                <w:bCs/>
                <w:color w:val="auto"/>
                <w:szCs w:val="18"/>
              </w:rPr>
            </w:pPr>
            <w:r w:rsidRPr="00C04B4C">
              <w:rPr>
                <w:rFonts w:cs="Arial"/>
                <w:bCs/>
                <w:color w:val="auto"/>
                <w:szCs w:val="18"/>
              </w:rPr>
              <w:t>Primus</w:t>
            </w:r>
          </w:p>
        </w:tc>
        <w:tc>
          <w:tcPr>
            <w:tcW w:w="1518" w:type="dxa"/>
          </w:tcPr>
          <w:p w14:paraId="0F8B4C8D"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115</w:t>
            </w:r>
          </w:p>
        </w:tc>
        <w:tc>
          <w:tcPr>
            <w:tcW w:w="1519" w:type="dxa"/>
          </w:tcPr>
          <w:p w14:paraId="6E0478DD"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103</w:t>
            </w:r>
          </w:p>
        </w:tc>
        <w:tc>
          <w:tcPr>
            <w:tcW w:w="1518" w:type="dxa"/>
          </w:tcPr>
          <w:p w14:paraId="3C9DA69A"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101</w:t>
            </w:r>
          </w:p>
        </w:tc>
        <w:tc>
          <w:tcPr>
            <w:tcW w:w="1519" w:type="dxa"/>
          </w:tcPr>
          <w:p w14:paraId="070D4694"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w:t>
            </w:r>
          </w:p>
        </w:tc>
        <w:tc>
          <w:tcPr>
            <w:tcW w:w="1519" w:type="dxa"/>
          </w:tcPr>
          <w:p w14:paraId="23594D12"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49</w:t>
            </w:r>
          </w:p>
        </w:tc>
      </w:tr>
      <w:tr w:rsidR="00A2339C" w:rsidRPr="00FD7E86" w14:paraId="51D31E7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124" w:type="dxa"/>
          </w:tcPr>
          <w:p w14:paraId="5DBC8BB9" w14:textId="77777777" w:rsidR="00A2339C" w:rsidRPr="00C04B4C" w:rsidRDefault="00A2339C" w:rsidP="003708BA">
            <w:pPr>
              <w:keepNext/>
              <w:keepLines/>
              <w:spacing w:before="120" w:after="120"/>
              <w:rPr>
                <w:rFonts w:cs="Arial"/>
                <w:bCs/>
                <w:color w:val="auto"/>
                <w:szCs w:val="18"/>
              </w:rPr>
            </w:pPr>
            <w:r w:rsidRPr="00C04B4C">
              <w:rPr>
                <w:rFonts w:cs="Arial"/>
                <w:bCs/>
                <w:color w:val="auto"/>
                <w:szCs w:val="18"/>
              </w:rPr>
              <w:t>Telstra</w:t>
            </w:r>
          </w:p>
        </w:tc>
        <w:tc>
          <w:tcPr>
            <w:tcW w:w="1518" w:type="dxa"/>
          </w:tcPr>
          <w:p w14:paraId="254921EF"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5,828</w:t>
            </w:r>
          </w:p>
        </w:tc>
        <w:tc>
          <w:tcPr>
            <w:tcW w:w="1519" w:type="dxa"/>
          </w:tcPr>
          <w:p w14:paraId="01A78C9E"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5,608</w:t>
            </w:r>
          </w:p>
        </w:tc>
        <w:tc>
          <w:tcPr>
            <w:tcW w:w="1518" w:type="dxa"/>
          </w:tcPr>
          <w:p w14:paraId="13CA451F"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5,314</w:t>
            </w:r>
          </w:p>
        </w:tc>
        <w:tc>
          <w:tcPr>
            <w:tcW w:w="1519" w:type="dxa"/>
          </w:tcPr>
          <w:p w14:paraId="51CA60D2"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5,038</w:t>
            </w:r>
          </w:p>
        </w:tc>
        <w:tc>
          <w:tcPr>
            <w:tcW w:w="1519" w:type="dxa"/>
          </w:tcPr>
          <w:p w14:paraId="5BF14439"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4,757</w:t>
            </w:r>
          </w:p>
        </w:tc>
      </w:tr>
      <w:tr w:rsidR="00A2339C" w:rsidRPr="00FD7E86" w14:paraId="4F1BBE4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124" w:type="dxa"/>
          </w:tcPr>
          <w:p w14:paraId="2B449A51" w14:textId="77777777" w:rsidR="00A2339C" w:rsidRPr="00C04B4C" w:rsidRDefault="00A2339C" w:rsidP="003708BA">
            <w:pPr>
              <w:keepNext/>
              <w:keepLines/>
              <w:spacing w:before="120" w:after="120"/>
              <w:rPr>
                <w:rFonts w:cs="Arial"/>
                <w:bCs/>
                <w:color w:val="auto"/>
                <w:szCs w:val="18"/>
              </w:rPr>
            </w:pPr>
            <w:r w:rsidRPr="00C04B4C">
              <w:rPr>
                <w:rFonts w:cs="Arial"/>
                <w:bCs/>
                <w:color w:val="auto"/>
                <w:szCs w:val="18"/>
              </w:rPr>
              <w:t>Dodo</w:t>
            </w:r>
          </w:p>
        </w:tc>
        <w:tc>
          <w:tcPr>
            <w:tcW w:w="1518" w:type="dxa"/>
          </w:tcPr>
          <w:p w14:paraId="01E0DC2A"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n/a</w:t>
            </w:r>
          </w:p>
        </w:tc>
        <w:tc>
          <w:tcPr>
            <w:tcW w:w="1519" w:type="dxa"/>
          </w:tcPr>
          <w:p w14:paraId="2A6AD65B"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n/a</w:t>
            </w:r>
          </w:p>
        </w:tc>
        <w:tc>
          <w:tcPr>
            <w:tcW w:w="1518" w:type="dxa"/>
          </w:tcPr>
          <w:p w14:paraId="5FAE2325"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1519" w:type="dxa"/>
          </w:tcPr>
          <w:p w14:paraId="36873B3A"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159</w:t>
            </w:r>
          </w:p>
        </w:tc>
        <w:tc>
          <w:tcPr>
            <w:tcW w:w="1519" w:type="dxa"/>
          </w:tcPr>
          <w:p w14:paraId="7CF7F26A"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249</w:t>
            </w:r>
          </w:p>
        </w:tc>
      </w:tr>
      <w:tr w:rsidR="00A2339C" w:rsidRPr="00FD7E86" w14:paraId="5900D318" w14:textId="77777777" w:rsidTr="004E56DE">
        <w:trPr>
          <w:trHeight w:val="454"/>
        </w:trPr>
        <w:tc>
          <w:tcPr>
            <w:cnfStyle w:val="001000000000" w:firstRow="0" w:lastRow="0" w:firstColumn="1" w:lastColumn="0" w:oddVBand="0" w:evenVBand="0" w:oddHBand="0" w:evenHBand="0" w:firstRowFirstColumn="0" w:firstRowLastColumn="0" w:lastRowFirstColumn="0" w:lastRowLastColumn="0"/>
            <w:tcW w:w="2124" w:type="dxa"/>
            <w:shd w:val="clear" w:color="auto" w:fill="65CDD5" w:themeFill="accent2"/>
          </w:tcPr>
          <w:p w14:paraId="765E6CE5" w14:textId="77777777" w:rsidR="00A2339C" w:rsidRPr="00C04B4C" w:rsidRDefault="00A2339C" w:rsidP="003708BA">
            <w:pPr>
              <w:keepNext/>
              <w:keepLines/>
              <w:spacing w:before="120" w:after="120"/>
              <w:rPr>
                <w:rFonts w:cs="Arial"/>
                <w:b/>
                <w:bCs/>
                <w:color w:val="auto"/>
                <w:szCs w:val="18"/>
              </w:rPr>
            </w:pPr>
            <w:r w:rsidRPr="00C04B4C">
              <w:rPr>
                <w:rFonts w:cs="Arial"/>
                <w:b/>
                <w:bCs/>
                <w:color w:val="auto"/>
                <w:szCs w:val="18"/>
              </w:rPr>
              <w:t>Total</w:t>
            </w:r>
          </w:p>
        </w:tc>
        <w:tc>
          <w:tcPr>
            <w:tcW w:w="1518" w:type="dxa"/>
            <w:shd w:val="clear" w:color="auto" w:fill="65CDD5" w:themeFill="accent2"/>
          </w:tcPr>
          <w:p w14:paraId="1F84909E"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b/>
                <w:color w:val="000000"/>
                <w:szCs w:val="18"/>
              </w:rPr>
            </w:pPr>
            <w:r w:rsidRPr="00FD7E86">
              <w:rPr>
                <w:rFonts w:cs="Arial"/>
                <w:b/>
                <w:szCs w:val="18"/>
              </w:rPr>
              <w:t>7,243</w:t>
            </w:r>
          </w:p>
        </w:tc>
        <w:tc>
          <w:tcPr>
            <w:tcW w:w="1519" w:type="dxa"/>
            <w:shd w:val="clear" w:color="auto" w:fill="65CDD5" w:themeFill="accent2"/>
          </w:tcPr>
          <w:p w14:paraId="3BACC7F4"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b/>
                <w:color w:val="000000"/>
                <w:szCs w:val="18"/>
              </w:rPr>
            </w:pPr>
            <w:r w:rsidRPr="00FD7E86">
              <w:rPr>
                <w:rFonts w:cs="Arial"/>
                <w:b/>
                <w:szCs w:val="18"/>
              </w:rPr>
              <w:t>7,117</w:t>
            </w:r>
          </w:p>
        </w:tc>
        <w:tc>
          <w:tcPr>
            <w:tcW w:w="1518" w:type="dxa"/>
            <w:shd w:val="clear" w:color="auto" w:fill="65CDD5" w:themeFill="accent2"/>
          </w:tcPr>
          <w:p w14:paraId="6E7FAB36"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6,683</w:t>
            </w:r>
          </w:p>
        </w:tc>
        <w:tc>
          <w:tcPr>
            <w:tcW w:w="1519" w:type="dxa"/>
            <w:shd w:val="clear" w:color="auto" w:fill="65CDD5" w:themeFill="accent2"/>
          </w:tcPr>
          <w:p w14:paraId="32D83313" w14:textId="77777777" w:rsidR="00A2339C" w:rsidRPr="00FD7E86" w:rsidRDefault="00A2339C" w:rsidP="003708BA">
            <w:pPr>
              <w:keepNext/>
              <w:keepLines/>
              <w:tabs>
                <w:tab w:val="left" w:pos="710"/>
              </w:tabs>
              <w:spacing w:before="120" w:after="120"/>
              <w:ind w:right="298"/>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6,53</w:t>
            </w:r>
            <w:r w:rsidR="00E9642F" w:rsidRPr="00FD7E86">
              <w:rPr>
                <w:rFonts w:cs="Arial"/>
                <w:b/>
                <w:szCs w:val="18"/>
              </w:rPr>
              <w:t>5</w:t>
            </w:r>
          </w:p>
        </w:tc>
        <w:tc>
          <w:tcPr>
            <w:tcW w:w="1519" w:type="dxa"/>
            <w:shd w:val="clear" w:color="auto" w:fill="65CDD5" w:themeFill="accent2"/>
          </w:tcPr>
          <w:p w14:paraId="2B2C2E81" w14:textId="77777777" w:rsidR="00A2339C" w:rsidRPr="00FD7E86" w:rsidRDefault="00A2339C" w:rsidP="003708BA">
            <w:pPr>
              <w:keepNext/>
              <w:keepLines/>
              <w:tabs>
                <w:tab w:val="left" w:pos="710"/>
              </w:tabs>
              <w:spacing w:before="120" w:after="120"/>
              <w:ind w:right="419"/>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6,33</w:t>
            </w:r>
            <w:r w:rsidR="00E9642F" w:rsidRPr="00FD7E86">
              <w:rPr>
                <w:rFonts w:cs="Arial"/>
                <w:b/>
                <w:szCs w:val="18"/>
              </w:rPr>
              <w:t>5</w:t>
            </w:r>
          </w:p>
        </w:tc>
      </w:tr>
    </w:tbl>
    <w:p w14:paraId="0FAF1D75" w14:textId="77777777" w:rsidR="00A2339C" w:rsidRPr="00FD7E86" w:rsidRDefault="00A2339C" w:rsidP="00A2339C">
      <w:pPr>
        <w:pStyle w:val="ACMANotes"/>
      </w:pPr>
      <w:r w:rsidRPr="00FD7E86">
        <w:t xml:space="preserve">n/a=not applicable. </w:t>
      </w:r>
    </w:p>
    <w:p w14:paraId="4C09CDE5" w14:textId="77777777" w:rsidR="00A2339C" w:rsidRPr="00FD7E86" w:rsidRDefault="00A2339C" w:rsidP="00A2339C">
      <w:pPr>
        <w:pStyle w:val="ACMANotes"/>
        <w:rPr>
          <w:szCs w:val="16"/>
        </w:rPr>
      </w:pPr>
      <w:r w:rsidRPr="00FD7E86">
        <w:rPr>
          <w:szCs w:val="16"/>
        </w:rPr>
        <w:t>*iiNet acquired AAPT’s Consumer Division on 1 October 2010 and Adam Internet on 5 August 2013.</w:t>
      </w:r>
    </w:p>
    <w:p w14:paraId="2F2CB378" w14:textId="77777777" w:rsidR="00E66475" w:rsidRPr="00FD7E86" w:rsidRDefault="00E66475" w:rsidP="00A2339C">
      <w:pPr>
        <w:pStyle w:val="ACMANotes"/>
        <w:rPr>
          <w:i w:val="0"/>
          <w:szCs w:val="16"/>
        </w:rPr>
      </w:pPr>
      <w:r w:rsidRPr="00FD7E86">
        <w:rPr>
          <w:szCs w:val="16"/>
        </w:rPr>
        <w:t xml:space="preserve">Note: </w:t>
      </w:r>
      <w:r w:rsidR="003B1E4E" w:rsidRPr="00FD7E86">
        <w:t>Numbers may not add up due to rounding</w:t>
      </w:r>
      <w:r w:rsidRPr="00FD7E86">
        <w:t>.</w:t>
      </w:r>
    </w:p>
    <w:p w14:paraId="60EDBDEF" w14:textId="77777777" w:rsidR="00A2339C" w:rsidRPr="00FD7E86" w:rsidRDefault="00A2339C" w:rsidP="00E450B7">
      <w:pPr>
        <w:pStyle w:val="ACMANotes"/>
      </w:pPr>
      <w:r w:rsidRPr="00FD7E86">
        <w:t>Source: CSP data.</w:t>
      </w:r>
    </w:p>
    <w:p w14:paraId="1B9C74A2" w14:textId="77777777" w:rsidR="00E450B7" w:rsidRPr="00FD7E86" w:rsidRDefault="00E450B7" w:rsidP="00216D8C">
      <w:pPr>
        <w:pStyle w:val="ACMASpaceaftertable"/>
        <w:rPr>
          <w:i/>
          <w:sz w:val="16"/>
          <w:szCs w:val="16"/>
        </w:rPr>
      </w:pPr>
    </w:p>
    <w:p w14:paraId="5C333986" w14:textId="77777777" w:rsidR="00A2339C" w:rsidRPr="00FD7E86" w:rsidRDefault="00A2339C" w:rsidP="00314FB5">
      <w:r w:rsidRPr="00FD7E86">
        <w:t>CSG performance benchmarks are established by the Telecommunications (Customer Service Guarantee–Retail Performance Benchmarks) Instrument (No. 1) 2011 and apply to ‘qualifying carriage service providers’ (QCSPs). QCSPs are those that have 100,000 CSG services or more, as at the last day of the preceding financial year</w:t>
      </w:r>
      <w:r w:rsidR="00976C83" w:rsidRPr="00FD7E86">
        <w:t>.</w:t>
      </w:r>
      <w:r w:rsidRPr="00FD7E86">
        <w:t xml:space="preserve"> </w:t>
      </w:r>
      <w:r w:rsidR="00976C83" w:rsidRPr="00FD7E86">
        <w:t>F</w:t>
      </w:r>
      <w:r w:rsidRPr="00FD7E86">
        <w:t xml:space="preserve">or the </w:t>
      </w:r>
      <w:r w:rsidRPr="00472D83">
        <w:t>2014</w:t>
      </w:r>
      <w:r w:rsidR="006F1FD1" w:rsidRPr="00472D83">
        <w:t>–</w:t>
      </w:r>
      <w:r w:rsidRPr="00472D83">
        <w:t>15</w:t>
      </w:r>
      <w:r w:rsidRPr="00FD7E86">
        <w:t xml:space="preserve"> reporting year</w:t>
      </w:r>
      <w:r w:rsidR="00976C83" w:rsidRPr="00FD7E86">
        <w:t>, the QCSPs</w:t>
      </w:r>
      <w:r w:rsidRPr="00FD7E86">
        <w:t xml:space="preserve"> </w:t>
      </w:r>
      <w:r w:rsidR="00976C83" w:rsidRPr="00FD7E86">
        <w:t xml:space="preserve">were </w:t>
      </w:r>
      <w:r w:rsidRPr="00FD7E86">
        <w:t>Telstra, Optus, iiNet, and Dodo.</w:t>
      </w:r>
    </w:p>
    <w:p w14:paraId="3432BF3E" w14:textId="77777777" w:rsidR="00A2339C" w:rsidRPr="00FD7E86" w:rsidRDefault="00A2339C" w:rsidP="00A2339C">
      <w:pPr>
        <w:spacing w:after="80"/>
        <w:rPr>
          <w:rFonts w:cs="Arial"/>
        </w:rPr>
      </w:pPr>
      <w:r w:rsidRPr="00FD7E86">
        <w:rPr>
          <w:rFonts w:cs="Arial"/>
        </w:rPr>
        <w:t xml:space="preserve">The national CSG performance benchmarks set minimum compliance levels with the CSG Standard time frames, which are set out in </w:t>
      </w:r>
      <w:r w:rsidR="00AF7597" w:rsidRPr="00FD7E86">
        <w:rPr>
          <w:rFonts w:cs="Arial"/>
        </w:rPr>
        <w:t xml:space="preserve">Table 5.4 </w:t>
      </w:r>
      <w:r w:rsidRPr="00FD7E86">
        <w:rPr>
          <w:rFonts w:cs="Arial"/>
        </w:rPr>
        <w:t>and relate to the following activities:</w:t>
      </w:r>
    </w:p>
    <w:p w14:paraId="19DF8724" w14:textId="77777777" w:rsidR="00A2339C" w:rsidRPr="00FD7E86" w:rsidRDefault="00A2339C" w:rsidP="00A2339C">
      <w:pPr>
        <w:pStyle w:val="ListBullet"/>
        <w:rPr>
          <w:rFonts w:cs="Arial"/>
        </w:rPr>
      </w:pPr>
      <w:r w:rsidRPr="00FD7E86">
        <w:rPr>
          <w:rFonts w:cs="Arial"/>
        </w:rPr>
        <w:t xml:space="preserve">installing new connections in urban, major rural, minor rural and remote areas </w:t>
      </w:r>
    </w:p>
    <w:p w14:paraId="2F502CD9" w14:textId="77777777" w:rsidR="00A2339C" w:rsidRPr="00FD7E86" w:rsidRDefault="00A2339C" w:rsidP="00A2339C">
      <w:pPr>
        <w:pStyle w:val="ListBullet"/>
        <w:rPr>
          <w:rFonts w:cs="Arial"/>
        </w:rPr>
      </w:pPr>
      <w:r w:rsidRPr="00FD7E86">
        <w:rPr>
          <w:rFonts w:cs="Arial"/>
        </w:rPr>
        <w:t xml:space="preserve">installing in-place connections in all areas </w:t>
      </w:r>
    </w:p>
    <w:p w14:paraId="31D54039" w14:textId="77777777" w:rsidR="00A2339C" w:rsidRPr="00FD7E86" w:rsidRDefault="00A2339C" w:rsidP="00A2339C">
      <w:pPr>
        <w:pStyle w:val="ListBullet"/>
        <w:rPr>
          <w:rFonts w:cs="Arial"/>
        </w:rPr>
      </w:pPr>
      <w:r w:rsidRPr="00FD7E86">
        <w:rPr>
          <w:rFonts w:cs="Arial"/>
        </w:rPr>
        <w:t xml:space="preserve">fault rectifications in urban, rural and remote areas </w:t>
      </w:r>
    </w:p>
    <w:p w14:paraId="5D0D97CF" w14:textId="77777777" w:rsidR="00A2339C" w:rsidRPr="00FD7E86" w:rsidDel="005B07D8" w:rsidRDefault="00A2339C" w:rsidP="000664F7">
      <w:pPr>
        <w:pStyle w:val="ListBulletLast"/>
      </w:pPr>
      <w:r w:rsidRPr="00FD7E86">
        <w:t xml:space="preserve">appointment-keeping in all areas. </w:t>
      </w:r>
    </w:p>
    <w:p w14:paraId="6D85B684" w14:textId="77777777" w:rsidR="00A2339C" w:rsidRPr="00FD7E86" w:rsidRDefault="00A2339C" w:rsidP="00314FB5">
      <w:r w:rsidRPr="00FD7E86">
        <w:t>The CSG Standard time frames vary according to the location of the customer and, in the case of connections, whether infrastructure is readily available and whether there is an existing in-place connection. There are nine annual benchmarks in total for connections, fault repair and appointment</w:t>
      </w:r>
      <w:r w:rsidR="00976C83" w:rsidRPr="00FD7E86">
        <w:t>-</w:t>
      </w:r>
      <w:r w:rsidRPr="00FD7E86">
        <w:t>keeping where QCSPs must meet a minimum 90 per cent benchmark.</w:t>
      </w:r>
    </w:p>
    <w:p w14:paraId="3DB7C962" w14:textId="77777777" w:rsidR="00A2339C" w:rsidRPr="00FD7E86" w:rsidRDefault="00A2339C" w:rsidP="00314FB5">
      <w:r w:rsidRPr="00FD7E86">
        <w:t xml:space="preserve">If a QCSP fails to meet any of the annual CSG performance benchmarks, the ACMA may take compliance action, which includes the option to issue the QCSP with an infringement notice. </w:t>
      </w:r>
    </w:p>
    <w:p w14:paraId="4EB58FF0" w14:textId="77777777" w:rsidR="00A2339C" w:rsidRPr="00FD7E86" w:rsidRDefault="00A2339C" w:rsidP="00314FB5">
      <w:r w:rsidRPr="00FD7E86">
        <w:t>At June 2015, there were 867,270 occasions nationally where customers of the major CSPs waived their rights under the CSG Standard. TPG accounted for 62 per cent of waivers, and iiNet 31 per cent.</w:t>
      </w:r>
    </w:p>
    <w:p w14:paraId="265FD423" w14:textId="77777777" w:rsidR="00A2339C" w:rsidRPr="00FD7E86" w:rsidRDefault="00DD750B" w:rsidP="0021202A">
      <w:pPr>
        <w:pStyle w:val="ACMATableHeader"/>
        <w:keepNext/>
        <w:keepLines/>
        <w:numPr>
          <w:ilvl w:val="0"/>
          <w:numId w:val="0"/>
        </w:numPr>
      </w:pPr>
      <w:r w:rsidRPr="00FD7E86">
        <w:rPr>
          <w:rFonts w:cs="Arial"/>
        </w:rPr>
        <w:lastRenderedPageBreak/>
        <w:t xml:space="preserve">Table 5.4 </w:t>
      </w:r>
      <w:r w:rsidR="00A2339C" w:rsidRPr="00FD7E86">
        <w:rPr>
          <w:rFonts w:cs="Arial"/>
        </w:rPr>
        <w:t>CSG Standard time frames (working days)</w:t>
      </w:r>
    </w:p>
    <w:tbl>
      <w:tblPr>
        <w:tblStyle w:val="Commsreport2014-15TABLE"/>
        <w:tblW w:w="9429" w:type="dxa"/>
        <w:tblLayout w:type="fixed"/>
        <w:tblLook w:val="01E0" w:firstRow="1" w:lastRow="1" w:firstColumn="1" w:lastColumn="1" w:noHBand="0" w:noVBand="0"/>
        <w:tblCaption w:val="Table 5.4 CSG Standard time frames (working days)"/>
      </w:tblPr>
      <w:tblGrid>
        <w:gridCol w:w="1472"/>
        <w:gridCol w:w="1960"/>
        <w:gridCol w:w="1925"/>
        <w:gridCol w:w="2099"/>
        <w:gridCol w:w="1973"/>
      </w:tblGrid>
      <w:tr w:rsidR="00A2339C" w:rsidRPr="0021202A" w14:paraId="099DC460"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502" w:type="dxa"/>
            <w:vMerge w:val="restart"/>
            <w:shd w:val="clear" w:color="auto" w:fill="auto"/>
          </w:tcPr>
          <w:p w14:paraId="455A1669" w14:textId="77777777" w:rsidR="00A2339C" w:rsidRPr="0021202A" w:rsidRDefault="00A2339C" w:rsidP="0021202A">
            <w:pPr>
              <w:pStyle w:val="TableHeading"/>
              <w:keepNext/>
              <w:keepLines/>
              <w:spacing w:before="20"/>
              <w:rPr>
                <w:b/>
              </w:rPr>
            </w:pPr>
          </w:p>
        </w:tc>
        <w:tc>
          <w:tcPr>
            <w:tcW w:w="2002" w:type="dxa"/>
            <w:vMerge w:val="restart"/>
          </w:tcPr>
          <w:p w14:paraId="2C1A8FDD" w14:textId="77777777" w:rsidR="00A2339C" w:rsidRPr="0021202A" w:rsidRDefault="00A2339C" w:rsidP="0021202A">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rPr>
            </w:pPr>
            <w:r w:rsidRPr="0021202A">
              <w:rPr>
                <w:b/>
              </w:rPr>
              <w:t>In-place connection</w:t>
            </w:r>
          </w:p>
        </w:tc>
        <w:tc>
          <w:tcPr>
            <w:tcW w:w="4110" w:type="dxa"/>
            <w:gridSpan w:val="2"/>
          </w:tcPr>
          <w:p w14:paraId="120DE356"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New service connection</w:t>
            </w:r>
          </w:p>
        </w:tc>
        <w:tc>
          <w:tcPr>
            <w:tcW w:w="2015" w:type="dxa"/>
            <w:vMerge w:val="restart"/>
          </w:tcPr>
          <w:p w14:paraId="39D709BF" w14:textId="77777777" w:rsidR="00A2339C" w:rsidRPr="0021202A" w:rsidRDefault="00A2339C" w:rsidP="0021202A">
            <w:pPr>
              <w:pStyle w:val="TableHeading"/>
              <w:keepNext/>
              <w:keepLines/>
              <w:spacing w:before="20"/>
              <w:cnfStyle w:val="100000000000" w:firstRow="1" w:lastRow="0" w:firstColumn="0" w:lastColumn="0" w:oddVBand="0" w:evenVBand="0" w:oddHBand="0" w:evenHBand="0" w:firstRowFirstColumn="0" w:firstRowLastColumn="0" w:lastRowFirstColumn="0" w:lastRowLastColumn="0"/>
              <w:rPr>
                <w:b/>
              </w:rPr>
            </w:pPr>
            <w:r w:rsidRPr="0021202A">
              <w:rPr>
                <w:b/>
              </w:rPr>
              <w:t>Fault repair</w:t>
            </w:r>
          </w:p>
        </w:tc>
      </w:tr>
      <w:tr w:rsidR="00A2339C" w:rsidRPr="00FD7E86" w14:paraId="3F91489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502" w:type="dxa"/>
            <w:vMerge/>
            <w:shd w:val="clear" w:color="auto" w:fill="auto"/>
          </w:tcPr>
          <w:p w14:paraId="04833E24" w14:textId="77777777" w:rsidR="00A2339C" w:rsidRPr="00FD7E86" w:rsidRDefault="00A2339C" w:rsidP="0021202A">
            <w:pPr>
              <w:pStyle w:val="TableHeading"/>
              <w:keepNext/>
              <w:keepLines/>
              <w:spacing w:before="120" w:after="120"/>
              <w:rPr>
                <w:rFonts w:cs="Arial"/>
                <w:szCs w:val="18"/>
              </w:rPr>
            </w:pPr>
          </w:p>
        </w:tc>
        <w:tc>
          <w:tcPr>
            <w:tcW w:w="2002" w:type="dxa"/>
            <w:vMerge/>
          </w:tcPr>
          <w:p w14:paraId="39F3A573" w14:textId="77777777" w:rsidR="00A2339C" w:rsidRPr="00FD7E86" w:rsidRDefault="00A2339C" w:rsidP="0021202A">
            <w:pPr>
              <w:pStyle w:val="TableHeading"/>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bCs/>
                <w:szCs w:val="18"/>
              </w:rPr>
            </w:pPr>
          </w:p>
        </w:tc>
        <w:tc>
          <w:tcPr>
            <w:tcW w:w="1966" w:type="dxa"/>
            <w:shd w:val="clear" w:color="auto" w:fill="00ADBB" w:themeFill="accent1"/>
          </w:tcPr>
          <w:p w14:paraId="531EF35C" w14:textId="77777777" w:rsidR="00A2339C" w:rsidRPr="00FD7E86" w:rsidRDefault="00A2339C" w:rsidP="0021202A">
            <w:pPr>
              <w:pStyle w:val="TableHeading"/>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bCs/>
                <w:color w:val="FFFFFF" w:themeColor="background1"/>
                <w:szCs w:val="18"/>
              </w:rPr>
            </w:pPr>
            <w:r w:rsidRPr="00FD7E86">
              <w:rPr>
                <w:rFonts w:cs="Arial"/>
                <w:color w:val="FFFFFF" w:themeColor="background1"/>
                <w:szCs w:val="18"/>
              </w:rPr>
              <w:t>Close to infrastructure</w:t>
            </w:r>
          </w:p>
        </w:tc>
        <w:tc>
          <w:tcPr>
            <w:tcW w:w="2144" w:type="dxa"/>
            <w:shd w:val="clear" w:color="auto" w:fill="00ADBB" w:themeFill="accent1"/>
          </w:tcPr>
          <w:p w14:paraId="656AEE4E" w14:textId="77777777" w:rsidR="00A2339C" w:rsidRPr="00FD7E86" w:rsidRDefault="00A2339C" w:rsidP="0021202A">
            <w:pPr>
              <w:pStyle w:val="TableHeading"/>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bCs/>
                <w:color w:val="FFFFFF" w:themeColor="background1"/>
                <w:szCs w:val="18"/>
              </w:rPr>
            </w:pPr>
            <w:r w:rsidRPr="00FD7E86">
              <w:rPr>
                <w:rFonts w:cs="Arial"/>
                <w:color w:val="FFFFFF" w:themeColor="background1"/>
                <w:szCs w:val="18"/>
              </w:rPr>
              <w:t>Not close to infrastructure</w:t>
            </w:r>
          </w:p>
        </w:tc>
        <w:tc>
          <w:tcPr>
            <w:tcW w:w="2015" w:type="dxa"/>
            <w:vMerge/>
          </w:tcPr>
          <w:p w14:paraId="52451707" w14:textId="77777777" w:rsidR="00A2339C" w:rsidRPr="00FD7E86" w:rsidRDefault="00A2339C" w:rsidP="0021202A">
            <w:pPr>
              <w:pStyle w:val="TableHeading"/>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bCs/>
                <w:szCs w:val="18"/>
              </w:rPr>
            </w:pPr>
          </w:p>
        </w:tc>
      </w:tr>
      <w:tr w:rsidR="00A2339C" w:rsidRPr="00FD7E86" w14:paraId="1DD419A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502" w:type="dxa"/>
          </w:tcPr>
          <w:p w14:paraId="439A11DC" w14:textId="77777777" w:rsidR="00A2339C" w:rsidRPr="00C04B4C" w:rsidRDefault="00A2339C" w:rsidP="0021202A">
            <w:pPr>
              <w:keepNext/>
              <w:keepLines/>
              <w:spacing w:before="120" w:after="120"/>
              <w:rPr>
                <w:rFonts w:cs="Arial"/>
                <w:color w:val="auto"/>
                <w:szCs w:val="18"/>
              </w:rPr>
            </w:pPr>
            <w:r w:rsidRPr="00C04B4C">
              <w:rPr>
                <w:rFonts w:cs="Arial"/>
                <w:color w:val="auto"/>
                <w:szCs w:val="18"/>
              </w:rPr>
              <w:t>Urban</w:t>
            </w:r>
          </w:p>
        </w:tc>
        <w:tc>
          <w:tcPr>
            <w:tcW w:w="2002" w:type="dxa"/>
          </w:tcPr>
          <w:p w14:paraId="08ABF254"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1966" w:type="dxa"/>
          </w:tcPr>
          <w:p w14:paraId="477C25FB"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w:t>
            </w:r>
          </w:p>
        </w:tc>
        <w:tc>
          <w:tcPr>
            <w:tcW w:w="2144" w:type="dxa"/>
          </w:tcPr>
          <w:p w14:paraId="00C9E122"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w:t>
            </w:r>
          </w:p>
        </w:tc>
        <w:tc>
          <w:tcPr>
            <w:tcW w:w="2015" w:type="dxa"/>
          </w:tcPr>
          <w:p w14:paraId="5BCE8BC0"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w:t>
            </w:r>
          </w:p>
        </w:tc>
      </w:tr>
      <w:tr w:rsidR="00A2339C" w:rsidRPr="00FD7E86" w14:paraId="30A1E73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502" w:type="dxa"/>
          </w:tcPr>
          <w:p w14:paraId="6CE8AC86" w14:textId="77777777" w:rsidR="00A2339C" w:rsidRPr="00C04B4C" w:rsidRDefault="00A2339C" w:rsidP="0021202A">
            <w:pPr>
              <w:keepNext/>
              <w:keepLines/>
              <w:spacing w:before="120" w:after="120"/>
              <w:rPr>
                <w:rFonts w:cs="Arial"/>
                <w:color w:val="auto"/>
                <w:szCs w:val="18"/>
              </w:rPr>
            </w:pPr>
            <w:r w:rsidRPr="00C04B4C">
              <w:rPr>
                <w:rFonts w:cs="Arial"/>
                <w:color w:val="auto"/>
                <w:szCs w:val="18"/>
              </w:rPr>
              <w:t>Major rural</w:t>
            </w:r>
          </w:p>
        </w:tc>
        <w:tc>
          <w:tcPr>
            <w:tcW w:w="2002" w:type="dxa"/>
          </w:tcPr>
          <w:p w14:paraId="352F8BDD"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1966" w:type="dxa"/>
          </w:tcPr>
          <w:p w14:paraId="7C15686F"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w:t>
            </w:r>
          </w:p>
        </w:tc>
        <w:tc>
          <w:tcPr>
            <w:tcW w:w="2144" w:type="dxa"/>
          </w:tcPr>
          <w:p w14:paraId="5C5471A5"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w:t>
            </w:r>
          </w:p>
        </w:tc>
        <w:tc>
          <w:tcPr>
            <w:tcW w:w="2015" w:type="dxa"/>
          </w:tcPr>
          <w:p w14:paraId="2E98A295"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r>
      <w:tr w:rsidR="00A2339C" w:rsidRPr="00FD7E86" w14:paraId="3B910BC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502" w:type="dxa"/>
          </w:tcPr>
          <w:p w14:paraId="4E305F48" w14:textId="77777777" w:rsidR="00A2339C" w:rsidRPr="00C04B4C" w:rsidRDefault="00A2339C" w:rsidP="0021202A">
            <w:pPr>
              <w:keepNext/>
              <w:keepLines/>
              <w:spacing w:before="120" w:after="120"/>
              <w:rPr>
                <w:rFonts w:cs="Arial"/>
                <w:color w:val="auto"/>
                <w:szCs w:val="18"/>
              </w:rPr>
            </w:pPr>
            <w:r w:rsidRPr="00C04B4C">
              <w:rPr>
                <w:rFonts w:cs="Arial"/>
                <w:color w:val="auto"/>
                <w:szCs w:val="18"/>
              </w:rPr>
              <w:t>Minor rural</w:t>
            </w:r>
          </w:p>
        </w:tc>
        <w:tc>
          <w:tcPr>
            <w:tcW w:w="2002" w:type="dxa"/>
          </w:tcPr>
          <w:p w14:paraId="30C42460"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1966" w:type="dxa"/>
          </w:tcPr>
          <w:p w14:paraId="6FB43AD5"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w:t>
            </w:r>
          </w:p>
        </w:tc>
        <w:tc>
          <w:tcPr>
            <w:tcW w:w="2144" w:type="dxa"/>
          </w:tcPr>
          <w:p w14:paraId="7041F3EA"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w:t>
            </w:r>
          </w:p>
        </w:tc>
        <w:tc>
          <w:tcPr>
            <w:tcW w:w="2015" w:type="dxa"/>
          </w:tcPr>
          <w:p w14:paraId="2D373FA3" w14:textId="77777777" w:rsidR="00A2339C" w:rsidRPr="00FD7E86" w:rsidRDefault="00A2339C" w:rsidP="0021202A">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r>
      <w:tr w:rsidR="00A2339C" w:rsidRPr="00FD7E86" w14:paraId="33B2453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502" w:type="dxa"/>
          </w:tcPr>
          <w:p w14:paraId="467DE101" w14:textId="77777777" w:rsidR="00A2339C" w:rsidRPr="00C04B4C" w:rsidRDefault="00A2339C" w:rsidP="00314FB5">
            <w:pPr>
              <w:keepNext/>
              <w:keepLines/>
              <w:spacing w:before="120" w:after="120"/>
              <w:rPr>
                <w:rFonts w:cs="Arial"/>
                <w:color w:val="auto"/>
                <w:szCs w:val="18"/>
              </w:rPr>
            </w:pPr>
            <w:r w:rsidRPr="00C04B4C">
              <w:rPr>
                <w:rFonts w:cs="Arial"/>
                <w:color w:val="auto"/>
                <w:szCs w:val="18"/>
              </w:rPr>
              <w:t>Remote</w:t>
            </w:r>
          </w:p>
        </w:tc>
        <w:tc>
          <w:tcPr>
            <w:tcW w:w="2002" w:type="dxa"/>
          </w:tcPr>
          <w:p w14:paraId="662DCC09" w14:textId="77777777" w:rsidR="00A2339C" w:rsidRPr="00FD7E86" w:rsidRDefault="00A2339C" w:rsidP="00314FB5">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1966" w:type="dxa"/>
          </w:tcPr>
          <w:p w14:paraId="05F96BF6" w14:textId="77777777" w:rsidR="00A2339C" w:rsidRPr="00FD7E86" w:rsidRDefault="00A2339C" w:rsidP="00314FB5">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w:t>
            </w:r>
          </w:p>
        </w:tc>
        <w:tc>
          <w:tcPr>
            <w:tcW w:w="2144" w:type="dxa"/>
          </w:tcPr>
          <w:p w14:paraId="4CAF650E" w14:textId="77777777" w:rsidR="00A2339C" w:rsidRPr="00FD7E86" w:rsidRDefault="00A2339C" w:rsidP="00314FB5">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20</w:t>
            </w:r>
          </w:p>
        </w:tc>
        <w:tc>
          <w:tcPr>
            <w:tcW w:w="2015" w:type="dxa"/>
          </w:tcPr>
          <w:p w14:paraId="7FC495C3" w14:textId="77777777" w:rsidR="00A2339C" w:rsidRPr="00FD7E86" w:rsidRDefault="00A2339C" w:rsidP="00314FB5">
            <w:pPr>
              <w:keepNext/>
              <w:keepLines/>
              <w:spacing w:before="120" w:after="120"/>
              <w:ind w:right="283"/>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w:t>
            </w:r>
          </w:p>
        </w:tc>
      </w:tr>
    </w:tbl>
    <w:p w14:paraId="59160DB2" w14:textId="77777777" w:rsidR="00A2339C" w:rsidRPr="00FD7E86" w:rsidRDefault="00A2339C" w:rsidP="00314FB5">
      <w:pPr>
        <w:pStyle w:val="ACMANotes"/>
        <w:keepNext/>
        <w:keepLines/>
      </w:pPr>
      <w:r w:rsidRPr="00FD7E86">
        <w:t>Note: ‘Urban’ is defined as communities with 10,000 or more people, ‘major rural’ is defined as communities with between 2,500 and 10,000 people, ‘minor rural’ is defined as communities with between 200 and 2,500 people, ‘remote’ is defined as communities with up to 200 people.</w:t>
      </w:r>
    </w:p>
    <w:p w14:paraId="3E1840C7" w14:textId="77777777" w:rsidR="00A2339C" w:rsidRPr="00FD7E86" w:rsidRDefault="00A2339C" w:rsidP="00314FB5">
      <w:pPr>
        <w:pStyle w:val="ACMANotes"/>
        <w:keepNext/>
        <w:keepLines/>
      </w:pPr>
      <w:r w:rsidRPr="00FD7E86">
        <w:t>Source: CSG Standard.</w:t>
      </w:r>
    </w:p>
    <w:p w14:paraId="4379E756" w14:textId="77777777" w:rsidR="00E450B7" w:rsidRPr="00FD7E86" w:rsidRDefault="00E450B7" w:rsidP="00216D8C">
      <w:pPr>
        <w:pStyle w:val="ACMASpaceaftertable"/>
        <w:rPr>
          <w:i/>
          <w:sz w:val="16"/>
          <w:szCs w:val="16"/>
        </w:rPr>
      </w:pPr>
    </w:p>
    <w:p w14:paraId="36ACAE4D" w14:textId="77777777" w:rsidR="00A2339C" w:rsidRPr="00FD7E86" w:rsidRDefault="00A2339C" w:rsidP="00DD750B">
      <w:pPr>
        <w:pStyle w:val="ACMAHeading2"/>
      </w:pPr>
      <w:bookmarkStart w:id="429" w:name="_Toc399331786"/>
      <w:bookmarkStart w:id="430" w:name="_Toc399336967"/>
      <w:bookmarkStart w:id="431" w:name="_Toc402337568"/>
      <w:bookmarkStart w:id="432" w:name="_Toc433790413"/>
      <w:r w:rsidRPr="00FD7E86">
        <w:t>CSG benchmark performance</w:t>
      </w:r>
      <w:bookmarkEnd w:id="429"/>
      <w:bookmarkEnd w:id="430"/>
      <w:bookmarkEnd w:id="431"/>
      <w:bookmarkEnd w:id="432"/>
      <w:r w:rsidRPr="00FD7E86">
        <w:t xml:space="preserve"> </w:t>
      </w:r>
    </w:p>
    <w:p w14:paraId="19A79492" w14:textId="77777777" w:rsidR="00A2339C" w:rsidRPr="00FD7E86" w:rsidRDefault="00B73D65" w:rsidP="00314FB5">
      <w:r w:rsidRPr="00FD7E86">
        <w:t xml:space="preserve">Table 5.5 </w:t>
      </w:r>
      <w:r w:rsidR="00A2339C" w:rsidRPr="00FD7E86">
        <w:t xml:space="preserve">shows CSP performance in 2014–15 in meeting CSG Standard time frames for new service connections and for in-place service connections. </w:t>
      </w:r>
    </w:p>
    <w:p w14:paraId="4CFB5B49" w14:textId="77777777" w:rsidR="00A2339C" w:rsidRPr="00314FB5" w:rsidRDefault="00A2339C" w:rsidP="00A2339C">
      <w:r w:rsidRPr="00FD7E86">
        <w:t xml:space="preserve">A ‘new service connection’ is the connection of a standard telephone service to premises where there is the need for additional work to be completed (for example, cabling) before a service can be connected. This excludes in-place service connections where there has been a previous working CSG service that is available for reconnection or reactivation by the CSP. </w:t>
      </w:r>
    </w:p>
    <w:p w14:paraId="61E9ECD7" w14:textId="77777777" w:rsidR="00A2339C" w:rsidRPr="00FD7E86" w:rsidRDefault="00DD750B" w:rsidP="00C04B4C">
      <w:pPr>
        <w:pStyle w:val="ACMATableHeader"/>
        <w:keepNext/>
        <w:keepLines/>
        <w:numPr>
          <w:ilvl w:val="0"/>
          <w:numId w:val="0"/>
        </w:numPr>
      </w:pPr>
      <w:r w:rsidRPr="00FD7E86">
        <w:rPr>
          <w:rFonts w:cs="Arial"/>
        </w:rPr>
        <w:lastRenderedPageBreak/>
        <w:t xml:space="preserve">Table 5.5 </w:t>
      </w:r>
      <w:r w:rsidR="00A2339C" w:rsidRPr="00FD7E86">
        <w:rPr>
          <w:rFonts w:cs="Arial"/>
        </w:rPr>
        <w:t>Percentage and number of new service and in-place connections provided within CSG Standard time frames, 2014–15</w:t>
      </w:r>
    </w:p>
    <w:tbl>
      <w:tblPr>
        <w:tblStyle w:val="Commsreport2014-15TABLE"/>
        <w:tblW w:w="9429" w:type="dxa"/>
        <w:tblLayout w:type="fixed"/>
        <w:tblLook w:val="01E0" w:firstRow="1" w:lastRow="1" w:firstColumn="1" w:lastColumn="1" w:noHBand="0" w:noVBand="0"/>
        <w:tblCaption w:val="Table 5.5 Percentage and number of new service and in-place connections provided within CSG Standard time frames, 2014–15"/>
      </w:tblPr>
      <w:tblGrid>
        <w:gridCol w:w="1225"/>
        <w:gridCol w:w="1284"/>
        <w:gridCol w:w="1384"/>
        <w:gridCol w:w="1384"/>
        <w:gridCol w:w="1384"/>
        <w:gridCol w:w="1384"/>
        <w:gridCol w:w="1384"/>
      </w:tblGrid>
      <w:tr w:rsidR="00A2339C" w:rsidRPr="0021202A" w14:paraId="5EDDB2D9"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225" w:type="dxa"/>
            <w:shd w:val="clear" w:color="auto" w:fill="auto"/>
          </w:tcPr>
          <w:p w14:paraId="662FCE78" w14:textId="77777777" w:rsidR="00A2339C" w:rsidRPr="0021202A" w:rsidRDefault="00A2339C" w:rsidP="0021202A">
            <w:pPr>
              <w:pStyle w:val="TableHeading"/>
              <w:keepNext/>
              <w:spacing w:before="20" w:after="40"/>
              <w:jc w:val="center"/>
              <w:rPr>
                <w:b/>
              </w:rPr>
            </w:pPr>
          </w:p>
        </w:tc>
        <w:tc>
          <w:tcPr>
            <w:tcW w:w="1284" w:type="dxa"/>
            <w:shd w:val="clear" w:color="auto" w:fill="auto"/>
          </w:tcPr>
          <w:p w14:paraId="5310ADAE" w14:textId="77777777" w:rsidR="00A2339C" w:rsidRPr="0021202A" w:rsidRDefault="00A2339C" w:rsidP="0021202A">
            <w:pPr>
              <w:pStyle w:val="TableHeading"/>
              <w:keepNext/>
              <w:spacing w:before="20" w:after="40"/>
              <w:jc w:val="center"/>
              <w:cnfStyle w:val="100000000000" w:firstRow="1" w:lastRow="0" w:firstColumn="0" w:lastColumn="0" w:oddVBand="0" w:evenVBand="0" w:oddHBand="0" w:evenHBand="0" w:firstRowFirstColumn="0" w:firstRowLastColumn="0" w:lastRowFirstColumn="0" w:lastRowLastColumn="0"/>
              <w:rPr>
                <w:b/>
              </w:rPr>
            </w:pPr>
          </w:p>
        </w:tc>
        <w:tc>
          <w:tcPr>
            <w:tcW w:w="5536" w:type="dxa"/>
            <w:gridSpan w:val="4"/>
          </w:tcPr>
          <w:p w14:paraId="41E3CF1E" w14:textId="77777777" w:rsidR="00A2339C" w:rsidRPr="0021202A" w:rsidRDefault="00A2339C" w:rsidP="0021202A">
            <w:pPr>
              <w:pStyle w:val="TableHeading"/>
              <w:keepNext/>
              <w:spacing w:before="20" w:after="40"/>
              <w:jc w:val="center"/>
              <w:cnfStyle w:val="100000000000" w:firstRow="1" w:lastRow="0" w:firstColumn="0" w:lastColumn="0" w:oddVBand="0" w:evenVBand="0" w:oddHBand="0" w:evenHBand="0" w:firstRowFirstColumn="0" w:firstRowLastColumn="0" w:lastRowFirstColumn="0" w:lastRowLastColumn="0"/>
              <w:rPr>
                <w:b/>
                <w:spacing w:val="-28"/>
              </w:rPr>
            </w:pPr>
            <w:r w:rsidRPr="0021202A">
              <w:rPr>
                <w:b/>
                <w:bCs/>
              </w:rPr>
              <w:t>New service*</w:t>
            </w:r>
          </w:p>
        </w:tc>
        <w:tc>
          <w:tcPr>
            <w:tcW w:w="1384" w:type="dxa"/>
          </w:tcPr>
          <w:p w14:paraId="5B8D82BF" w14:textId="77777777" w:rsidR="00A2339C" w:rsidRPr="0021202A" w:rsidRDefault="00A2339C" w:rsidP="0021202A">
            <w:pPr>
              <w:pStyle w:val="TableHeading"/>
              <w:keepNext/>
              <w:spacing w:before="20" w:after="40"/>
              <w:jc w:val="center"/>
              <w:cnfStyle w:val="100000000000" w:firstRow="1" w:lastRow="0" w:firstColumn="0" w:lastColumn="0" w:oddVBand="0" w:evenVBand="0" w:oddHBand="0" w:evenHBand="0" w:firstRowFirstColumn="0" w:firstRowLastColumn="0" w:lastRowFirstColumn="0" w:lastRowLastColumn="0"/>
              <w:rPr>
                <w:b/>
                <w:bCs/>
              </w:rPr>
            </w:pPr>
            <w:r w:rsidRPr="0021202A">
              <w:rPr>
                <w:b/>
                <w:bCs/>
              </w:rPr>
              <w:t>In-place service*</w:t>
            </w:r>
          </w:p>
        </w:tc>
      </w:tr>
      <w:tr w:rsidR="00A2339C" w:rsidRPr="00FD7E86" w14:paraId="020AEEF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shd w:val="clear" w:color="auto" w:fill="auto"/>
          </w:tcPr>
          <w:p w14:paraId="7A232A63" w14:textId="77777777" w:rsidR="00A2339C" w:rsidRPr="00FD7E86" w:rsidRDefault="00A2339C" w:rsidP="00C04B4C">
            <w:pPr>
              <w:keepNext/>
              <w:keepLines/>
              <w:spacing w:before="60" w:after="60"/>
              <w:ind w:right="87"/>
              <w:jc w:val="right"/>
              <w:rPr>
                <w:rFonts w:cs="Arial"/>
                <w:b/>
                <w:szCs w:val="18"/>
              </w:rPr>
            </w:pPr>
          </w:p>
        </w:tc>
        <w:tc>
          <w:tcPr>
            <w:tcW w:w="1284" w:type="dxa"/>
            <w:shd w:val="clear" w:color="auto" w:fill="auto"/>
          </w:tcPr>
          <w:p w14:paraId="321E05F6"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p>
        </w:tc>
        <w:tc>
          <w:tcPr>
            <w:tcW w:w="1384" w:type="dxa"/>
            <w:shd w:val="clear" w:color="auto" w:fill="00ADBB" w:themeFill="accent1"/>
          </w:tcPr>
          <w:p w14:paraId="44D77AB8"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 xml:space="preserve">Urban </w:t>
            </w:r>
            <w:r w:rsidRPr="00FD7E86">
              <w:rPr>
                <w:rFonts w:cs="Arial"/>
                <w:b/>
                <w:color w:val="FFFFFF"/>
                <w:szCs w:val="18"/>
              </w:rPr>
              <w:br/>
              <w:t>areas</w:t>
            </w:r>
          </w:p>
        </w:tc>
        <w:tc>
          <w:tcPr>
            <w:tcW w:w="1384" w:type="dxa"/>
            <w:shd w:val="clear" w:color="auto" w:fill="00ADBB" w:themeFill="accent1"/>
          </w:tcPr>
          <w:p w14:paraId="198BC235"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Major rural areas</w:t>
            </w:r>
          </w:p>
        </w:tc>
        <w:tc>
          <w:tcPr>
            <w:tcW w:w="1384" w:type="dxa"/>
            <w:shd w:val="clear" w:color="auto" w:fill="00ADBB" w:themeFill="accent1"/>
          </w:tcPr>
          <w:p w14:paraId="21A62B2B"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Minor rural areas</w:t>
            </w:r>
          </w:p>
        </w:tc>
        <w:tc>
          <w:tcPr>
            <w:tcW w:w="1384" w:type="dxa"/>
            <w:shd w:val="clear" w:color="auto" w:fill="00ADBB" w:themeFill="accent1"/>
          </w:tcPr>
          <w:p w14:paraId="7ED2E822"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 xml:space="preserve">Remote </w:t>
            </w:r>
            <w:r w:rsidRPr="00FD7E86">
              <w:rPr>
                <w:rFonts w:cs="Arial"/>
                <w:b/>
                <w:color w:val="FFFFFF"/>
                <w:szCs w:val="18"/>
              </w:rPr>
              <w:br/>
              <w:t>areas</w:t>
            </w:r>
          </w:p>
        </w:tc>
        <w:tc>
          <w:tcPr>
            <w:tcW w:w="1384" w:type="dxa"/>
            <w:shd w:val="clear" w:color="auto" w:fill="00ADBB" w:themeFill="accent1"/>
          </w:tcPr>
          <w:p w14:paraId="7C20668B" w14:textId="77777777" w:rsidR="00A2339C" w:rsidRPr="00FD7E86"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b/>
                <w:color w:val="FFFFFF"/>
                <w:szCs w:val="18"/>
              </w:rPr>
            </w:pPr>
            <w:r w:rsidRPr="00FD7E86">
              <w:rPr>
                <w:rFonts w:cs="Arial"/>
                <w:b/>
                <w:color w:val="FFFFFF"/>
                <w:szCs w:val="18"/>
              </w:rPr>
              <w:t>All areas</w:t>
            </w:r>
          </w:p>
        </w:tc>
      </w:tr>
      <w:tr w:rsidR="00A2339C" w:rsidRPr="00FD7E86" w14:paraId="6500C1F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val="restart"/>
          </w:tcPr>
          <w:p w14:paraId="787F2990" w14:textId="77777777" w:rsidR="00A2339C" w:rsidRPr="00EE0E5F" w:rsidRDefault="00A2339C" w:rsidP="00C04B4C">
            <w:pPr>
              <w:keepNext/>
              <w:keepLines/>
              <w:spacing w:before="60" w:after="60"/>
              <w:ind w:right="11"/>
              <w:rPr>
                <w:rFonts w:cs="Arial"/>
                <w:b/>
                <w:color w:val="auto"/>
                <w:szCs w:val="18"/>
              </w:rPr>
            </w:pPr>
            <w:r w:rsidRPr="00EE0E5F">
              <w:rPr>
                <w:rFonts w:cs="Arial"/>
                <w:b/>
                <w:color w:val="auto"/>
                <w:szCs w:val="18"/>
              </w:rPr>
              <w:t>iiNet</w:t>
            </w:r>
          </w:p>
        </w:tc>
        <w:tc>
          <w:tcPr>
            <w:tcW w:w="1284" w:type="dxa"/>
            <w:shd w:val="clear" w:color="auto" w:fill="65CDD5" w:themeFill="accent2"/>
          </w:tcPr>
          <w:p w14:paraId="416A685C"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384" w:type="dxa"/>
          </w:tcPr>
          <w:p w14:paraId="2A326352"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94.8</w:t>
            </w:r>
          </w:p>
        </w:tc>
        <w:tc>
          <w:tcPr>
            <w:tcW w:w="1384" w:type="dxa"/>
          </w:tcPr>
          <w:p w14:paraId="6A1908B8"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97.2</w:t>
            </w:r>
          </w:p>
        </w:tc>
        <w:tc>
          <w:tcPr>
            <w:tcW w:w="1384" w:type="dxa"/>
          </w:tcPr>
          <w:p w14:paraId="5D706311"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96.4</w:t>
            </w:r>
          </w:p>
        </w:tc>
        <w:tc>
          <w:tcPr>
            <w:tcW w:w="1384" w:type="dxa"/>
          </w:tcPr>
          <w:p w14:paraId="3B95766B"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96.5</w:t>
            </w:r>
          </w:p>
        </w:tc>
        <w:tc>
          <w:tcPr>
            <w:tcW w:w="1384" w:type="dxa"/>
          </w:tcPr>
          <w:p w14:paraId="6FECA848"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96.9</w:t>
            </w:r>
          </w:p>
        </w:tc>
      </w:tr>
      <w:tr w:rsidR="00A2339C" w:rsidRPr="00FD7E86" w14:paraId="13901A91"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tcPr>
          <w:p w14:paraId="691D616A" w14:textId="77777777" w:rsidR="00A2339C" w:rsidRPr="00EE0E5F" w:rsidRDefault="00A2339C" w:rsidP="00C04B4C">
            <w:pPr>
              <w:keepNext/>
              <w:keepLines/>
              <w:spacing w:before="60" w:after="60"/>
              <w:ind w:right="11"/>
              <w:rPr>
                <w:rFonts w:cs="Arial"/>
                <w:b/>
                <w:color w:val="auto"/>
                <w:szCs w:val="18"/>
              </w:rPr>
            </w:pPr>
          </w:p>
        </w:tc>
        <w:tc>
          <w:tcPr>
            <w:tcW w:w="1284" w:type="dxa"/>
            <w:shd w:val="clear" w:color="auto" w:fill="65CDD5" w:themeFill="accent2"/>
          </w:tcPr>
          <w:p w14:paraId="272F0D0E"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384" w:type="dxa"/>
          </w:tcPr>
          <w:p w14:paraId="53149AFE"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64,817</w:t>
            </w:r>
          </w:p>
        </w:tc>
        <w:tc>
          <w:tcPr>
            <w:tcW w:w="1384" w:type="dxa"/>
          </w:tcPr>
          <w:p w14:paraId="588AD1FF"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3,788</w:t>
            </w:r>
          </w:p>
        </w:tc>
        <w:tc>
          <w:tcPr>
            <w:tcW w:w="1384" w:type="dxa"/>
          </w:tcPr>
          <w:p w14:paraId="60A707AA"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1,645</w:t>
            </w:r>
          </w:p>
        </w:tc>
        <w:tc>
          <w:tcPr>
            <w:tcW w:w="1384" w:type="dxa"/>
          </w:tcPr>
          <w:p w14:paraId="02DDF168"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55</w:t>
            </w:r>
          </w:p>
        </w:tc>
        <w:tc>
          <w:tcPr>
            <w:tcW w:w="1384" w:type="dxa"/>
          </w:tcPr>
          <w:p w14:paraId="1782E4CC"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76,879</w:t>
            </w:r>
          </w:p>
        </w:tc>
      </w:tr>
      <w:tr w:rsidR="00A2339C" w:rsidRPr="00FD7E86" w14:paraId="7D784A4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val="restart"/>
          </w:tcPr>
          <w:p w14:paraId="1A57D67D" w14:textId="77777777" w:rsidR="00A2339C" w:rsidRPr="00EE0E5F" w:rsidRDefault="00A2339C" w:rsidP="00C04B4C">
            <w:pPr>
              <w:keepNext/>
              <w:keepLines/>
              <w:spacing w:before="60" w:after="60"/>
              <w:ind w:right="11"/>
              <w:rPr>
                <w:rFonts w:cs="Arial"/>
                <w:b/>
                <w:color w:val="auto"/>
                <w:szCs w:val="18"/>
              </w:rPr>
            </w:pPr>
            <w:r w:rsidRPr="00EE0E5F">
              <w:rPr>
                <w:rFonts w:cs="Arial"/>
                <w:b/>
                <w:color w:val="auto"/>
                <w:szCs w:val="18"/>
              </w:rPr>
              <w:t>Optus</w:t>
            </w:r>
          </w:p>
        </w:tc>
        <w:tc>
          <w:tcPr>
            <w:tcW w:w="1284" w:type="dxa"/>
            <w:shd w:val="clear" w:color="auto" w:fill="65CDD5" w:themeFill="accent2"/>
          </w:tcPr>
          <w:p w14:paraId="36CC3A86"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384" w:type="dxa"/>
          </w:tcPr>
          <w:p w14:paraId="53EDFA99"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97.8</w:t>
            </w:r>
          </w:p>
        </w:tc>
        <w:tc>
          <w:tcPr>
            <w:tcW w:w="1384" w:type="dxa"/>
          </w:tcPr>
          <w:p w14:paraId="6BB3AA34"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98.4</w:t>
            </w:r>
          </w:p>
        </w:tc>
        <w:tc>
          <w:tcPr>
            <w:tcW w:w="1384" w:type="dxa"/>
          </w:tcPr>
          <w:p w14:paraId="669578EF"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99.1</w:t>
            </w:r>
          </w:p>
        </w:tc>
        <w:tc>
          <w:tcPr>
            <w:tcW w:w="1384" w:type="dxa"/>
          </w:tcPr>
          <w:p w14:paraId="0F4D6655" w14:textId="77777777" w:rsidR="00E645A9" w:rsidRPr="00FD7E86" w:rsidRDefault="00E645A9"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NQCSP</w:t>
            </w:r>
          </w:p>
        </w:tc>
        <w:tc>
          <w:tcPr>
            <w:tcW w:w="1384" w:type="dxa"/>
          </w:tcPr>
          <w:p w14:paraId="275B87DF"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n/a</w:t>
            </w:r>
          </w:p>
        </w:tc>
      </w:tr>
      <w:tr w:rsidR="00A2339C" w:rsidRPr="00FD7E86" w14:paraId="78047F7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tcPr>
          <w:p w14:paraId="0AC77971" w14:textId="77777777" w:rsidR="00A2339C" w:rsidRPr="00EE0E5F" w:rsidRDefault="00A2339C" w:rsidP="00C04B4C">
            <w:pPr>
              <w:keepNext/>
              <w:keepLines/>
              <w:spacing w:before="60" w:after="60"/>
              <w:ind w:right="11"/>
              <w:rPr>
                <w:rFonts w:cs="Arial"/>
                <w:b/>
                <w:color w:val="auto"/>
                <w:szCs w:val="18"/>
              </w:rPr>
            </w:pPr>
          </w:p>
        </w:tc>
        <w:tc>
          <w:tcPr>
            <w:tcW w:w="1284" w:type="dxa"/>
            <w:shd w:val="clear" w:color="auto" w:fill="65CDD5" w:themeFill="accent2"/>
          </w:tcPr>
          <w:p w14:paraId="218A9522"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384" w:type="dxa"/>
          </w:tcPr>
          <w:p w14:paraId="5C87EBDA"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208,932</w:t>
            </w:r>
          </w:p>
        </w:tc>
        <w:tc>
          <w:tcPr>
            <w:tcW w:w="1384" w:type="dxa"/>
          </w:tcPr>
          <w:p w14:paraId="656FF45E"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784</w:t>
            </w:r>
          </w:p>
        </w:tc>
        <w:tc>
          <w:tcPr>
            <w:tcW w:w="1384" w:type="dxa"/>
          </w:tcPr>
          <w:p w14:paraId="12FEA2C0"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445</w:t>
            </w:r>
          </w:p>
        </w:tc>
        <w:tc>
          <w:tcPr>
            <w:tcW w:w="1384" w:type="dxa"/>
          </w:tcPr>
          <w:p w14:paraId="4DB6691B" w14:textId="77777777" w:rsidR="00A2339C" w:rsidRPr="00FD7E86" w:rsidRDefault="00E645A9"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NQCSP</w:t>
            </w:r>
          </w:p>
        </w:tc>
        <w:tc>
          <w:tcPr>
            <w:tcW w:w="1384" w:type="dxa"/>
          </w:tcPr>
          <w:p w14:paraId="69EB03FA"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n/a</w:t>
            </w:r>
          </w:p>
        </w:tc>
      </w:tr>
      <w:tr w:rsidR="00A2339C" w:rsidRPr="00FD7E86" w14:paraId="71AEC728"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val="restart"/>
          </w:tcPr>
          <w:p w14:paraId="5F9BA6F0" w14:textId="77777777" w:rsidR="00A2339C" w:rsidRPr="00EE0E5F" w:rsidRDefault="00A2339C" w:rsidP="00C04B4C">
            <w:pPr>
              <w:keepNext/>
              <w:keepLines/>
              <w:spacing w:before="60" w:after="60"/>
              <w:ind w:right="11"/>
              <w:rPr>
                <w:rFonts w:cs="Arial"/>
                <w:b/>
                <w:color w:val="auto"/>
                <w:szCs w:val="18"/>
              </w:rPr>
            </w:pPr>
            <w:r w:rsidRPr="00EE0E5F">
              <w:rPr>
                <w:rFonts w:cs="Arial"/>
                <w:b/>
                <w:color w:val="auto"/>
                <w:szCs w:val="18"/>
              </w:rPr>
              <w:t>Dodo</w:t>
            </w:r>
          </w:p>
        </w:tc>
        <w:tc>
          <w:tcPr>
            <w:tcW w:w="1284" w:type="dxa"/>
            <w:shd w:val="clear" w:color="auto" w:fill="65CDD5" w:themeFill="accent2"/>
          </w:tcPr>
          <w:p w14:paraId="71603ECB"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384" w:type="dxa"/>
          </w:tcPr>
          <w:p w14:paraId="1455EA62"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100</w:t>
            </w:r>
          </w:p>
        </w:tc>
        <w:tc>
          <w:tcPr>
            <w:tcW w:w="1384" w:type="dxa"/>
          </w:tcPr>
          <w:p w14:paraId="3F0D7629"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100</w:t>
            </w:r>
          </w:p>
        </w:tc>
        <w:tc>
          <w:tcPr>
            <w:tcW w:w="1384" w:type="dxa"/>
          </w:tcPr>
          <w:p w14:paraId="027AE475"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100</w:t>
            </w:r>
          </w:p>
        </w:tc>
        <w:tc>
          <w:tcPr>
            <w:tcW w:w="1384" w:type="dxa"/>
          </w:tcPr>
          <w:p w14:paraId="3F9AFCA6" w14:textId="77777777" w:rsidR="00A2339C" w:rsidRPr="00FD7E86" w:rsidRDefault="00E645A9"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NQCSP</w:t>
            </w:r>
          </w:p>
        </w:tc>
        <w:tc>
          <w:tcPr>
            <w:tcW w:w="1384" w:type="dxa"/>
          </w:tcPr>
          <w:p w14:paraId="37DB433A"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100</w:t>
            </w:r>
          </w:p>
        </w:tc>
      </w:tr>
      <w:tr w:rsidR="00A2339C" w:rsidRPr="00FD7E86" w14:paraId="3E2CBA4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tcPr>
          <w:p w14:paraId="591B477C" w14:textId="77777777" w:rsidR="00A2339C" w:rsidRPr="00EE0E5F" w:rsidRDefault="00A2339C" w:rsidP="00C04B4C">
            <w:pPr>
              <w:keepNext/>
              <w:keepLines/>
              <w:spacing w:before="60" w:after="60"/>
              <w:ind w:right="11"/>
              <w:rPr>
                <w:rFonts w:cs="Arial"/>
                <w:b/>
                <w:color w:val="auto"/>
                <w:szCs w:val="18"/>
              </w:rPr>
            </w:pPr>
          </w:p>
        </w:tc>
        <w:tc>
          <w:tcPr>
            <w:tcW w:w="1284" w:type="dxa"/>
            <w:shd w:val="clear" w:color="auto" w:fill="65CDD5" w:themeFill="accent2"/>
          </w:tcPr>
          <w:p w14:paraId="069246ED"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384" w:type="dxa"/>
          </w:tcPr>
          <w:p w14:paraId="34B7B4A3"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20,247</w:t>
            </w:r>
          </w:p>
        </w:tc>
        <w:tc>
          <w:tcPr>
            <w:tcW w:w="1384" w:type="dxa"/>
          </w:tcPr>
          <w:p w14:paraId="06999015"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1,254</w:t>
            </w:r>
          </w:p>
        </w:tc>
        <w:tc>
          <w:tcPr>
            <w:tcW w:w="1384" w:type="dxa"/>
          </w:tcPr>
          <w:p w14:paraId="4C393851"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930</w:t>
            </w:r>
          </w:p>
        </w:tc>
        <w:tc>
          <w:tcPr>
            <w:tcW w:w="1384" w:type="dxa"/>
          </w:tcPr>
          <w:p w14:paraId="4A32483A" w14:textId="77777777" w:rsidR="00A2339C" w:rsidRPr="00FD7E86" w:rsidRDefault="00E645A9"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NQCSP</w:t>
            </w:r>
          </w:p>
        </w:tc>
        <w:tc>
          <w:tcPr>
            <w:tcW w:w="1384" w:type="dxa"/>
          </w:tcPr>
          <w:p w14:paraId="0609B9E2"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85,371</w:t>
            </w:r>
          </w:p>
        </w:tc>
      </w:tr>
      <w:tr w:rsidR="00A2339C" w:rsidRPr="00FD7E86" w14:paraId="29B43088"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val="restart"/>
          </w:tcPr>
          <w:p w14:paraId="54F382A5" w14:textId="77777777" w:rsidR="00A2339C" w:rsidRPr="00EE0E5F" w:rsidRDefault="00A2339C" w:rsidP="00C04B4C">
            <w:pPr>
              <w:keepNext/>
              <w:keepLines/>
              <w:spacing w:before="60" w:after="60"/>
              <w:ind w:right="11"/>
              <w:rPr>
                <w:rFonts w:cs="Arial"/>
                <w:b/>
                <w:color w:val="auto"/>
                <w:szCs w:val="18"/>
              </w:rPr>
            </w:pPr>
            <w:r w:rsidRPr="00EE0E5F">
              <w:rPr>
                <w:rFonts w:cs="Arial"/>
                <w:b/>
                <w:color w:val="auto"/>
                <w:szCs w:val="18"/>
              </w:rPr>
              <w:t>Telstra</w:t>
            </w:r>
          </w:p>
        </w:tc>
        <w:tc>
          <w:tcPr>
            <w:tcW w:w="1284" w:type="dxa"/>
            <w:shd w:val="clear" w:color="auto" w:fill="65CDD5" w:themeFill="accent2"/>
          </w:tcPr>
          <w:p w14:paraId="1CE7E503"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384" w:type="dxa"/>
          </w:tcPr>
          <w:p w14:paraId="07495B3E"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94.5</w:t>
            </w:r>
          </w:p>
        </w:tc>
        <w:tc>
          <w:tcPr>
            <w:tcW w:w="1384" w:type="dxa"/>
          </w:tcPr>
          <w:p w14:paraId="243E0103"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95.8</w:t>
            </w:r>
          </w:p>
        </w:tc>
        <w:tc>
          <w:tcPr>
            <w:tcW w:w="1384" w:type="dxa"/>
          </w:tcPr>
          <w:p w14:paraId="79B99F5C"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95.2</w:t>
            </w:r>
          </w:p>
        </w:tc>
        <w:tc>
          <w:tcPr>
            <w:tcW w:w="1384" w:type="dxa"/>
          </w:tcPr>
          <w:p w14:paraId="6123935E"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93.0</w:t>
            </w:r>
          </w:p>
        </w:tc>
        <w:tc>
          <w:tcPr>
            <w:tcW w:w="1384" w:type="dxa"/>
          </w:tcPr>
          <w:p w14:paraId="2CD95C3C"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95.8</w:t>
            </w:r>
          </w:p>
        </w:tc>
      </w:tr>
      <w:tr w:rsidR="00A2339C" w:rsidRPr="00FD7E86" w14:paraId="40FF55A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25" w:type="dxa"/>
            <w:vMerge/>
          </w:tcPr>
          <w:p w14:paraId="00B696DE" w14:textId="77777777" w:rsidR="00A2339C" w:rsidRPr="008A0D8B" w:rsidRDefault="00A2339C" w:rsidP="00C04B4C">
            <w:pPr>
              <w:keepNext/>
              <w:keepLines/>
              <w:spacing w:before="60" w:after="60"/>
              <w:ind w:right="11"/>
              <w:rPr>
                <w:rFonts w:cs="Arial"/>
                <w:szCs w:val="18"/>
              </w:rPr>
            </w:pPr>
          </w:p>
        </w:tc>
        <w:tc>
          <w:tcPr>
            <w:tcW w:w="1284" w:type="dxa"/>
            <w:shd w:val="clear" w:color="auto" w:fill="65CDD5" w:themeFill="accent2"/>
          </w:tcPr>
          <w:p w14:paraId="77C684BB" w14:textId="77777777" w:rsidR="00A2339C" w:rsidRPr="00C05F4C" w:rsidRDefault="00A2339C" w:rsidP="00C04B4C">
            <w:pPr>
              <w:keepNext/>
              <w:keepLines/>
              <w:spacing w:before="60" w:after="60"/>
              <w:ind w:right="8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384" w:type="dxa"/>
          </w:tcPr>
          <w:p w14:paraId="15DF0215"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307,105</w:t>
            </w:r>
          </w:p>
        </w:tc>
        <w:tc>
          <w:tcPr>
            <w:tcW w:w="1384" w:type="dxa"/>
          </w:tcPr>
          <w:p w14:paraId="275FA04B"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34,119</w:t>
            </w:r>
          </w:p>
        </w:tc>
        <w:tc>
          <w:tcPr>
            <w:tcW w:w="1384" w:type="dxa"/>
          </w:tcPr>
          <w:p w14:paraId="1A952DB9"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16,753</w:t>
            </w:r>
          </w:p>
        </w:tc>
        <w:tc>
          <w:tcPr>
            <w:tcW w:w="1384" w:type="dxa"/>
          </w:tcPr>
          <w:p w14:paraId="6807C8D4"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787</w:t>
            </w:r>
          </w:p>
        </w:tc>
        <w:tc>
          <w:tcPr>
            <w:tcW w:w="1384" w:type="dxa"/>
          </w:tcPr>
          <w:p w14:paraId="0DB056D1" w14:textId="77777777" w:rsidR="00A2339C" w:rsidRPr="00FD7E86" w:rsidRDefault="00A2339C" w:rsidP="00C04B4C">
            <w:pPr>
              <w:keepNext/>
              <w:keepLines/>
              <w:spacing w:before="60" w:after="60"/>
              <w:ind w:right="322"/>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261,567</w:t>
            </w:r>
          </w:p>
        </w:tc>
      </w:tr>
    </w:tbl>
    <w:p w14:paraId="1E86F889" w14:textId="77777777" w:rsidR="00D70BED" w:rsidRPr="00FD7E86" w:rsidRDefault="00D70BED" w:rsidP="00C04B4C">
      <w:pPr>
        <w:pStyle w:val="ACMANotes"/>
        <w:keepNext/>
        <w:keepLines/>
      </w:pPr>
      <w:r w:rsidRPr="00FD7E86">
        <w:t>NQCSP=Not a qualifying CSP (QCSP).</w:t>
      </w:r>
    </w:p>
    <w:p w14:paraId="3AF97111" w14:textId="77777777" w:rsidR="003212C4" w:rsidRDefault="00A2339C" w:rsidP="00C04B4C">
      <w:pPr>
        <w:pStyle w:val="ACMANotes"/>
        <w:keepNext/>
        <w:keepLines/>
      </w:pPr>
      <w:r w:rsidRPr="00FD7E86">
        <w:t xml:space="preserve">n/a=not applicable. </w:t>
      </w:r>
    </w:p>
    <w:p w14:paraId="0E737617" w14:textId="77777777" w:rsidR="00A2339C" w:rsidRPr="00FD7E86" w:rsidRDefault="00A2339C" w:rsidP="00C04B4C">
      <w:pPr>
        <w:pStyle w:val="ACMANotes"/>
        <w:keepNext/>
        <w:keepLines/>
      </w:pPr>
      <w:r w:rsidRPr="00FD7E86">
        <w:t>*Service connections.</w:t>
      </w:r>
    </w:p>
    <w:p w14:paraId="7E860CD2" w14:textId="77777777" w:rsidR="00A2339C" w:rsidRPr="00FD7E86" w:rsidRDefault="00A2339C" w:rsidP="00C04B4C">
      <w:pPr>
        <w:pStyle w:val="ACMANotes"/>
        <w:keepNext/>
        <w:keepLines/>
      </w:pPr>
      <w:r w:rsidRPr="00FD7E86">
        <w:t>Note 1: Commencing in 2012–13, QCSPs were required to record the number of requests that were not complied with within the applicable performance time frames and to identify if the CSP’s failure to do so was wholly or partly attributable to one or more acts or omissions by another CSP.</w:t>
      </w:r>
    </w:p>
    <w:p w14:paraId="77A6C487" w14:textId="77777777" w:rsidR="00A2339C" w:rsidRPr="00FD7E86" w:rsidRDefault="00A2339C" w:rsidP="00C04B4C">
      <w:pPr>
        <w:pStyle w:val="ACMANotes"/>
        <w:keepNext/>
        <w:keepLines/>
      </w:pPr>
      <w:r w:rsidRPr="00FD7E86">
        <w:t xml:space="preserve">Note 2: Location-specific thresholds are met if a QCSP supplied 10,000 or more CSG services in urban areas, 1,000 or more CSG services in major rural areas, 1,000 or more CSG services in minor rural areas, 500 or more CSG services in remote areas. </w:t>
      </w:r>
    </w:p>
    <w:p w14:paraId="53CE7324" w14:textId="77777777" w:rsidR="00A2339C" w:rsidRPr="00FD7E86" w:rsidRDefault="00A2339C" w:rsidP="00C04B4C">
      <w:pPr>
        <w:pStyle w:val="ACMANotes"/>
        <w:keepNext/>
        <w:keepLines/>
      </w:pPr>
      <w:r w:rsidRPr="00FD7E86">
        <w:t>Source: CSP data.</w:t>
      </w:r>
    </w:p>
    <w:p w14:paraId="32240EE9" w14:textId="77777777" w:rsidR="00E450B7" w:rsidRPr="00FD7E86" w:rsidRDefault="00E450B7" w:rsidP="00216D8C">
      <w:pPr>
        <w:pStyle w:val="ACMASpaceaftertable"/>
        <w:rPr>
          <w:i/>
          <w:sz w:val="16"/>
          <w:szCs w:val="16"/>
        </w:rPr>
      </w:pPr>
    </w:p>
    <w:p w14:paraId="2C5CCA86" w14:textId="77777777" w:rsidR="00A2339C" w:rsidRPr="00FD7E86" w:rsidRDefault="00A2339C" w:rsidP="00DD750B">
      <w:pPr>
        <w:pStyle w:val="ACMAHeading2"/>
      </w:pPr>
      <w:bookmarkStart w:id="433" w:name="_Toc399331787"/>
      <w:bookmarkStart w:id="434" w:name="_Toc399336968"/>
      <w:bookmarkStart w:id="435" w:name="_Toc402337569"/>
      <w:bookmarkStart w:id="436" w:name="_Toc433790414"/>
      <w:r w:rsidRPr="00FD7E86">
        <w:t>Appointments and fault repairs</w:t>
      </w:r>
      <w:bookmarkEnd w:id="433"/>
      <w:bookmarkEnd w:id="434"/>
      <w:bookmarkEnd w:id="435"/>
      <w:bookmarkEnd w:id="436"/>
    </w:p>
    <w:p w14:paraId="7ED25443" w14:textId="77777777" w:rsidR="00A2339C" w:rsidRPr="00FD7E86" w:rsidRDefault="00E50D1C" w:rsidP="00314FB5">
      <w:r w:rsidRPr="00FD7E86">
        <w:t xml:space="preserve">Table 5.6 </w:t>
      </w:r>
      <w:r w:rsidR="00A2339C" w:rsidRPr="00FD7E86">
        <w:t>shows CSP performance in 2014–15 in meeting the CSG Standard for fault repair time frames and appointment-keeping.</w:t>
      </w:r>
    </w:p>
    <w:p w14:paraId="65F78985" w14:textId="77777777" w:rsidR="00A2339C" w:rsidRPr="00FD7E86" w:rsidRDefault="00DD750B" w:rsidP="00314FB5">
      <w:pPr>
        <w:pStyle w:val="ACMATableHeader"/>
        <w:keepNext/>
        <w:numPr>
          <w:ilvl w:val="0"/>
          <w:numId w:val="0"/>
        </w:numPr>
      </w:pPr>
      <w:r w:rsidRPr="00FD7E86">
        <w:rPr>
          <w:rFonts w:cs="Arial"/>
        </w:rPr>
        <w:lastRenderedPageBreak/>
        <w:t xml:space="preserve">Table 5.6 </w:t>
      </w:r>
      <w:r w:rsidR="00A2339C" w:rsidRPr="00FD7E86">
        <w:rPr>
          <w:rFonts w:cs="Arial"/>
        </w:rPr>
        <w:t>Percentage and number of faults repaired within CSG Standard time frames and appointment-keeping performance, 2014–15</w:t>
      </w:r>
    </w:p>
    <w:tbl>
      <w:tblPr>
        <w:tblStyle w:val="Commsreport2014-15TABLE"/>
        <w:tblW w:w="9429" w:type="dxa"/>
        <w:tblLayout w:type="fixed"/>
        <w:tblLook w:val="01E0" w:firstRow="1" w:lastRow="1" w:firstColumn="1" w:lastColumn="1" w:noHBand="0" w:noVBand="0"/>
        <w:tblCaption w:val="Table 5.6 Percentage and number of faults repaired within CSG Standard time frames and appointment-keeping performance, 2014–15"/>
      </w:tblPr>
      <w:tblGrid>
        <w:gridCol w:w="1235"/>
        <w:gridCol w:w="701"/>
        <w:gridCol w:w="1873"/>
        <w:gridCol w:w="1873"/>
        <w:gridCol w:w="1873"/>
        <w:gridCol w:w="1874"/>
      </w:tblGrid>
      <w:tr w:rsidR="00A2339C" w:rsidRPr="0021202A" w14:paraId="4AEF7CF5"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254" w:type="dxa"/>
            <w:shd w:val="clear" w:color="auto" w:fill="auto"/>
          </w:tcPr>
          <w:p w14:paraId="6463A4D5" w14:textId="77777777" w:rsidR="00A2339C" w:rsidRPr="0021202A" w:rsidRDefault="00A2339C" w:rsidP="0021202A">
            <w:pPr>
              <w:pStyle w:val="TableHeading"/>
              <w:spacing w:before="20" w:after="20"/>
              <w:rPr>
                <w:b/>
              </w:rPr>
            </w:pPr>
          </w:p>
        </w:tc>
        <w:tc>
          <w:tcPr>
            <w:tcW w:w="710" w:type="dxa"/>
            <w:shd w:val="clear" w:color="auto" w:fill="auto"/>
          </w:tcPr>
          <w:p w14:paraId="5DB76056"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p>
        </w:tc>
        <w:tc>
          <w:tcPr>
            <w:tcW w:w="5712" w:type="dxa"/>
            <w:gridSpan w:val="3"/>
          </w:tcPr>
          <w:p w14:paraId="5EF79EBA"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Fault repairs</w:t>
            </w:r>
          </w:p>
        </w:tc>
        <w:tc>
          <w:tcPr>
            <w:tcW w:w="1905" w:type="dxa"/>
          </w:tcPr>
          <w:p w14:paraId="5C913D74" w14:textId="77777777" w:rsidR="00A2339C" w:rsidRPr="0021202A" w:rsidRDefault="00A2339C" w:rsidP="0021202A">
            <w:pPr>
              <w:pStyle w:val="TableHeading"/>
              <w:spacing w:before="20" w:after="20"/>
              <w:cnfStyle w:val="100000000000" w:firstRow="1" w:lastRow="0" w:firstColumn="0" w:lastColumn="0" w:oddVBand="0" w:evenVBand="0" w:oddHBand="0" w:evenHBand="0" w:firstRowFirstColumn="0" w:firstRowLastColumn="0" w:lastRowFirstColumn="0" w:lastRowLastColumn="0"/>
              <w:rPr>
                <w:b/>
              </w:rPr>
            </w:pPr>
            <w:r w:rsidRPr="0021202A">
              <w:rPr>
                <w:b/>
              </w:rPr>
              <w:t>Appointments*</w:t>
            </w:r>
          </w:p>
        </w:tc>
      </w:tr>
      <w:tr w:rsidR="00A2339C" w:rsidRPr="00FD7E86" w14:paraId="521B7C4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shd w:val="clear" w:color="auto" w:fill="auto"/>
          </w:tcPr>
          <w:p w14:paraId="60999978" w14:textId="77777777" w:rsidR="00A2339C" w:rsidRPr="00FD7E86" w:rsidRDefault="00A2339C" w:rsidP="003708BA">
            <w:pPr>
              <w:keepNext/>
              <w:spacing w:before="60" w:after="60"/>
              <w:ind w:right="87"/>
              <w:rPr>
                <w:rFonts w:cs="Arial"/>
                <w:b/>
                <w:szCs w:val="18"/>
              </w:rPr>
            </w:pPr>
          </w:p>
        </w:tc>
        <w:tc>
          <w:tcPr>
            <w:tcW w:w="710" w:type="dxa"/>
            <w:shd w:val="clear" w:color="auto" w:fill="auto"/>
          </w:tcPr>
          <w:p w14:paraId="7FA181F5"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1904" w:type="dxa"/>
            <w:shd w:val="clear" w:color="auto" w:fill="00ADBB" w:themeFill="accent1"/>
          </w:tcPr>
          <w:p w14:paraId="72038D63"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Urban areas</w:t>
            </w:r>
          </w:p>
        </w:tc>
        <w:tc>
          <w:tcPr>
            <w:tcW w:w="1904" w:type="dxa"/>
            <w:shd w:val="clear" w:color="auto" w:fill="00ADBB" w:themeFill="accent1"/>
          </w:tcPr>
          <w:p w14:paraId="0D53F2B3"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Rural areas</w:t>
            </w:r>
          </w:p>
        </w:tc>
        <w:tc>
          <w:tcPr>
            <w:tcW w:w="1904" w:type="dxa"/>
            <w:shd w:val="clear" w:color="auto" w:fill="00ADBB" w:themeFill="accent1"/>
          </w:tcPr>
          <w:p w14:paraId="68926782"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Remote areas</w:t>
            </w:r>
          </w:p>
        </w:tc>
        <w:tc>
          <w:tcPr>
            <w:tcW w:w="1905" w:type="dxa"/>
            <w:shd w:val="clear" w:color="auto" w:fill="00ADBB" w:themeFill="accent1"/>
          </w:tcPr>
          <w:p w14:paraId="5399E60E"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 xml:space="preserve">All areas </w:t>
            </w:r>
          </w:p>
        </w:tc>
      </w:tr>
      <w:tr w:rsidR="00A2339C" w:rsidRPr="00FD7E86" w14:paraId="52D6E9C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val="restart"/>
          </w:tcPr>
          <w:p w14:paraId="037B9DCB" w14:textId="77777777" w:rsidR="00A2339C" w:rsidRPr="00EE0E5F" w:rsidRDefault="00A2339C" w:rsidP="003708BA">
            <w:pPr>
              <w:keepNext/>
              <w:spacing w:before="60" w:after="60"/>
              <w:ind w:right="11"/>
              <w:rPr>
                <w:rFonts w:cs="Arial"/>
                <w:b/>
                <w:color w:val="auto"/>
                <w:szCs w:val="18"/>
              </w:rPr>
            </w:pPr>
            <w:r w:rsidRPr="00EE0E5F">
              <w:rPr>
                <w:rFonts w:cs="Arial"/>
                <w:b/>
                <w:color w:val="auto"/>
                <w:szCs w:val="18"/>
              </w:rPr>
              <w:t>iiNet</w:t>
            </w:r>
          </w:p>
        </w:tc>
        <w:tc>
          <w:tcPr>
            <w:tcW w:w="710" w:type="dxa"/>
            <w:shd w:val="clear" w:color="auto" w:fill="65CDD5" w:themeFill="accent2"/>
          </w:tcPr>
          <w:p w14:paraId="38611ABC"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904" w:type="dxa"/>
          </w:tcPr>
          <w:p w14:paraId="004B7BA9"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98.1</w:t>
            </w:r>
          </w:p>
        </w:tc>
        <w:tc>
          <w:tcPr>
            <w:tcW w:w="1904" w:type="dxa"/>
          </w:tcPr>
          <w:p w14:paraId="6AD3C24E"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97.4</w:t>
            </w:r>
          </w:p>
        </w:tc>
        <w:tc>
          <w:tcPr>
            <w:tcW w:w="1904" w:type="dxa"/>
          </w:tcPr>
          <w:p w14:paraId="58D22837"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97.5</w:t>
            </w:r>
          </w:p>
        </w:tc>
        <w:tc>
          <w:tcPr>
            <w:tcW w:w="1905" w:type="dxa"/>
          </w:tcPr>
          <w:p w14:paraId="115DB434"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99.7</w:t>
            </w:r>
          </w:p>
        </w:tc>
      </w:tr>
      <w:tr w:rsidR="00A2339C" w:rsidRPr="00FD7E86" w14:paraId="397BA081"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tcPr>
          <w:p w14:paraId="19D39505" w14:textId="77777777" w:rsidR="00A2339C" w:rsidRPr="00EE0E5F" w:rsidRDefault="00A2339C" w:rsidP="003708BA">
            <w:pPr>
              <w:keepNext/>
              <w:spacing w:before="60" w:after="60"/>
              <w:ind w:right="11"/>
              <w:rPr>
                <w:rFonts w:cs="Arial"/>
                <w:b/>
                <w:color w:val="auto"/>
                <w:szCs w:val="18"/>
              </w:rPr>
            </w:pPr>
          </w:p>
        </w:tc>
        <w:tc>
          <w:tcPr>
            <w:tcW w:w="710" w:type="dxa"/>
            <w:shd w:val="clear" w:color="auto" w:fill="65CDD5" w:themeFill="accent2"/>
          </w:tcPr>
          <w:p w14:paraId="6508A1DA"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904" w:type="dxa"/>
          </w:tcPr>
          <w:p w14:paraId="17361B83"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66,151</w:t>
            </w:r>
          </w:p>
        </w:tc>
        <w:tc>
          <w:tcPr>
            <w:tcW w:w="1904" w:type="dxa"/>
          </w:tcPr>
          <w:p w14:paraId="11CA38F9"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12,064</w:t>
            </w:r>
          </w:p>
        </w:tc>
        <w:tc>
          <w:tcPr>
            <w:tcW w:w="1904" w:type="dxa"/>
          </w:tcPr>
          <w:p w14:paraId="15F86DC5"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119</w:t>
            </w:r>
          </w:p>
        </w:tc>
        <w:tc>
          <w:tcPr>
            <w:tcW w:w="1905" w:type="dxa"/>
          </w:tcPr>
          <w:p w14:paraId="7697D2B7"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58,953</w:t>
            </w:r>
          </w:p>
        </w:tc>
      </w:tr>
      <w:tr w:rsidR="00A2339C" w:rsidRPr="00FD7E86" w14:paraId="4FA2C5E4"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val="restart"/>
          </w:tcPr>
          <w:p w14:paraId="56C94F9A" w14:textId="77777777" w:rsidR="00A2339C" w:rsidRPr="00EE0E5F" w:rsidRDefault="00A2339C" w:rsidP="003708BA">
            <w:pPr>
              <w:keepNext/>
              <w:spacing w:before="60" w:after="60"/>
              <w:ind w:right="11"/>
              <w:rPr>
                <w:rFonts w:cs="Arial"/>
                <w:b/>
                <w:color w:val="auto"/>
                <w:szCs w:val="18"/>
              </w:rPr>
            </w:pPr>
            <w:r w:rsidRPr="00EE0E5F">
              <w:rPr>
                <w:rFonts w:cs="Arial"/>
                <w:b/>
                <w:color w:val="auto"/>
                <w:szCs w:val="18"/>
              </w:rPr>
              <w:t>Optus</w:t>
            </w:r>
          </w:p>
        </w:tc>
        <w:tc>
          <w:tcPr>
            <w:tcW w:w="710" w:type="dxa"/>
            <w:shd w:val="clear" w:color="auto" w:fill="65CDD5" w:themeFill="accent2"/>
          </w:tcPr>
          <w:p w14:paraId="03FF9F84"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904" w:type="dxa"/>
          </w:tcPr>
          <w:p w14:paraId="009732E5"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97.0</w:t>
            </w:r>
          </w:p>
        </w:tc>
        <w:tc>
          <w:tcPr>
            <w:tcW w:w="1904" w:type="dxa"/>
          </w:tcPr>
          <w:p w14:paraId="4388278D"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95.5</w:t>
            </w:r>
          </w:p>
        </w:tc>
        <w:tc>
          <w:tcPr>
            <w:tcW w:w="1904" w:type="dxa"/>
          </w:tcPr>
          <w:p w14:paraId="59621414" w14:textId="77777777" w:rsidR="00A2339C" w:rsidRPr="00FD7E86" w:rsidRDefault="00A423B3">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NQCSP</w:t>
            </w:r>
          </w:p>
        </w:tc>
        <w:tc>
          <w:tcPr>
            <w:tcW w:w="1905" w:type="dxa"/>
          </w:tcPr>
          <w:p w14:paraId="22A92FFD"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98.6</w:t>
            </w:r>
          </w:p>
        </w:tc>
      </w:tr>
      <w:tr w:rsidR="00A2339C" w:rsidRPr="00FD7E86" w14:paraId="49CA0F75"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tcPr>
          <w:p w14:paraId="328E9285" w14:textId="77777777" w:rsidR="00A2339C" w:rsidRPr="00EE0E5F" w:rsidRDefault="00A2339C" w:rsidP="003708BA">
            <w:pPr>
              <w:keepNext/>
              <w:spacing w:before="60" w:after="60"/>
              <w:ind w:right="11"/>
              <w:rPr>
                <w:rFonts w:cs="Arial"/>
                <w:b/>
                <w:color w:val="auto"/>
                <w:szCs w:val="18"/>
              </w:rPr>
            </w:pPr>
          </w:p>
        </w:tc>
        <w:tc>
          <w:tcPr>
            <w:tcW w:w="710" w:type="dxa"/>
            <w:shd w:val="clear" w:color="auto" w:fill="65CDD5" w:themeFill="accent2"/>
          </w:tcPr>
          <w:p w14:paraId="2297D83A"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904" w:type="dxa"/>
          </w:tcPr>
          <w:p w14:paraId="364EEFBB"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152,175</w:t>
            </w:r>
          </w:p>
        </w:tc>
        <w:tc>
          <w:tcPr>
            <w:tcW w:w="1904" w:type="dxa"/>
          </w:tcPr>
          <w:p w14:paraId="0D4F976D"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363</w:t>
            </w:r>
          </w:p>
        </w:tc>
        <w:tc>
          <w:tcPr>
            <w:tcW w:w="1904" w:type="dxa"/>
          </w:tcPr>
          <w:p w14:paraId="4170F6CE" w14:textId="77777777" w:rsidR="00A2339C" w:rsidRPr="00FD7E86" w:rsidRDefault="00A423B3">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NQCSP</w:t>
            </w:r>
          </w:p>
        </w:tc>
        <w:tc>
          <w:tcPr>
            <w:tcW w:w="1905" w:type="dxa"/>
          </w:tcPr>
          <w:p w14:paraId="25B91E3F"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254,076</w:t>
            </w:r>
          </w:p>
        </w:tc>
      </w:tr>
      <w:tr w:rsidR="00A2339C" w:rsidRPr="00FD7E86" w14:paraId="445FA8E1"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val="restart"/>
          </w:tcPr>
          <w:p w14:paraId="67BFDAA9" w14:textId="77777777" w:rsidR="00A2339C" w:rsidRPr="00EE0E5F" w:rsidRDefault="00A2339C" w:rsidP="003708BA">
            <w:pPr>
              <w:keepNext/>
              <w:spacing w:before="60" w:after="60"/>
              <w:ind w:right="11"/>
              <w:rPr>
                <w:rFonts w:cs="Arial"/>
                <w:b/>
                <w:color w:val="auto"/>
                <w:szCs w:val="18"/>
              </w:rPr>
            </w:pPr>
            <w:r w:rsidRPr="00EE0E5F">
              <w:rPr>
                <w:rFonts w:cs="Arial"/>
                <w:b/>
                <w:color w:val="auto"/>
                <w:szCs w:val="18"/>
              </w:rPr>
              <w:t>Dodo</w:t>
            </w:r>
          </w:p>
        </w:tc>
        <w:tc>
          <w:tcPr>
            <w:tcW w:w="710" w:type="dxa"/>
            <w:shd w:val="clear" w:color="auto" w:fill="65CDD5" w:themeFill="accent2"/>
          </w:tcPr>
          <w:p w14:paraId="46347975"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904" w:type="dxa"/>
          </w:tcPr>
          <w:p w14:paraId="66246534"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100</w:t>
            </w:r>
          </w:p>
        </w:tc>
        <w:tc>
          <w:tcPr>
            <w:tcW w:w="1904" w:type="dxa"/>
          </w:tcPr>
          <w:p w14:paraId="1D4B64B8"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100</w:t>
            </w:r>
          </w:p>
        </w:tc>
        <w:tc>
          <w:tcPr>
            <w:tcW w:w="1904" w:type="dxa"/>
          </w:tcPr>
          <w:p w14:paraId="70639EBD" w14:textId="77777777" w:rsidR="00A2339C" w:rsidRPr="00FD7E86" w:rsidRDefault="00A423B3">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NQCSP</w:t>
            </w:r>
          </w:p>
        </w:tc>
        <w:tc>
          <w:tcPr>
            <w:tcW w:w="1905" w:type="dxa"/>
          </w:tcPr>
          <w:p w14:paraId="38CDA5D5"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100</w:t>
            </w:r>
          </w:p>
        </w:tc>
      </w:tr>
      <w:tr w:rsidR="00A2339C" w:rsidRPr="00FD7E86" w14:paraId="5068757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tcPr>
          <w:p w14:paraId="24DEAB0A" w14:textId="77777777" w:rsidR="00A2339C" w:rsidRPr="00EE0E5F" w:rsidRDefault="00A2339C" w:rsidP="003708BA">
            <w:pPr>
              <w:keepNext/>
              <w:spacing w:before="60" w:after="60"/>
              <w:ind w:right="11"/>
              <w:rPr>
                <w:rFonts w:cs="Arial"/>
                <w:b/>
                <w:color w:val="auto"/>
                <w:szCs w:val="18"/>
              </w:rPr>
            </w:pPr>
          </w:p>
        </w:tc>
        <w:tc>
          <w:tcPr>
            <w:tcW w:w="710" w:type="dxa"/>
            <w:shd w:val="clear" w:color="auto" w:fill="65CDD5" w:themeFill="accent2"/>
          </w:tcPr>
          <w:p w14:paraId="0D54564F"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904" w:type="dxa"/>
          </w:tcPr>
          <w:p w14:paraId="777FC699"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34,757</w:t>
            </w:r>
          </w:p>
        </w:tc>
        <w:tc>
          <w:tcPr>
            <w:tcW w:w="1904" w:type="dxa"/>
          </w:tcPr>
          <w:p w14:paraId="7BF2DABB"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5,940</w:t>
            </w:r>
          </w:p>
        </w:tc>
        <w:tc>
          <w:tcPr>
            <w:tcW w:w="1904" w:type="dxa"/>
          </w:tcPr>
          <w:p w14:paraId="2EBE4194" w14:textId="77777777" w:rsidR="00A2339C" w:rsidRPr="00FD7E86" w:rsidRDefault="00A423B3">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NQCSP</w:t>
            </w:r>
          </w:p>
        </w:tc>
        <w:tc>
          <w:tcPr>
            <w:tcW w:w="1905" w:type="dxa"/>
          </w:tcPr>
          <w:p w14:paraId="53E6982A"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23,004</w:t>
            </w:r>
          </w:p>
        </w:tc>
      </w:tr>
      <w:tr w:rsidR="00A2339C" w:rsidRPr="00FD7E86" w14:paraId="02ED5FB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val="restart"/>
          </w:tcPr>
          <w:p w14:paraId="526E8FB9" w14:textId="77777777" w:rsidR="00A2339C" w:rsidRPr="00EE0E5F" w:rsidRDefault="00A2339C" w:rsidP="003708BA">
            <w:pPr>
              <w:keepNext/>
              <w:spacing w:before="60" w:after="60"/>
              <w:ind w:right="11"/>
              <w:rPr>
                <w:rFonts w:cs="Arial"/>
                <w:b/>
                <w:color w:val="auto"/>
                <w:szCs w:val="18"/>
              </w:rPr>
            </w:pPr>
            <w:r w:rsidRPr="00EE0E5F">
              <w:rPr>
                <w:rFonts w:cs="Arial"/>
                <w:b/>
                <w:color w:val="auto"/>
                <w:szCs w:val="18"/>
              </w:rPr>
              <w:t>Telstra</w:t>
            </w:r>
          </w:p>
        </w:tc>
        <w:tc>
          <w:tcPr>
            <w:tcW w:w="710" w:type="dxa"/>
            <w:shd w:val="clear" w:color="auto" w:fill="65CDD5" w:themeFill="accent2"/>
          </w:tcPr>
          <w:p w14:paraId="768C88F7"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w:t>
            </w:r>
          </w:p>
        </w:tc>
        <w:tc>
          <w:tcPr>
            <w:tcW w:w="1904" w:type="dxa"/>
          </w:tcPr>
          <w:p w14:paraId="086F66FE"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93.4</w:t>
            </w:r>
          </w:p>
        </w:tc>
        <w:tc>
          <w:tcPr>
            <w:tcW w:w="1904" w:type="dxa"/>
          </w:tcPr>
          <w:p w14:paraId="34CECA1C"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93.4</w:t>
            </w:r>
          </w:p>
        </w:tc>
        <w:tc>
          <w:tcPr>
            <w:tcW w:w="1904" w:type="dxa"/>
          </w:tcPr>
          <w:p w14:paraId="7C2C519C"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95.2</w:t>
            </w:r>
          </w:p>
        </w:tc>
        <w:tc>
          <w:tcPr>
            <w:tcW w:w="1905" w:type="dxa"/>
          </w:tcPr>
          <w:p w14:paraId="4B43CBC7"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96.7</w:t>
            </w:r>
          </w:p>
        </w:tc>
      </w:tr>
      <w:tr w:rsidR="00A2339C" w:rsidRPr="00FD7E86" w14:paraId="400D0F2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254" w:type="dxa"/>
            <w:vMerge/>
          </w:tcPr>
          <w:p w14:paraId="677EDCAE" w14:textId="77777777" w:rsidR="00A2339C" w:rsidRPr="008A0D8B" w:rsidRDefault="00A2339C" w:rsidP="003708BA">
            <w:pPr>
              <w:keepNext/>
              <w:spacing w:before="60" w:after="60"/>
              <w:ind w:right="11"/>
              <w:rPr>
                <w:rFonts w:cs="Arial"/>
                <w:szCs w:val="18"/>
              </w:rPr>
            </w:pPr>
          </w:p>
        </w:tc>
        <w:tc>
          <w:tcPr>
            <w:tcW w:w="710" w:type="dxa"/>
            <w:shd w:val="clear" w:color="auto" w:fill="65CDD5" w:themeFill="accent2"/>
          </w:tcPr>
          <w:p w14:paraId="08E4E532" w14:textId="77777777" w:rsidR="00A2339C" w:rsidRPr="00C05F4C"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No.</w:t>
            </w:r>
          </w:p>
        </w:tc>
        <w:tc>
          <w:tcPr>
            <w:tcW w:w="1904" w:type="dxa"/>
          </w:tcPr>
          <w:p w14:paraId="50395B72"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499,364</w:t>
            </w:r>
          </w:p>
        </w:tc>
        <w:tc>
          <w:tcPr>
            <w:tcW w:w="1904" w:type="dxa"/>
          </w:tcPr>
          <w:p w14:paraId="43760BAA"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151,052</w:t>
            </w:r>
          </w:p>
        </w:tc>
        <w:tc>
          <w:tcPr>
            <w:tcW w:w="1904" w:type="dxa"/>
          </w:tcPr>
          <w:p w14:paraId="22AA5E23"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2,698</w:t>
            </w:r>
          </w:p>
        </w:tc>
        <w:tc>
          <w:tcPr>
            <w:tcW w:w="1905" w:type="dxa"/>
          </w:tcPr>
          <w:p w14:paraId="7CEA3556" w14:textId="77777777" w:rsidR="00A2339C" w:rsidRPr="00FD7E86" w:rsidRDefault="00A2339C" w:rsidP="003708BA">
            <w:pPr>
              <w:keepNext/>
              <w:spacing w:before="60" w:after="60"/>
              <w:ind w:right="126"/>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422,056</w:t>
            </w:r>
          </w:p>
        </w:tc>
      </w:tr>
    </w:tbl>
    <w:p w14:paraId="500B9FE4" w14:textId="77777777" w:rsidR="00A423B3" w:rsidRPr="00FD7E86" w:rsidRDefault="00A423B3" w:rsidP="00A2339C">
      <w:pPr>
        <w:pStyle w:val="ACMANotes"/>
      </w:pPr>
      <w:r w:rsidRPr="00FD7E86">
        <w:t>NQCSP= Not a qualifying CSP (QCSP).</w:t>
      </w:r>
    </w:p>
    <w:p w14:paraId="6901BB4D" w14:textId="77777777" w:rsidR="00A2339C" w:rsidRPr="00FD7E86" w:rsidRDefault="00A2339C" w:rsidP="00A2339C">
      <w:pPr>
        <w:pStyle w:val="ACMANotes"/>
      </w:pPr>
      <w:r w:rsidRPr="00FD7E86">
        <w:t>*New service connections and fault repairs.</w:t>
      </w:r>
    </w:p>
    <w:p w14:paraId="027B7223" w14:textId="77777777" w:rsidR="00A2339C" w:rsidRPr="00FD7E86" w:rsidRDefault="00A2339C" w:rsidP="00A2339C">
      <w:pPr>
        <w:pStyle w:val="ACMANotes"/>
      </w:pPr>
      <w:r w:rsidRPr="00FD7E86">
        <w:t>Note 1: Commencing in 2012–13, QCSPs were required to record the number of requests that were not complied with within the applicable performance time frames and to identify if the CSP’s failure to do so was wholly or partly attributable to one or more acts or omissions by another CSP.</w:t>
      </w:r>
    </w:p>
    <w:p w14:paraId="54D6512D" w14:textId="77777777" w:rsidR="00A2339C" w:rsidRPr="00FD7E86" w:rsidRDefault="00A2339C" w:rsidP="00A2339C">
      <w:pPr>
        <w:pStyle w:val="ACMANotes"/>
      </w:pPr>
      <w:r w:rsidRPr="00FD7E86">
        <w:t xml:space="preserve">Note 2: Location-specific thresholds are met if a QCSP supplied 10,000 or more CSG services in urban areas, 1,000 or more CSG services in rural areas, 500 or more CSG services in remote areas. </w:t>
      </w:r>
    </w:p>
    <w:p w14:paraId="3CF5087D" w14:textId="77777777" w:rsidR="00A2339C" w:rsidRPr="00FD7E86" w:rsidRDefault="00A2339C" w:rsidP="00E450B7">
      <w:pPr>
        <w:pStyle w:val="ACMANotes"/>
      </w:pPr>
      <w:r w:rsidRPr="00FD7E86">
        <w:t>Source: CSP data.</w:t>
      </w:r>
    </w:p>
    <w:p w14:paraId="1F53656D" w14:textId="77777777" w:rsidR="00E450B7" w:rsidRPr="00FD7E86" w:rsidRDefault="00E450B7" w:rsidP="00216D8C">
      <w:pPr>
        <w:pStyle w:val="ACMASpaceaftertable"/>
        <w:rPr>
          <w:i/>
          <w:sz w:val="16"/>
          <w:szCs w:val="16"/>
        </w:rPr>
      </w:pPr>
    </w:p>
    <w:p w14:paraId="5D66BB0C" w14:textId="77777777" w:rsidR="00A2339C" w:rsidRPr="00FD7E86" w:rsidRDefault="008F24DB" w:rsidP="00A2339C">
      <w:pPr>
        <w:keepNext/>
        <w:keepLines/>
        <w:rPr>
          <w:rFonts w:cs="Arial"/>
        </w:rPr>
      </w:pPr>
      <w:r w:rsidRPr="00FD7E86">
        <w:rPr>
          <w:rFonts w:cs="Arial"/>
        </w:rPr>
        <w:t xml:space="preserve">Table 5.7 </w:t>
      </w:r>
      <w:r w:rsidR="00A2339C" w:rsidRPr="00FD7E86">
        <w:rPr>
          <w:rFonts w:cs="Arial"/>
        </w:rPr>
        <w:t>shows the number of new service and in-place connections, fault repairs and appointments for iiNet, Optus, Primus, Telstra and Dodo over the previous two financial years (2013–14 and 2014–15).</w:t>
      </w:r>
    </w:p>
    <w:p w14:paraId="49229AE5" w14:textId="77777777" w:rsidR="00A2339C" w:rsidRPr="00FD7E86" w:rsidRDefault="00DD750B" w:rsidP="00314FB5">
      <w:pPr>
        <w:pStyle w:val="ACMATableHeader"/>
        <w:pageBreakBefore/>
        <w:numPr>
          <w:ilvl w:val="0"/>
          <w:numId w:val="0"/>
        </w:numPr>
      </w:pPr>
      <w:r w:rsidRPr="00FD7E86">
        <w:rPr>
          <w:rFonts w:cs="Arial"/>
        </w:rPr>
        <w:lastRenderedPageBreak/>
        <w:t xml:space="preserve">Table 5.7 </w:t>
      </w:r>
      <w:r w:rsidR="00A2339C" w:rsidRPr="00FD7E86">
        <w:rPr>
          <w:rFonts w:cs="Arial"/>
        </w:rPr>
        <w:t>Number of new service connections, in-place connections and fault repairs requested and appointments made at the national level</w:t>
      </w:r>
    </w:p>
    <w:tbl>
      <w:tblPr>
        <w:tblStyle w:val="Commsreport2014-15TABLE"/>
        <w:tblW w:w="9429" w:type="dxa"/>
        <w:tblLayout w:type="fixed"/>
        <w:tblLook w:val="01E0" w:firstRow="1" w:lastRow="1" w:firstColumn="1" w:lastColumn="1" w:noHBand="0" w:noVBand="0"/>
        <w:tblCaption w:val="Table 5.7 Number of new service connections, in-place connections and fault repairs requested and appointments made at the national level"/>
      </w:tblPr>
      <w:tblGrid>
        <w:gridCol w:w="1634"/>
        <w:gridCol w:w="973"/>
        <w:gridCol w:w="975"/>
        <w:gridCol w:w="974"/>
        <w:gridCol w:w="975"/>
        <w:gridCol w:w="974"/>
        <w:gridCol w:w="975"/>
        <w:gridCol w:w="974"/>
        <w:gridCol w:w="975"/>
      </w:tblGrid>
      <w:tr w:rsidR="00A2339C" w:rsidRPr="0021202A" w14:paraId="1B1515F8"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666" w:type="dxa"/>
            <w:shd w:val="clear" w:color="auto" w:fill="auto"/>
          </w:tcPr>
          <w:p w14:paraId="4F9D0D5F" w14:textId="77777777" w:rsidR="00A2339C" w:rsidRPr="0021202A" w:rsidRDefault="00A2339C" w:rsidP="0021202A">
            <w:pPr>
              <w:pStyle w:val="TableHeading"/>
              <w:spacing w:before="20" w:after="20"/>
              <w:jc w:val="center"/>
              <w:rPr>
                <w:b/>
              </w:rPr>
            </w:pPr>
          </w:p>
        </w:tc>
        <w:tc>
          <w:tcPr>
            <w:tcW w:w="1981" w:type="dxa"/>
            <w:gridSpan w:val="2"/>
          </w:tcPr>
          <w:p w14:paraId="5716C89B"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iiNet</w:t>
            </w:r>
          </w:p>
        </w:tc>
        <w:tc>
          <w:tcPr>
            <w:tcW w:w="1982" w:type="dxa"/>
            <w:gridSpan w:val="2"/>
          </w:tcPr>
          <w:p w14:paraId="201ACD02"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Optus</w:t>
            </w:r>
          </w:p>
        </w:tc>
        <w:tc>
          <w:tcPr>
            <w:tcW w:w="1981" w:type="dxa"/>
            <w:gridSpan w:val="2"/>
          </w:tcPr>
          <w:p w14:paraId="3F379261"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Dodo</w:t>
            </w:r>
          </w:p>
        </w:tc>
        <w:tc>
          <w:tcPr>
            <w:tcW w:w="1982" w:type="dxa"/>
            <w:gridSpan w:val="2"/>
          </w:tcPr>
          <w:p w14:paraId="51F7661C"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Telstra</w:t>
            </w:r>
          </w:p>
        </w:tc>
      </w:tr>
      <w:tr w:rsidR="00A2339C" w:rsidRPr="00FD7E86" w14:paraId="51EF08B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666" w:type="dxa"/>
            <w:shd w:val="clear" w:color="auto" w:fill="auto"/>
          </w:tcPr>
          <w:p w14:paraId="12F87DC0" w14:textId="77777777" w:rsidR="00A2339C" w:rsidRPr="00FD7E86" w:rsidRDefault="00A2339C" w:rsidP="003708BA">
            <w:pPr>
              <w:keepNext/>
              <w:spacing w:before="60" w:after="60"/>
              <w:ind w:right="11"/>
              <w:rPr>
                <w:rFonts w:cs="Arial"/>
                <w:color w:val="000000" w:themeColor="text1"/>
                <w:szCs w:val="18"/>
              </w:rPr>
            </w:pPr>
          </w:p>
        </w:tc>
        <w:tc>
          <w:tcPr>
            <w:tcW w:w="989" w:type="dxa"/>
            <w:shd w:val="clear" w:color="auto" w:fill="00ADBB" w:themeFill="accent1"/>
          </w:tcPr>
          <w:p w14:paraId="61FCDA22"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2013</w:t>
            </w:r>
            <w:r w:rsidRPr="00FD7E86">
              <w:rPr>
                <w:rFonts w:cs="Arial"/>
                <w:b/>
                <w:color w:val="FFFFFF" w:themeColor="background1"/>
                <w:szCs w:val="18"/>
              </w:rPr>
              <w:br/>
              <w:t>–14</w:t>
            </w:r>
          </w:p>
        </w:tc>
        <w:tc>
          <w:tcPr>
            <w:tcW w:w="991" w:type="dxa"/>
            <w:shd w:val="clear" w:color="auto" w:fill="00ADBB" w:themeFill="accent1"/>
          </w:tcPr>
          <w:p w14:paraId="3C492AB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2014</w:t>
            </w:r>
            <w:r w:rsidRPr="00FD7E86">
              <w:rPr>
                <w:rFonts w:cs="Arial"/>
                <w:b/>
                <w:color w:val="FFFFFF" w:themeColor="background1"/>
                <w:szCs w:val="18"/>
              </w:rPr>
              <w:br/>
              <w:t>–15</w:t>
            </w:r>
          </w:p>
        </w:tc>
        <w:tc>
          <w:tcPr>
            <w:tcW w:w="990" w:type="dxa"/>
            <w:shd w:val="clear" w:color="auto" w:fill="00ADBB" w:themeFill="accent1"/>
          </w:tcPr>
          <w:p w14:paraId="5DF85238"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2013</w:t>
            </w:r>
            <w:r w:rsidRPr="00FD7E86">
              <w:rPr>
                <w:rFonts w:cs="Arial"/>
                <w:b/>
                <w:color w:val="FFFFFF" w:themeColor="background1"/>
                <w:szCs w:val="18"/>
              </w:rPr>
              <w:br/>
              <w:t>–14</w:t>
            </w:r>
          </w:p>
        </w:tc>
        <w:tc>
          <w:tcPr>
            <w:tcW w:w="991" w:type="dxa"/>
            <w:shd w:val="clear" w:color="auto" w:fill="00ADBB" w:themeFill="accent1"/>
          </w:tcPr>
          <w:p w14:paraId="1A7720D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2014</w:t>
            </w:r>
            <w:r w:rsidRPr="00FD7E86">
              <w:rPr>
                <w:rFonts w:cs="Arial"/>
                <w:b/>
                <w:color w:val="FFFFFF" w:themeColor="background1"/>
                <w:szCs w:val="18"/>
              </w:rPr>
              <w:br/>
              <w:t>–15</w:t>
            </w:r>
          </w:p>
        </w:tc>
        <w:tc>
          <w:tcPr>
            <w:tcW w:w="990" w:type="dxa"/>
            <w:shd w:val="clear" w:color="auto" w:fill="00ADBB" w:themeFill="accent1"/>
          </w:tcPr>
          <w:p w14:paraId="67337A32"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2013</w:t>
            </w:r>
            <w:r w:rsidRPr="00FD7E86">
              <w:rPr>
                <w:rFonts w:cs="Arial"/>
                <w:b/>
                <w:color w:val="FFFFFF" w:themeColor="background1"/>
                <w:szCs w:val="18"/>
              </w:rPr>
              <w:br/>
              <w:t>–14</w:t>
            </w:r>
          </w:p>
        </w:tc>
        <w:tc>
          <w:tcPr>
            <w:tcW w:w="990" w:type="dxa"/>
            <w:shd w:val="clear" w:color="auto" w:fill="00ADBB" w:themeFill="accent1"/>
          </w:tcPr>
          <w:p w14:paraId="3CE3C2CE"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2014</w:t>
            </w:r>
            <w:r w:rsidRPr="00FD7E86">
              <w:rPr>
                <w:rFonts w:cs="Arial"/>
                <w:b/>
                <w:color w:val="FFFFFF" w:themeColor="background1"/>
                <w:szCs w:val="18"/>
              </w:rPr>
              <w:br/>
              <w:t>–15</w:t>
            </w:r>
          </w:p>
        </w:tc>
        <w:tc>
          <w:tcPr>
            <w:tcW w:w="990" w:type="dxa"/>
            <w:shd w:val="clear" w:color="auto" w:fill="00ADBB" w:themeFill="accent1"/>
          </w:tcPr>
          <w:p w14:paraId="08B52F3B"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2013</w:t>
            </w:r>
            <w:r w:rsidRPr="00FD7E86">
              <w:rPr>
                <w:rFonts w:cs="Arial"/>
                <w:b/>
                <w:color w:val="FFFFFF" w:themeColor="background1"/>
                <w:szCs w:val="18"/>
              </w:rPr>
              <w:br/>
              <w:t>–14</w:t>
            </w:r>
          </w:p>
        </w:tc>
        <w:tc>
          <w:tcPr>
            <w:tcW w:w="991" w:type="dxa"/>
            <w:shd w:val="clear" w:color="auto" w:fill="00ADBB" w:themeFill="accent1"/>
          </w:tcPr>
          <w:p w14:paraId="29E1AE78"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2014</w:t>
            </w:r>
            <w:r w:rsidRPr="00FD7E86">
              <w:rPr>
                <w:rFonts w:cs="Arial"/>
                <w:b/>
                <w:color w:val="FFFFFF" w:themeColor="background1"/>
                <w:szCs w:val="18"/>
              </w:rPr>
              <w:br/>
              <w:t>–15</w:t>
            </w:r>
          </w:p>
        </w:tc>
      </w:tr>
      <w:tr w:rsidR="00A2339C" w:rsidRPr="00FD7E86" w14:paraId="7F38D424"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666" w:type="dxa"/>
          </w:tcPr>
          <w:p w14:paraId="5A2EF7A7" w14:textId="77777777" w:rsidR="00A2339C" w:rsidRPr="00EE0E5F" w:rsidRDefault="00A2339C" w:rsidP="003708BA">
            <w:pPr>
              <w:keepNext/>
              <w:spacing w:before="60" w:after="60"/>
              <w:ind w:right="11"/>
              <w:rPr>
                <w:rFonts w:cs="Arial"/>
                <w:color w:val="auto"/>
                <w:szCs w:val="18"/>
              </w:rPr>
            </w:pPr>
            <w:r w:rsidRPr="00EE0E5F">
              <w:rPr>
                <w:rFonts w:cs="Arial"/>
                <w:color w:val="auto"/>
                <w:szCs w:val="18"/>
              </w:rPr>
              <w:t>New service connections</w:t>
            </w:r>
          </w:p>
        </w:tc>
        <w:tc>
          <w:tcPr>
            <w:tcW w:w="989" w:type="dxa"/>
          </w:tcPr>
          <w:p w14:paraId="56DF95F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61,954</w:t>
            </w:r>
          </w:p>
        </w:tc>
        <w:tc>
          <w:tcPr>
            <w:tcW w:w="991" w:type="dxa"/>
          </w:tcPr>
          <w:p w14:paraId="5A88E578"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74,031</w:t>
            </w:r>
          </w:p>
        </w:tc>
        <w:tc>
          <w:tcPr>
            <w:tcW w:w="990" w:type="dxa"/>
          </w:tcPr>
          <w:p w14:paraId="50D80409"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148,525</w:t>
            </w:r>
          </w:p>
        </w:tc>
        <w:tc>
          <w:tcPr>
            <w:tcW w:w="991" w:type="dxa"/>
          </w:tcPr>
          <w:p w14:paraId="0A1FA623"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214,914</w:t>
            </w:r>
          </w:p>
        </w:tc>
        <w:tc>
          <w:tcPr>
            <w:tcW w:w="990" w:type="dxa"/>
          </w:tcPr>
          <w:p w14:paraId="7B35508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13,670</w:t>
            </w:r>
          </w:p>
        </w:tc>
        <w:tc>
          <w:tcPr>
            <w:tcW w:w="990" w:type="dxa"/>
          </w:tcPr>
          <w:p w14:paraId="475F0D48"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22,441</w:t>
            </w:r>
          </w:p>
        </w:tc>
        <w:tc>
          <w:tcPr>
            <w:tcW w:w="990" w:type="dxa"/>
          </w:tcPr>
          <w:p w14:paraId="248D4C83"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352,947</w:t>
            </w:r>
          </w:p>
        </w:tc>
        <w:tc>
          <w:tcPr>
            <w:tcW w:w="991" w:type="dxa"/>
          </w:tcPr>
          <w:p w14:paraId="5BBD10C2"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379,187</w:t>
            </w:r>
          </w:p>
        </w:tc>
      </w:tr>
      <w:tr w:rsidR="00A2339C" w:rsidRPr="00FD7E86" w14:paraId="2B16CEC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666" w:type="dxa"/>
          </w:tcPr>
          <w:p w14:paraId="422F57F9" w14:textId="77777777" w:rsidR="00A2339C" w:rsidRPr="00EE0E5F" w:rsidRDefault="00A2339C" w:rsidP="003708BA">
            <w:pPr>
              <w:keepNext/>
              <w:spacing w:before="60" w:after="60"/>
              <w:ind w:right="11"/>
              <w:rPr>
                <w:rFonts w:cs="Arial"/>
                <w:color w:val="auto"/>
                <w:szCs w:val="18"/>
              </w:rPr>
            </w:pPr>
            <w:r w:rsidRPr="00EE0E5F">
              <w:rPr>
                <w:rFonts w:cs="Arial"/>
                <w:color w:val="auto"/>
                <w:szCs w:val="18"/>
              </w:rPr>
              <w:t>In-place connections</w:t>
            </w:r>
          </w:p>
        </w:tc>
        <w:tc>
          <w:tcPr>
            <w:tcW w:w="989" w:type="dxa"/>
          </w:tcPr>
          <w:p w14:paraId="2D4EBEB4"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78,581</w:t>
            </w:r>
          </w:p>
        </w:tc>
        <w:tc>
          <w:tcPr>
            <w:tcW w:w="991" w:type="dxa"/>
          </w:tcPr>
          <w:p w14:paraId="40F6D1AA"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79,341</w:t>
            </w:r>
          </w:p>
        </w:tc>
        <w:tc>
          <w:tcPr>
            <w:tcW w:w="990" w:type="dxa"/>
          </w:tcPr>
          <w:p w14:paraId="57D62B2B"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n/a</w:t>
            </w:r>
          </w:p>
        </w:tc>
        <w:tc>
          <w:tcPr>
            <w:tcW w:w="991" w:type="dxa"/>
          </w:tcPr>
          <w:p w14:paraId="4E42E43E"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n/a</w:t>
            </w:r>
          </w:p>
        </w:tc>
        <w:tc>
          <w:tcPr>
            <w:tcW w:w="990" w:type="dxa"/>
          </w:tcPr>
          <w:p w14:paraId="773AED45"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64,868</w:t>
            </w:r>
          </w:p>
        </w:tc>
        <w:tc>
          <w:tcPr>
            <w:tcW w:w="990" w:type="dxa"/>
          </w:tcPr>
          <w:p w14:paraId="2AAD6C99"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85,371</w:t>
            </w:r>
          </w:p>
        </w:tc>
        <w:tc>
          <w:tcPr>
            <w:tcW w:w="990" w:type="dxa"/>
          </w:tcPr>
          <w:p w14:paraId="5A2BFF39"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300,488</w:t>
            </w:r>
          </w:p>
        </w:tc>
        <w:tc>
          <w:tcPr>
            <w:tcW w:w="991" w:type="dxa"/>
          </w:tcPr>
          <w:p w14:paraId="64EB1F2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273,050</w:t>
            </w:r>
          </w:p>
        </w:tc>
      </w:tr>
      <w:tr w:rsidR="00A2339C" w:rsidRPr="00FD7E86" w14:paraId="25CFADB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666" w:type="dxa"/>
          </w:tcPr>
          <w:p w14:paraId="2508215B" w14:textId="77777777" w:rsidR="00A2339C" w:rsidRPr="00EE0E5F" w:rsidRDefault="00A2339C" w:rsidP="003708BA">
            <w:pPr>
              <w:keepNext/>
              <w:spacing w:before="60" w:after="60"/>
              <w:ind w:right="11"/>
              <w:rPr>
                <w:rFonts w:cs="Arial"/>
                <w:color w:val="auto"/>
                <w:szCs w:val="18"/>
              </w:rPr>
            </w:pPr>
            <w:r w:rsidRPr="00EE0E5F">
              <w:rPr>
                <w:rFonts w:cs="Arial"/>
                <w:color w:val="auto"/>
                <w:szCs w:val="18"/>
              </w:rPr>
              <w:t>Fault repairs</w:t>
            </w:r>
          </w:p>
        </w:tc>
        <w:tc>
          <w:tcPr>
            <w:tcW w:w="989" w:type="dxa"/>
          </w:tcPr>
          <w:p w14:paraId="43F47135"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69,805</w:t>
            </w:r>
          </w:p>
        </w:tc>
        <w:tc>
          <w:tcPr>
            <w:tcW w:w="991" w:type="dxa"/>
          </w:tcPr>
          <w:p w14:paraId="13A7CD3B"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79,926</w:t>
            </w:r>
          </w:p>
        </w:tc>
        <w:tc>
          <w:tcPr>
            <w:tcW w:w="990" w:type="dxa"/>
          </w:tcPr>
          <w:p w14:paraId="27791525"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147,310</w:t>
            </w:r>
          </w:p>
        </w:tc>
        <w:tc>
          <w:tcPr>
            <w:tcW w:w="991" w:type="dxa"/>
          </w:tcPr>
          <w:p w14:paraId="6B2CF592"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157,292</w:t>
            </w:r>
          </w:p>
        </w:tc>
        <w:tc>
          <w:tcPr>
            <w:tcW w:w="990" w:type="dxa"/>
          </w:tcPr>
          <w:p w14:paraId="36D5C6AB"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32,228</w:t>
            </w:r>
          </w:p>
        </w:tc>
        <w:tc>
          <w:tcPr>
            <w:tcW w:w="990" w:type="dxa"/>
          </w:tcPr>
          <w:p w14:paraId="423365DD"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40,712</w:t>
            </w:r>
          </w:p>
        </w:tc>
        <w:tc>
          <w:tcPr>
            <w:tcW w:w="990" w:type="dxa"/>
          </w:tcPr>
          <w:p w14:paraId="48D79DA9"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756,478</w:t>
            </w:r>
          </w:p>
        </w:tc>
        <w:tc>
          <w:tcPr>
            <w:tcW w:w="991" w:type="dxa"/>
          </w:tcPr>
          <w:p w14:paraId="12C83616"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699,072</w:t>
            </w:r>
          </w:p>
        </w:tc>
      </w:tr>
      <w:tr w:rsidR="00A2339C" w:rsidRPr="00FD7E86" w14:paraId="730A3B6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666" w:type="dxa"/>
          </w:tcPr>
          <w:p w14:paraId="2B489A34" w14:textId="77777777" w:rsidR="00A2339C" w:rsidRPr="00EE0E5F" w:rsidRDefault="00A2339C" w:rsidP="003708BA">
            <w:pPr>
              <w:keepNext/>
              <w:spacing w:before="60" w:after="60"/>
              <w:ind w:right="11"/>
              <w:rPr>
                <w:rFonts w:cs="Arial"/>
                <w:color w:val="auto"/>
                <w:szCs w:val="18"/>
              </w:rPr>
            </w:pPr>
            <w:r w:rsidRPr="00EE0E5F">
              <w:rPr>
                <w:rFonts w:cs="Arial"/>
                <w:color w:val="auto"/>
                <w:szCs w:val="18"/>
              </w:rPr>
              <w:t>Appointments*</w:t>
            </w:r>
          </w:p>
        </w:tc>
        <w:tc>
          <w:tcPr>
            <w:tcW w:w="989" w:type="dxa"/>
          </w:tcPr>
          <w:p w14:paraId="1B508A5E"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6,439</w:t>
            </w:r>
            <w:r w:rsidRPr="00FD7E86">
              <w:rPr>
                <w:rFonts w:cs="Arial"/>
                <w:color w:val="000000"/>
                <w:szCs w:val="18"/>
                <w:vertAlign w:val="superscript"/>
              </w:rPr>
              <w:t>†</w:t>
            </w:r>
          </w:p>
        </w:tc>
        <w:tc>
          <w:tcPr>
            <w:tcW w:w="991" w:type="dxa"/>
          </w:tcPr>
          <w:p w14:paraId="7BD90AF1"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59,140</w:t>
            </w:r>
            <w:r w:rsidRPr="00FD7E86">
              <w:rPr>
                <w:rFonts w:cs="Arial"/>
                <w:color w:val="000000"/>
                <w:szCs w:val="18"/>
                <w:vertAlign w:val="superscript"/>
              </w:rPr>
              <w:t>†</w:t>
            </w:r>
          </w:p>
        </w:tc>
        <w:tc>
          <w:tcPr>
            <w:tcW w:w="990" w:type="dxa"/>
          </w:tcPr>
          <w:p w14:paraId="5085B4BD"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227,683</w:t>
            </w:r>
          </w:p>
        </w:tc>
        <w:tc>
          <w:tcPr>
            <w:tcW w:w="991" w:type="dxa"/>
          </w:tcPr>
          <w:p w14:paraId="347393CC"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257,745</w:t>
            </w:r>
          </w:p>
        </w:tc>
        <w:tc>
          <w:tcPr>
            <w:tcW w:w="990" w:type="dxa"/>
          </w:tcPr>
          <w:p w14:paraId="50F9CA7B"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16,415</w:t>
            </w:r>
          </w:p>
        </w:tc>
        <w:tc>
          <w:tcPr>
            <w:tcW w:w="990" w:type="dxa"/>
          </w:tcPr>
          <w:p w14:paraId="19D9B491"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23,004</w:t>
            </w:r>
          </w:p>
        </w:tc>
        <w:tc>
          <w:tcPr>
            <w:tcW w:w="990" w:type="dxa"/>
          </w:tcPr>
          <w:p w14:paraId="4FF0D705"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355,733</w:t>
            </w:r>
          </w:p>
        </w:tc>
        <w:tc>
          <w:tcPr>
            <w:tcW w:w="991" w:type="dxa"/>
          </w:tcPr>
          <w:p w14:paraId="6575CB6F" w14:textId="77777777" w:rsidR="00A2339C" w:rsidRPr="00FD7E86" w:rsidRDefault="00A2339C" w:rsidP="003708BA">
            <w:pPr>
              <w:keepNext/>
              <w:spacing w:before="60" w:after="60"/>
              <w:ind w:right="8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color w:val="000000"/>
                <w:szCs w:val="18"/>
              </w:rPr>
              <w:t>436,288</w:t>
            </w:r>
          </w:p>
        </w:tc>
      </w:tr>
    </w:tbl>
    <w:p w14:paraId="6A952B8A" w14:textId="77777777" w:rsidR="00A2339C" w:rsidRPr="00FD7E86" w:rsidRDefault="00A2339C" w:rsidP="00A2339C">
      <w:pPr>
        <w:pStyle w:val="ACMANotes"/>
      </w:pPr>
      <w:r w:rsidRPr="00FD7E86">
        <w:t>n/a=not available.</w:t>
      </w:r>
    </w:p>
    <w:p w14:paraId="77B44098" w14:textId="77777777" w:rsidR="00A2339C" w:rsidRPr="00FD7E86" w:rsidRDefault="00A2339C" w:rsidP="00A2339C">
      <w:pPr>
        <w:pStyle w:val="ACMANotes"/>
      </w:pPr>
      <w:r w:rsidRPr="00FD7E86">
        <w:t>*New service connections and fault repair.</w:t>
      </w:r>
    </w:p>
    <w:p w14:paraId="591F03E6" w14:textId="77777777" w:rsidR="00A2339C" w:rsidRPr="00FD7E86" w:rsidRDefault="00A2339C" w:rsidP="00A2339C">
      <w:pPr>
        <w:pStyle w:val="ACMANotes"/>
      </w:pPr>
      <w:r w:rsidRPr="00FD7E86">
        <w:rPr>
          <w:vertAlign w:val="superscript"/>
        </w:rPr>
        <w:t>†</w:t>
      </w:r>
      <w:r w:rsidRPr="00FD7E86">
        <w:t>Appointment activity in NSW/ACT and Victoria.</w:t>
      </w:r>
    </w:p>
    <w:p w14:paraId="15E571FD" w14:textId="77777777" w:rsidR="00A2339C" w:rsidRPr="00FD7E86" w:rsidRDefault="00A2339C" w:rsidP="00E450B7">
      <w:pPr>
        <w:pStyle w:val="ACMANotes"/>
      </w:pPr>
      <w:r w:rsidRPr="00FD7E86">
        <w:t>Source: CSP data.</w:t>
      </w:r>
    </w:p>
    <w:p w14:paraId="1E52ABD0" w14:textId="77777777" w:rsidR="00E450B7" w:rsidRPr="00FD7E86" w:rsidRDefault="00E450B7" w:rsidP="00216D8C">
      <w:pPr>
        <w:pStyle w:val="ACMASpaceaftertable"/>
        <w:rPr>
          <w:i/>
          <w:sz w:val="16"/>
          <w:szCs w:val="16"/>
        </w:rPr>
      </w:pPr>
    </w:p>
    <w:p w14:paraId="6496072D" w14:textId="77777777" w:rsidR="00A2339C" w:rsidRPr="00FD7E86" w:rsidRDefault="00A2339C" w:rsidP="000664F7">
      <w:pPr>
        <w:pStyle w:val="ACMAHeading2"/>
      </w:pPr>
      <w:bookmarkStart w:id="437" w:name="_Toc402337570"/>
      <w:bookmarkStart w:id="438" w:name="_Toc433790415"/>
      <w:r w:rsidRPr="00FD7E86">
        <w:t>CSG Standard payments</w:t>
      </w:r>
      <w:bookmarkEnd w:id="437"/>
      <w:bookmarkEnd w:id="438"/>
    </w:p>
    <w:p w14:paraId="6A9E4786" w14:textId="77777777" w:rsidR="00DD750B" w:rsidRPr="00FD7E86" w:rsidRDefault="00A2339C" w:rsidP="00314FB5">
      <w:pPr>
        <w:rPr>
          <w:b/>
          <w:bCs/>
          <w:color w:val="323232"/>
          <w:szCs w:val="20"/>
        </w:rPr>
      </w:pPr>
      <w:r w:rsidRPr="00FD7E86">
        <w:t>As a result of failing to meet CSG Standard time frames during 2014–15, CSPs made compensation payments to customers as shown in</w:t>
      </w:r>
      <w:r w:rsidR="005875E5" w:rsidRPr="00FD7E86">
        <w:t xml:space="preserve"> Table 5.8</w:t>
      </w:r>
      <w:r w:rsidRPr="00FD7E86">
        <w:t>.</w:t>
      </w:r>
    </w:p>
    <w:p w14:paraId="552ADB63" w14:textId="77777777" w:rsidR="00A2339C" w:rsidRPr="00FD7E86" w:rsidRDefault="00DD750B" w:rsidP="00DD750B">
      <w:pPr>
        <w:pStyle w:val="ACMATableHeader"/>
        <w:numPr>
          <w:ilvl w:val="0"/>
          <w:numId w:val="0"/>
        </w:numPr>
        <w:ind w:right="-1260"/>
      </w:pPr>
      <w:r w:rsidRPr="00FD7E86">
        <w:rPr>
          <w:rFonts w:cs="Arial"/>
        </w:rPr>
        <w:t xml:space="preserve">Table 5.8 </w:t>
      </w:r>
      <w:r w:rsidR="00A2339C" w:rsidRPr="00FD7E86">
        <w:rPr>
          <w:rFonts w:cs="Arial"/>
        </w:rPr>
        <w:t>Volume and value of compensation payments made by CSPs to customers</w:t>
      </w:r>
    </w:p>
    <w:tbl>
      <w:tblPr>
        <w:tblStyle w:val="Commsreport2014-15TABLE"/>
        <w:tblW w:w="9429" w:type="dxa"/>
        <w:tblLayout w:type="fixed"/>
        <w:tblLook w:val="01E0" w:firstRow="1" w:lastRow="1" w:firstColumn="1" w:lastColumn="1" w:noHBand="0" w:noVBand="0"/>
        <w:tblCaption w:val="Table 5.8 Volume and value of compensation payments made by CSPs to customers"/>
      </w:tblPr>
      <w:tblGrid>
        <w:gridCol w:w="2602"/>
        <w:gridCol w:w="1706"/>
        <w:gridCol w:w="1707"/>
        <w:gridCol w:w="1707"/>
        <w:gridCol w:w="1707"/>
      </w:tblGrid>
      <w:tr w:rsidR="00A2339C" w:rsidRPr="0021202A" w14:paraId="77F68A10"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636" w:type="dxa"/>
            <w:shd w:val="clear" w:color="auto" w:fill="auto"/>
          </w:tcPr>
          <w:p w14:paraId="682F3A88" w14:textId="77777777" w:rsidR="00A2339C" w:rsidRPr="0021202A" w:rsidRDefault="00A2339C" w:rsidP="0021202A">
            <w:pPr>
              <w:pStyle w:val="TableHeading"/>
              <w:spacing w:before="20" w:after="20"/>
              <w:jc w:val="center"/>
              <w:rPr>
                <w:b/>
              </w:rPr>
            </w:pPr>
          </w:p>
        </w:tc>
        <w:tc>
          <w:tcPr>
            <w:tcW w:w="3457" w:type="dxa"/>
            <w:gridSpan w:val="2"/>
          </w:tcPr>
          <w:p w14:paraId="76E55DE0"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spacing w:val="-28"/>
              </w:rPr>
            </w:pPr>
            <w:r w:rsidRPr="0021202A">
              <w:rPr>
                <w:b/>
              </w:rPr>
              <w:t>2013–14</w:t>
            </w:r>
          </w:p>
        </w:tc>
        <w:tc>
          <w:tcPr>
            <w:tcW w:w="3458" w:type="dxa"/>
            <w:gridSpan w:val="2"/>
          </w:tcPr>
          <w:p w14:paraId="584F5ED9"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r>
      <w:tr w:rsidR="00A2339C" w:rsidRPr="00FD7E86" w14:paraId="572576E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shd w:val="clear" w:color="auto" w:fill="auto"/>
          </w:tcPr>
          <w:p w14:paraId="481B82D8" w14:textId="77777777" w:rsidR="00A2339C" w:rsidRPr="00FD7E86" w:rsidRDefault="00A2339C" w:rsidP="003708BA">
            <w:pPr>
              <w:keepNext/>
              <w:spacing w:before="120" w:after="120"/>
              <w:ind w:right="87"/>
              <w:jc w:val="right"/>
              <w:rPr>
                <w:rFonts w:cs="Arial"/>
                <w:b/>
                <w:szCs w:val="18"/>
              </w:rPr>
            </w:pPr>
          </w:p>
        </w:tc>
        <w:tc>
          <w:tcPr>
            <w:tcW w:w="1728" w:type="dxa"/>
            <w:shd w:val="clear" w:color="auto" w:fill="00ADBB" w:themeFill="accent1"/>
          </w:tcPr>
          <w:p w14:paraId="62777C32"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1729" w:type="dxa"/>
            <w:shd w:val="clear" w:color="auto" w:fill="00ADBB" w:themeFill="accent1"/>
          </w:tcPr>
          <w:p w14:paraId="1CE4814D"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 (million)</w:t>
            </w:r>
          </w:p>
        </w:tc>
        <w:tc>
          <w:tcPr>
            <w:tcW w:w="1729" w:type="dxa"/>
            <w:shd w:val="clear" w:color="auto" w:fill="00ADBB" w:themeFill="accent1"/>
          </w:tcPr>
          <w:p w14:paraId="05413979"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1729" w:type="dxa"/>
            <w:shd w:val="clear" w:color="auto" w:fill="00ADBB" w:themeFill="accent1"/>
          </w:tcPr>
          <w:p w14:paraId="324689E9"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 (million)</w:t>
            </w:r>
          </w:p>
        </w:tc>
      </w:tr>
      <w:tr w:rsidR="00A2339C" w:rsidRPr="00FD7E86" w14:paraId="2F840F0E"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tcPr>
          <w:p w14:paraId="534F4BCA" w14:textId="77777777" w:rsidR="00A2339C" w:rsidRPr="00EE0E5F" w:rsidRDefault="00A2339C" w:rsidP="003708BA">
            <w:pPr>
              <w:keepNext/>
              <w:spacing w:before="120" w:after="120"/>
              <w:ind w:right="11"/>
              <w:rPr>
                <w:rFonts w:cs="Arial"/>
                <w:color w:val="auto"/>
                <w:szCs w:val="18"/>
              </w:rPr>
            </w:pPr>
            <w:r w:rsidRPr="00EE0E5F">
              <w:rPr>
                <w:rFonts w:cs="Arial"/>
                <w:color w:val="auto"/>
                <w:szCs w:val="18"/>
              </w:rPr>
              <w:t>iiNet</w:t>
            </w:r>
          </w:p>
        </w:tc>
        <w:tc>
          <w:tcPr>
            <w:tcW w:w="1728" w:type="dxa"/>
          </w:tcPr>
          <w:p w14:paraId="241B765A"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11,740</w:t>
            </w:r>
          </w:p>
        </w:tc>
        <w:tc>
          <w:tcPr>
            <w:tcW w:w="1729" w:type="dxa"/>
          </w:tcPr>
          <w:p w14:paraId="4C9818BC"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1.12</w:t>
            </w:r>
          </w:p>
        </w:tc>
        <w:tc>
          <w:tcPr>
            <w:tcW w:w="1729" w:type="dxa"/>
          </w:tcPr>
          <w:p w14:paraId="01F9CD6D"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35,247</w:t>
            </w:r>
          </w:p>
        </w:tc>
        <w:tc>
          <w:tcPr>
            <w:tcW w:w="1729" w:type="dxa"/>
          </w:tcPr>
          <w:p w14:paraId="674A7C01"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1.33</w:t>
            </w:r>
          </w:p>
        </w:tc>
      </w:tr>
      <w:tr w:rsidR="00A2339C" w:rsidRPr="00FD7E86" w14:paraId="7EF5DBF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tcPr>
          <w:p w14:paraId="78424AA6" w14:textId="77777777" w:rsidR="00A2339C" w:rsidRPr="00EE0E5F" w:rsidRDefault="00A2339C" w:rsidP="003708BA">
            <w:pPr>
              <w:keepNext/>
              <w:spacing w:before="120" w:after="120"/>
              <w:ind w:right="11"/>
              <w:rPr>
                <w:rFonts w:cs="Arial"/>
                <w:color w:val="auto"/>
                <w:szCs w:val="18"/>
              </w:rPr>
            </w:pPr>
            <w:r w:rsidRPr="00EE0E5F">
              <w:rPr>
                <w:rFonts w:cs="Arial"/>
                <w:color w:val="auto"/>
                <w:szCs w:val="18"/>
              </w:rPr>
              <w:t>Optus</w:t>
            </w:r>
          </w:p>
        </w:tc>
        <w:tc>
          <w:tcPr>
            <w:tcW w:w="1728" w:type="dxa"/>
          </w:tcPr>
          <w:p w14:paraId="2236B5D9"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19,944</w:t>
            </w:r>
          </w:p>
        </w:tc>
        <w:tc>
          <w:tcPr>
            <w:tcW w:w="1729" w:type="dxa"/>
          </w:tcPr>
          <w:p w14:paraId="27EAFCE8"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1.10</w:t>
            </w:r>
          </w:p>
        </w:tc>
        <w:tc>
          <w:tcPr>
            <w:tcW w:w="1729" w:type="dxa"/>
          </w:tcPr>
          <w:p w14:paraId="7CF51729"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19,712</w:t>
            </w:r>
          </w:p>
        </w:tc>
        <w:tc>
          <w:tcPr>
            <w:tcW w:w="1729" w:type="dxa"/>
          </w:tcPr>
          <w:p w14:paraId="618679A7"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1.36</w:t>
            </w:r>
          </w:p>
        </w:tc>
      </w:tr>
      <w:tr w:rsidR="00A2339C" w:rsidRPr="00FD7E86" w14:paraId="2CD10F3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tcPr>
          <w:p w14:paraId="3903E2C7" w14:textId="77777777" w:rsidR="00A2339C" w:rsidRPr="00EE0E5F" w:rsidRDefault="00A2339C" w:rsidP="003708BA">
            <w:pPr>
              <w:keepNext/>
              <w:spacing w:before="120" w:after="120"/>
              <w:ind w:right="11"/>
              <w:rPr>
                <w:rFonts w:cs="Arial"/>
                <w:color w:val="auto"/>
                <w:szCs w:val="18"/>
              </w:rPr>
            </w:pPr>
            <w:r w:rsidRPr="00EE0E5F">
              <w:rPr>
                <w:rFonts w:cs="Arial"/>
                <w:color w:val="auto"/>
                <w:szCs w:val="18"/>
              </w:rPr>
              <w:t>Primus</w:t>
            </w:r>
          </w:p>
        </w:tc>
        <w:tc>
          <w:tcPr>
            <w:tcW w:w="1728" w:type="dxa"/>
          </w:tcPr>
          <w:p w14:paraId="651FBC8A"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2,273</w:t>
            </w:r>
          </w:p>
        </w:tc>
        <w:tc>
          <w:tcPr>
            <w:tcW w:w="1729" w:type="dxa"/>
          </w:tcPr>
          <w:p w14:paraId="0D90E895"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0.08</w:t>
            </w:r>
          </w:p>
        </w:tc>
        <w:tc>
          <w:tcPr>
            <w:tcW w:w="1729" w:type="dxa"/>
          </w:tcPr>
          <w:p w14:paraId="0B374591"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1,563</w:t>
            </w:r>
          </w:p>
        </w:tc>
        <w:tc>
          <w:tcPr>
            <w:tcW w:w="1729" w:type="dxa"/>
          </w:tcPr>
          <w:p w14:paraId="6274904F"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0.05</w:t>
            </w:r>
          </w:p>
        </w:tc>
      </w:tr>
      <w:tr w:rsidR="00A2339C" w:rsidRPr="00FD7E86" w14:paraId="5B8DA43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tcPr>
          <w:p w14:paraId="6B41E674" w14:textId="77777777" w:rsidR="00A2339C" w:rsidRPr="00EE0E5F" w:rsidRDefault="00A2339C" w:rsidP="003708BA">
            <w:pPr>
              <w:keepNext/>
              <w:spacing w:before="120" w:after="120"/>
              <w:ind w:right="11"/>
              <w:rPr>
                <w:rFonts w:cs="Arial"/>
                <w:color w:val="auto"/>
                <w:szCs w:val="18"/>
              </w:rPr>
            </w:pPr>
            <w:r w:rsidRPr="00EE0E5F">
              <w:rPr>
                <w:rFonts w:cs="Arial"/>
                <w:color w:val="auto"/>
                <w:szCs w:val="18"/>
              </w:rPr>
              <w:t>Telstra</w:t>
            </w:r>
          </w:p>
        </w:tc>
        <w:tc>
          <w:tcPr>
            <w:tcW w:w="1728" w:type="dxa"/>
          </w:tcPr>
          <w:p w14:paraId="5A32EDCB"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106,038</w:t>
            </w:r>
          </w:p>
        </w:tc>
        <w:tc>
          <w:tcPr>
            <w:tcW w:w="1729" w:type="dxa"/>
          </w:tcPr>
          <w:p w14:paraId="6ED9761C"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color w:val="000000"/>
                <w:szCs w:val="18"/>
              </w:rPr>
            </w:pPr>
            <w:r w:rsidRPr="00FD7E86">
              <w:rPr>
                <w:rFonts w:cs="Arial"/>
                <w:szCs w:val="18"/>
              </w:rPr>
              <w:t>5.65</w:t>
            </w:r>
          </w:p>
        </w:tc>
        <w:tc>
          <w:tcPr>
            <w:tcW w:w="1729" w:type="dxa"/>
          </w:tcPr>
          <w:p w14:paraId="2795098F"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56,114</w:t>
            </w:r>
          </w:p>
        </w:tc>
        <w:tc>
          <w:tcPr>
            <w:tcW w:w="1729" w:type="dxa"/>
          </w:tcPr>
          <w:p w14:paraId="1B9C7051"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2.81</w:t>
            </w:r>
          </w:p>
        </w:tc>
      </w:tr>
      <w:tr w:rsidR="00A2339C" w:rsidRPr="00FD7E86" w14:paraId="40F5613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36" w:type="dxa"/>
          </w:tcPr>
          <w:p w14:paraId="63E10B06" w14:textId="77777777" w:rsidR="00A2339C" w:rsidRPr="00EE0E5F" w:rsidRDefault="00A2339C" w:rsidP="003708BA">
            <w:pPr>
              <w:keepNext/>
              <w:spacing w:before="120" w:after="120"/>
              <w:ind w:right="11"/>
              <w:rPr>
                <w:rFonts w:cs="Arial"/>
                <w:color w:val="auto"/>
                <w:szCs w:val="18"/>
              </w:rPr>
            </w:pPr>
            <w:r w:rsidRPr="00EE0E5F">
              <w:rPr>
                <w:rFonts w:cs="Arial"/>
                <w:color w:val="auto"/>
                <w:szCs w:val="18"/>
              </w:rPr>
              <w:t>Dodo</w:t>
            </w:r>
          </w:p>
        </w:tc>
        <w:tc>
          <w:tcPr>
            <w:tcW w:w="1728" w:type="dxa"/>
          </w:tcPr>
          <w:p w14:paraId="4B70BE7E"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3,030</w:t>
            </w:r>
          </w:p>
        </w:tc>
        <w:tc>
          <w:tcPr>
            <w:tcW w:w="1729" w:type="dxa"/>
          </w:tcPr>
          <w:p w14:paraId="3F48D565"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0.12</w:t>
            </w:r>
          </w:p>
        </w:tc>
        <w:tc>
          <w:tcPr>
            <w:tcW w:w="1729" w:type="dxa"/>
          </w:tcPr>
          <w:p w14:paraId="682F5390"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7,459</w:t>
            </w:r>
          </w:p>
        </w:tc>
        <w:tc>
          <w:tcPr>
            <w:tcW w:w="1729" w:type="dxa"/>
          </w:tcPr>
          <w:p w14:paraId="7AA5AD46"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0.31</w:t>
            </w:r>
          </w:p>
        </w:tc>
      </w:tr>
      <w:tr w:rsidR="00A2339C" w:rsidRPr="00FD7E86" w14:paraId="407D3008" w14:textId="77777777" w:rsidTr="004E56DE">
        <w:trPr>
          <w:trHeight w:val="454"/>
        </w:trPr>
        <w:tc>
          <w:tcPr>
            <w:cnfStyle w:val="001000000000" w:firstRow="0" w:lastRow="0" w:firstColumn="1" w:lastColumn="0" w:oddVBand="0" w:evenVBand="0" w:oddHBand="0" w:evenHBand="0" w:firstRowFirstColumn="0" w:firstRowLastColumn="0" w:lastRowFirstColumn="0" w:lastRowLastColumn="0"/>
            <w:tcW w:w="2636" w:type="dxa"/>
            <w:shd w:val="clear" w:color="auto" w:fill="65CDD5" w:themeFill="accent2"/>
          </w:tcPr>
          <w:p w14:paraId="209EA44A" w14:textId="77777777" w:rsidR="00A2339C" w:rsidRPr="00EE0E5F" w:rsidRDefault="00A2339C" w:rsidP="003708BA">
            <w:pPr>
              <w:keepNext/>
              <w:spacing w:before="120" w:after="120"/>
              <w:ind w:right="11"/>
              <w:rPr>
                <w:rFonts w:cs="Arial"/>
                <w:b/>
                <w:color w:val="auto"/>
                <w:szCs w:val="18"/>
              </w:rPr>
            </w:pPr>
            <w:r w:rsidRPr="00EE0E5F">
              <w:rPr>
                <w:rFonts w:cs="Arial"/>
                <w:b/>
                <w:color w:val="auto"/>
                <w:szCs w:val="18"/>
              </w:rPr>
              <w:t>Total</w:t>
            </w:r>
          </w:p>
        </w:tc>
        <w:tc>
          <w:tcPr>
            <w:tcW w:w="1728" w:type="dxa"/>
            <w:shd w:val="clear" w:color="auto" w:fill="65CDD5" w:themeFill="accent2"/>
          </w:tcPr>
          <w:p w14:paraId="01117EA8"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143,025</w:t>
            </w:r>
          </w:p>
        </w:tc>
        <w:tc>
          <w:tcPr>
            <w:tcW w:w="1729" w:type="dxa"/>
            <w:shd w:val="clear" w:color="auto" w:fill="65CDD5" w:themeFill="accent2"/>
          </w:tcPr>
          <w:p w14:paraId="1734A95B"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8.08</w:t>
            </w:r>
          </w:p>
        </w:tc>
        <w:tc>
          <w:tcPr>
            <w:tcW w:w="1729" w:type="dxa"/>
            <w:shd w:val="clear" w:color="auto" w:fill="65CDD5" w:themeFill="accent2"/>
          </w:tcPr>
          <w:p w14:paraId="5A51D5FC"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120,</w:t>
            </w:r>
            <w:r w:rsidR="003B1E4E" w:rsidRPr="00FD7E86">
              <w:rPr>
                <w:rFonts w:cs="Arial"/>
                <w:b/>
                <w:szCs w:val="18"/>
              </w:rPr>
              <w:t>095</w:t>
            </w:r>
          </w:p>
        </w:tc>
        <w:tc>
          <w:tcPr>
            <w:tcW w:w="1729" w:type="dxa"/>
            <w:shd w:val="clear" w:color="auto" w:fill="65CDD5" w:themeFill="accent2"/>
          </w:tcPr>
          <w:p w14:paraId="108B064B" w14:textId="77777777" w:rsidR="00A2339C" w:rsidRPr="00FD7E86" w:rsidRDefault="00A2339C" w:rsidP="003708BA">
            <w:pPr>
              <w:keepNext/>
              <w:spacing w:before="120" w:after="120"/>
              <w:ind w:right="337"/>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5.85</w:t>
            </w:r>
          </w:p>
        </w:tc>
      </w:tr>
    </w:tbl>
    <w:p w14:paraId="1DA87302" w14:textId="77777777" w:rsidR="00A2339C" w:rsidRPr="00FD7E86" w:rsidRDefault="00A2339C" w:rsidP="000664F7">
      <w:pPr>
        <w:pStyle w:val="ACMANotes"/>
        <w:rPr>
          <w:i w:val="0"/>
          <w:szCs w:val="16"/>
        </w:rPr>
      </w:pPr>
      <w:r w:rsidRPr="00FD7E86">
        <w:t>Note: Commencing in 2012–13, qualifying CSPs were required to record the number of requests that were not complied with within the applicable performance time frames and to identify if the CSP’s failure to do so was wholly or partly attributable to one or more acts or omissions by another CSP.</w:t>
      </w:r>
      <w:r w:rsidR="003B1E4E" w:rsidRPr="00FD7E86">
        <w:t xml:space="preserve"> Numbers may not add up due to rounding.</w:t>
      </w:r>
    </w:p>
    <w:p w14:paraId="6250CDDF" w14:textId="77777777" w:rsidR="00A2339C" w:rsidRPr="00FD7E86" w:rsidRDefault="00A2339C" w:rsidP="00E450B7">
      <w:pPr>
        <w:pStyle w:val="ACMANotes"/>
      </w:pPr>
      <w:r w:rsidRPr="00FD7E86">
        <w:t>Source: CSP data.</w:t>
      </w:r>
    </w:p>
    <w:p w14:paraId="50F6BC0D" w14:textId="77777777" w:rsidR="00E450B7" w:rsidRPr="00FD7E86" w:rsidRDefault="00E450B7" w:rsidP="00216D8C">
      <w:pPr>
        <w:pStyle w:val="ACMASpaceaftertable"/>
        <w:rPr>
          <w:i/>
          <w:sz w:val="16"/>
          <w:szCs w:val="16"/>
        </w:rPr>
      </w:pPr>
    </w:p>
    <w:p w14:paraId="249928F9" w14:textId="77777777" w:rsidR="00A2339C" w:rsidRPr="00FD7E86" w:rsidRDefault="00A2339C" w:rsidP="00314FB5">
      <w:bookmarkStart w:id="439" w:name="_Toc371589049"/>
      <w:bookmarkStart w:id="440" w:name="_Toc373149111"/>
      <w:r w:rsidRPr="00FD7E86">
        <w:t>Compensation payments totalled $5.85 million for 2014–15, compared to a total of $8.08 million during 2013–14—a decrease of 27.6 per cent.</w:t>
      </w:r>
    </w:p>
    <w:p w14:paraId="22C5A1AA" w14:textId="77777777" w:rsidR="00A2339C" w:rsidRPr="00FD7E86" w:rsidRDefault="00A2339C" w:rsidP="00DD750B">
      <w:pPr>
        <w:pStyle w:val="ACMAHeading2"/>
      </w:pPr>
      <w:bookmarkStart w:id="441" w:name="_Toc399331789"/>
      <w:bookmarkStart w:id="442" w:name="_Toc399336970"/>
      <w:bookmarkStart w:id="443" w:name="_Toc402337571"/>
      <w:bookmarkStart w:id="444" w:name="_Toc433790416"/>
      <w:bookmarkEnd w:id="439"/>
      <w:bookmarkEnd w:id="440"/>
      <w:r w:rsidRPr="00FD7E86">
        <w:lastRenderedPageBreak/>
        <w:t>Exemptions from the CSG Standard</w:t>
      </w:r>
      <w:bookmarkEnd w:id="441"/>
      <w:bookmarkEnd w:id="442"/>
      <w:bookmarkEnd w:id="443"/>
      <w:bookmarkEnd w:id="444"/>
    </w:p>
    <w:p w14:paraId="12D7BBFF" w14:textId="77777777" w:rsidR="00A2339C" w:rsidRPr="00FD7E86" w:rsidRDefault="00A2339C" w:rsidP="00314FB5">
      <w:r w:rsidRPr="00FD7E86">
        <w:t>During periods when circumstances beyond a CSP’s control affect its ability to comply with the CSG Standard, the CSP may claim an exemption from compliance with the CSG Standard. Similarly, a CSP may also claim an exemption if there is a need to move staff or equipment to an area affected by circumstances beyond its control. Many exemptions are the result of extreme weather events or natural disasters. The number of exemptions for the major CSPs for 2014–15 are shown in</w:t>
      </w:r>
      <w:r w:rsidR="00045BDA" w:rsidRPr="00FD7E86">
        <w:t xml:space="preserve"> Table 5.9</w:t>
      </w:r>
      <w:r w:rsidRPr="00FD7E86">
        <w:t>.</w:t>
      </w:r>
    </w:p>
    <w:p w14:paraId="7953D2D1" w14:textId="77777777" w:rsidR="00A2339C" w:rsidRPr="00FD7E86" w:rsidRDefault="00A2339C" w:rsidP="00314FB5">
      <w:r w:rsidRPr="00FD7E86">
        <w:t xml:space="preserve">A total of </w:t>
      </w:r>
      <w:r w:rsidR="002D5A69" w:rsidRPr="00FD7E86">
        <w:t xml:space="preserve">317 </w:t>
      </w:r>
      <w:r w:rsidRPr="00FD7E86">
        <w:t xml:space="preserve">exemptions were claimed by the major CSPs in 2014–15. This is </w:t>
      </w:r>
      <w:r w:rsidR="002D5A69" w:rsidRPr="00FD7E86">
        <w:t>36</w:t>
      </w:r>
      <w:r w:rsidRPr="00FD7E86">
        <w:t xml:space="preserve"> per cent more than the 234 exemptions claimed in 2013–14. The median duration for which CSG exemptions applied increased in 2014–15 (34 days) compared to 2013–14 (26</w:t>
      </w:r>
      <w:r w:rsidR="00917C71" w:rsidRPr="00FD7E86">
        <w:t xml:space="preserve"> </w:t>
      </w:r>
      <w:r w:rsidRPr="00FD7E86">
        <w:t>days).</w:t>
      </w:r>
    </w:p>
    <w:p w14:paraId="1FCB8A13" w14:textId="77777777" w:rsidR="00A2339C" w:rsidRPr="00FD7E86" w:rsidRDefault="00DD750B" w:rsidP="00DD750B">
      <w:pPr>
        <w:pStyle w:val="ACMATableHeader"/>
        <w:numPr>
          <w:ilvl w:val="0"/>
          <w:numId w:val="0"/>
        </w:numPr>
      </w:pPr>
      <w:r w:rsidRPr="00FD7E86">
        <w:rPr>
          <w:rFonts w:cs="Arial"/>
        </w:rPr>
        <w:t xml:space="preserve">Table 5.9 </w:t>
      </w:r>
      <w:r w:rsidR="00A2339C" w:rsidRPr="00FD7E86">
        <w:rPr>
          <w:rFonts w:cs="Arial"/>
        </w:rPr>
        <w:t>Numbers of CSG exemptions for the major CSPs, 2014–15</w:t>
      </w:r>
    </w:p>
    <w:tbl>
      <w:tblPr>
        <w:tblStyle w:val="Commsreport2014-15TABLE"/>
        <w:tblW w:w="9429" w:type="dxa"/>
        <w:tblLayout w:type="fixed"/>
        <w:tblLook w:val="01E0" w:firstRow="1" w:lastRow="1" w:firstColumn="1" w:lastColumn="1" w:noHBand="0" w:noVBand="0"/>
        <w:tblCaption w:val="Table 5.9 Numbers of CSG exemptions for the major CSPs, 2014–15"/>
      </w:tblPr>
      <w:tblGrid>
        <w:gridCol w:w="928"/>
        <w:gridCol w:w="2267"/>
        <w:gridCol w:w="1558"/>
        <w:gridCol w:w="1558"/>
        <w:gridCol w:w="1558"/>
        <w:gridCol w:w="1560"/>
      </w:tblGrid>
      <w:tr w:rsidR="00A2339C" w:rsidRPr="00FD7E86" w14:paraId="3F3F21F3"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3216" w:type="dxa"/>
            <w:gridSpan w:val="2"/>
          </w:tcPr>
          <w:p w14:paraId="5E7CAEFA" w14:textId="77777777" w:rsidR="00A2339C" w:rsidRPr="007978CD" w:rsidRDefault="00A2339C" w:rsidP="003708BA">
            <w:pPr>
              <w:pStyle w:val="TableHeading"/>
              <w:keepNext/>
              <w:spacing w:before="120" w:after="120"/>
              <w:outlineLvl w:val="1"/>
              <w:rPr>
                <w:rFonts w:cs="Arial"/>
                <w:b/>
                <w:szCs w:val="18"/>
              </w:rPr>
            </w:pPr>
            <w:r w:rsidRPr="007978CD">
              <w:rPr>
                <w:rFonts w:cs="Arial"/>
                <w:b/>
                <w:szCs w:val="18"/>
              </w:rPr>
              <w:t>Reason for exemption</w:t>
            </w:r>
          </w:p>
        </w:tc>
        <w:tc>
          <w:tcPr>
            <w:tcW w:w="1568" w:type="dxa"/>
          </w:tcPr>
          <w:p w14:paraId="70518FDF" w14:textId="77777777" w:rsidR="00A2339C" w:rsidRPr="007978CD" w:rsidRDefault="00A2339C" w:rsidP="003708BA">
            <w:pPr>
              <w:pStyle w:val="TableHeading"/>
              <w:keepNext/>
              <w:spacing w:before="120" w:after="120"/>
              <w:ind w:right="307"/>
              <w:outlineLvl w:val="1"/>
              <w:cnfStyle w:val="100000000000" w:firstRow="1" w:lastRow="0" w:firstColumn="0" w:lastColumn="0" w:oddVBand="0" w:evenVBand="0" w:oddHBand="0" w:evenHBand="0" w:firstRowFirstColumn="0" w:firstRowLastColumn="0" w:lastRowFirstColumn="0" w:lastRowLastColumn="0"/>
              <w:rPr>
                <w:rFonts w:cs="Arial"/>
                <w:b/>
                <w:szCs w:val="18"/>
              </w:rPr>
            </w:pPr>
            <w:r w:rsidRPr="007978CD">
              <w:rPr>
                <w:rFonts w:cs="Arial"/>
                <w:b/>
                <w:szCs w:val="18"/>
              </w:rPr>
              <w:t>iiNet group</w:t>
            </w:r>
          </w:p>
        </w:tc>
        <w:tc>
          <w:tcPr>
            <w:tcW w:w="1568" w:type="dxa"/>
          </w:tcPr>
          <w:p w14:paraId="0409632A" w14:textId="77777777" w:rsidR="00A2339C" w:rsidRPr="007978CD" w:rsidRDefault="00A2339C" w:rsidP="003708BA">
            <w:pPr>
              <w:pStyle w:val="TableHeading"/>
              <w:keepNext/>
              <w:spacing w:before="120" w:after="120"/>
              <w:ind w:right="307"/>
              <w:outlineLvl w:val="1"/>
              <w:cnfStyle w:val="100000000000" w:firstRow="1" w:lastRow="0" w:firstColumn="0" w:lastColumn="0" w:oddVBand="0" w:evenVBand="0" w:oddHBand="0" w:evenHBand="0" w:firstRowFirstColumn="0" w:firstRowLastColumn="0" w:lastRowFirstColumn="0" w:lastRowLastColumn="0"/>
              <w:rPr>
                <w:rFonts w:cs="Arial"/>
                <w:b/>
                <w:szCs w:val="18"/>
              </w:rPr>
            </w:pPr>
            <w:r w:rsidRPr="007978CD">
              <w:rPr>
                <w:rFonts w:cs="Arial"/>
                <w:b/>
                <w:szCs w:val="18"/>
              </w:rPr>
              <w:t>Optus</w:t>
            </w:r>
          </w:p>
        </w:tc>
        <w:tc>
          <w:tcPr>
            <w:tcW w:w="1568" w:type="dxa"/>
          </w:tcPr>
          <w:p w14:paraId="772DED30" w14:textId="77777777" w:rsidR="00A2339C" w:rsidRPr="007978CD" w:rsidRDefault="00A2339C" w:rsidP="003708BA">
            <w:pPr>
              <w:pStyle w:val="TableHeading"/>
              <w:keepNext/>
              <w:spacing w:before="120" w:after="120"/>
              <w:ind w:left="-113" w:right="307"/>
              <w:outlineLvl w:val="1"/>
              <w:cnfStyle w:val="100000000000" w:firstRow="1" w:lastRow="0" w:firstColumn="0" w:lastColumn="0" w:oddVBand="0" w:evenVBand="0" w:oddHBand="0" w:evenHBand="0" w:firstRowFirstColumn="0" w:firstRowLastColumn="0" w:lastRowFirstColumn="0" w:lastRowLastColumn="0"/>
              <w:rPr>
                <w:rFonts w:cs="Arial"/>
                <w:b/>
                <w:szCs w:val="18"/>
              </w:rPr>
            </w:pPr>
            <w:r w:rsidRPr="007978CD">
              <w:rPr>
                <w:rFonts w:cs="Arial"/>
                <w:b/>
                <w:szCs w:val="18"/>
              </w:rPr>
              <w:t>Telstra</w:t>
            </w:r>
          </w:p>
        </w:tc>
        <w:tc>
          <w:tcPr>
            <w:tcW w:w="1570" w:type="dxa"/>
          </w:tcPr>
          <w:p w14:paraId="37F14DB6" w14:textId="77777777" w:rsidR="00A2339C" w:rsidRPr="007978CD" w:rsidRDefault="00A2339C" w:rsidP="003708BA">
            <w:pPr>
              <w:pStyle w:val="TableHeading"/>
              <w:keepNext/>
              <w:spacing w:before="120" w:after="120"/>
              <w:ind w:left="131" w:right="307"/>
              <w:outlineLvl w:val="1"/>
              <w:cnfStyle w:val="100000000000" w:firstRow="1" w:lastRow="0" w:firstColumn="0" w:lastColumn="0" w:oddVBand="0" w:evenVBand="0" w:oddHBand="0" w:evenHBand="0" w:firstRowFirstColumn="0" w:firstRowLastColumn="0" w:lastRowFirstColumn="0" w:lastRowLastColumn="0"/>
              <w:rPr>
                <w:rFonts w:cs="Arial"/>
                <w:b/>
                <w:szCs w:val="18"/>
              </w:rPr>
            </w:pPr>
            <w:r w:rsidRPr="007978CD">
              <w:rPr>
                <w:rFonts w:cs="Arial"/>
                <w:b/>
                <w:szCs w:val="18"/>
              </w:rPr>
              <w:t>M2Group*</w:t>
            </w:r>
          </w:p>
        </w:tc>
      </w:tr>
      <w:tr w:rsidR="00A2339C" w:rsidRPr="00FD7E86" w14:paraId="704ABAA4"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34" w:type="dxa"/>
            <w:tcBorders>
              <w:right w:val="nil"/>
            </w:tcBorders>
          </w:tcPr>
          <w:p w14:paraId="74063127" w14:textId="77777777" w:rsidR="00A2339C" w:rsidRPr="00FD7E86" w:rsidRDefault="00A2339C" w:rsidP="003708BA">
            <w:pPr>
              <w:keepNext/>
              <w:spacing w:before="120" w:after="120"/>
              <w:outlineLvl w:val="1"/>
              <w:rPr>
                <w:rFonts w:cs="Arial"/>
                <w:noProof/>
                <w:szCs w:val="18"/>
              </w:rPr>
            </w:pPr>
            <w:r w:rsidRPr="00FD7E86">
              <w:rPr>
                <w:rFonts w:cs="Arial"/>
                <w:noProof/>
                <w:szCs w:val="18"/>
              </w:rPr>
              <w:drawing>
                <wp:inline distT="0" distB="0" distL="0" distR="0" wp14:anchorId="46FA455E" wp14:editId="4DAA87C7">
                  <wp:extent cx="318163" cy="324000"/>
                  <wp:effectExtent l="0" t="0" r="5715" b="0"/>
                  <wp:docPr id="81" name="Picture 81"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con-19.png"/>
                          <pic:cNvPicPr/>
                        </pic:nvPicPr>
                        <pic:blipFill>
                          <a:blip r:embed="rId120">
                            <a:extLst>
                              <a:ext uri="{28A0092B-C50C-407E-A947-70E740481C1C}">
                                <a14:useLocalDpi xmlns:a14="http://schemas.microsoft.com/office/drawing/2010/main" val="0"/>
                              </a:ext>
                            </a:extLst>
                          </a:blip>
                          <a:stretch>
                            <a:fillRect/>
                          </a:stretch>
                        </pic:blipFill>
                        <pic:spPr>
                          <a:xfrm>
                            <a:off x="0" y="0"/>
                            <a:ext cx="318163" cy="324000"/>
                          </a:xfrm>
                          <a:prstGeom prst="rect">
                            <a:avLst/>
                          </a:prstGeom>
                        </pic:spPr>
                      </pic:pic>
                    </a:graphicData>
                  </a:graphic>
                </wp:inline>
              </w:drawing>
            </w:r>
          </w:p>
        </w:tc>
        <w:tc>
          <w:tcPr>
            <w:tcW w:w="2282" w:type="dxa"/>
            <w:tcBorders>
              <w:left w:val="nil"/>
            </w:tcBorders>
            <w:shd w:val="clear" w:color="auto" w:fill="65CDD5" w:themeFill="accent2"/>
          </w:tcPr>
          <w:p w14:paraId="2C98A91E" w14:textId="77777777" w:rsidR="00A2339C" w:rsidRPr="00EE0E5F" w:rsidRDefault="00A2339C" w:rsidP="00E41B62">
            <w:pPr>
              <w:keepNext/>
              <w:spacing w:before="120" w:after="120"/>
              <w:outlineLvl w:val="1"/>
              <w:cnfStyle w:val="000000000000" w:firstRow="0" w:lastRow="0" w:firstColumn="0" w:lastColumn="0" w:oddVBand="0" w:evenVBand="0" w:oddHBand="0" w:evenHBand="0" w:firstRowFirstColumn="0" w:firstRowLastColumn="0" w:lastRowFirstColumn="0" w:lastRowLastColumn="0"/>
              <w:rPr>
                <w:rFonts w:cs="Arial"/>
                <w:b/>
                <w:szCs w:val="18"/>
              </w:rPr>
            </w:pPr>
            <w:r w:rsidRPr="00EE0E5F">
              <w:rPr>
                <w:rFonts w:cs="Arial"/>
                <w:b/>
                <w:szCs w:val="18"/>
              </w:rPr>
              <w:t>Extreme weather conditions</w:t>
            </w:r>
          </w:p>
        </w:tc>
        <w:tc>
          <w:tcPr>
            <w:tcW w:w="1568" w:type="dxa"/>
          </w:tcPr>
          <w:p w14:paraId="779CB8CA"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73</w:t>
            </w:r>
          </w:p>
        </w:tc>
        <w:tc>
          <w:tcPr>
            <w:tcW w:w="1568" w:type="dxa"/>
          </w:tcPr>
          <w:p w14:paraId="526A15DE"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71</w:t>
            </w:r>
          </w:p>
        </w:tc>
        <w:tc>
          <w:tcPr>
            <w:tcW w:w="1568" w:type="dxa"/>
          </w:tcPr>
          <w:p w14:paraId="4AD5C27C" w14:textId="77777777" w:rsidR="00A2339C" w:rsidRPr="00FD7E86" w:rsidRDefault="00A2339C" w:rsidP="003708BA">
            <w:pPr>
              <w:keepNext/>
              <w:spacing w:before="120" w:after="120"/>
              <w:ind w:left="-113"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69</w:t>
            </w:r>
          </w:p>
        </w:tc>
        <w:tc>
          <w:tcPr>
            <w:tcW w:w="1570" w:type="dxa"/>
          </w:tcPr>
          <w:p w14:paraId="0592EAEA"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69</w:t>
            </w:r>
          </w:p>
        </w:tc>
      </w:tr>
      <w:tr w:rsidR="00A2339C" w:rsidRPr="00FD7E86" w14:paraId="7049B6F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34" w:type="dxa"/>
            <w:tcBorders>
              <w:right w:val="nil"/>
            </w:tcBorders>
          </w:tcPr>
          <w:p w14:paraId="7DE72926" w14:textId="77777777" w:rsidR="00A2339C" w:rsidRPr="00FD7E86" w:rsidRDefault="00A2339C" w:rsidP="003708BA">
            <w:pPr>
              <w:keepNext/>
              <w:spacing w:before="120" w:after="120"/>
              <w:outlineLvl w:val="1"/>
              <w:rPr>
                <w:rFonts w:cs="Arial"/>
                <w:noProof/>
                <w:spacing w:val="-28"/>
                <w:szCs w:val="18"/>
              </w:rPr>
            </w:pPr>
            <w:r w:rsidRPr="00FD7E86">
              <w:rPr>
                <w:rFonts w:cs="Arial"/>
                <w:noProof/>
                <w:spacing w:val="-28"/>
                <w:szCs w:val="18"/>
              </w:rPr>
              <w:drawing>
                <wp:inline distT="0" distB="0" distL="0" distR="0" wp14:anchorId="6E3CF7B3" wp14:editId="2227C465">
                  <wp:extent cx="324000" cy="324000"/>
                  <wp:effectExtent l="0" t="0" r="0" b="0"/>
                  <wp:docPr id="82" name="Picture 82"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con-18.png"/>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324000" cy="324000"/>
                          </a:xfrm>
                          <a:prstGeom prst="rect">
                            <a:avLst/>
                          </a:prstGeom>
                        </pic:spPr>
                      </pic:pic>
                    </a:graphicData>
                  </a:graphic>
                </wp:inline>
              </w:drawing>
            </w:r>
          </w:p>
        </w:tc>
        <w:tc>
          <w:tcPr>
            <w:tcW w:w="2282" w:type="dxa"/>
            <w:tcBorders>
              <w:left w:val="nil"/>
            </w:tcBorders>
            <w:shd w:val="clear" w:color="auto" w:fill="65CDD5" w:themeFill="accent2"/>
          </w:tcPr>
          <w:p w14:paraId="28229583" w14:textId="77777777" w:rsidR="00A2339C" w:rsidRPr="00EE0E5F" w:rsidRDefault="00A2339C" w:rsidP="00E41B62">
            <w:pPr>
              <w:keepNext/>
              <w:spacing w:before="120" w:after="120"/>
              <w:outlineLvl w:val="1"/>
              <w:cnfStyle w:val="000000000000" w:firstRow="0" w:lastRow="0" w:firstColumn="0" w:lastColumn="0" w:oddVBand="0" w:evenVBand="0" w:oddHBand="0" w:evenHBand="0" w:firstRowFirstColumn="0" w:firstRowLastColumn="0" w:lastRowFirstColumn="0" w:lastRowLastColumn="0"/>
              <w:rPr>
                <w:rFonts w:cs="Arial"/>
                <w:b/>
                <w:spacing w:val="-28"/>
                <w:szCs w:val="18"/>
              </w:rPr>
            </w:pPr>
            <w:r w:rsidRPr="00EE0E5F">
              <w:rPr>
                <w:rFonts w:cs="Arial"/>
                <w:b/>
                <w:szCs w:val="18"/>
              </w:rPr>
              <w:t>Natural disasters</w:t>
            </w:r>
          </w:p>
        </w:tc>
        <w:tc>
          <w:tcPr>
            <w:tcW w:w="1568" w:type="dxa"/>
          </w:tcPr>
          <w:p w14:paraId="51CE7C0F"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w:t>
            </w:r>
          </w:p>
        </w:tc>
        <w:tc>
          <w:tcPr>
            <w:tcW w:w="1568" w:type="dxa"/>
          </w:tcPr>
          <w:p w14:paraId="797A3180"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w:t>
            </w:r>
          </w:p>
        </w:tc>
        <w:tc>
          <w:tcPr>
            <w:tcW w:w="1568" w:type="dxa"/>
          </w:tcPr>
          <w:p w14:paraId="5FC9E479" w14:textId="77777777" w:rsidR="00A2339C" w:rsidRPr="00FD7E86" w:rsidRDefault="00A2339C" w:rsidP="003708BA">
            <w:pPr>
              <w:keepNext/>
              <w:spacing w:before="120" w:after="120"/>
              <w:ind w:left="-113"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2</w:t>
            </w:r>
          </w:p>
        </w:tc>
        <w:tc>
          <w:tcPr>
            <w:tcW w:w="1570" w:type="dxa"/>
          </w:tcPr>
          <w:p w14:paraId="5F4EE23A"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color w:val="000000"/>
                <w:szCs w:val="18"/>
              </w:rPr>
              <w:t>1</w:t>
            </w:r>
          </w:p>
        </w:tc>
      </w:tr>
      <w:tr w:rsidR="00A2339C" w:rsidRPr="00FD7E86" w14:paraId="0186BFE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34" w:type="dxa"/>
            <w:tcBorders>
              <w:right w:val="nil"/>
            </w:tcBorders>
          </w:tcPr>
          <w:p w14:paraId="56FD1126" w14:textId="77777777" w:rsidR="00A2339C" w:rsidRPr="00FD7E86" w:rsidRDefault="00A2339C" w:rsidP="003708BA">
            <w:pPr>
              <w:keepNext/>
              <w:spacing w:before="120" w:after="120"/>
              <w:outlineLvl w:val="1"/>
              <w:rPr>
                <w:rFonts w:cs="Arial"/>
                <w:noProof/>
                <w:szCs w:val="18"/>
              </w:rPr>
            </w:pPr>
            <w:r w:rsidRPr="00FD7E86">
              <w:rPr>
                <w:rFonts w:cs="Arial"/>
                <w:noProof/>
                <w:szCs w:val="18"/>
              </w:rPr>
              <w:drawing>
                <wp:inline distT="0" distB="0" distL="0" distR="0" wp14:anchorId="39BF4EB3" wp14:editId="6AA62E21">
                  <wp:extent cx="318238" cy="324000"/>
                  <wp:effectExtent l="0" t="0" r="5715" b="0"/>
                  <wp:docPr id="84" name="Picture 84" descr="icon, 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SG - Other.png"/>
                          <pic:cNvPicPr/>
                        </pic:nvPicPr>
                        <pic:blipFill>
                          <a:blip r:embed="rId122">
                            <a:extLst>
                              <a:ext uri="{28A0092B-C50C-407E-A947-70E740481C1C}">
                                <a14:useLocalDpi xmlns:a14="http://schemas.microsoft.com/office/drawing/2010/main" val="0"/>
                              </a:ext>
                            </a:extLst>
                          </a:blip>
                          <a:stretch>
                            <a:fillRect/>
                          </a:stretch>
                        </pic:blipFill>
                        <pic:spPr>
                          <a:xfrm>
                            <a:off x="0" y="0"/>
                            <a:ext cx="318238" cy="324000"/>
                          </a:xfrm>
                          <a:prstGeom prst="rect">
                            <a:avLst/>
                          </a:prstGeom>
                        </pic:spPr>
                      </pic:pic>
                    </a:graphicData>
                  </a:graphic>
                </wp:inline>
              </w:drawing>
            </w:r>
          </w:p>
        </w:tc>
        <w:tc>
          <w:tcPr>
            <w:tcW w:w="2282" w:type="dxa"/>
            <w:tcBorders>
              <w:left w:val="nil"/>
              <w:bottom w:val="single" w:sz="24" w:space="0" w:color="FFFFFF" w:themeColor="background1"/>
            </w:tcBorders>
            <w:shd w:val="clear" w:color="auto" w:fill="65CDD5" w:themeFill="accent2"/>
          </w:tcPr>
          <w:p w14:paraId="4587BC8A" w14:textId="77777777" w:rsidR="00A2339C" w:rsidRPr="00EE0E5F" w:rsidRDefault="00A2339C" w:rsidP="00E41B62">
            <w:pPr>
              <w:keepNext/>
              <w:spacing w:before="120" w:after="120"/>
              <w:outlineLvl w:val="1"/>
              <w:cnfStyle w:val="000000000000" w:firstRow="0" w:lastRow="0" w:firstColumn="0" w:lastColumn="0" w:oddVBand="0" w:evenVBand="0" w:oddHBand="0" w:evenHBand="0" w:firstRowFirstColumn="0" w:firstRowLastColumn="0" w:lastRowFirstColumn="0" w:lastRowLastColumn="0"/>
              <w:rPr>
                <w:rFonts w:cs="Arial"/>
                <w:b/>
                <w:szCs w:val="18"/>
              </w:rPr>
            </w:pPr>
            <w:r w:rsidRPr="00EE0E5F">
              <w:rPr>
                <w:rFonts w:cs="Arial"/>
                <w:b/>
                <w:szCs w:val="18"/>
              </w:rPr>
              <w:t>Other</w:t>
            </w:r>
          </w:p>
        </w:tc>
        <w:tc>
          <w:tcPr>
            <w:tcW w:w="1568" w:type="dxa"/>
          </w:tcPr>
          <w:p w14:paraId="0358DCE4"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Cs/>
                <w:color w:val="000000"/>
                <w:szCs w:val="18"/>
              </w:rPr>
            </w:pPr>
            <w:r w:rsidRPr="00FD7E86">
              <w:rPr>
                <w:rFonts w:cs="Arial"/>
                <w:bCs/>
                <w:color w:val="000000"/>
                <w:szCs w:val="18"/>
              </w:rPr>
              <w:t>6</w:t>
            </w:r>
          </w:p>
        </w:tc>
        <w:tc>
          <w:tcPr>
            <w:tcW w:w="1568" w:type="dxa"/>
          </w:tcPr>
          <w:p w14:paraId="031ED9BE"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Cs/>
                <w:color w:val="000000"/>
                <w:szCs w:val="18"/>
              </w:rPr>
            </w:pPr>
            <w:r w:rsidRPr="00FD7E86">
              <w:rPr>
                <w:rFonts w:cs="Arial"/>
                <w:bCs/>
                <w:color w:val="000000"/>
                <w:szCs w:val="18"/>
              </w:rPr>
              <w:t>7</w:t>
            </w:r>
          </w:p>
        </w:tc>
        <w:tc>
          <w:tcPr>
            <w:tcW w:w="1568" w:type="dxa"/>
          </w:tcPr>
          <w:p w14:paraId="5194095E" w14:textId="77777777" w:rsidR="00A2339C" w:rsidRPr="00FD7E86" w:rsidRDefault="00A2339C" w:rsidP="003708BA">
            <w:pPr>
              <w:keepNext/>
              <w:spacing w:before="120" w:after="120"/>
              <w:ind w:left="-113" w:right="307"/>
              <w:outlineLvl w:val="1"/>
              <w:cnfStyle w:val="000000000000" w:firstRow="0" w:lastRow="0" w:firstColumn="0" w:lastColumn="0" w:oddVBand="0" w:evenVBand="0" w:oddHBand="0" w:evenHBand="0" w:firstRowFirstColumn="0" w:firstRowLastColumn="0" w:lastRowFirstColumn="0" w:lastRowLastColumn="0"/>
              <w:rPr>
                <w:rFonts w:cs="Arial"/>
                <w:bCs/>
                <w:color w:val="000000"/>
                <w:szCs w:val="18"/>
              </w:rPr>
            </w:pPr>
            <w:r w:rsidRPr="00FD7E86">
              <w:rPr>
                <w:rFonts w:cs="Arial"/>
                <w:bCs/>
                <w:color w:val="000000"/>
                <w:szCs w:val="18"/>
              </w:rPr>
              <w:t>9</w:t>
            </w:r>
          </w:p>
        </w:tc>
        <w:tc>
          <w:tcPr>
            <w:tcW w:w="1570" w:type="dxa"/>
          </w:tcPr>
          <w:p w14:paraId="37382F99" w14:textId="77777777" w:rsidR="00A2339C" w:rsidRPr="00FD7E86"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Cs/>
                <w:color w:val="000000"/>
                <w:szCs w:val="18"/>
              </w:rPr>
            </w:pPr>
            <w:r w:rsidRPr="00FD7E86">
              <w:rPr>
                <w:rFonts w:cs="Arial"/>
                <w:bCs/>
                <w:color w:val="000000"/>
                <w:szCs w:val="18"/>
              </w:rPr>
              <w:t>8</w:t>
            </w:r>
          </w:p>
        </w:tc>
      </w:tr>
      <w:tr w:rsidR="00A2339C" w:rsidRPr="00FD7E86" w14:paraId="7E4EA59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934" w:type="dxa"/>
            <w:tcBorders>
              <w:right w:val="nil"/>
            </w:tcBorders>
            <w:shd w:val="clear" w:color="auto" w:fill="65CDD5" w:themeFill="accent2"/>
          </w:tcPr>
          <w:p w14:paraId="297CA0B0" w14:textId="77777777" w:rsidR="00A2339C" w:rsidRPr="00FD7E86" w:rsidRDefault="00A2339C" w:rsidP="003708BA">
            <w:pPr>
              <w:keepNext/>
              <w:spacing w:before="120" w:after="120"/>
              <w:outlineLvl w:val="1"/>
              <w:rPr>
                <w:rFonts w:cs="Arial"/>
                <w:noProof/>
                <w:szCs w:val="18"/>
              </w:rPr>
            </w:pPr>
          </w:p>
        </w:tc>
        <w:tc>
          <w:tcPr>
            <w:tcW w:w="2282" w:type="dxa"/>
            <w:tcBorders>
              <w:left w:val="nil"/>
            </w:tcBorders>
            <w:shd w:val="clear" w:color="auto" w:fill="65CDD5" w:themeFill="accent2"/>
          </w:tcPr>
          <w:p w14:paraId="2D2D5A61" w14:textId="77777777" w:rsidR="00A2339C" w:rsidRPr="00EE0E5F" w:rsidRDefault="00A2339C" w:rsidP="00E41B62">
            <w:pPr>
              <w:keepNext/>
              <w:spacing w:before="120" w:after="120"/>
              <w:outlineLvl w:val="1"/>
              <w:cnfStyle w:val="000000000000" w:firstRow="0" w:lastRow="0" w:firstColumn="0" w:lastColumn="0" w:oddVBand="0" w:evenVBand="0" w:oddHBand="0" w:evenHBand="0" w:firstRowFirstColumn="0" w:firstRowLastColumn="0" w:lastRowFirstColumn="0" w:lastRowLastColumn="0"/>
              <w:rPr>
                <w:rFonts w:cs="Arial"/>
                <w:b/>
                <w:szCs w:val="18"/>
              </w:rPr>
            </w:pPr>
            <w:r w:rsidRPr="00EE0E5F">
              <w:rPr>
                <w:rFonts w:cs="Arial"/>
                <w:b/>
                <w:szCs w:val="18"/>
              </w:rPr>
              <w:t>Total</w:t>
            </w:r>
          </w:p>
        </w:tc>
        <w:tc>
          <w:tcPr>
            <w:tcW w:w="1568" w:type="dxa"/>
            <w:shd w:val="clear" w:color="auto" w:fill="65CDD5" w:themeFill="accent2"/>
          </w:tcPr>
          <w:p w14:paraId="3FF1036F" w14:textId="77777777" w:rsidR="00A2339C" w:rsidRPr="00EE0E5F"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
                <w:bCs/>
                <w:szCs w:val="18"/>
              </w:rPr>
            </w:pPr>
            <w:r w:rsidRPr="00EE0E5F">
              <w:rPr>
                <w:rFonts w:cs="Arial"/>
                <w:b/>
                <w:bCs/>
                <w:szCs w:val="18"/>
              </w:rPr>
              <w:t>80</w:t>
            </w:r>
          </w:p>
        </w:tc>
        <w:tc>
          <w:tcPr>
            <w:tcW w:w="1568" w:type="dxa"/>
            <w:shd w:val="clear" w:color="auto" w:fill="65CDD5" w:themeFill="accent2"/>
          </w:tcPr>
          <w:p w14:paraId="1C1D8065" w14:textId="77777777" w:rsidR="00A2339C" w:rsidRPr="00EE0E5F"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
                <w:bCs/>
                <w:szCs w:val="18"/>
              </w:rPr>
            </w:pPr>
            <w:r w:rsidRPr="00EE0E5F">
              <w:rPr>
                <w:rFonts w:cs="Arial"/>
                <w:b/>
                <w:bCs/>
                <w:szCs w:val="18"/>
              </w:rPr>
              <w:t>79</w:t>
            </w:r>
          </w:p>
        </w:tc>
        <w:tc>
          <w:tcPr>
            <w:tcW w:w="1568" w:type="dxa"/>
            <w:shd w:val="clear" w:color="auto" w:fill="65CDD5" w:themeFill="accent2"/>
          </w:tcPr>
          <w:p w14:paraId="32D3745D" w14:textId="77777777" w:rsidR="00A2339C" w:rsidRPr="00EE0E5F" w:rsidRDefault="00A2339C" w:rsidP="003708BA">
            <w:pPr>
              <w:keepNext/>
              <w:spacing w:before="120" w:after="120"/>
              <w:ind w:left="-113" w:right="307"/>
              <w:outlineLvl w:val="1"/>
              <w:cnfStyle w:val="000000000000" w:firstRow="0" w:lastRow="0" w:firstColumn="0" w:lastColumn="0" w:oddVBand="0" w:evenVBand="0" w:oddHBand="0" w:evenHBand="0" w:firstRowFirstColumn="0" w:firstRowLastColumn="0" w:lastRowFirstColumn="0" w:lastRowLastColumn="0"/>
              <w:rPr>
                <w:rFonts w:cs="Arial"/>
                <w:b/>
                <w:bCs/>
                <w:szCs w:val="18"/>
              </w:rPr>
            </w:pPr>
            <w:r w:rsidRPr="00EE0E5F">
              <w:rPr>
                <w:rFonts w:cs="Arial"/>
                <w:b/>
                <w:bCs/>
                <w:szCs w:val="18"/>
              </w:rPr>
              <w:t>80</w:t>
            </w:r>
          </w:p>
        </w:tc>
        <w:tc>
          <w:tcPr>
            <w:tcW w:w="1570" w:type="dxa"/>
            <w:shd w:val="clear" w:color="auto" w:fill="65CDD5" w:themeFill="accent2"/>
          </w:tcPr>
          <w:p w14:paraId="7523ED2C" w14:textId="77777777" w:rsidR="00A2339C" w:rsidRPr="00EE0E5F" w:rsidRDefault="00A2339C" w:rsidP="003708BA">
            <w:pPr>
              <w:keepNext/>
              <w:spacing w:before="120" w:after="120"/>
              <w:ind w:right="307"/>
              <w:outlineLvl w:val="1"/>
              <w:cnfStyle w:val="000000000000" w:firstRow="0" w:lastRow="0" w:firstColumn="0" w:lastColumn="0" w:oddVBand="0" w:evenVBand="0" w:oddHBand="0" w:evenHBand="0" w:firstRowFirstColumn="0" w:firstRowLastColumn="0" w:lastRowFirstColumn="0" w:lastRowLastColumn="0"/>
              <w:rPr>
                <w:rFonts w:cs="Arial"/>
                <w:b/>
                <w:bCs/>
                <w:szCs w:val="18"/>
              </w:rPr>
            </w:pPr>
            <w:r w:rsidRPr="00EE0E5F">
              <w:rPr>
                <w:rFonts w:cs="Arial"/>
                <w:b/>
                <w:bCs/>
                <w:szCs w:val="18"/>
              </w:rPr>
              <w:t>78</w:t>
            </w:r>
          </w:p>
        </w:tc>
      </w:tr>
    </w:tbl>
    <w:p w14:paraId="2A32C428" w14:textId="77777777" w:rsidR="00A2339C" w:rsidRPr="00FD7E86" w:rsidRDefault="00A2339C" w:rsidP="00A12C39">
      <w:pPr>
        <w:pStyle w:val="ACMANotes"/>
      </w:pPr>
      <w:r w:rsidRPr="00FD7E86">
        <w:t>*Exemption notifications for Primus, Dodo, Eftel, Commander, aaNet and Engin have been included in M2 Group notifications.</w:t>
      </w:r>
    </w:p>
    <w:p w14:paraId="789BFE95" w14:textId="77777777" w:rsidR="00A2339C" w:rsidRPr="00FD7E86" w:rsidRDefault="00A2339C" w:rsidP="00E450B7">
      <w:pPr>
        <w:pStyle w:val="ACMANotes"/>
      </w:pPr>
      <w:r w:rsidRPr="00FD7E86">
        <w:t>Source: CSP data.</w:t>
      </w:r>
    </w:p>
    <w:p w14:paraId="138281FC" w14:textId="77777777" w:rsidR="00E450B7" w:rsidRPr="00FD7E86" w:rsidRDefault="00E450B7" w:rsidP="00216D8C">
      <w:pPr>
        <w:pStyle w:val="ACMASpaceaftertable"/>
        <w:rPr>
          <w:i/>
          <w:sz w:val="16"/>
          <w:szCs w:val="16"/>
        </w:rPr>
      </w:pPr>
    </w:p>
    <w:p w14:paraId="10C14ABC" w14:textId="77777777" w:rsidR="00A2339C" w:rsidRPr="00FD7E86" w:rsidRDefault="001276AF" w:rsidP="000B3AFF">
      <w:pPr>
        <w:pStyle w:val="ACMAHeading1"/>
      </w:pPr>
      <w:bookmarkStart w:id="445" w:name="_Toc433790417"/>
      <w:r w:rsidRPr="00FD7E86">
        <w:t>5.5</w:t>
      </w:r>
      <w:r w:rsidRPr="00FD7E86">
        <w:tab/>
      </w:r>
      <w:r w:rsidRPr="00FD7E86">
        <w:tab/>
      </w:r>
      <w:r w:rsidR="00A2339C" w:rsidRPr="00FD7E86">
        <w:t>Network Reliability Framework (NRF)</w:t>
      </w:r>
      <w:bookmarkEnd w:id="445"/>
    </w:p>
    <w:p w14:paraId="625CCBE3" w14:textId="77777777" w:rsidR="00A2339C" w:rsidRPr="00FD7E86" w:rsidRDefault="00A2339C" w:rsidP="00A2339C">
      <w:pPr>
        <w:rPr>
          <w:rFonts w:cs="Arial"/>
        </w:rPr>
      </w:pPr>
      <w:r w:rsidRPr="00FD7E86">
        <w:rPr>
          <w:rFonts w:cs="Arial"/>
        </w:rPr>
        <w:t>The ACMA monitors the reliability of Telstra’s fixed-line telephone service network under the NRF. The NRF applies only to services that Telstra provides to its CSG Standard-eligible customers</w:t>
      </w:r>
      <w:r w:rsidR="00C6790A" w:rsidRPr="00FD7E86">
        <w:rPr>
          <w:rFonts w:cs="Arial"/>
        </w:rPr>
        <w:t xml:space="preserve">. </w:t>
      </w:r>
      <w:r w:rsidRPr="00FD7E86">
        <w:rPr>
          <w:rFonts w:cs="Arial"/>
        </w:rPr>
        <w:t>Telstra is required to report to the ACMA on the performance of its network and to fix poorly performing cable runs and individual services.</w:t>
      </w:r>
    </w:p>
    <w:p w14:paraId="1D06A925" w14:textId="77777777" w:rsidR="00A2339C" w:rsidRPr="00FD7E86" w:rsidRDefault="00A2339C" w:rsidP="00A2339C">
      <w:pPr>
        <w:spacing w:after="80"/>
        <w:rPr>
          <w:rFonts w:cs="Arial"/>
        </w:rPr>
      </w:pPr>
      <w:r w:rsidRPr="00FD7E86">
        <w:rPr>
          <w:rFonts w:cs="Arial"/>
        </w:rPr>
        <w:t>The NRF requires monitoring and/or remedying network reliability performance at three levels:</w:t>
      </w:r>
    </w:p>
    <w:p w14:paraId="2393B694" w14:textId="77777777" w:rsidR="00A2339C" w:rsidRPr="00FD7E86" w:rsidRDefault="00A2339C" w:rsidP="00A2339C">
      <w:pPr>
        <w:pStyle w:val="ListBullet"/>
        <w:rPr>
          <w:rFonts w:cs="Arial"/>
        </w:rPr>
      </w:pPr>
      <w:r w:rsidRPr="00FD7E86">
        <w:rPr>
          <w:rFonts w:cs="Arial"/>
        </w:rPr>
        <w:t>Level 1—national and geographical area level, based on Telstra’s 44 field service areas (FSAs)</w:t>
      </w:r>
    </w:p>
    <w:p w14:paraId="74CFFFD7" w14:textId="77777777" w:rsidR="00A2339C" w:rsidRPr="00FD7E86" w:rsidRDefault="00A2339C" w:rsidP="00A2339C">
      <w:pPr>
        <w:pStyle w:val="ListBullet"/>
        <w:rPr>
          <w:rFonts w:cs="Arial"/>
        </w:rPr>
      </w:pPr>
      <w:r w:rsidRPr="00FD7E86">
        <w:rPr>
          <w:rFonts w:cs="Arial"/>
        </w:rPr>
        <w:t>Level 2—local level, cable runs in disaggregated parts of the network</w:t>
      </w:r>
    </w:p>
    <w:p w14:paraId="6A96BE29" w14:textId="77777777" w:rsidR="00A2339C" w:rsidRPr="00FD7E86" w:rsidRDefault="00A2339C" w:rsidP="00314FB5">
      <w:pPr>
        <w:pStyle w:val="ListBulletLast"/>
      </w:pPr>
      <w:r w:rsidRPr="00FD7E86">
        <w:t>Level 3—individual service level that includes all Telstra services covered by the CSG</w:t>
      </w:r>
      <w:r w:rsidR="009272FE" w:rsidRPr="00FD7E86">
        <w:t xml:space="preserve"> </w:t>
      </w:r>
      <w:r w:rsidRPr="00FD7E86">
        <w:t>Standard.</w:t>
      </w:r>
    </w:p>
    <w:p w14:paraId="340A09D4" w14:textId="77777777" w:rsidR="00A2339C" w:rsidRPr="00FD7E86" w:rsidRDefault="00A2339C" w:rsidP="00314FB5">
      <w:r w:rsidRPr="00FD7E86">
        <w:t>Level 1 is designed to inform the public about overall network reliability performance. Under levels 2 and</w:t>
      </w:r>
      <w:r w:rsidR="00917C71" w:rsidRPr="00FD7E86">
        <w:t xml:space="preserve"> </w:t>
      </w:r>
      <w:r w:rsidRPr="00FD7E86">
        <w:t>3, Telstra is required to remediate poorly performing parts of its network as a priority.</w:t>
      </w:r>
    </w:p>
    <w:p w14:paraId="0027E92E" w14:textId="77777777" w:rsidR="00A2339C" w:rsidRPr="00FD7E86" w:rsidRDefault="00A2339C" w:rsidP="00DD750B">
      <w:pPr>
        <w:pStyle w:val="ACMAHeading2"/>
      </w:pPr>
      <w:bookmarkStart w:id="446" w:name="_Toc287540194"/>
      <w:bookmarkStart w:id="447" w:name="_Toc308517218"/>
      <w:bookmarkStart w:id="448" w:name="_Toc308523658"/>
      <w:bookmarkStart w:id="449" w:name="_Toc310326875"/>
      <w:bookmarkStart w:id="450" w:name="_Toc341428372"/>
      <w:bookmarkStart w:id="451" w:name="_Toc371589052"/>
      <w:bookmarkStart w:id="452" w:name="_Toc373149114"/>
      <w:bookmarkStart w:id="453" w:name="_Toc399331791"/>
      <w:bookmarkStart w:id="454" w:name="_Toc399336972"/>
      <w:bookmarkStart w:id="455" w:name="_Toc402337573"/>
      <w:bookmarkStart w:id="456" w:name="_Toc433790418"/>
      <w:r w:rsidRPr="00FD7E86">
        <w:t>Level 1—national and field service area performance</w:t>
      </w:r>
      <w:bookmarkEnd w:id="446"/>
      <w:bookmarkEnd w:id="447"/>
      <w:bookmarkEnd w:id="448"/>
      <w:bookmarkEnd w:id="449"/>
      <w:bookmarkEnd w:id="450"/>
      <w:bookmarkEnd w:id="451"/>
      <w:bookmarkEnd w:id="452"/>
      <w:bookmarkEnd w:id="453"/>
      <w:bookmarkEnd w:id="454"/>
      <w:bookmarkEnd w:id="455"/>
      <w:bookmarkEnd w:id="456"/>
    </w:p>
    <w:p w14:paraId="1629310D" w14:textId="77777777" w:rsidR="00A2339C" w:rsidRPr="00FD7E86" w:rsidRDefault="00A2339C" w:rsidP="00314FB5">
      <w:r w:rsidRPr="00FD7E86">
        <w:t xml:space="preserve">Telstra’s national performance data is presented in </w:t>
      </w:r>
      <w:r w:rsidR="008813F8" w:rsidRPr="00FD7E86">
        <w:t>Figure 5.</w:t>
      </w:r>
      <w:r w:rsidRPr="00FD7E86">
        <w:t>3. Level 1a shows the percentage of CSG Standard services that did not experience a fault during the month reported</w:t>
      </w:r>
      <w:r w:rsidR="00C6790A" w:rsidRPr="00FD7E86">
        <w:t xml:space="preserve">. </w:t>
      </w:r>
      <w:r w:rsidRPr="00FD7E86">
        <w:t>Level</w:t>
      </w:r>
      <w:r w:rsidR="00917C71" w:rsidRPr="00FD7E86">
        <w:t xml:space="preserve"> </w:t>
      </w:r>
      <w:r w:rsidRPr="00FD7E86">
        <w:t>1b shows the percentage of time in a month that CSG Standard services, on average, are available.</w:t>
      </w:r>
    </w:p>
    <w:p w14:paraId="454B8110" w14:textId="77777777" w:rsidR="00A2339C" w:rsidRPr="00FD7E86" w:rsidRDefault="00DD750B" w:rsidP="002B4947">
      <w:pPr>
        <w:pStyle w:val="ACMAFigureHeader"/>
        <w:keepNext/>
        <w:numPr>
          <w:ilvl w:val="0"/>
          <w:numId w:val="0"/>
        </w:numPr>
        <w:spacing w:after="240"/>
        <w:ind w:left="1021" w:hanging="1021"/>
      </w:pPr>
      <w:r w:rsidRPr="00FD7E86">
        <w:lastRenderedPageBreak/>
        <w:t xml:space="preserve">Figure 5.3 </w:t>
      </w:r>
      <w:r w:rsidR="00A2339C" w:rsidRPr="00FD7E86">
        <w:t>Telstra’s Level 1a and 1b performance, based on monthly reports (</w:t>
      </w:r>
      <w:r w:rsidR="00231AFB" w:rsidRPr="00FD7E86">
        <w:t>percentage</w:t>
      </w:r>
      <w:r w:rsidR="00A2339C" w:rsidRPr="00FD7E86">
        <w:t>)</w:t>
      </w:r>
    </w:p>
    <w:p w14:paraId="7CA313A3" w14:textId="77777777" w:rsidR="00A2339C" w:rsidRPr="00FD7E86" w:rsidRDefault="009E17F0" w:rsidP="00C05F4C">
      <w:pPr>
        <w:spacing w:after="0"/>
      </w:pPr>
      <w:r>
        <w:rPr>
          <w:noProof/>
        </w:rPr>
        <w:drawing>
          <wp:inline distT="0" distB="0" distL="0" distR="0" wp14:anchorId="2242EC50" wp14:editId="6438091D">
            <wp:extent cx="5939790" cy="3769360"/>
            <wp:effectExtent l="0" t="0" r="3810" b="2540"/>
            <wp:docPr id="89" name="Picture 89" descr="A .csv file of Figure 5.3 is available on the landing page ‘Communications report 2014–15’, available from the ACMA website. " title="Figure 5.3 Telstra’s Level 1a and 1b performance, based on monthly reports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Chapter 5_Figure 5.3.png"/>
                    <pic:cNvPicPr/>
                  </pic:nvPicPr>
                  <pic:blipFill>
                    <a:blip r:embed="rId123">
                      <a:extLst>
                        <a:ext uri="{28A0092B-C50C-407E-A947-70E740481C1C}">
                          <a14:useLocalDpi xmlns:a14="http://schemas.microsoft.com/office/drawing/2010/main" val="0"/>
                        </a:ext>
                      </a:extLst>
                    </a:blip>
                    <a:stretch>
                      <a:fillRect/>
                    </a:stretch>
                  </pic:blipFill>
                  <pic:spPr>
                    <a:xfrm>
                      <a:off x="0" y="0"/>
                      <a:ext cx="5939790" cy="3769360"/>
                    </a:xfrm>
                    <a:prstGeom prst="rect">
                      <a:avLst/>
                    </a:prstGeom>
                  </pic:spPr>
                </pic:pic>
              </a:graphicData>
            </a:graphic>
          </wp:inline>
        </w:drawing>
      </w:r>
    </w:p>
    <w:p w14:paraId="17355BEA" w14:textId="77777777" w:rsidR="00A2339C" w:rsidRPr="00FD7E86" w:rsidRDefault="00A2339C" w:rsidP="00A2339C">
      <w:pPr>
        <w:pStyle w:val="ACMANotes"/>
      </w:pPr>
      <w:r w:rsidRPr="00FD7E86">
        <w:t xml:space="preserve">Base: </w:t>
      </w:r>
      <w:r w:rsidR="003079D2" w:rsidRPr="00FD7E86">
        <w:t xml:space="preserve">Number </w:t>
      </w:r>
      <w:r w:rsidRPr="00FD7E86">
        <w:t>in each category.</w:t>
      </w:r>
    </w:p>
    <w:p w14:paraId="7513D1AF" w14:textId="77777777" w:rsidR="00A2339C" w:rsidRPr="00FD7E86" w:rsidRDefault="00A2339C" w:rsidP="00E450B7">
      <w:pPr>
        <w:pStyle w:val="ACMANotes"/>
      </w:pPr>
      <w:r w:rsidRPr="00FD7E86">
        <w:t>Source: ACMA, Telstra.</w:t>
      </w:r>
    </w:p>
    <w:p w14:paraId="146010D3" w14:textId="77777777" w:rsidR="00E450B7" w:rsidRPr="00FD7E86" w:rsidRDefault="00E450B7" w:rsidP="00216D8C">
      <w:pPr>
        <w:pStyle w:val="ACMASpaceaftertable"/>
        <w:rPr>
          <w:i/>
          <w:sz w:val="16"/>
          <w:szCs w:val="16"/>
        </w:rPr>
      </w:pPr>
    </w:p>
    <w:p w14:paraId="44723802" w14:textId="77777777" w:rsidR="00A2339C" w:rsidRPr="00FD7E86" w:rsidRDefault="00A2339C" w:rsidP="00314FB5">
      <w:r w:rsidRPr="00FD7E86">
        <w:t xml:space="preserve">Under Level 1a, FSAs in urban areas experienced a lower percentage of faults than those in non-urban areas. On average, 1.58 per cent of services experienced a fault in any given month in urban areas, compared to 1.73 per cent in non-urban areas. </w:t>
      </w:r>
      <w:r w:rsidR="00FA2BA1" w:rsidRPr="00FD7E86">
        <w:t xml:space="preserve">Figure </w:t>
      </w:r>
      <w:r w:rsidRPr="00FD7E86">
        <w:t>5.4 shows the seasonal nature of NRF Level 1a performance. It should be noted that small changes in this figure represent relatively large changes in the number of faults occurring on the network.</w:t>
      </w:r>
    </w:p>
    <w:p w14:paraId="6CDB77E5" w14:textId="77777777" w:rsidR="00A2339C" w:rsidRPr="00FD7E86" w:rsidRDefault="00A2339C" w:rsidP="00314FB5">
      <w:r w:rsidRPr="00FD7E86">
        <w:t>Level 1b measures the percentage of time in a month that services (on average) are available; that is, not awaiting repair. In 2014–15, services were available, on a monthly average, 99.80 per cent of the time (nationally), whereas in 2013–14 services were available, on a monthly average, 99.85 per cent of the time (nationally).</w:t>
      </w:r>
    </w:p>
    <w:p w14:paraId="3A937DDC" w14:textId="77777777" w:rsidR="00A2339C" w:rsidRDefault="00A2339C" w:rsidP="00314FB5">
      <w:r w:rsidRPr="00FD7E86">
        <w:t>The ACMA also uses data provided under Level 1 of the NRF to calculate the average time (in hours) for fault-affected CSG Standard services to be repaired for the month (Level 1c—</w:t>
      </w:r>
      <w:r w:rsidR="00FA2BA1" w:rsidRPr="00FD7E86">
        <w:t>Figure 5.</w:t>
      </w:r>
      <w:r w:rsidRPr="00FD7E86">
        <w:t>4). Level 1c measures the average number of hours Telstra took to restore fault-affected services in the month. While Level 1b takes into account all services, Level 1c only considers services that experienced a fault.</w:t>
      </w:r>
    </w:p>
    <w:p w14:paraId="47502987" w14:textId="77777777" w:rsidR="007978CD" w:rsidRPr="00FD7E86" w:rsidRDefault="007978CD" w:rsidP="00314FB5">
      <w:r w:rsidRPr="00FD7E86">
        <w:t>In terms of elapsed time, it took an average of 86 hours to restore services that had a fault in 2014–15 compared to an average of 71 hours in 2013–14. It took an average of 76 hours to restore fault-affected services in urban areas and 94 hours in non-urban areas in 2014–15. This is compared to 64 hours to restore fault-affected services in urban areas and 79 hours</w:t>
      </w:r>
      <w:r>
        <w:t xml:space="preserve"> in non-urban areas in 2013–14.</w:t>
      </w:r>
    </w:p>
    <w:p w14:paraId="6955FA41" w14:textId="77777777" w:rsidR="00A2339C" w:rsidRPr="00FD7E86" w:rsidRDefault="00DD750B" w:rsidP="002B4947">
      <w:pPr>
        <w:pStyle w:val="ACMAFigureHeader"/>
        <w:keepNext/>
        <w:numPr>
          <w:ilvl w:val="0"/>
          <w:numId w:val="0"/>
        </w:numPr>
        <w:spacing w:after="240"/>
        <w:ind w:left="1021" w:hanging="1021"/>
      </w:pPr>
      <w:r w:rsidRPr="00FD7E86">
        <w:lastRenderedPageBreak/>
        <w:t xml:space="preserve">Figure 5.4 </w:t>
      </w:r>
      <w:r w:rsidR="00F001CA" w:rsidRPr="00FD7E86">
        <w:t>Level 1c</w:t>
      </w:r>
      <w:r w:rsidR="00A2339C" w:rsidRPr="00FD7E86">
        <w:t>—average time for Telstra to restore fault-affected services (hours)</w:t>
      </w:r>
    </w:p>
    <w:p w14:paraId="226E8421" w14:textId="77777777" w:rsidR="00A2339C" w:rsidRPr="00FD7E86" w:rsidRDefault="005651AF" w:rsidP="00C05F4C">
      <w:pPr>
        <w:pStyle w:val="Captionfigure"/>
        <w:numPr>
          <w:ilvl w:val="0"/>
          <w:numId w:val="0"/>
        </w:numPr>
        <w:spacing w:after="0"/>
      </w:pPr>
      <w:r w:rsidRPr="00FD7E86">
        <w:rPr>
          <w:noProof/>
        </w:rPr>
        <w:drawing>
          <wp:inline distT="0" distB="0" distL="0" distR="0" wp14:anchorId="03CC5019" wp14:editId="45B01314">
            <wp:extent cx="5939790" cy="3721735"/>
            <wp:effectExtent l="0" t="0" r="3810" b="0"/>
            <wp:docPr id="8" name="Picture 8" descr="A .csv file of Figure 5.4 is available on the landing page ‘Communications report 2014–15’, available from the ACMA website. " title="Figure 5.4 Level 1c—average time for Telstra to restore fault-affected services (h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hapter 5_Figure 5.4.png"/>
                    <pic:cNvPicPr/>
                  </pic:nvPicPr>
                  <pic:blipFill>
                    <a:blip r:embed="rId124">
                      <a:extLst>
                        <a:ext uri="{28A0092B-C50C-407E-A947-70E740481C1C}">
                          <a14:useLocalDpi xmlns:a14="http://schemas.microsoft.com/office/drawing/2010/main" val="0"/>
                        </a:ext>
                      </a:extLst>
                    </a:blip>
                    <a:stretch>
                      <a:fillRect/>
                    </a:stretch>
                  </pic:blipFill>
                  <pic:spPr>
                    <a:xfrm>
                      <a:off x="0" y="0"/>
                      <a:ext cx="5939790" cy="3721735"/>
                    </a:xfrm>
                    <a:prstGeom prst="rect">
                      <a:avLst/>
                    </a:prstGeom>
                  </pic:spPr>
                </pic:pic>
              </a:graphicData>
            </a:graphic>
          </wp:inline>
        </w:drawing>
      </w:r>
    </w:p>
    <w:p w14:paraId="04CFAAC7" w14:textId="77777777" w:rsidR="00A2339C" w:rsidRPr="00FD7E86" w:rsidRDefault="00A2339C" w:rsidP="00E450B7">
      <w:pPr>
        <w:pStyle w:val="ACMANotes"/>
      </w:pPr>
      <w:r w:rsidRPr="00FD7E86">
        <w:t>Source: ACMA, Telstra.</w:t>
      </w:r>
    </w:p>
    <w:p w14:paraId="2DD73E08" w14:textId="77777777" w:rsidR="00E450B7" w:rsidRPr="00FD7E86" w:rsidRDefault="00E450B7" w:rsidP="00216D8C">
      <w:pPr>
        <w:pStyle w:val="ACMASpaceaftertable"/>
        <w:rPr>
          <w:i/>
          <w:sz w:val="16"/>
          <w:szCs w:val="16"/>
        </w:rPr>
      </w:pPr>
    </w:p>
    <w:p w14:paraId="3573730D" w14:textId="77777777" w:rsidR="00A2339C" w:rsidRPr="00FD7E86" w:rsidRDefault="00A2339C" w:rsidP="007978CD">
      <w:pPr>
        <w:pStyle w:val="ACMAHeading2"/>
      </w:pPr>
      <w:bookmarkStart w:id="457" w:name="_Toc287540195"/>
      <w:bookmarkStart w:id="458" w:name="_Toc308517219"/>
      <w:bookmarkStart w:id="459" w:name="_Toc308523659"/>
      <w:bookmarkStart w:id="460" w:name="_Toc310326876"/>
      <w:bookmarkStart w:id="461" w:name="_Toc341428373"/>
      <w:bookmarkStart w:id="462" w:name="_Toc371589053"/>
      <w:bookmarkStart w:id="463" w:name="_Toc373149115"/>
      <w:bookmarkStart w:id="464" w:name="_Toc399331792"/>
      <w:bookmarkStart w:id="465" w:name="_Toc399336973"/>
      <w:bookmarkStart w:id="466" w:name="_Toc402337574"/>
      <w:bookmarkStart w:id="467" w:name="_Toc433790419"/>
      <w:r w:rsidRPr="00FD7E86">
        <w:t xml:space="preserve">Level 2—local cable run </w:t>
      </w:r>
      <w:bookmarkEnd w:id="457"/>
      <w:bookmarkEnd w:id="458"/>
      <w:bookmarkEnd w:id="459"/>
      <w:bookmarkEnd w:id="460"/>
      <w:bookmarkEnd w:id="461"/>
      <w:bookmarkEnd w:id="462"/>
      <w:bookmarkEnd w:id="463"/>
      <w:bookmarkEnd w:id="464"/>
      <w:bookmarkEnd w:id="465"/>
      <w:bookmarkEnd w:id="466"/>
      <w:r w:rsidRPr="00FD7E86">
        <w:t>remediation</w:t>
      </w:r>
      <w:bookmarkEnd w:id="467"/>
    </w:p>
    <w:p w14:paraId="291191C4" w14:textId="77777777" w:rsidR="00A2339C" w:rsidRPr="00FD7E86" w:rsidRDefault="00A2339C" w:rsidP="00314FB5">
      <w:bookmarkStart w:id="468" w:name="_Toc287540196"/>
      <w:bookmarkStart w:id="469" w:name="_Toc308517220"/>
      <w:bookmarkStart w:id="470" w:name="_Toc308523660"/>
      <w:bookmarkStart w:id="471" w:name="_Toc310326877"/>
      <w:bookmarkStart w:id="472" w:name="_Toc341428374"/>
      <w:bookmarkStart w:id="473" w:name="_Toc371589054"/>
      <w:bookmarkStart w:id="474" w:name="_Toc373149116"/>
      <w:r w:rsidRPr="00FD7E86">
        <w:t>Level 2 of the NRF requires Telstra to report on and undertake remediation work on the 40 poorest performing cable runs</w:t>
      </w:r>
      <w:r w:rsidR="00C6790A" w:rsidRPr="00FD7E86">
        <w:t>—</w:t>
      </w:r>
      <w:r w:rsidRPr="00FD7E86">
        <w:t>a set of 10 or 100 copper wire pairs within a physical cable sheath</w:t>
      </w:r>
      <w:r w:rsidR="00C6790A" w:rsidRPr="00FD7E86">
        <w:t>—</w:t>
      </w:r>
      <w:r w:rsidRPr="00FD7E86">
        <w:t xml:space="preserve">each month. </w:t>
      </w:r>
    </w:p>
    <w:p w14:paraId="2211D017" w14:textId="77777777" w:rsidR="00A2339C" w:rsidRPr="00FD7E86" w:rsidRDefault="00A2339C" w:rsidP="00314FB5">
      <w:r w:rsidRPr="00FD7E86">
        <w:t>During 2014–15, Telstra completed remediation and monitoring of 558 cable runs, some of which were identified for remediation in previous reporting periods. For the year, Telstra identified the required 480 cable runs to be remediated. Telstra also remediated an additional 417 cable runs associated with the reported cable runs. This number is slightly less than in 2013–14, when it remediated an additional 479 cable runs. Telstra estimated that remediation work undertaken as part of Level 2 of the NRF in 2014–15 improved the reliability of 26,607 services compared to the 32,238 services that benefited from remediation under Level 2 of the NRF in 2013–14.</w:t>
      </w:r>
    </w:p>
    <w:p w14:paraId="2068CB90" w14:textId="77777777" w:rsidR="00A2339C" w:rsidRPr="00FD7E86" w:rsidRDefault="00A2339C" w:rsidP="007978CD">
      <w:pPr>
        <w:pStyle w:val="ACMAHeading2"/>
      </w:pPr>
      <w:bookmarkStart w:id="475" w:name="_Toc399331793"/>
      <w:bookmarkStart w:id="476" w:name="_Toc399336974"/>
      <w:bookmarkStart w:id="477" w:name="_Toc402337575"/>
      <w:bookmarkStart w:id="478" w:name="_Toc433790420"/>
      <w:r w:rsidRPr="00FD7E86">
        <w:t>Level 3—individual service performance</w:t>
      </w:r>
      <w:bookmarkEnd w:id="468"/>
      <w:bookmarkEnd w:id="469"/>
      <w:bookmarkEnd w:id="470"/>
      <w:bookmarkEnd w:id="471"/>
      <w:bookmarkEnd w:id="472"/>
      <w:bookmarkEnd w:id="473"/>
      <w:bookmarkEnd w:id="474"/>
      <w:bookmarkEnd w:id="475"/>
      <w:bookmarkEnd w:id="476"/>
      <w:bookmarkEnd w:id="477"/>
      <w:bookmarkEnd w:id="478"/>
    </w:p>
    <w:p w14:paraId="6F56188B" w14:textId="77777777" w:rsidR="00A2339C" w:rsidRPr="00FD7E86" w:rsidRDefault="00A2339C" w:rsidP="00314FB5">
      <w:r w:rsidRPr="00FD7E86">
        <w:t>Telstra is required to take action to prevent an individual CSG Standard-eligible service from experiencing more than either three faults in a rolling 60-day period (NRF Level 3a) or four faults in a rolling 365-day period (NRF Level 3b).</w:t>
      </w:r>
    </w:p>
    <w:p w14:paraId="54F88667" w14:textId="77777777" w:rsidR="00A2339C" w:rsidRPr="00FD7E86" w:rsidRDefault="00A2339C" w:rsidP="00314FB5">
      <w:r w:rsidRPr="00FD7E86">
        <w:t>Telstra reports to the ACMA on any services that breach these thresholds, investigates the performance of the service</w:t>
      </w:r>
      <w:r w:rsidR="00C6790A" w:rsidRPr="00FD7E86">
        <w:t>,</w:t>
      </w:r>
      <w:r w:rsidRPr="00FD7E86">
        <w:t xml:space="preserve"> and then undertakes necessary remediation.</w:t>
      </w:r>
    </w:p>
    <w:p w14:paraId="5D490BA3" w14:textId="77777777" w:rsidR="00A2339C" w:rsidRPr="00FD7E86" w:rsidRDefault="00CE2CE7" w:rsidP="00314FB5">
      <w:r w:rsidRPr="00FD7E86">
        <w:t>Figure 5.</w:t>
      </w:r>
      <w:r w:rsidR="00A2339C" w:rsidRPr="00FD7E86">
        <w:t>5 shows that the number of services experiencing four or more faults in a rolling 60-day period (Level 3a) or five or more faults in a rolling 365-day period (Level 3b).</w:t>
      </w:r>
    </w:p>
    <w:p w14:paraId="56504D79" w14:textId="77777777" w:rsidR="00A2339C" w:rsidRPr="00FD7E86" w:rsidRDefault="00DD750B" w:rsidP="007978CD">
      <w:pPr>
        <w:pStyle w:val="ACMAFigureHeader"/>
        <w:keepNext/>
        <w:numPr>
          <w:ilvl w:val="0"/>
          <w:numId w:val="0"/>
        </w:numPr>
        <w:spacing w:after="240"/>
      </w:pPr>
      <w:r w:rsidRPr="00FD7E86">
        <w:lastRenderedPageBreak/>
        <w:t xml:space="preserve">Figure 5.5 </w:t>
      </w:r>
      <w:r w:rsidR="00A2339C" w:rsidRPr="00FD7E86">
        <w:t xml:space="preserve">Telstra CSG Standard services with four or more faults in a rolling 60-day period </w:t>
      </w:r>
      <w:r w:rsidR="003212C4">
        <w:br/>
      </w:r>
      <w:r w:rsidR="00A2339C" w:rsidRPr="00FD7E86">
        <w:t>(Level 3a) and with five or more faults in a rolling 365-day period (Level 3b)</w:t>
      </w:r>
      <w:r w:rsidR="00406ABA" w:rsidRPr="00FD7E86">
        <w:t xml:space="preserve"> </w:t>
      </w:r>
    </w:p>
    <w:p w14:paraId="61B8EBF4" w14:textId="77777777" w:rsidR="00A2339C" w:rsidRPr="00FD7E86" w:rsidRDefault="00A93770" w:rsidP="00C05F4C">
      <w:pPr>
        <w:pStyle w:val="Captionfigure"/>
        <w:numPr>
          <w:ilvl w:val="0"/>
          <w:numId w:val="0"/>
        </w:numPr>
        <w:spacing w:after="0"/>
      </w:pPr>
      <w:r>
        <w:rPr>
          <w:noProof/>
        </w:rPr>
        <w:drawing>
          <wp:inline distT="0" distB="0" distL="0" distR="0" wp14:anchorId="61AB0ED4" wp14:editId="51E48379">
            <wp:extent cx="5939790" cy="3710940"/>
            <wp:effectExtent l="0" t="0" r="3810" b="3810"/>
            <wp:docPr id="5" name="Picture 5" descr="A .csv file of Figure 5.5 is available on the landing page ‘Communications report 2014–15’, available from the ACMA website. " title="Figure 5.5 Telstra CSG Standard services with four or more faults in a rolling 60-day period (Level 3a) and with five or more faults in a rolling 365-day period (Level 3b)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hapter 5_Figure 5.5.png"/>
                    <pic:cNvPicPr/>
                  </pic:nvPicPr>
                  <pic:blipFill>
                    <a:blip r:embed="rId125">
                      <a:extLst>
                        <a:ext uri="{28A0092B-C50C-407E-A947-70E740481C1C}">
                          <a14:useLocalDpi xmlns:a14="http://schemas.microsoft.com/office/drawing/2010/main" val="0"/>
                        </a:ext>
                      </a:extLst>
                    </a:blip>
                    <a:stretch>
                      <a:fillRect/>
                    </a:stretch>
                  </pic:blipFill>
                  <pic:spPr>
                    <a:xfrm>
                      <a:off x="0" y="0"/>
                      <a:ext cx="5939790" cy="3710940"/>
                    </a:xfrm>
                    <a:prstGeom prst="rect">
                      <a:avLst/>
                    </a:prstGeom>
                  </pic:spPr>
                </pic:pic>
              </a:graphicData>
            </a:graphic>
          </wp:inline>
        </w:drawing>
      </w:r>
    </w:p>
    <w:p w14:paraId="0E40D70C" w14:textId="77777777" w:rsidR="00A2339C" w:rsidRPr="00FD7E86" w:rsidRDefault="00A2339C" w:rsidP="00A2339C">
      <w:pPr>
        <w:pStyle w:val="ACMANotes"/>
      </w:pPr>
      <w:r w:rsidRPr="00FD7E86">
        <w:t>Base: Number of services.</w:t>
      </w:r>
    </w:p>
    <w:p w14:paraId="68868DF2" w14:textId="77777777" w:rsidR="00A2339C" w:rsidRPr="00FD7E86" w:rsidRDefault="00A2339C" w:rsidP="00E450B7">
      <w:pPr>
        <w:pStyle w:val="ACMANotes"/>
      </w:pPr>
      <w:r w:rsidRPr="00FD7E86">
        <w:t>Source: Telstra.</w:t>
      </w:r>
    </w:p>
    <w:p w14:paraId="0D006BA9" w14:textId="77777777" w:rsidR="00E450B7" w:rsidRPr="00FD7E86" w:rsidRDefault="00E450B7" w:rsidP="00216D8C">
      <w:pPr>
        <w:pStyle w:val="ACMASpaceaftertable"/>
        <w:rPr>
          <w:i/>
          <w:sz w:val="16"/>
          <w:szCs w:val="16"/>
        </w:rPr>
      </w:pPr>
    </w:p>
    <w:p w14:paraId="642EF7B4" w14:textId="77777777" w:rsidR="00A2339C" w:rsidRPr="00FD7E86" w:rsidRDefault="00A2339C" w:rsidP="00314FB5">
      <w:r w:rsidRPr="00FD7E86">
        <w:t xml:space="preserve">Telstra has reported a slight increase in the number of services experiencing breaches of the 60-day threshold, </w:t>
      </w:r>
      <w:r w:rsidR="0092576F" w:rsidRPr="00FD7E86">
        <w:t>with</w:t>
      </w:r>
      <w:r w:rsidRPr="00FD7E86">
        <w:t xml:space="preserve"> 28 breaches per month (on average) and a total of 339 for the 2014–15 reporting period. In 2013–14, Telstra reported an average of 26 breaches per month and a total of 308 for the year.</w:t>
      </w:r>
    </w:p>
    <w:p w14:paraId="78E18EE7" w14:textId="77777777" w:rsidR="00A2339C" w:rsidRPr="00FD7E86" w:rsidRDefault="00A2339C" w:rsidP="00314FB5">
      <w:r w:rsidRPr="00FD7E86">
        <w:t>Telstra also reported a slight decrease in the number of services experiencing breaches of the 365-day threshold, with 178 breaches per month (on average) and a total of 2,141 for 2014–15</w:t>
      </w:r>
      <w:r w:rsidR="0092576F" w:rsidRPr="00FD7E86">
        <w:t>. This</w:t>
      </w:r>
      <w:r w:rsidRPr="00FD7E86">
        <w:t xml:space="preserve"> compare</w:t>
      </w:r>
      <w:r w:rsidR="0092576F" w:rsidRPr="00FD7E86">
        <w:t>s</w:t>
      </w:r>
      <w:r w:rsidRPr="00FD7E86">
        <w:t xml:space="preserve"> to 2013–14 </w:t>
      </w:r>
      <w:r w:rsidR="0092576F" w:rsidRPr="00FD7E86">
        <w:t>when</w:t>
      </w:r>
      <w:r w:rsidRPr="00FD7E86">
        <w:t>185 breaches per month (on average) and a total of 2,217 for the year</w:t>
      </w:r>
      <w:r w:rsidR="0092576F" w:rsidRPr="00FD7E86">
        <w:t xml:space="preserve"> were reported</w:t>
      </w:r>
      <w:r w:rsidRPr="00FD7E86">
        <w:t>.</w:t>
      </w:r>
    </w:p>
    <w:p w14:paraId="00341DF2" w14:textId="77777777" w:rsidR="00A2339C" w:rsidRPr="00FD7E86" w:rsidRDefault="00A2339C" w:rsidP="003212C4">
      <w:r w:rsidRPr="00FD7E86">
        <w:t xml:space="preserve">Telstra is required to remediate any service that breaches the fault thresholds and then monitor that service for an eight-month period. If a service experiences another fault </w:t>
      </w:r>
      <w:r w:rsidR="0092576F" w:rsidRPr="00FD7E86">
        <w:t xml:space="preserve">(known as a monitoring-period fault) </w:t>
      </w:r>
      <w:r w:rsidRPr="00FD7E86">
        <w:t xml:space="preserve">during the monitoring period, Telstra must report this to the ACMA together with an assessment of whether the fault is related or unrelated to the original fault(s) that caused the contravention. In 2014–15, Telstra reported 809 monitoring-period faults (across 633 individual services) and assessed 28 faults as related to the original contravention. This compares to 636 monitoring-period faults (across 558 individual services) reported and 22 faults assessed as related to the original convention in 2013–14. </w:t>
      </w:r>
    </w:p>
    <w:p w14:paraId="6A6D8149" w14:textId="77777777" w:rsidR="00A2339C" w:rsidRPr="00FD7E86" w:rsidRDefault="00A2339C" w:rsidP="00314FB5">
      <w:r w:rsidRPr="00FD7E86">
        <w:t>Additionally, each service reported under Level 3 is required to undergo remediation. Telstra is required to report to the ACMA on the expected date for completion of the remediation and to report quarterly any services where remediation has not been completed within the expected time frames. In 2014–15, Telstra reported 368 delays to remediation (that is, where remediation was not completed within the expected time frames), with an average reported delay to remediation of 152 days. Some services were reported as experiencing more than one delay.</w:t>
      </w:r>
    </w:p>
    <w:p w14:paraId="0605CC74" w14:textId="77777777" w:rsidR="00A2339C" w:rsidRPr="00FD7E86" w:rsidRDefault="001276AF" w:rsidP="000B3AFF">
      <w:pPr>
        <w:pStyle w:val="ACMAHeading1"/>
      </w:pPr>
      <w:bookmarkStart w:id="479" w:name="_Toc433790421"/>
      <w:r w:rsidRPr="00FD7E86">
        <w:lastRenderedPageBreak/>
        <w:t>5.6</w:t>
      </w:r>
      <w:r w:rsidRPr="00FD7E86">
        <w:tab/>
      </w:r>
      <w:r w:rsidRPr="00FD7E86">
        <w:tab/>
      </w:r>
      <w:r w:rsidR="00A2339C" w:rsidRPr="00FD7E86">
        <w:t>Priority assistance</w:t>
      </w:r>
      <w:bookmarkEnd w:id="479"/>
    </w:p>
    <w:p w14:paraId="27813477" w14:textId="77777777" w:rsidR="00A2339C" w:rsidRPr="00FD7E86" w:rsidRDefault="00A2339C" w:rsidP="00314FB5">
      <w:r w:rsidRPr="00FD7E86">
        <w:t xml:space="preserve">Priority assistance is a priority telephone connection and repair service for people with a diagnosed life-threatening medical condition, who are at risk of suffering a rapid and life-threatening deterioration in their condition. Telstra offers the service as a requirement of its carrier licence conditions. Other CSPs may offer priority assistance services but are not obliged by regulation to do so. In 2014–15, Primus was the only CSP to voluntarily offer priority assistance services in line with industry code ACIF: C609:2007 </w:t>
      </w:r>
      <w:r w:rsidRPr="00FD7E86">
        <w:rPr>
          <w:i/>
        </w:rPr>
        <w:t>Priority Assistance for Life Threatening Medical Conditions</w:t>
      </w:r>
      <w:r w:rsidRPr="00FD7E86">
        <w:t>.</w:t>
      </w:r>
    </w:p>
    <w:p w14:paraId="22C68728" w14:textId="77777777" w:rsidR="00A2339C" w:rsidRPr="00FD7E86" w:rsidRDefault="00A2339C" w:rsidP="00314FB5">
      <w:r w:rsidRPr="00FD7E86">
        <w:t>The number of priority assistance custome</w:t>
      </w:r>
      <w:r w:rsidR="00CE2CE7" w:rsidRPr="00FD7E86">
        <w:t>rs is presented in Table 5.10</w:t>
      </w:r>
      <w:r w:rsidRPr="00FD7E86">
        <w:t xml:space="preserve">. During 2014–15, the number of priority assistance customers decreased by 8.7 per cent. </w:t>
      </w:r>
      <w:r w:rsidR="0087438D" w:rsidRPr="00FD7E86">
        <w:t>Telstra is due to implement its new priority assistance policy in the first part of 2015-16</w:t>
      </w:r>
      <w:r w:rsidR="00F47D7C" w:rsidRPr="00FD7E86">
        <w:t>.</w:t>
      </w:r>
    </w:p>
    <w:p w14:paraId="353BDFC6" w14:textId="77777777" w:rsidR="00A2339C" w:rsidRPr="00FD7E86" w:rsidRDefault="00AA1747" w:rsidP="00AA1747">
      <w:pPr>
        <w:pStyle w:val="ACMATableHeader"/>
        <w:numPr>
          <w:ilvl w:val="0"/>
          <w:numId w:val="0"/>
        </w:numPr>
        <w:ind w:left="964" w:hanging="964"/>
      </w:pPr>
      <w:r w:rsidRPr="00FD7E86">
        <w:t xml:space="preserve">Table 5.10 </w:t>
      </w:r>
      <w:r w:rsidR="00A2339C" w:rsidRPr="00FD7E86">
        <w:t>Number of priority assistance customers, at 30 June</w:t>
      </w:r>
    </w:p>
    <w:tbl>
      <w:tblPr>
        <w:tblStyle w:val="Commsreport2014-15TABLE"/>
        <w:tblW w:w="9429" w:type="dxa"/>
        <w:tblLayout w:type="fixed"/>
        <w:tblLook w:val="01E0" w:firstRow="1" w:lastRow="1" w:firstColumn="1" w:lastColumn="1" w:noHBand="0" w:noVBand="0"/>
        <w:tblCaption w:val="Table 5.10 Number of priority assistance customers, at 30 June"/>
      </w:tblPr>
      <w:tblGrid>
        <w:gridCol w:w="2324"/>
        <w:gridCol w:w="1421"/>
        <w:gridCol w:w="1421"/>
        <w:gridCol w:w="1421"/>
        <w:gridCol w:w="1421"/>
        <w:gridCol w:w="1421"/>
      </w:tblGrid>
      <w:tr w:rsidR="00A2339C" w:rsidRPr="0021202A" w14:paraId="069978A3"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381" w:type="dxa"/>
            <w:shd w:val="clear" w:color="auto" w:fill="auto"/>
          </w:tcPr>
          <w:p w14:paraId="55048B64" w14:textId="77777777" w:rsidR="00A2339C" w:rsidRPr="0021202A" w:rsidRDefault="00A2339C" w:rsidP="0021202A">
            <w:pPr>
              <w:pStyle w:val="TableHeading"/>
              <w:spacing w:before="20"/>
              <w:jc w:val="center"/>
              <w:rPr>
                <w:b/>
              </w:rPr>
            </w:pPr>
          </w:p>
        </w:tc>
        <w:tc>
          <w:tcPr>
            <w:tcW w:w="1454" w:type="dxa"/>
          </w:tcPr>
          <w:p w14:paraId="2A645AB7" w14:textId="77777777" w:rsidR="00A2339C" w:rsidRPr="0021202A" w:rsidRDefault="00A2339C" w:rsidP="00231E53">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2011</w:t>
            </w:r>
          </w:p>
        </w:tc>
        <w:tc>
          <w:tcPr>
            <w:tcW w:w="1454" w:type="dxa"/>
          </w:tcPr>
          <w:p w14:paraId="66F8DAB9" w14:textId="77777777" w:rsidR="00A2339C" w:rsidRPr="0021202A" w:rsidRDefault="00A2339C" w:rsidP="00231E53">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2012</w:t>
            </w:r>
          </w:p>
        </w:tc>
        <w:tc>
          <w:tcPr>
            <w:tcW w:w="1454" w:type="dxa"/>
          </w:tcPr>
          <w:p w14:paraId="73EBC68B" w14:textId="77777777" w:rsidR="00A2339C" w:rsidRPr="0021202A" w:rsidRDefault="00A2339C" w:rsidP="00231E53">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2013</w:t>
            </w:r>
          </w:p>
        </w:tc>
        <w:tc>
          <w:tcPr>
            <w:tcW w:w="1454" w:type="dxa"/>
          </w:tcPr>
          <w:p w14:paraId="372CAC72" w14:textId="77777777" w:rsidR="00A2339C" w:rsidRPr="0021202A" w:rsidRDefault="00A2339C" w:rsidP="00231E53">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2014</w:t>
            </w:r>
          </w:p>
        </w:tc>
        <w:tc>
          <w:tcPr>
            <w:tcW w:w="1454" w:type="dxa"/>
          </w:tcPr>
          <w:p w14:paraId="47E06542" w14:textId="77777777" w:rsidR="00A2339C" w:rsidRPr="0021202A" w:rsidRDefault="00A2339C" w:rsidP="00231E53">
            <w:pPr>
              <w:pStyle w:val="TableHeading"/>
              <w:spacing w:before="20"/>
              <w:jc w:val="center"/>
              <w:cnfStyle w:val="100000000000" w:firstRow="1" w:lastRow="0" w:firstColumn="0" w:lastColumn="0" w:oddVBand="0" w:evenVBand="0" w:oddHBand="0" w:evenHBand="0" w:firstRowFirstColumn="0" w:firstRowLastColumn="0" w:lastRowFirstColumn="0" w:lastRowLastColumn="0"/>
              <w:rPr>
                <w:b/>
              </w:rPr>
            </w:pPr>
            <w:r w:rsidRPr="0021202A">
              <w:rPr>
                <w:b/>
              </w:rPr>
              <w:t>2015</w:t>
            </w:r>
          </w:p>
        </w:tc>
      </w:tr>
      <w:tr w:rsidR="00A2339C" w:rsidRPr="00FD7E86" w14:paraId="0B90506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381" w:type="dxa"/>
          </w:tcPr>
          <w:p w14:paraId="48B5A8A8" w14:textId="77777777" w:rsidR="00A2339C" w:rsidRPr="002B4947" w:rsidRDefault="00A2339C" w:rsidP="003708BA">
            <w:pPr>
              <w:spacing w:before="120" w:after="120"/>
              <w:rPr>
                <w:rFonts w:cs="Arial"/>
                <w:color w:val="auto"/>
                <w:szCs w:val="18"/>
              </w:rPr>
            </w:pPr>
            <w:r w:rsidRPr="002B4947">
              <w:rPr>
                <w:rFonts w:cs="Arial"/>
                <w:color w:val="auto"/>
                <w:szCs w:val="18"/>
              </w:rPr>
              <w:t>Provisional</w:t>
            </w:r>
          </w:p>
        </w:tc>
        <w:tc>
          <w:tcPr>
            <w:tcW w:w="1454" w:type="dxa"/>
          </w:tcPr>
          <w:p w14:paraId="7C140BA5"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54,152</w:t>
            </w:r>
          </w:p>
        </w:tc>
        <w:tc>
          <w:tcPr>
            <w:tcW w:w="1454" w:type="dxa"/>
          </w:tcPr>
          <w:p w14:paraId="280FB83F"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91,009</w:t>
            </w:r>
          </w:p>
        </w:tc>
        <w:tc>
          <w:tcPr>
            <w:tcW w:w="1454" w:type="dxa"/>
          </w:tcPr>
          <w:p w14:paraId="7E1C13BD"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144,435</w:t>
            </w:r>
          </w:p>
        </w:tc>
        <w:tc>
          <w:tcPr>
            <w:tcW w:w="1454" w:type="dxa"/>
          </w:tcPr>
          <w:p w14:paraId="162E251C"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49,679</w:t>
            </w:r>
          </w:p>
        </w:tc>
        <w:tc>
          <w:tcPr>
            <w:tcW w:w="1454" w:type="dxa"/>
          </w:tcPr>
          <w:p w14:paraId="035268EF"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63,505</w:t>
            </w:r>
          </w:p>
        </w:tc>
      </w:tr>
      <w:tr w:rsidR="00A2339C" w:rsidRPr="00FD7E86" w14:paraId="77497CB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381" w:type="dxa"/>
          </w:tcPr>
          <w:p w14:paraId="3A6A1089" w14:textId="77777777" w:rsidR="00A2339C" w:rsidRPr="002B4947" w:rsidRDefault="00A2339C" w:rsidP="003708BA">
            <w:pPr>
              <w:spacing w:before="120" w:after="120"/>
              <w:rPr>
                <w:rFonts w:cs="Arial"/>
                <w:color w:val="auto"/>
                <w:szCs w:val="18"/>
              </w:rPr>
            </w:pPr>
            <w:r w:rsidRPr="002B4947">
              <w:rPr>
                <w:rFonts w:cs="Arial"/>
                <w:color w:val="auto"/>
                <w:szCs w:val="18"/>
              </w:rPr>
              <w:t>Validated</w:t>
            </w:r>
          </w:p>
        </w:tc>
        <w:tc>
          <w:tcPr>
            <w:tcW w:w="1454" w:type="dxa"/>
          </w:tcPr>
          <w:p w14:paraId="12092550"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134,822</w:t>
            </w:r>
          </w:p>
        </w:tc>
        <w:tc>
          <w:tcPr>
            <w:tcW w:w="1454" w:type="dxa"/>
          </w:tcPr>
          <w:p w14:paraId="03E9388C"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130,341</w:t>
            </w:r>
          </w:p>
        </w:tc>
        <w:tc>
          <w:tcPr>
            <w:tcW w:w="1454" w:type="dxa"/>
          </w:tcPr>
          <w:p w14:paraId="252AF51B"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112,114</w:t>
            </w:r>
          </w:p>
        </w:tc>
        <w:tc>
          <w:tcPr>
            <w:tcW w:w="1454" w:type="dxa"/>
          </w:tcPr>
          <w:p w14:paraId="7C09C0A8"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154,940</w:t>
            </w:r>
          </w:p>
        </w:tc>
        <w:tc>
          <w:tcPr>
            <w:tcW w:w="1454" w:type="dxa"/>
          </w:tcPr>
          <w:p w14:paraId="1D30E18C"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szCs w:val="18"/>
              </w:rPr>
            </w:pPr>
            <w:r w:rsidRPr="00FD7E86">
              <w:t>123,240</w:t>
            </w:r>
          </w:p>
        </w:tc>
      </w:tr>
      <w:tr w:rsidR="00A2339C" w:rsidRPr="00FD7E86" w14:paraId="5316C16F" w14:textId="77777777" w:rsidTr="004E56DE">
        <w:trPr>
          <w:trHeight w:val="454"/>
        </w:trPr>
        <w:tc>
          <w:tcPr>
            <w:cnfStyle w:val="001000000000" w:firstRow="0" w:lastRow="0" w:firstColumn="1" w:lastColumn="0" w:oddVBand="0" w:evenVBand="0" w:oddHBand="0" w:evenHBand="0" w:firstRowFirstColumn="0" w:firstRowLastColumn="0" w:lastRowFirstColumn="0" w:lastRowLastColumn="0"/>
            <w:tcW w:w="2381" w:type="dxa"/>
            <w:shd w:val="clear" w:color="auto" w:fill="65CDD5" w:themeFill="accent2"/>
          </w:tcPr>
          <w:p w14:paraId="594275E9" w14:textId="77777777" w:rsidR="00A2339C" w:rsidRPr="002B4947" w:rsidRDefault="00A2339C" w:rsidP="003708BA">
            <w:pPr>
              <w:spacing w:before="120" w:after="120"/>
              <w:rPr>
                <w:rFonts w:cs="Arial"/>
                <w:color w:val="auto"/>
                <w:szCs w:val="18"/>
              </w:rPr>
            </w:pPr>
            <w:r w:rsidRPr="002B4947">
              <w:rPr>
                <w:rFonts w:cs="Arial"/>
                <w:b/>
                <w:color w:val="auto"/>
                <w:szCs w:val="18"/>
              </w:rPr>
              <w:t>Total</w:t>
            </w:r>
          </w:p>
        </w:tc>
        <w:tc>
          <w:tcPr>
            <w:tcW w:w="1454" w:type="dxa"/>
            <w:shd w:val="clear" w:color="auto" w:fill="65CDD5" w:themeFill="accent2"/>
          </w:tcPr>
          <w:p w14:paraId="65B2482E"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188,974</w:t>
            </w:r>
          </w:p>
        </w:tc>
        <w:tc>
          <w:tcPr>
            <w:tcW w:w="1454" w:type="dxa"/>
            <w:shd w:val="clear" w:color="auto" w:fill="65CDD5" w:themeFill="accent2"/>
          </w:tcPr>
          <w:p w14:paraId="0387F311"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221,350</w:t>
            </w:r>
          </w:p>
        </w:tc>
        <w:tc>
          <w:tcPr>
            <w:tcW w:w="1454" w:type="dxa"/>
            <w:shd w:val="clear" w:color="auto" w:fill="65CDD5" w:themeFill="accent2"/>
          </w:tcPr>
          <w:p w14:paraId="11848B4D"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256,549</w:t>
            </w:r>
          </w:p>
        </w:tc>
        <w:tc>
          <w:tcPr>
            <w:tcW w:w="1454" w:type="dxa"/>
            <w:shd w:val="clear" w:color="auto" w:fill="65CDD5" w:themeFill="accent2"/>
          </w:tcPr>
          <w:p w14:paraId="24E0BE53"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rFonts w:cs="Arial"/>
                <w:b/>
                <w:szCs w:val="18"/>
              </w:rPr>
              <w:t>204,619</w:t>
            </w:r>
          </w:p>
        </w:tc>
        <w:tc>
          <w:tcPr>
            <w:tcW w:w="1454" w:type="dxa"/>
            <w:shd w:val="clear" w:color="auto" w:fill="65CDD5" w:themeFill="accent2"/>
          </w:tcPr>
          <w:p w14:paraId="5CF23637" w14:textId="77777777" w:rsidR="00A2339C" w:rsidRPr="00FD7E86" w:rsidRDefault="00A2339C" w:rsidP="00231E53">
            <w:pPr>
              <w:spacing w:before="120" w:after="120"/>
              <w:ind w:right="207"/>
              <w:jc w:val="center"/>
              <w:cnfStyle w:val="000000000000" w:firstRow="0" w:lastRow="0" w:firstColumn="0" w:lastColumn="0" w:oddVBand="0" w:evenVBand="0" w:oddHBand="0" w:evenHBand="0" w:firstRowFirstColumn="0" w:firstRowLastColumn="0" w:lastRowFirstColumn="0" w:lastRowLastColumn="0"/>
              <w:rPr>
                <w:rFonts w:cs="Arial"/>
                <w:b/>
                <w:szCs w:val="18"/>
              </w:rPr>
            </w:pPr>
            <w:r w:rsidRPr="00FD7E86">
              <w:rPr>
                <w:b/>
              </w:rPr>
              <w:t>186,745</w:t>
            </w:r>
          </w:p>
        </w:tc>
      </w:tr>
    </w:tbl>
    <w:p w14:paraId="2B0796EB" w14:textId="77777777" w:rsidR="00A2339C" w:rsidRPr="00FD7E86" w:rsidRDefault="00A2339C" w:rsidP="00E450B7">
      <w:pPr>
        <w:pStyle w:val="ACMANotes"/>
      </w:pPr>
      <w:r w:rsidRPr="00FD7E86">
        <w:t>Source: Telstra, Primus.</w:t>
      </w:r>
    </w:p>
    <w:p w14:paraId="5D3575CF" w14:textId="77777777" w:rsidR="00E450B7" w:rsidRPr="00FD7E86" w:rsidRDefault="00E450B7" w:rsidP="00216D8C">
      <w:pPr>
        <w:pStyle w:val="ACMASpaceaftertable"/>
        <w:rPr>
          <w:i/>
          <w:sz w:val="16"/>
          <w:szCs w:val="16"/>
        </w:rPr>
      </w:pPr>
    </w:p>
    <w:p w14:paraId="66F56821" w14:textId="77777777" w:rsidR="00A2339C" w:rsidRPr="00314FB5" w:rsidRDefault="00A2339C" w:rsidP="00A2339C">
      <w:r w:rsidRPr="00FD7E86">
        <w:t>Priority assistance customers are given faster connections and fault repairs of their fixed-line telephone service than the connection and fault repair time frames mandated in the CSG Standard. A service must be connected or a fault repaired within 24</w:t>
      </w:r>
      <w:r w:rsidR="00917C71" w:rsidRPr="00FD7E86">
        <w:t xml:space="preserve"> </w:t>
      </w:r>
      <w:r w:rsidRPr="00FD7E86">
        <w:t xml:space="preserve">hours in urban and rural areas or 48 hours in remote areas. Figures 5.11 and 5.12 provides information about the performance of Telstra and Primus in meeting priority assistance time frames for connections and fault repairs since 2010–11. </w:t>
      </w:r>
    </w:p>
    <w:p w14:paraId="6FA8A356" w14:textId="77777777" w:rsidR="00A2339C" w:rsidRPr="00FD7E86" w:rsidRDefault="00AA1747" w:rsidP="00314FB5">
      <w:pPr>
        <w:pStyle w:val="ACMATableHeader"/>
        <w:keepNext/>
        <w:numPr>
          <w:ilvl w:val="0"/>
          <w:numId w:val="0"/>
        </w:numPr>
        <w:rPr>
          <w:i/>
        </w:rPr>
      </w:pPr>
      <w:r w:rsidRPr="00FD7E86">
        <w:lastRenderedPageBreak/>
        <w:t xml:space="preserve">Table 5.11 </w:t>
      </w:r>
      <w:r w:rsidR="00A2339C" w:rsidRPr="00FD7E86">
        <w:t>Priority assistance—percentage and volume of connection requests completed on time, by financial year</w:t>
      </w:r>
    </w:p>
    <w:tbl>
      <w:tblPr>
        <w:tblStyle w:val="Commsreport2014-15TABLE"/>
        <w:tblW w:w="9429" w:type="dxa"/>
        <w:tblLayout w:type="fixed"/>
        <w:tblLook w:val="04A0" w:firstRow="1" w:lastRow="0" w:firstColumn="1" w:lastColumn="0" w:noHBand="0" w:noVBand="1"/>
        <w:tblCaption w:val="Table 5.11 Priority assistance—percentage and volume of connection requests completed on time, by financial year"/>
      </w:tblPr>
      <w:tblGrid>
        <w:gridCol w:w="971"/>
        <w:gridCol w:w="960"/>
        <w:gridCol w:w="937"/>
        <w:gridCol w:w="937"/>
        <w:gridCol w:w="937"/>
        <w:gridCol w:w="938"/>
        <w:gridCol w:w="937"/>
        <w:gridCol w:w="937"/>
        <w:gridCol w:w="937"/>
        <w:gridCol w:w="938"/>
      </w:tblGrid>
      <w:tr w:rsidR="00A2339C" w:rsidRPr="0021202A" w14:paraId="6075CFC9"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005" w:type="dxa"/>
            <w:shd w:val="clear" w:color="auto" w:fill="auto"/>
          </w:tcPr>
          <w:p w14:paraId="338F02EB" w14:textId="77777777" w:rsidR="00A2339C" w:rsidRPr="0021202A" w:rsidRDefault="00A2339C" w:rsidP="0021202A">
            <w:pPr>
              <w:pStyle w:val="TableHeading"/>
              <w:keepNext/>
              <w:spacing w:before="20" w:after="20"/>
              <w:jc w:val="center"/>
              <w:rPr>
                <w:b/>
              </w:rPr>
            </w:pPr>
          </w:p>
        </w:tc>
        <w:tc>
          <w:tcPr>
            <w:tcW w:w="992" w:type="dxa"/>
            <w:shd w:val="clear" w:color="auto" w:fill="auto"/>
          </w:tcPr>
          <w:p w14:paraId="106FC1C6" w14:textId="77777777" w:rsidR="00A2339C" w:rsidRPr="0021202A" w:rsidRDefault="00A2339C" w:rsidP="0021202A">
            <w:pPr>
              <w:pStyle w:val="TableHeading"/>
              <w:keepNext/>
              <w:spacing w:before="20" w:after="20"/>
              <w:jc w:val="center"/>
              <w:cnfStyle w:val="100000000000" w:firstRow="1" w:lastRow="0" w:firstColumn="0" w:lastColumn="0" w:oddVBand="0" w:evenVBand="0" w:oddHBand="0" w:evenHBand="0" w:firstRowFirstColumn="0" w:firstRowLastColumn="0" w:lastRowFirstColumn="0" w:lastRowLastColumn="0"/>
              <w:rPr>
                <w:b/>
              </w:rPr>
            </w:pPr>
          </w:p>
        </w:tc>
        <w:tc>
          <w:tcPr>
            <w:tcW w:w="1936" w:type="dxa"/>
            <w:gridSpan w:val="2"/>
          </w:tcPr>
          <w:p w14:paraId="2A697896" w14:textId="77777777" w:rsidR="00A2339C" w:rsidRPr="0021202A" w:rsidRDefault="00A2339C" w:rsidP="0021202A">
            <w:pPr>
              <w:pStyle w:val="TableHeading"/>
              <w:keepNext/>
              <w:spacing w:before="20" w:after="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National</w:t>
            </w:r>
          </w:p>
        </w:tc>
        <w:tc>
          <w:tcPr>
            <w:tcW w:w="1937" w:type="dxa"/>
            <w:gridSpan w:val="2"/>
          </w:tcPr>
          <w:p w14:paraId="2B43DA0D" w14:textId="77777777" w:rsidR="00A2339C" w:rsidRPr="0021202A" w:rsidRDefault="00A2339C" w:rsidP="0021202A">
            <w:pPr>
              <w:pStyle w:val="TableHeading"/>
              <w:keepNext/>
              <w:spacing w:before="20" w:after="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Urban</w:t>
            </w:r>
          </w:p>
        </w:tc>
        <w:tc>
          <w:tcPr>
            <w:tcW w:w="1936" w:type="dxa"/>
            <w:gridSpan w:val="2"/>
          </w:tcPr>
          <w:p w14:paraId="6510EA1B" w14:textId="77777777" w:rsidR="00A2339C" w:rsidRPr="0021202A" w:rsidRDefault="00A2339C" w:rsidP="0021202A">
            <w:pPr>
              <w:pStyle w:val="TableHeading"/>
              <w:keepNext/>
              <w:spacing w:before="20" w:after="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Rural</w:t>
            </w:r>
          </w:p>
        </w:tc>
        <w:tc>
          <w:tcPr>
            <w:tcW w:w="1937" w:type="dxa"/>
            <w:gridSpan w:val="2"/>
          </w:tcPr>
          <w:p w14:paraId="54F1EF4A" w14:textId="77777777" w:rsidR="00A2339C" w:rsidRPr="0021202A" w:rsidRDefault="00A2339C" w:rsidP="0021202A">
            <w:pPr>
              <w:pStyle w:val="TableHeading"/>
              <w:keepNext/>
              <w:spacing w:before="20" w:after="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Remote</w:t>
            </w:r>
          </w:p>
        </w:tc>
      </w:tr>
      <w:tr w:rsidR="00A2339C" w:rsidRPr="00FD7E86" w14:paraId="1FA81B9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shd w:val="clear" w:color="auto" w:fill="auto"/>
          </w:tcPr>
          <w:p w14:paraId="22B12D0F" w14:textId="77777777" w:rsidR="00A2339C" w:rsidRPr="00FD7E86" w:rsidRDefault="00A2339C" w:rsidP="003708BA">
            <w:pPr>
              <w:keepNext/>
              <w:keepLines/>
              <w:rPr>
                <w:rFonts w:cs="Arial"/>
                <w:b/>
                <w:szCs w:val="18"/>
              </w:rPr>
            </w:pPr>
          </w:p>
        </w:tc>
        <w:tc>
          <w:tcPr>
            <w:tcW w:w="992" w:type="dxa"/>
            <w:shd w:val="clear" w:color="auto" w:fill="auto"/>
          </w:tcPr>
          <w:p w14:paraId="021A6687" w14:textId="77777777" w:rsidR="00A2339C" w:rsidRPr="00FD7E86" w:rsidRDefault="00A2339C" w:rsidP="003708BA">
            <w:pPr>
              <w:keepNext/>
              <w:keepLines/>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968" w:type="dxa"/>
            <w:shd w:val="clear" w:color="auto" w:fill="00ADBB" w:themeFill="accent1"/>
          </w:tcPr>
          <w:p w14:paraId="49DC06DC"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8" w:type="dxa"/>
            <w:shd w:val="clear" w:color="auto" w:fill="00ADBB" w:themeFill="accent1"/>
          </w:tcPr>
          <w:p w14:paraId="18FFFA25"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2F2C2E37"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9" w:type="dxa"/>
            <w:shd w:val="clear" w:color="auto" w:fill="00ADBB" w:themeFill="accent1"/>
          </w:tcPr>
          <w:p w14:paraId="4CF5C67A"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0BCC0FA3"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8" w:type="dxa"/>
            <w:shd w:val="clear" w:color="auto" w:fill="00ADBB" w:themeFill="accent1"/>
          </w:tcPr>
          <w:p w14:paraId="2E80A779"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18A59CD5"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9" w:type="dxa"/>
            <w:shd w:val="clear" w:color="auto" w:fill="00ADBB" w:themeFill="accent1"/>
          </w:tcPr>
          <w:p w14:paraId="247E62FC"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r>
      <w:tr w:rsidR="00A2339C" w:rsidRPr="00FD7E86" w14:paraId="3393A7DC"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val="restart"/>
          </w:tcPr>
          <w:p w14:paraId="0F37329F" w14:textId="77777777" w:rsidR="00A2339C" w:rsidRPr="002B4947" w:rsidRDefault="00A2339C" w:rsidP="003708BA">
            <w:pPr>
              <w:keepNext/>
              <w:keepLines/>
              <w:rPr>
                <w:rFonts w:cs="Arial"/>
                <w:b/>
                <w:color w:val="auto"/>
                <w:szCs w:val="18"/>
              </w:rPr>
            </w:pPr>
            <w:r w:rsidRPr="002B4947">
              <w:rPr>
                <w:rFonts w:cs="Arial"/>
                <w:b/>
                <w:color w:val="auto"/>
                <w:szCs w:val="18"/>
              </w:rPr>
              <w:t>Telstra</w:t>
            </w:r>
          </w:p>
        </w:tc>
        <w:tc>
          <w:tcPr>
            <w:tcW w:w="992" w:type="dxa"/>
            <w:shd w:val="clear" w:color="auto" w:fill="65CDD5" w:themeFill="accent2"/>
          </w:tcPr>
          <w:p w14:paraId="539DAB2B"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2010–11</w:t>
            </w:r>
          </w:p>
        </w:tc>
        <w:tc>
          <w:tcPr>
            <w:tcW w:w="968" w:type="dxa"/>
          </w:tcPr>
          <w:p w14:paraId="62BC6D4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93.3</w:t>
            </w:r>
          </w:p>
        </w:tc>
        <w:tc>
          <w:tcPr>
            <w:tcW w:w="968" w:type="dxa"/>
          </w:tcPr>
          <w:p w14:paraId="71BA3D9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50,833</w:t>
            </w:r>
          </w:p>
        </w:tc>
        <w:tc>
          <w:tcPr>
            <w:tcW w:w="968" w:type="dxa"/>
          </w:tcPr>
          <w:p w14:paraId="10DAF95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93.5</w:t>
            </w:r>
          </w:p>
        </w:tc>
        <w:tc>
          <w:tcPr>
            <w:tcW w:w="969" w:type="dxa"/>
          </w:tcPr>
          <w:p w14:paraId="3B9D67A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37,894</w:t>
            </w:r>
          </w:p>
        </w:tc>
        <w:tc>
          <w:tcPr>
            <w:tcW w:w="968" w:type="dxa"/>
          </w:tcPr>
          <w:p w14:paraId="209F8AE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92.8</w:t>
            </w:r>
          </w:p>
        </w:tc>
        <w:tc>
          <w:tcPr>
            <w:tcW w:w="968" w:type="dxa"/>
          </w:tcPr>
          <w:p w14:paraId="23A1849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12,611</w:t>
            </w:r>
          </w:p>
        </w:tc>
        <w:tc>
          <w:tcPr>
            <w:tcW w:w="968" w:type="dxa"/>
          </w:tcPr>
          <w:p w14:paraId="066823D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88.8</w:t>
            </w:r>
          </w:p>
        </w:tc>
        <w:tc>
          <w:tcPr>
            <w:tcW w:w="969" w:type="dxa"/>
          </w:tcPr>
          <w:p w14:paraId="6433D58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325</w:t>
            </w:r>
          </w:p>
        </w:tc>
      </w:tr>
      <w:tr w:rsidR="00A2339C" w:rsidRPr="00FD7E86" w14:paraId="269A21A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429B7A83"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61B7DA64"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2011–12</w:t>
            </w:r>
          </w:p>
        </w:tc>
        <w:tc>
          <w:tcPr>
            <w:tcW w:w="968" w:type="dxa"/>
          </w:tcPr>
          <w:p w14:paraId="6542104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91.6</w:t>
            </w:r>
          </w:p>
        </w:tc>
        <w:tc>
          <w:tcPr>
            <w:tcW w:w="968" w:type="dxa"/>
          </w:tcPr>
          <w:p w14:paraId="32769D5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40,881</w:t>
            </w:r>
          </w:p>
        </w:tc>
        <w:tc>
          <w:tcPr>
            <w:tcW w:w="968" w:type="dxa"/>
          </w:tcPr>
          <w:p w14:paraId="0B7E61D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91.8</w:t>
            </w:r>
          </w:p>
        </w:tc>
        <w:tc>
          <w:tcPr>
            <w:tcW w:w="969" w:type="dxa"/>
          </w:tcPr>
          <w:p w14:paraId="0A7BD25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30,618</w:t>
            </w:r>
          </w:p>
        </w:tc>
        <w:tc>
          <w:tcPr>
            <w:tcW w:w="968" w:type="dxa"/>
          </w:tcPr>
          <w:p w14:paraId="4B4122A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91.5</w:t>
            </w:r>
          </w:p>
        </w:tc>
        <w:tc>
          <w:tcPr>
            <w:tcW w:w="968" w:type="dxa"/>
          </w:tcPr>
          <w:p w14:paraId="1CDB52B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9,970</w:t>
            </w:r>
          </w:p>
        </w:tc>
        <w:tc>
          <w:tcPr>
            <w:tcW w:w="968" w:type="dxa"/>
          </w:tcPr>
          <w:p w14:paraId="2500D52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83.8</w:t>
            </w:r>
          </w:p>
        </w:tc>
        <w:tc>
          <w:tcPr>
            <w:tcW w:w="969" w:type="dxa"/>
          </w:tcPr>
          <w:p w14:paraId="2BFD11A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295</w:t>
            </w:r>
          </w:p>
        </w:tc>
      </w:tr>
      <w:tr w:rsidR="00A2339C" w:rsidRPr="00FD7E86" w14:paraId="24A5B9C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02091D05"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32AB0223"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2012–13</w:t>
            </w:r>
          </w:p>
        </w:tc>
        <w:tc>
          <w:tcPr>
            <w:tcW w:w="968" w:type="dxa"/>
          </w:tcPr>
          <w:p w14:paraId="657DD0D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8" w:type="dxa"/>
          </w:tcPr>
          <w:p w14:paraId="26C15D3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42,700</w:t>
            </w:r>
          </w:p>
        </w:tc>
        <w:tc>
          <w:tcPr>
            <w:tcW w:w="968" w:type="dxa"/>
          </w:tcPr>
          <w:p w14:paraId="6322A92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9" w:type="dxa"/>
          </w:tcPr>
          <w:p w14:paraId="43C1102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32,536</w:t>
            </w:r>
          </w:p>
        </w:tc>
        <w:tc>
          <w:tcPr>
            <w:tcW w:w="968" w:type="dxa"/>
          </w:tcPr>
          <w:p w14:paraId="60952B6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8" w:type="dxa"/>
          </w:tcPr>
          <w:p w14:paraId="55AE6DE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9,886</w:t>
            </w:r>
          </w:p>
        </w:tc>
        <w:tc>
          <w:tcPr>
            <w:tcW w:w="968" w:type="dxa"/>
          </w:tcPr>
          <w:p w14:paraId="1FBAF0D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89.1</w:t>
            </w:r>
          </w:p>
        </w:tc>
        <w:tc>
          <w:tcPr>
            <w:tcW w:w="969" w:type="dxa"/>
          </w:tcPr>
          <w:p w14:paraId="61B62B3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277</w:t>
            </w:r>
          </w:p>
        </w:tc>
      </w:tr>
      <w:tr w:rsidR="00A2339C" w:rsidRPr="00FD7E86" w14:paraId="329B7E2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04D4A904"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6D64A7E3"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2013–14</w:t>
            </w:r>
          </w:p>
        </w:tc>
        <w:tc>
          <w:tcPr>
            <w:tcW w:w="968" w:type="dxa"/>
          </w:tcPr>
          <w:p w14:paraId="49899A7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93.2</w:t>
            </w:r>
          </w:p>
        </w:tc>
        <w:tc>
          <w:tcPr>
            <w:tcW w:w="968" w:type="dxa"/>
          </w:tcPr>
          <w:p w14:paraId="3EF7896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34,675</w:t>
            </w:r>
          </w:p>
        </w:tc>
        <w:tc>
          <w:tcPr>
            <w:tcW w:w="968" w:type="dxa"/>
          </w:tcPr>
          <w:p w14:paraId="395EAA1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93.3</w:t>
            </w:r>
          </w:p>
        </w:tc>
        <w:tc>
          <w:tcPr>
            <w:tcW w:w="969" w:type="dxa"/>
          </w:tcPr>
          <w:p w14:paraId="7FAF988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26,980</w:t>
            </w:r>
          </w:p>
        </w:tc>
        <w:tc>
          <w:tcPr>
            <w:tcW w:w="968" w:type="dxa"/>
          </w:tcPr>
          <w:p w14:paraId="0E7C70E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8" w:type="dxa"/>
          </w:tcPr>
          <w:p w14:paraId="570333C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7,467</w:t>
            </w:r>
          </w:p>
        </w:tc>
        <w:tc>
          <w:tcPr>
            <w:tcW w:w="968" w:type="dxa"/>
          </w:tcPr>
          <w:p w14:paraId="30E6B43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88.8</w:t>
            </w:r>
          </w:p>
        </w:tc>
        <w:tc>
          <w:tcPr>
            <w:tcW w:w="969" w:type="dxa"/>
          </w:tcPr>
          <w:p w14:paraId="1D9D323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222</w:t>
            </w:r>
          </w:p>
        </w:tc>
      </w:tr>
      <w:tr w:rsidR="00A2339C" w:rsidRPr="00FD7E86" w14:paraId="38185A3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124498A2"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6CA0443C"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2014–15</w:t>
            </w:r>
          </w:p>
        </w:tc>
        <w:tc>
          <w:tcPr>
            <w:tcW w:w="968" w:type="dxa"/>
          </w:tcPr>
          <w:p w14:paraId="5B66934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92.4</w:t>
            </w:r>
          </w:p>
        </w:tc>
        <w:tc>
          <w:tcPr>
            <w:tcW w:w="968" w:type="dxa"/>
          </w:tcPr>
          <w:p w14:paraId="092CF0C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34,185</w:t>
            </w:r>
          </w:p>
        </w:tc>
        <w:tc>
          <w:tcPr>
            <w:tcW w:w="968" w:type="dxa"/>
          </w:tcPr>
          <w:p w14:paraId="1C1D979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92.3</w:t>
            </w:r>
          </w:p>
        </w:tc>
        <w:tc>
          <w:tcPr>
            <w:tcW w:w="969" w:type="dxa"/>
          </w:tcPr>
          <w:p w14:paraId="364CAC5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26,495</w:t>
            </w:r>
          </w:p>
        </w:tc>
        <w:tc>
          <w:tcPr>
            <w:tcW w:w="968" w:type="dxa"/>
          </w:tcPr>
          <w:p w14:paraId="367D039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92.6</w:t>
            </w:r>
          </w:p>
        </w:tc>
        <w:tc>
          <w:tcPr>
            <w:tcW w:w="968" w:type="dxa"/>
          </w:tcPr>
          <w:p w14:paraId="75006EBB"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7,504</w:t>
            </w:r>
          </w:p>
        </w:tc>
        <w:tc>
          <w:tcPr>
            <w:tcW w:w="968" w:type="dxa"/>
          </w:tcPr>
          <w:p w14:paraId="2CA4EDD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93.1</w:t>
            </w:r>
          </w:p>
        </w:tc>
        <w:tc>
          <w:tcPr>
            <w:tcW w:w="969" w:type="dxa"/>
          </w:tcPr>
          <w:p w14:paraId="4E44951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175</w:t>
            </w:r>
          </w:p>
        </w:tc>
      </w:tr>
      <w:tr w:rsidR="00A2339C" w:rsidRPr="00FD7E86" w14:paraId="7961E48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val="restart"/>
          </w:tcPr>
          <w:p w14:paraId="194AA98F" w14:textId="77777777" w:rsidR="00A2339C" w:rsidRPr="002B4947" w:rsidRDefault="00A2339C" w:rsidP="003708BA">
            <w:pPr>
              <w:keepNext/>
              <w:keepLines/>
              <w:rPr>
                <w:rFonts w:cs="Arial"/>
                <w:b/>
                <w:color w:val="auto"/>
                <w:szCs w:val="18"/>
              </w:rPr>
            </w:pPr>
            <w:r w:rsidRPr="002B4947">
              <w:rPr>
                <w:rFonts w:cs="Arial"/>
                <w:b/>
                <w:color w:val="auto"/>
                <w:szCs w:val="18"/>
              </w:rPr>
              <w:t>Primus</w:t>
            </w:r>
          </w:p>
        </w:tc>
        <w:tc>
          <w:tcPr>
            <w:tcW w:w="992" w:type="dxa"/>
            <w:shd w:val="clear" w:color="auto" w:fill="65CDD5" w:themeFill="accent2"/>
          </w:tcPr>
          <w:p w14:paraId="60578CCB"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2010–11</w:t>
            </w:r>
          </w:p>
        </w:tc>
        <w:tc>
          <w:tcPr>
            <w:tcW w:w="968" w:type="dxa"/>
          </w:tcPr>
          <w:p w14:paraId="19C12A4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227FBA2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178</w:t>
            </w:r>
          </w:p>
        </w:tc>
        <w:tc>
          <w:tcPr>
            <w:tcW w:w="968" w:type="dxa"/>
          </w:tcPr>
          <w:p w14:paraId="1915A4F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6E666B0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141</w:t>
            </w:r>
          </w:p>
        </w:tc>
        <w:tc>
          <w:tcPr>
            <w:tcW w:w="968" w:type="dxa"/>
          </w:tcPr>
          <w:p w14:paraId="6A25AAF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421C861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37</w:t>
            </w:r>
          </w:p>
        </w:tc>
        <w:tc>
          <w:tcPr>
            <w:tcW w:w="968" w:type="dxa"/>
          </w:tcPr>
          <w:p w14:paraId="5B5121A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5285FDA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788AB256"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3B88496F" w14:textId="77777777" w:rsidR="00A2339C" w:rsidRPr="008A0D8B" w:rsidRDefault="00A2339C" w:rsidP="003708BA">
            <w:pPr>
              <w:keepNext/>
              <w:keepLines/>
              <w:rPr>
                <w:rFonts w:cs="Arial"/>
                <w:b/>
                <w:szCs w:val="18"/>
              </w:rPr>
            </w:pPr>
          </w:p>
        </w:tc>
        <w:tc>
          <w:tcPr>
            <w:tcW w:w="992" w:type="dxa"/>
            <w:shd w:val="clear" w:color="auto" w:fill="65CDD5" w:themeFill="accent2"/>
          </w:tcPr>
          <w:p w14:paraId="76760B0D"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2011–12</w:t>
            </w:r>
          </w:p>
        </w:tc>
        <w:tc>
          <w:tcPr>
            <w:tcW w:w="968" w:type="dxa"/>
          </w:tcPr>
          <w:p w14:paraId="2992E8D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03FC129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63</w:t>
            </w:r>
          </w:p>
        </w:tc>
        <w:tc>
          <w:tcPr>
            <w:tcW w:w="968" w:type="dxa"/>
          </w:tcPr>
          <w:p w14:paraId="78612BE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42DF087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56</w:t>
            </w:r>
          </w:p>
        </w:tc>
        <w:tc>
          <w:tcPr>
            <w:tcW w:w="968" w:type="dxa"/>
          </w:tcPr>
          <w:p w14:paraId="0155010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3514E85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w:t>
            </w:r>
          </w:p>
        </w:tc>
        <w:tc>
          <w:tcPr>
            <w:tcW w:w="968" w:type="dxa"/>
          </w:tcPr>
          <w:p w14:paraId="7E22556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0633492B"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46770AA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7BE88486" w14:textId="77777777" w:rsidR="00A2339C" w:rsidRPr="008A0D8B" w:rsidRDefault="00A2339C" w:rsidP="003708BA">
            <w:pPr>
              <w:keepNext/>
              <w:keepLines/>
              <w:rPr>
                <w:rFonts w:cs="Arial"/>
                <w:b/>
                <w:szCs w:val="18"/>
              </w:rPr>
            </w:pPr>
          </w:p>
        </w:tc>
        <w:tc>
          <w:tcPr>
            <w:tcW w:w="992" w:type="dxa"/>
            <w:shd w:val="clear" w:color="auto" w:fill="65CDD5" w:themeFill="accent2"/>
          </w:tcPr>
          <w:p w14:paraId="22310F7A"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2012–13</w:t>
            </w:r>
          </w:p>
        </w:tc>
        <w:tc>
          <w:tcPr>
            <w:tcW w:w="968" w:type="dxa"/>
          </w:tcPr>
          <w:p w14:paraId="4F2B8C7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54B8A69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112</w:t>
            </w:r>
          </w:p>
        </w:tc>
        <w:tc>
          <w:tcPr>
            <w:tcW w:w="968" w:type="dxa"/>
          </w:tcPr>
          <w:p w14:paraId="4ADAF3B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4CC5D5E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90</w:t>
            </w:r>
          </w:p>
        </w:tc>
        <w:tc>
          <w:tcPr>
            <w:tcW w:w="968" w:type="dxa"/>
          </w:tcPr>
          <w:p w14:paraId="5CAAFD5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26C6D6D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22</w:t>
            </w:r>
          </w:p>
        </w:tc>
        <w:tc>
          <w:tcPr>
            <w:tcW w:w="968" w:type="dxa"/>
          </w:tcPr>
          <w:p w14:paraId="352BD75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6DF0B5B0"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19B231A8"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5FE0DA9F" w14:textId="77777777" w:rsidR="00A2339C" w:rsidRPr="008A0D8B" w:rsidRDefault="00A2339C" w:rsidP="003708BA">
            <w:pPr>
              <w:keepNext/>
              <w:keepLines/>
              <w:rPr>
                <w:rFonts w:cs="Arial"/>
                <w:b/>
                <w:szCs w:val="18"/>
              </w:rPr>
            </w:pPr>
          </w:p>
        </w:tc>
        <w:tc>
          <w:tcPr>
            <w:tcW w:w="992" w:type="dxa"/>
            <w:shd w:val="clear" w:color="auto" w:fill="65CDD5" w:themeFill="accent2"/>
          </w:tcPr>
          <w:p w14:paraId="502FEECF"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2013–14</w:t>
            </w:r>
          </w:p>
        </w:tc>
        <w:tc>
          <w:tcPr>
            <w:tcW w:w="968" w:type="dxa"/>
          </w:tcPr>
          <w:p w14:paraId="59E96E5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6B3BC69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6F3E82C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9" w:type="dxa"/>
          </w:tcPr>
          <w:p w14:paraId="4C2B996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3FA8FC8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50ECA76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21DEE48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9" w:type="dxa"/>
          </w:tcPr>
          <w:p w14:paraId="7EF1B4C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r>
      <w:tr w:rsidR="00A2339C" w:rsidRPr="00FD7E86" w14:paraId="6463493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6427C662" w14:textId="77777777" w:rsidR="00A2339C" w:rsidRPr="008A0D8B" w:rsidRDefault="00A2339C" w:rsidP="003708BA">
            <w:pPr>
              <w:keepNext/>
              <w:keepLines/>
              <w:rPr>
                <w:rFonts w:cs="Arial"/>
                <w:b/>
                <w:szCs w:val="18"/>
              </w:rPr>
            </w:pPr>
          </w:p>
        </w:tc>
        <w:tc>
          <w:tcPr>
            <w:tcW w:w="992" w:type="dxa"/>
            <w:shd w:val="clear" w:color="auto" w:fill="65CDD5" w:themeFill="accent2"/>
          </w:tcPr>
          <w:p w14:paraId="64F27AF6"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2014–15</w:t>
            </w:r>
          </w:p>
        </w:tc>
        <w:tc>
          <w:tcPr>
            <w:tcW w:w="968" w:type="dxa"/>
          </w:tcPr>
          <w:p w14:paraId="456415A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2B9F327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968" w:type="dxa"/>
          </w:tcPr>
          <w:p w14:paraId="155F925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0E7DD34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968" w:type="dxa"/>
          </w:tcPr>
          <w:p w14:paraId="0C1FCD39"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3B10C98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w:t>
            </w:r>
          </w:p>
        </w:tc>
        <w:tc>
          <w:tcPr>
            <w:tcW w:w="968" w:type="dxa"/>
          </w:tcPr>
          <w:p w14:paraId="0E10981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2DA66AF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bl>
    <w:p w14:paraId="4FFBE279" w14:textId="77777777" w:rsidR="00A2339C" w:rsidRPr="00FD7E86" w:rsidRDefault="00A2339C" w:rsidP="00A2339C">
      <w:pPr>
        <w:pStyle w:val="ACMANotes"/>
      </w:pPr>
      <w:r w:rsidRPr="00FD7E86">
        <w:t xml:space="preserve">n/a=not available. </w:t>
      </w:r>
    </w:p>
    <w:p w14:paraId="0D2C1799" w14:textId="77777777" w:rsidR="00A2339C" w:rsidRPr="00FD7E86" w:rsidRDefault="00A2339C" w:rsidP="00A2339C">
      <w:pPr>
        <w:pStyle w:val="ACMANotes"/>
      </w:pPr>
      <w:r w:rsidRPr="00FD7E86">
        <w:t>n/r=not requested.</w:t>
      </w:r>
    </w:p>
    <w:p w14:paraId="6F9201AD" w14:textId="77777777" w:rsidR="00A2339C" w:rsidRPr="00FD7E86" w:rsidRDefault="00A2339C" w:rsidP="00A2339C">
      <w:pPr>
        <w:pStyle w:val="ACMANotes"/>
      </w:pPr>
      <w:r w:rsidRPr="00FD7E86">
        <w:t xml:space="preserve">Note: ‘Urban’ is defined as communities with 10,000 or more people, ‘rural’ is defined as communities with between 200 and 10,000 people, ‘remote’ is defined as communities with up to 200 people. </w:t>
      </w:r>
    </w:p>
    <w:p w14:paraId="4F57336C" w14:textId="77777777" w:rsidR="00A2339C" w:rsidRPr="00FD7E86" w:rsidRDefault="00A2339C" w:rsidP="000E4F20">
      <w:pPr>
        <w:pStyle w:val="ACMANotes"/>
      </w:pPr>
      <w:r w:rsidRPr="00FD7E86">
        <w:t>Source: Telstra.</w:t>
      </w:r>
    </w:p>
    <w:p w14:paraId="5F5C8D86" w14:textId="77777777" w:rsidR="000B1962" w:rsidRPr="00FD7E86" w:rsidRDefault="000B1962" w:rsidP="00216D8C">
      <w:pPr>
        <w:pStyle w:val="ACMASpaceaftertable"/>
        <w:rPr>
          <w:i/>
          <w:sz w:val="16"/>
          <w:szCs w:val="16"/>
        </w:rPr>
      </w:pPr>
    </w:p>
    <w:p w14:paraId="7CAE3EF8" w14:textId="77777777" w:rsidR="00A2339C" w:rsidRPr="00FD7E86" w:rsidRDefault="003E16AD" w:rsidP="00A74738">
      <w:pPr>
        <w:pStyle w:val="ACMATableHeader"/>
        <w:keepNext/>
        <w:numPr>
          <w:ilvl w:val="0"/>
          <w:numId w:val="0"/>
        </w:numPr>
        <w:rPr>
          <w:i/>
        </w:rPr>
      </w:pPr>
      <w:r w:rsidRPr="00FD7E86">
        <w:lastRenderedPageBreak/>
        <w:t xml:space="preserve">Table 5.12 </w:t>
      </w:r>
      <w:r w:rsidR="00A2339C" w:rsidRPr="00FD7E86">
        <w:t>Priority assistance—percentage and volume of fault restoration requests completed on time, by financial year</w:t>
      </w:r>
    </w:p>
    <w:tbl>
      <w:tblPr>
        <w:tblStyle w:val="Commsreport2014-15TABLE"/>
        <w:tblW w:w="9429" w:type="dxa"/>
        <w:tblLayout w:type="fixed"/>
        <w:tblLook w:val="04A0" w:firstRow="1" w:lastRow="0" w:firstColumn="1" w:lastColumn="0" w:noHBand="0" w:noVBand="1"/>
        <w:tblCaption w:val="Table 5.12 Priority assistance—percentage and volume of fault restoration requests completed on time, by financial year"/>
      </w:tblPr>
      <w:tblGrid>
        <w:gridCol w:w="971"/>
        <w:gridCol w:w="960"/>
        <w:gridCol w:w="937"/>
        <w:gridCol w:w="937"/>
        <w:gridCol w:w="937"/>
        <w:gridCol w:w="938"/>
        <w:gridCol w:w="937"/>
        <w:gridCol w:w="937"/>
        <w:gridCol w:w="937"/>
        <w:gridCol w:w="938"/>
      </w:tblGrid>
      <w:tr w:rsidR="00A2339C" w:rsidRPr="0021202A" w14:paraId="707C2627"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1005" w:type="dxa"/>
            <w:shd w:val="clear" w:color="auto" w:fill="auto"/>
          </w:tcPr>
          <w:p w14:paraId="43B2A282" w14:textId="77777777" w:rsidR="00A2339C" w:rsidRPr="0021202A" w:rsidRDefault="00A2339C" w:rsidP="0021202A">
            <w:pPr>
              <w:pStyle w:val="TableHeading"/>
              <w:keepNext/>
              <w:keepLines/>
              <w:spacing w:before="20"/>
              <w:jc w:val="center"/>
              <w:rPr>
                <w:b/>
              </w:rPr>
            </w:pPr>
          </w:p>
        </w:tc>
        <w:tc>
          <w:tcPr>
            <w:tcW w:w="992" w:type="dxa"/>
            <w:shd w:val="clear" w:color="auto" w:fill="auto"/>
          </w:tcPr>
          <w:p w14:paraId="37113D27"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rPr>
            </w:pPr>
          </w:p>
        </w:tc>
        <w:tc>
          <w:tcPr>
            <w:tcW w:w="1936" w:type="dxa"/>
            <w:gridSpan w:val="2"/>
          </w:tcPr>
          <w:p w14:paraId="2B63D889"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National</w:t>
            </w:r>
          </w:p>
        </w:tc>
        <w:tc>
          <w:tcPr>
            <w:tcW w:w="1937" w:type="dxa"/>
            <w:gridSpan w:val="2"/>
          </w:tcPr>
          <w:p w14:paraId="3076D1AB"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Urban</w:t>
            </w:r>
          </w:p>
        </w:tc>
        <w:tc>
          <w:tcPr>
            <w:tcW w:w="1936" w:type="dxa"/>
            <w:gridSpan w:val="2"/>
          </w:tcPr>
          <w:p w14:paraId="5956550D"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Rural</w:t>
            </w:r>
          </w:p>
        </w:tc>
        <w:tc>
          <w:tcPr>
            <w:tcW w:w="1937" w:type="dxa"/>
            <w:gridSpan w:val="2"/>
          </w:tcPr>
          <w:p w14:paraId="6009BBF2" w14:textId="77777777" w:rsidR="00A2339C" w:rsidRPr="0021202A" w:rsidRDefault="00A2339C" w:rsidP="0021202A">
            <w:pPr>
              <w:pStyle w:val="TableHeading"/>
              <w:keepNext/>
              <w:keepLines/>
              <w:spacing w:before="20"/>
              <w:jc w:val="center"/>
              <w:cnfStyle w:val="100000000000" w:firstRow="1" w:lastRow="0" w:firstColumn="0" w:lastColumn="0" w:oddVBand="0" w:evenVBand="0" w:oddHBand="0" w:evenHBand="0" w:firstRowFirstColumn="0" w:firstRowLastColumn="0" w:lastRowFirstColumn="0" w:lastRowLastColumn="0"/>
              <w:rPr>
                <w:b/>
                <w:color w:val="FFFFFF" w:themeColor="background1"/>
              </w:rPr>
            </w:pPr>
            <w:r w:rsidRPr="0021202A">
              <w:rPr>
                <w:b/>
                <w:color w:val="FFFFFF" w:themeColor="background1"/>
              </w:rPr>
              <w:t>Remote</w:t>
            </w:r>
          </w:p>
        </w:tc>
      </w:tr>
      <w:tr w:rsidR="00A2339C" w:rsidRPr="00FD7E86" w14:paraId="1704294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shd w:val="clear" w:color="auto" w:fill="auto"/>
          </w:tcPr>
          <w:p w14:paraId="65D08DF1" w14:textId="77777777" w:rsidR="00A2339C" w:rsidRPr="00FD7E86" w:rsidRDefault="00A2339C" w:rsidP="003708BA">
            <w:pPr>
              <w:keepNext/>
              <w:keepLines/>
              <w:rPr>
                <w:rFonts w:cs="Arial"/>
                <w:b/>
                <w:szCs w:val="18"/>
              </w:rPr>
            </w:pPr>
          </w:p>
        </w:tc>
        <w:tc>
          <w:tcPr>
            <w:tcW w:w="992" w:type="dxa"/>
            <w:shd w:val="clear" w:color="auto" w:fill="auto"/>
          </w:tcPr>
          <w:p w14:paraId="0CE2466C" w14:textId="77777777" w:rsidR="00A2339C" w:rsidRPr="00FD7E86" w:rsidRDefault="00A2339C" w:rsidP="003708BA">
            <w:pPr>
              <w:keepNext/>
              <w:keepLines/>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p>
        </w:tc>
        <w:tc>
          <w:tcPr>
            <w:tcW w:w="968" w:type="dxa"/>
            <w:shd w:val="clear" w:color="auto" w:fill="00ADBB" w:themeFill="accent1"/>
          </w:tcPr>
          <w:p w14:paraId="5FB457FA"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8" w:type="dxa"/>
            <w:shd w:val="clear" w:color="auto" w:fill="00ADBB" w:themeFill="accent1"/>
          </w:tcPr>
          <w:p w14:paraId="249FFB3F"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2876692B"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9" w:type="dxa"/>
            <w:shd w:val="clear" w:color="auto" w:fill="00ADBB" w:themeFill="accent1"/>
          </w:tcPr>
          <w:p w14:paraId="61AD62D2"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53B50813"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8" w:type="dxa"/>
            <w:shd w:val="clear" w:color="auto" w:fill="00ADBB" w:themeFill="accent1"/>
          </w:tcPr>
          <w:p w14:paraId="6303AF6B"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c>
          <w:tcPr>
            <w:tcW w:w="968" w:type="dxa"/>
            <w:shd w:val="clear" w:color="auto" w:fill="00ADBB" w:themeFill="accent1"/>
          </w:tcPr>
          <w:p w14:paraId="1F6D9901"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w:t>
            </w:r>
          </w:p>
        </w:tc>
        <w:tc>
          <w:tcPr>
            <w:tcW w:w="969" w:type="dxa"/>
            <w:shd w:val="clear" w:color="auto" w:fill="00ADBB" w:themeFill="accent1"/>
          </w:tcPr>
          <w:p w14:paraId="4A937BE0" w14:textId="77777777" w:rsidR="00A2339C" w:rsidRPr="00FD7E86" w:rsidRDefault="00A2339C" w:rsidP="000E4F20">
            <w:pPr>
              <w:spacing w:before="120" w:after="120"/>
              <w:jc w:val="center"/>
              <w:cnfStyle w:val="000000000000" w:firstRow="0" w:lastRow="0" w:firstColumn="0" w:lastColumn="0" w:oddVBand="0" w:evenVBand="0" w:oddHBand="0" w:evenHBand="0" w:firstRowFirstColumn="0" w:firstRowLastColumn="0" w:lastRowFirstColumn="0" w:lastRowLastColumn="0"/>
              <w:rPr>
                <w:rFonts w:cs="Arial"/>
                <w:b/>
                <w:color w:val="FFFFFF" w:themeColor="background1"/>
                <w:szCs w:val="18"/>
              </w:rPr>
            </w:pPr>
            <w:r w:rsidRPr="00FD7E86">
              <w:rPr>
                <w:rFonts w:cs="Arial"/>
                <w:b/>
                <w:color w:val="FFFFFF" w:themeColor="background1"/>
                <w:szCs w:val="18"/>
              </w:rPr>
              <w:t>Volume</w:t>
            </w:r>
          </w:p>
        </w:tc>
      </w:tr>
      <w:tr w:rsidR="00A2339C" w:rsidRPr="00FD7E86" w14:paraId="6D965B1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val="restart"/>
          </w:tcPr>
          <w:p w14:paraId="15B047A9" w14:textId="77777777" w:rsidR="00A2339C" w:rsidRPr="002B4947" w:rsidRDefault="00A2339C" w:rsidP="003708BA">
            <w:pPr>
              <w:keepNext/>
              <w:keepLines/>
              <w:rPr>
                <w:rFonts w:cs="Arial"/>
                <w:b/>
                <w:color w:val="auto"/>
                <w:szCs w:val="18"/>
              </w:rPr>
            </w:pPr>
            <w:r w:rsidRPr="002B4947">
              <w:rPr>
                <w:rFonts w:cs="Arial"/>
                <w:b/>
                <w:color w:val="auto"/>
                <w:szCs w:val="18"/>
              </w:rPr>
              <w:t>Telstra</w:t>
            </w:r>
          </w:p>
        </w:tc>
        <w:tc>
          <w:tcPr>
            <w:tcW w:w="992" w:type="dxa"/>
            <w:shd w:val="clear" w:color="auto" w:fill="65CDD5" w:themeFill="accent2"/>
          </w:tcPr>
          <w:p w14:paraId="26B9E115"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2010–11</w:t>
            </w:r>
          </w:p>
        </w:tc>
        <w:tc>
          <w:tcPr>
            <w:tcW w:w="968" w:type="dxa"/>
          </w:tcPr>
          <w:p w14:paraId="43FCAF6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8" w:type="dxa"/>
          </w:tcPr>
          <w:p w14:paraId="4FE2EFC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8" w:type="dxa"/>
          </w:tcPr>
          <w:p w14:paraId="5015261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94.3</w:t>
            </w:r>
          </w:p>
        </w:tc>
        <w:tc>
          <w:tcPr>
            <w:tcW w:w="969" w:type="dxa"/>
          </w:tcPr>
          <w:p w14:paraId="566426A9"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8" w:type="dxa"/>
          </w:tcPr>
          <w:p w14:paraId="5B2C127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89.8</w:t>
            </w:r>
          </w:p>
        </w:tc>
        <w:tc>
          <w:tcPr>
            <w:tcW w:w="968" w:type="dxa"/>
          </w:tcPr>
          <w:p w14:paraId="44CD166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8" w:type="dxa"/>
          </w:tcPr>
          <w:p w14:paraId="0AE0551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87.1</w:t>
            </w:r>
          </w:p>
        </w:tc>
        <w:tc>
          <w:tcPr>
            <w:tcW w:w="969" w:type="dxa"/>
          </w:tcPr>
          <w:p w14:paraId="5B2D22A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r>
      <w:tr w:rsidR="00A2339C" w:rsidRPr="00FD7E86" w14:paraId="597F160B"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3C30A08C"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308C00FD"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2011–12</w:t>
            </w:r>
          </w:p>
        </w:tc>
        <w:tc>
          <w:tcPr>
            <w:tcW w:w="968" w:type="dxa"/>
          </w:tcPr>
          <w:p w14:paraId="060EB37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94.6</w:t>
            </w:r>
          </w:p>
        </w:tc>
        <w:tc>
          <w:tcPr>
            <w:tcW w:w="968" w:type="dxa"/>
          </w:tcPr>
          <w:p w14:paraId="7D08AA7B"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130,946</w:t>
            </w:r>
          </w:p>
        </w:tc>
        <w:tc>
          <w:tcPr>
            <w:tcW w:w="968" w:type="dxa"/>
          </w:tcPr>
          <w:p w14:paraId="50813C59"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95.7</w:t>
            </w:r>
          </w:p>
        </w:tc>
        <w:tc>
          <w:tcPr>
            <w:tcW w:w="969" w:type="dxa"/>
          </w:tcPr>
          <w:p w14:paraId="08F5125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95,586</w:t>
            </w:r>
          </w:p>
        </w:tc>
        <w:tc>
          <w:tcPr>
            <w:tcW w:w="968" w:type="dxa"/>
          </w:tcPr>
          <w:p w14:paraId="3CCDCF60"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92.0</w:t>
            </w:r>
          </w:p>
        </w:tc>
        <w:tc>
          <w:tcPr>
            <w:tcW w:w="968" w:type="dxa"/>
          </w:tcPr>
          <w:p w14:paraId="3E99770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34,855</w:t>
            </w:r>
          </w:p>
        </w:tc>
        <w:tc>
          <w:tcPr>
            <w:tcW w:w="968" w:type="dxa"/>
          </w:tcPr>
          <w:p w14:paraId="2079447B"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93.8</w:t>
            </w:r>
          </w:p>
        </w:tc>
        <w:tc>
          <w:tcPr>
            <w:tcW w:w="969" w:type="dxa"/>
          </w:tcPr>
          <w:p w14:paraId="6744E7D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469</w:t>
            </w:r>
          </w:p>
        </w:tc>
      </w:tr>
      <w:tr w:rsidR="00A2339C" w:rsidRPr="00FD7E86" w14:paraId="342AF8ED"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7B7D9642"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1BFA6242"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2012–13</w:t>
            </w:r>
          </w:p>
        </w:tc>
        <w:tc>
          <w:tcPr>
            <w:tcW w:w="968" w:type="dxa"/>
          </w:tcPr>
          <w:p w14:paraId="6F983040"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95.5</w:t>
            </w:r>
          </w:p>
        </w:tc>
        <w:tc>
          <w:tcPr>
            <w:tcW w:w="968" w:type="dxa"/>
          </w:tcPr>
          <w:p w14:paraId="3C8002E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155,378</w:t>
            </w:r>
          </w:p>
        </w:tc>
        <w:tc>
          <w:tcPr>
            <w:tcW w:w="968" w:type="dxa"/>
          </w:tcPr>
          <w:p w14:paraId="15FB66DB"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96.6</w:t>
            </w:r>
          </w:p>
        </w:tc>
        <w:tc>
          <w:tcPr>
            <w:tcW w:w="969" w:type="dxa"/>
          </w:tcPr>
          <w:p w14:paraId="68A58F5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114,800</w:t>
            </w:r>
          </w:p>
        </w:tc>
        <w:tc>
          <w:tcPr>
            <w:tcW w:w="968" w:type="dxa"/>
          </w:tcPr>
          <w:p w14:paraId="3279B84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92.3</w:t>
            </w:r>
          </w:p>
        </w:tc>
        <w:tc>
          <w:tcPr>
            <w:tcW w:w="968" w:type="dxa"/>
          </w:tcPr>
          <w:p w14:paraId="029F5F4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40,045</w:t>
            </w:r>
          </w:p>
        </w:tc>
        <w:tc>
          <w:tcPr>
            <w:tcW w:w="968" w:type="dxa"/>
          </w:tcPr>
          <w:p w14:paraId="3717C8D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92.0</w:t>
            </w:r>
          </w:p>
        </w:tc>
        <w:tc>
          <w:tcPr>
            <w:tcW w:w="969" w:type="dxa"/>
          </w:tcPr>
          <w:p w14:paraId="2680BEF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502</w:t>
            </w:r>
          </w:p>
        </w:tc>
      </w:tr>
      <w:tr w:rsidR="00A2339C" w:rsidRPr="00FD7E86" w14:paraId="7EDCF912"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6F9C64DA"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5DD5E758"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2013–14</w:t>
            </w:r>
          </w:p>
        </w:tc>
        <w:tc>
          <w:tcPr>
            <w:tcW w:w="968" w:type="dxa"/>
          </w:tcPr>
          <w:p w14:paraId="7219076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95.1</w:t>
            </w:r>
          </w:p>
        </w:tc>
        <w:tc>
          <w:tcPr>
            <w:tcW w:w="968" w:type="dxa"/>
          </w:tcPr>
          <w:p w14:paraId="453D5AC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116,552</w:t>
            </w:r>
          </w:p>
        </w:tc>
        <w:tc>
          <w:tcPr>
            <w:tcW w:w="968" w:type="dxa"/>
          </w:tcPr>
          <w:p w14:paraId="5DD12B6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96.1</w:t>
            </w:r>
          </w:p>
        </w:tc>
        <w:tc>
          <w:tcPr>
            <w:tcW w:w="969" w:type="dxa"/>
          </w:tcPr>
          <w:p w14:paraId="3C7C2DA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89,205</w:t>
            </w:r>
          </w:p>
        </w:tc>
        <w:tc>
          <w:tcPr>
            <w:tcW w:w="968" w:type="dxa"/>
          </w:tcPr>
          <w:p w14:paraId="02F0EBF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92.1</w:t>
            </w:r>
          </w:p>
        </w:tc>
        <w:tc>
          <w:tcPr>
            <w:tcW w:w="968" w:type="dxa"/>
          </w:tcPr>
          <w:p w14:paraId="6F9A0DD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26,988</w:t>
            </w:r>
          </w:p>
        </w:tc>
        <w:tc>
          <w:tcPr>
            <w:tcW w:w="968" w:type="dxa"/>
          </w:tcPr>
          <w:p w14:paraId="0411F58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90.9</w:t>
            </w:r>
          </w:p>
        </w:tc>
        <w:tc>
          <w:tcPr>
            <w:tcW w:w="969" w:type="dxa"/>
          </w:tcPr>
          <w:p w14:paraId="4004452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390</w:t>
            </w:r>
          </w:p>
        </w:tc>
      </w:tr>
      <w:tr w:rsidR="00A2339C" w:rsidRPr="00FD7E86" w14:paraId="71353D1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7E4C31EE" w14:textId="77777777" w:rsidR="00A2339C" w:rsidRPr="002B4947" w:rsidRDefault="00A2339C" w:rsidP="003708BA">
            <w:pPr>
              <w:keepNext/>
              <w:keepLines/>
              <w:rPr>
                <w:rFonts w:cs="Arial"/>
                <w:b/>
                <w:color w:val="auto"/>
                <w:szCs w:val="18"/>
              </w:rPr>
            </w:pPr>
          </w:p>
        </w:tc>
        <w:tc>
          <w:tcPr>
            <w:tcW w:w="992" w:type="dxa"/>
            <w:shd w:val="clear" w:color="auto" w:fill="65CDD5" w:themeFill="accent2"/>
          </w:tcPr>
          <w:p w14:paraId="4C24642E"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2014–15</w:t>
            </w:r>
          </w:p>
        </w:tc>
        <w:tc>
          <w:tcPr>
            <w:tcW w:w="968" w:type="dxa"/>
          </w:tcPr>
          <w:p w14:paraId="2B24282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94.6</w:t>
            </w:r>
          </w:p>
        </w:tc>
        <w:tc>
          <w:tcPr>
            <w:tcW w:w="968" w:type="dxa"/>
          </w:tcPr>
          <w:p w14:paraId="252457A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133,563</w:t>
            </w:r>
          </w:p>
        </w:tc>
        <w:tc>
          <w:tcPr>
            <w:tcW w:w="968" w:type="dxa"/>
          </w:tcPr>
          <w:p w14:paraId="7E43571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95.7</w:t>
            </w:r>
          </w:p>
        </w:tc>
        <w:tc>
          <w:tcPr>
            <w:tcW w:w="969" w:type="dxa"/>
          </w:tcPr>
          <w:p w14:paraId="7870FAB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102,803</w:t>
            </w:r>
          </w:p>
        </w:tc>
        <w:tc>
          <w:tcPr>
            <w:tcW w:w="968" w:type="dxa"/>
          </w:tcPr>
          <w:p w14:paraId="2150791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91.1</w:t>
            </w:r>
          </w:p>
        </w:tc>
        <w:tc>
          <w:tcPr>
            <w:tcW w:w="968" w:type="dxa"/>
          </w:tcPr>
          <w:p w14:paraId="2741F2AC"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30,348</w:t>
            </w:r>
          </w:p>
        </w:tc>
        <w:tc>
          <w:tcPr>
            <w:tcW w:w="968" w:type="dxa"/>
          </w:tcPr>
          <w:p w14:paraId="2807745F"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94.0</w:t>
            </w:r>
          </w:p>
        </w:tc>
        <w:tc>
          <w:tcPr>
            <w:tcW w:w="969" w:type="dxa"/>
          </w:tcPr>
          <w:p w14:paraId="410829B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425</w:t>
            </w:r>
          </w:p>
        </w:tc>
      </w:tr>
      <w:tr w:rsidR="00A2339C" w:rsidRPr="00FD7E86" w14:paraId="79CABAB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val="restart"/>
          </w:tcPr>
          <w:p w14:paraId="2274FBD0" w14:textId="77777777" w:rsidR="00A2339C" w:rsidRPr="002B4947" w:rsidRDefault="00A2339C" w:rsidP="003708BA">
            <w:pPr>
              <w:keepNext/>
              <w:keepLines/>
              <w:rPr>
                <w:rFonts w:cs="Arial"/>
                <w:b/>
                <w:color w:val="auto"/>
                <w:szCs w:val="18"/>
              </w:rPr>
            </w:pPr>
            <w:r w:rsidRPr="002B4947">
              <w:rPr>
                <w:rFonts w:cs="Arial"/>
                <w:b/>
                <w:color w:val="auto"/>
                <w:szCs w:val="18"/>
              </w:rPr>
              <w:t>Primus</w:t>
            </w:r>
          </w:p>
        </w:tc>
        <w:tc>
          <w:tcPr>
            <w:tcW w:w="992" w:type="dxa"/>
            <w:shd w:val="clear" w:color="auto" w:fill="65CDD5" w:themeFill="accent2"/>
          </w:tcPr>
          <w:p w14:paraId="7CED226A"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2010–11</w:t>
            </w:r>
          </w:p>
        </w:tc>
        <w:tc>
          <w:tcPr>
            <w:tcW w:w="968" w:type="dxa"/>
          </w:tcPr>
          <w:p w14:paraId="304E442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4598772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513</w:t>
            </w:r>
          </w:p>
        </w:tc>
        <w:tc>
          <w:tcPr>
            <w:tcW w:w="968" w:type="dxa"/>
          </w:tcPr>
          <w:p w14:paraId="051F48B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1C34730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384</w:t>
            </w:r>
          </w:p>
        </w:tc>
        <w:tc>
          <w:tcPr>
            <w:tcW w:w="968" w:type="dxa"/>
          </w:tcPr>
          <w:p w14:paraId="232D0339"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10E15FF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129</w:t>
            </w:r>
          </w:p>
        </w:tc>
        <w:tc>
          <w:tcPr>
            <w:tcW w:w="968" w:type="dxa"/>
          </w:tcPr>
          <w:p w14:paraId="312BAB20"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7350B20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1E1D924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7169E834" w14:textId="77777777" w:rsidR="00A2339C" w:rsidRPr="008A0D8B" w:rsidRDefault="00A2339C" w:rsidP="003708BA">
            <w:pPr>
              <w:keepNext/>
              <w:keepLines/>
              <w:rPr>
                <w:rFonts w:cs="Arial"/>
                <w:b/>
                <w:szCs w:val="18"/>
              </w:rPr>
            </w:pPr>
          </w:p>
        </w:tc>
        <w:tc>
          <w:tcPr>
            <w:tcW w:w="992" w:type="dxa"/>
            <w:shd w:val="clear" w:color="auto" w:fill="65CDD5" w:themeFill="accent2"/>
          </w:tcPr>
          <w:p w14:paraId="06FDF81F"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2011–12</w:t>
            </w:r>
          </w:p>
        </w:tc>
        <w:tc>
          <w:tcPr>
            <w:tcW w:w="968" w:type="dxa"/>
          </w:tcPr>
          <w:p w14:paraId="5824800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92.9</w:t>
            </w:r>
          </w:p>
        </w:tc>
        <w:tc>
          <w:tcPr>
            <w:tcW w:w="968" w:type="dxa"/>
          </w:tcPr>
          <w:p w14:paraId="0B5039F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113</w:t>
            </w:r>
          </w:p>
        </w:tc>
        <w:tc>
          <w:tcPr>
            <w:tcW w:w="968" w:type="dxa"/>
          </w:tcPr>
          <w:p w14:paraId="1FCBFBF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93.2</w:t>
            </w:r>
          </w:p>
        </w:tc>
        <w:tc>
          <w:tcPr>
            <w:tcW w:w="969" w:type="dxa"/>
          </w:tcPr>
          <w:p w14:paraId="6F8E00A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88</w:t>
            </w:r>
          </w:p>
        </w:tc>
        <w:tc>
          <w:tcPr>
            <w:tcW w:w="968" w:type="dxa"/>
          </w:tcPr>
          <w:p w14:paraId="35BC034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92.0</w:t>
            </w:r>
          </w:p>
        </w:tc>
        <w:tc>
          <w:tcPr>
            <w:tcW w:w="968" w:type="dxa"/>
          </w:tcPr>
          <w:p w14:paraId="08D670F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25</w:t>
            </w:r>
          </w:p>
        </w:tc>
        <w:tc>
          <w:tcPr>
            <w:tcW w:w="968" w:type="dxa"/>
          </w:tcPr>
          <w:p w14:paraId="25B89A1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35FBF61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5FF527A9"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6F806150" w14:textId="77777777" w:rsidR="00A2339C" w:rsidRPr="008A0D8B" w:rsidRDefault="00A2339C" w:rsidP="003708BA">
            <w:pPr>
              <w:keepNext/>
              <w:keepLines/>
              <w:rPr>
                <w:rFonts w:cs="Arial"/>
                <w:b/>
                <w:szCs w:val="18"/>
              </w:rPr>
            </w:pPr>
          </w:p>
        </w:tc>
        <w:tc>
          <w:tcPr>
            <w:tcW w:w="992" w:type="dxa"/>
            <w:shd w:val="clear" w:color="auto" w:fill="65CDD5" w:themeFill="accent2"/>
          </w:tcPr>
          <w:p w14:paraId="2B221F84"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2012–13</w:t>
            </w:r>
          </w:p>
        </w:tc>
        <w:tc>
          <w:tcPr>
            <w:tcW w:w="968" w:type="dxa"/>
          </w:tcPr>
          <w:p w14:paraId="571FE2B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84.0</w:t>
            </w:r>
          </w:p>
        </w:tc>
        <w:tc>
          <w:tcPr>
            <w:tcW w:w="968" w:type="dxa"/>
          </w:tcPr>
          <w:p w14:paraId="7D489509"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58</w:t>
            </w:r>
          </w:p>
        </w:tc>
        <w:tc>
          <w:tcPr>
            <w:tcW w:w="968" w:type="dxa"/>
          </w:tcPr>
          <w:p w14:paraId="648A7A5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90.0</w:t>
            </w:r>
          </w:p>
        </w:tc>
        <w:tc>
          <w:tcPr>
            <w:tcW w:w="969" w:type="dxa"/>
          </w:tcPr>
          <w:p w14:paraId="2F8385F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40</w:t>
            </w:r>
          </w:p>
        </w:tc>
        <w:tc>
          <w:tcPr>
            <w:tcW w:w="968" w:type="dxa"/>
          </w:tcPr>
          <w:p w14:paraId="63B716F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72.2</w:t>
            </w:r>
          </w:p>
        </w:tc>
        <w:tc>
          <w:tcPr>
            <w:tcW w:w="968" w:type="dxa"/>
          </w:tcPr>
          <w:p w14:paraId="01F8F174"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w:t>
            </w:r>
          </w:p>
        </w:tc>
        <w:tc>
          <w:tcPr>
            <w:tcW w:w="968" w:type="dxa"/>
          </w:tcPr>
          <w:p w14:paraId="46539BF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9" w:type="dxa"/>
          </w:tcPr>
          <w:p w14:paraId="1092849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3D85C84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5AFF6EEF" w14:textId="77777777" w:rsidR="00A2339C" w:rsidRPr="008A0D8B" w:rsidRDefault="00A2339C" w:rsidP="003708BA">
            <w:pPr>
              <w:keepNext/>
              <w:keepLines/>
              <w:rPr>
                <w:rFonts w:cs="Arial"/>
                <w:b/>
                <w:szCs w:val="18"/>
              </w:rPr>
            </w:pPr>
          </w:p>
        </w:tc>
        <w:tc>
          <w:tcPr>
            <w:tcW w:w="992" w:type="dxa"/>
            <w:shd w:val="clear" w:color="auto" w:fill="65CDD5" w:themeFill="accent2"/>
          </w:tcPr>
          <w:p w14:paraId="144FC049"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2013–14</w:t>
            </w:r>
          </w:p>
        </w:tc>
        <w:tc>
          <w:tcPr>
            <w:tcW w:w="968" w:type="dxa"/>
          </w:tcPr>
          <w:p w14:paraId="529074DA"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0ADFC23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452A647D"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9" w:type="dxa"/>
          </w:tcPr>
          <w:p w14:paraId="065DE53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5B2ED4E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2EAA9A0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8" w:type="dxa"/>
          </w:tcPr>
          <w:p w14:paraId="61E3DEE6"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n/r</w:t>
            </w:r>
          </w:p>
        </w:tc>
        <w:tc>
          <w:tcPr>
            <w:tcW w:w="969" w:type="dxa"/>
          </w:tcPr>
          <w:p w14:paraId="7DEB0E05"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r>
      <w:tr w:rsidR="00A2339C" w:rsidRPr="00FD7E86" w14:paraId="606BF003"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1005" w:type="dxa"/>
            <w:vMerge/>
          </w:tcPr>
          <w:p w14:paraId="50624727" w14:textId="77777777" w:rsidR="00A2339C" w:rsidRPr="008A0D8B" w:rsidRDefault="00A2339C" w:rsidP="003708BA">
            <w:pPr>
              <w:keepNext/>
              <w:keepLines/>
              <w:rPr>
                <w:rFonts w:cs="Arial"/>
                <w:b/>
                <w:szCs w:val="18"/>
              </w:rPr>
            </w:pPr>
          </w:p>
        </w:tc>
        <w:tc>
          <w:tcPr>
            <w:tcW w:w="992" w:type="dxa"/>
            <w:shd w:val="clear" w:color="auto" w:fill="65CDD5" w:themeFill="accent2"/>
          </w:tcPr>
          <w:p w14:paraId="655095CE" w14:textId="77777777" w:rsidR="00A2339C" w:rsidRPr="00C05F4C" w:rsidRDefault="00A2339C" w:rsidP="003708BA">
            <w:pPr>
              <w:spacing w:before="120" w:after="120"/>
              <w:cnfStyle w:val="000000000000" w:firstRow="0" w:lastRow="0" w:firstColumn="0" w:lastColumn="0" w:oddVBand="0" w:evenVBand="0" w:oddHBand="0" w:evenHBand="0" w:firstRowFirstColumn="0" w:firstRowLastColumn="0" w:lastRowFirstColumn="0" w:lastRowLastColumn="0"/>
              <w:rPr>
                <w:rFonts w:cs="Arial"/>
                <w:szCs w:val="18"/>
              </w:rPr>
            </w:pPr>
            <w:r w:rsidRPr="00C05F4C">
              <w:rPr>
                <w:rFonts w:cs="Arial"/>
                <w:szCs w:val="18"/>
              </w:rPr>
              <w:t>2014–15</w:t>
            </w:r>
          </w:p>
        </w:tc>
        <w:tc>
          <w:tcPr>
            <w:tcW w:w="968" w:type="dxa"/>
          </w:tcPr>
          <w:p w14:paraId="5F8FFC97"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8" w:type="dxa"/>
          </w:tcPr>
          <w:p w14:paraId="31DA174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w:t>
            </w:r>
          </w:p>
        </w:tc>
        <w:tc>
          <w:tcPr>
            <w:tcW w:w="968" w:type="dxa"/>
          </w:tcPr>
          <w:p w14:paraId="16BAEFC2"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1C8CA278"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w:t>
            </w:r>
          </w:p>
        </w:tc>
        <w:tc>
          <w:tcPr>
            <w:tcW w:w="968" w:type="dxa"/>
          </w:tcPr>
          <w:p w14:paraId="5A41A9E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n/a</w:t>
            </w:r>
          </w:p>
        </w:tc>
        <w:tc>
          <w:tcPr>
            <w:tcW w:w="968" w:type="dxa"/>
          </w:tcPr>
          <w:p w14:paraId="241F5091"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0</w:t>
            </w:r>
          </w:p>
        </w:tc>
        <w:tc>
          <w:tcPr>
            <w:tcW w:w="968" w:type="dxa"/>
          </w:tcPr>
          <w:p w14:paraId="6062A21E"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100</w:t>
            </w:r>
          </w:p>
        </w:tc>
        <w:tc>
          <w:tcPr>
            <w:tcW w:w="969" w:type="dxa"/>
          </w:tcPr>
          <w:p w14:paraId="42F231C3" w14:textId="77777777" w:rsidR="00A2339C" w:rsidRPr="00FD7E86" w:rsidRDefault="00A2339C" w:rsidP="003708BA">
            <w:pPr>
              <w:spacing w:before="120" w:after="120"/>
              <w:ind w:right="52"/>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w:t>
            </w:r>
          </w:p>
        </w:tc>
      </w:tr>
    </w:tbl>
    <w:p w14:paraId="27E38BB1" w14:textId="77777777" w:rsidR="00A2339C" w:rsidRPr="00FD7E86" w:rsidRDefault="00A2339C" w:rsidP="00A2339C">
      <w:pPr>
        <w:pStyle w:val="ACMANotes"/>
      </w:pPr>
      <w:r w:rsidRPr="00FD7E86">
        <w:t xml:space="preserve">n/a=not available. </w:t>
      </w:r>
    </w:p>
    <w:p w14:paraId="5F72CEA7" w14:textId="77777777" w:rsidR="00A2339C" w:rsidRPr="00FD7E86" w:rsidRDefault="00A2339C" w:rsidP="00A2339C">
      <w:pPr>
        <w:pStyle w:val="ACMANotes"/>
      </w:pPr>
      <w:r w:rsidRPr="00FD7E86">
        <w:t>n/r=not requested.</w:t>
      </w:r>
    </w:p>
    <w:p w14:paraId="526ED633" w14:textId="77777777" w:rsidR="00A2339C" w:rsidRPr="00FD7E86" w:rsidRDefault="00A2339C" w:rsidP="00A2339C">
      <w:pPr>
        <w:pStyle w:val="ACMANotes"/>
      </w:pPr>
      <w:r w:rsidRPr="00FD7E86">
        <w:t>Note: ‘Urban’ is defined as communities with 10,000 or more people, ‘rural’ is defined as co</w:t>
      </w:r>
      <w:r w:rsidR="003D358C">
        <w:t xml:space="preserve">mmunities with between 200 and </w:t>
      </w:r>
      <w:r w:rsidRPr="00FD7E86">
        <w:t xml:space="preserve">10,000 people, ‘remote’ is defined as communities with up to 200 people. </w:t>
      </w:r>
    </w:p>
    <w:p w14:paraId="011C5433" w14:textId="77777777" w:rsidR="00A2339C" w:rsidRPr="00FD7E86" w:rsidRDefault="00A2339C" w:rsidP="00E450B7">
      <w:pPr>
        <w:pStyle w:val="ACMANotes"/>
      </w:pPr>
      <w:r w:rsidRPr="00FD7E86">
        <w:t>Source: Telstra.</w:t>
      </w:r>
    </w:p>
    <w:p w14:paraId="36D6CAB2" w14:textId="77777777" w:rsidR="00E450B7" w:rsidRPr="00FD7E86" w:rsidRDefault="00E450B7" w:rsidP="00216D8C">
      <w:pPr>
        <w:pStyle w:val="ACMASpaceaftertable"/>
        <w:rPr>
          <w:i/>
          <w:sz w:val="16"/>
          <w:szCs w:val="16"/>
        </w:rPr>
      </w:pPr>
    </w:p>
    <w:p w14:paraId="692AE1E9" w14:textId="77777777" w:rsidR="00A2339C" w:rsidRPr="00FD7E86" w:rsidRDefault="001276AF" w:rsidP="000B3AFF">
      <w:pPr>
        <w:pStyle w:val="ACMAHeading1"/>
      </w:pPr>
      <w:bookmarkStart w:id="480" w:name="_Toc433790422"/>
      <w:r w:rsidRPr="00FD7E86">
        <w:t>5.7</w:t>
      </w:r>
      <w:r w:rsidRPr="00FD7E86">
        <w:tab/>
      </w:r>
      <w:r w:rsidRPr="00FD7E86">
        <w:tab/>
      </w:r>
      <w:r w:rsidR="00A2339C" w:rsidRPr="00FD7E86">
        <w:t>Number portability</w:t>
      </w:r>
      <w:bookmarkEnd w:id="480"/>
    </w:p>
    <w:p w14:paraId="2D298562" w14:textId="77777777" w:rsidR="00A2339C" w:rsidRPr="00FD7E86" w:rsidRDefault="00A2339C" w:rsidP="00A2339C">
      <w:pPr>
        <w:keepNext/>
        <w:spacing w:after="80"/>
        <w:rPr>
          <w:rFonts w:cs="Arial"/>
        </w:rPr>
      </w:pPr>
      <w:bookmarkStart w:id="481" w:name="_Toc371589060"/>
      <w:bookmarkStart w:id="482" w:name="_Toc373149122"/>
      <w:r w:rsidRPr="00FD7E86">
        <w:rPr>
          <w:rFonts w:cs="Arial"/>
        </w:rPr>
        <w:t>Number portability allows a customer to keep an existing telephone number when changing service provider. It is available for:</w:t>
      </w:r>
    </w:p>
    <w:p w14:paraId="2CEEBCFF" w14:textId="77777777" w:rsidR="00A2339C" w:rsidRPr="00FD7E86" w:rsidRDefault="00A2339C" w:rsidP="00A2339C">
      <w:pPr>
        <w:pStyle w:val="ListBullet"/>
        <w:keepNext/>
        <w:rPr>
          <w:rFonts w:cs="Arial"/>
        </w:rPr>
      </w:pPr>
      <w:r w:rsidRPr="00FD7E86">
        <w:rPr>
          <w:rFonts w:cs="Arial"/>
        </w:rPr>
        <w:t>local numbers (numbers beginning with the area codes 02, 03, 07 and 08)</w:t>
      </w:r>
    </w:p>
    <w:p w14:paraId="5DD5458C" w14:textId="77777777" w:rsidR="00A2339C" w:rsidRPr="00FD7E86" w:rsidRDefault="00A2339C" w:rsidP="00A2339C">
      <w:pPr>
        <w:pStyle w:val="ListBullet"/>
        <w:rPr>
          <w:rFonts w:cs="Arial"/>
        </w:rPr>
      </w:pPr>
      <w:r w:rsidRPr="00FD7E86">
        <w:rPr>
          <w:rFonts w:cs="Arial"/>
        </w:rPr>
        <w:t>freephone (numbers beginning with 1800) and local rate numbers (numbers beginning with 13</w:t>
      </w:r>
      <w:r w:rsidR="00917C71" w:rsidRPr="00FD7E86">
        <w:rPr>
          <w:rFonts w:cs="Arial"/>
        </w:rPr>
        <w:t xml:space="preserve"> </w:t>
      </w:r>
      <w:r w:rsidRPr="00FD7E86">
        <w:rPr>
          <w:rFonts w:cs="Arial"/>
        </w:rPr>
        <w:t>and</w:t>
      </w:r>
      <w:r w:rsidR="00917C71" w:rsidRPr="00FD7E86">
        <w:rPr>
          <w:rFonts w:cs="Arial"/>
        </w:rPr>
        <w:t xml:space="preserve"> </w:t>
      </w:r>
      <w:r w:rsidRPr="00FD7E86">
        <w:rPr>
          <w:rFonts w:cs="Arial"/>
        </w:rPr>
        <w:t>1300)</w:t>
      </w:r>
    </w:p>
    <w:p w14:paraId="59D9ED91" w14:textId="77777777" w:rsidR="00A2339C" w:rsidRPr="00FD7E86" w:rsidRDefault="00A2339C" w:rsidP="000664F7">
      <w:pPr>
        <w:pStyle w:val="ListBulletLast"/>
      </w:pPr>
      <w:r w:rsidRPr="00FD7E86">
        <w:t xml:space="preserve">mobile numbers. </w:t>
      </w:r>
    </w:p>
    <w:p w14:paraId="187BA81F" w14:textId="77777777" w:rsidR="00A2339C" w:rsidRPr="00FD7E86" w:rsidRDefault="00A2339C" w:rsidP="00053979">
      <w:pPr>
        <w:pStyle w:val="ACMAHeading2"/>
      </w:pPr>
      <w:bookmarkStart w:id="483" w:name="_Toc399331797"/>
      <w:bookmarkStart w:id="484" w:name="_Toc399336978"/>
      <w:bookmarkStart w:id="485" w:name="_Toc402337579"/>
      <w:bookmarkStart w:id="486" w:name="_Toc433790423"/>
      <w:bookmarkEnd w:id="481"/>
      <w:bookmarkEnd w:id="482"/>
      <w:r w:rsidRPr="00FD7E86">
        <w:t>Local number portability</w:t>
      </w:r>
      <w:bookmarkEnd w:id="483"/>
      <w:bookmarkEnd w:id="484"/>
      <w:bookmarkEnd w:id="485"/>
      <w:bookmarkEnd w:id="486"/>
    </w:p>
    <w:p w14:paraId="5AED7BEF" w14:textId="77777777" w:rsidR="00A2339C" w:rsidRPr="00FD7E86" w:rsidRDefault="00A2339C" w:rsidP="00314FB5">
      <w:r w:rsidRPr="00FD7E86">
        <w:t>During 2014–15, 1.22 million local numbers were ported. This represents a significant increase (</w:t>
      </w:r>
      <w:r w:rsidR="00EB221C" w:rsidRPr="00FD7E86">
        <w:t>41 per cent</w:t>
      </w:r>
      <w:r w:rsidRPr="00FD7E86">
        <w:t>) from the 865,522 local numbers ported in 2013–14.</w:t>
      </w:r>
      <w:r w:rsidR="001629D6" w:rsidRPr="00FD7E86">
        <w:t xml:space="preserve"> Table 5.13</w:t>
      </w:r>
      <w:r w:rsidRPr="00FD7E86">
        <w:t xml:space="preserve"> shows there has been a considerable increase of local number ports since 2010–11 (702,369). The Communications Alliance C540:2013 </w:t>
      </w:r>
      <w:r w:rsidRPr="00FD7E86">
        <w:rPr>
          <w:i/>
        </w:rPr>
        <w:t>Local Number Portability Code</w:t>
      </w:r>
      <w:r w:rsidRPr="00FD7E86">
        <w:t xml:space="preserve"> (LNP Code) sets out carrier/CSP operational procedures for porting local numbers. Communications Alliance is continuing to consider LNP arrangements in an </w:t>
      </w:r>
      <w:r w:rsidR="00FB089C" w:rsidRPr="00FD7E86">
        <w:t>nbn</w:t>
      </w:r>
      <w:r w:rsidRPr="00FD7E86">
        <w:t xml:space="preserve"> environment.</w:t>
      </w:r>
    </w:p>
    <w:p w14:paraId="63B87563" w14:textId="77777777" w:rsidR="00A2339C" w:rsidRPr="00FD7E86" w:rsidRDefault="00A2339C" w:rsidP="00053979">
      <w:pPr>
        <w:pStyle w:val="ACMAHeading2"/>
      </w:pPr>
      <w:bookmarkStart w:id="487" w:name="_Toc371589061"/>
      <w:bookmarkStart w:id="488" w:name="_Toc373149123"/>
      <w:bookmarkStart w:id="489" w:name="_Toc399331798"/>
      <w:bookmarkStart w:id="490" w:name="_Toc399336979"/>
      <w:bookmarkStart w:id="491" w:name="_Toc402337580"/>
      <w:bookmarkStart w:id="492" w:name="_Toc433790424"/>
      <w:r w:rsidRPr="00FD7E86">
        <w:lastRenderedPageBreak/>
        <w:t>Freephone and local rate number (FLRN) portability</w:t>
      </w:r>
      <w:bookmarkEnd w:id="487"/>
      <w:bookmarkEnd w:id="488"/>
      <w:bookmarkEnd w:id="489"/>
      <w:bookmarkEnd w:id="490"/>
      <w:bookmarkEnd w:id="491"/>
      <w:bookmarkEnd w:id="492"/>
    </w:p>
    <w:p w14:paraId="367C3094" w14:textId="77777777" w:rsidR="00A2339C" w:rsidRPr="00FD7E86" w:rsidRDefault="00A2339C" w:rsidP="00314FB5">
      <w:r w:rsidRPr="00FD7E86">
        <w:t xml:space="preserve">Industry Number Management Services Ltd (INMS) is an industry-owned not-for-profit company that allocates 13/1300/1800 numbers (FLRNs) on behalf of the ACMA (excluding smartnumbers auctioned by the ACMA). The INMS also facilitates the portability of all FLRNS on behalf of the industry. There were 12,495 FLRNs ported during 2014–15, a 13 per cent increase on the 11,088 FLRNs ported during </w:t>
      </w:r>
      <w:r w:rsidR="003212C4">
        <w:br/>
      </w:r>
      <w:r w:rsidRPr="00FD7E86">
        <w:t>2013–14 (</w:t>
      </w:r>
      <w:r w:rsidR="00F8538A" w:rsidRPr="00FD7E86">
        <w:t>Table 5.1</w:t>
      </w:r>
      <w:r w:rsidRPr="00FD7E86">
        <w:t xml:space="preserve">3). </w:t>
      </w:r>
    </w:p>
    <w:p w14:paraId="556080E5" w14:textId="77777777" w:rsidR="00A2339C" w:rsidRPr="00FD7E86" w:rsidRDefault="00A2339C" w:rsidP="00053979">
      <w:pPr>
        <w:pStyle w:val="ACMAHeading2"/>
      </w:pPr>
      <w:bookmarkStart w:id="493" w:name="_Toc371589062"/>
      <w:bookmarkStart w:id="494" w:name="_Toc373149124"/>
      <w:bookmarkStart w:id="495" w:name="_Toc399331799"/>
      <w:bookmarkStart w:id="496" w:name="_Toc399336980"/>
      <w:bookmarkStart w:id="497" w:name="_Toc402337581"/>
      <w:bookmarkStart w:id="498" w:name="_Toc433790425"/>
      <w:r w:rsidRPr="00FD7E86">
        <w:t>Mobile number portability</w:t>
      </w:r>
      <w:bookmarkEnd w:id="493"/>
      <w:bookmarkEnd w:id="494"/>
      <w:bookmarkEnd w:id="495"/>
      <w:bookmarkEnd w:id="496"/>
      <w:bookmarkEnd w:id="497"/>
      <w:bookmarkEnd w:id="498"/>
    </w:p>
    <w:p w14:paraId="723DB6F1" w14:textId="77777777" w:rsidR="00A2339C" w:rsidRPr="00FD7E86" w:rsidRDefault="00A2339C" w:rsidP="00314FB5">
      <w:r w:rsidRPr="00FD7E86">
        <w:t>Mobile number portability enables a mobile telephone user to retain a mobile number when changing from one mobile provider to another. Most mobile ports are completed within a few hours. During 2014–15, there were 1.72 million ports, an increase of three per cent on the 1.67</w:t>
      </w:r>
      <w:r w:rsidR="00917C71" w:rsidRPr="00FD7E86">
        <w:t xml:space="preserve"> </w:t>
      </w:r>
      <w:r w:rsidRPr="00FD7E86">
        <w:t>million ports completed in</w:t>
      </w:r>
      <w:r w:rsidR="00917C71" w:rsidRPr="00FD7E86">
        <w:t xml:space="preserve"> </w:t>
      </w:r>
      <w:r w:rsidRPr="00FD7E86">
        <w:t xml:space="preserve">2013–14. Mobile number portability is regulated by the provisions of the C570:2009 </w:t>
      </w:r>
      <w:r w:rsidRPr="00FD7E86">
        <w:rPr>
          <w:i/>
        </w:rPr>
        <w:t xml:space="preserve">Mobile Number Portability Code </w:t>
      </w:r>
      <w:r w:rsidRPr="00FD7E86">
        <w:t>developed by C</w:t>
      </w:r>
      <w:r w:rsidR="00F461A0" w:rsidRPr="00FD7E86">
        <w:t xml:space="preserve">ommunications </w:t>
      </w:r>
      <w:r w:rsidRPr="00FD7E86">
        <w:t>A</w:t>
      </w:r>
      <w:r w:rsidR="00F461A0" w:rsidRPr="00FD7E86">
        <w:t>lliance</w:t>
      </w:r>
      <w:r w:rsidRPr="00FD7E86">
        <w:t>.</w:t>
      </w:r>
    </w:p>
    <w:p w14:paraId="44A02F04" w14:textId="77777777" w:rsidR="00A2339C" w:rsidRPr="00FD7E86" w:rsidRDefault="00053979" w:rsidP="00053979">
      <w:pPr>
        <w:pStyle w:val="ACMATableHeader"/>
        <w:numPr>
          <w:ilvl w:val="0"/>
          <w:numId w:val="0"/>
        </w:numPr>
        <w:ind w:left="964" w:hanging="964"/>
        <w:rPr>
          <w:i/>
        </w:rPr>
      </w:pPr>
      <w:r w:rsidRPr="00FD7E86">
        <w:rPr>
          <w:rFonts w:cs="Arial"/>
        </w:rPr>
        <w:t xml:space="preserve">Table 5.13 </w:t>
      </w:r>
      <w:r w:rsidR="00A2339C" w:rsidRPr="00FD7E86">
        <w:rPr>
          <w:rFonts w:cs="Arial"/>
        </w:rPr>
        <w:t>Number portability</w:t>
      </w:r>
    </w:p>
    <w:tbl>
      <w:tblPr>
        <w:tblStyle w:val="Commsreport2014-15TABLE"/>
        <w:tblW w:w="9429" w:type="dxa"/>
        <w:tblLayout w:type="fixed"/>
        <w:tblLook w:val="01E0" w:firstRow="1" w:lastRow="1" w:firstColumn="1" w:lastColumn="1" w:noHBand="0" w:noVBand="0"/>
        <w:tblCaption w:val="Table 5.13 Number portability"/>
      </w:tblPr>
      <w:tblGrid>
        <w:gridCol w:w="2610"/>
        <w:gridCol w:w="1363"/>
        <w:gridCol w:w="1364"/>
        <w:gridCol w:w="1364"/>
        <w:gridCol w:w="1364"/>
        <w:gridCol w:w="1364"/>
      </w:tblGrid>
      <w:tr w:rsidR="00A2339C" w:rsidRPr="0021202A" w14:paraId="59B18E77"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665" w:type="dxa"/>
          </w:tcPr>
          <w:p w14:paraId="503882D8" w14:textId="77777777" w:rsidR="00A2339C" w:rsidRPr="0021202A" w:rsidRDefault="00A2339C" w:rsidP="0021202A">
            <w:pPr>
              <w:pStyle w:val="TableHeading"/>
              <w:spacing w:before="20" w:after="20"/>
              <w:rPr>
                <w:b/>
              </w:rPr>
            </w:pPr>
            <w:r w:rsidRPr="0021202A">
              <w:rPr>
                <w:b/>
              </w:rPr>
              <w:t xml:space="preserve">Numbers ported </w:t>
            </w:r>
          </w:p>
        </w:tc>
        <w:tc>
          <w:tcPr>
            <w:tcW w:w="1389" w:type="dxa"/>
          </w:tcPr>
          <w:p w14:paraId="230082DE"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2010–11</w:t>
            </w:r>
          </w:p>
        </w:tc>
        <w:tc>
          <w:tcPr>
            <w:tcW w:w="1389" w:type="dxa"/>
          </w:tcPr>
          <w:p w14:paraId="65A955CA"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2011–12</w:t>
            </w:r>
          </w:p>
        </w:tc>
        <w:tc>
          <w:tcPr>
            <w:tcW w:w="1389" w:type="dxa"/>
          </w:tcPr>
          <w:p w14:paraId="2C4D09BD"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2012–13</w:t>
            </w:r>
          </w:p>
        </w:tc>
        <w:tc>
          <w:tcPr>
            <w:tcW w:w="1389" w:type="dxa"/>
          </w:tcPr>
          <w:p w14:paraId="227B6BF5"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2013–14</w:t>
            </w:r>
          </w:p>
        </w:tc>
        <w:tc>
          <w:tcPr>
            <w:tcW w:w="1389" w:type="dxa"/>
          </w:tcPr>
          <w:p w14:paraId="73E956BD" w14:textId="77777777" w:rsidR="00A2339C" w:rsidRPr="0021202A" w:rsidRDefault="00A2339C" w:rsidP="0021202A">
            <w:pPr>
              <w:pStyle w:val="TableHeading"/>
              <w:spacing w:before="20" w:after="20"/>
              <w:jc w:val="center"/>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r>
      <w:tr w:rsidR="00A2339C" w:rsidRPr="00FD7E86" w14:paraId="7120B55A"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65" w:type="dxa"/>
          </w:tcPr>
          <w:p w14:paraId="0BB3442D" w14:textId="77777777" w:rsidR="00A2339C" w:rsidRPr="002B4947" w:rsidRDefault="00A2339C" w:rsidP="003708BA">
            <w:pPr>
              <w:spacing w:before="120" w:after="120"/>
              <w:ind w:right="134"/>
              <w:rPr>
                <w:rFonts w:cs="Arial"/>
                <w:color w:val="auto"/>
                <w:szCs w:val="18"/>
              </w:rPr>
            </w:pPr>
            <w:r w:rsidRPr="002B4947">
              <w:rPr>
                <w:rFonts w:cs="Arial"/>
                <w:color w:val="auto"/>
                <w:szCs w:val="18"/>
              </w:rPr>
              <w:t xml:space="preserve">Local </w:t>
            </w:r>
          </w:p>
        </w:tc>
        <w:tc>
          <w:tcPr>
            <w:tcW w:w="1389" w:type="dxa"/>
          </w:tcPr>
          <w:p w14:paraId="774B16C2"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702,369</w:t>
            </w:r>
          </w:p>
        </w:tc>
        <w:tc>
          <w:tcPr>
            <w:tcW w:w="1389" w:type="dxa"/>
          </w:tcPr>
          <w:p w14:paraId="16B51B52"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627,160</w:t>
            </w:r>
          </w:p>
        </w:tc>
        <w:tc>
          <w:tcPr>
            <w:tcW w:w="1389" w:type="dxa"/>
          </w:tcPr>
          <w:p w14:paraId="3CE5E298"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763,422</w:t>
            </w:r>
          </w:p>
        </w:tc>
        <w:tc>
          <w:tcPr>
            <w:tcW w:w="1389" w:type="dxa"/>
          </w:tcPr>
          <w:p w14:paraId="5A32B7D6"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 xml:space="preserve">865,522* </w:t>
            </w:r>
          </w:p>
        </w:tc>
        <w:tc>
          <w:tcPr>
            <w:tcW w:w="1389" w:type="dxa"/>
          </w:tcPr>
          <w:p w14:paraId="66C365AE"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1,223,599</w:t>
            </w:r>
          </w:p>
        </w:tc>
      </w:tr>
      <w:tr w:rsidR="00A2339C" w:rsidRPr="00FD7E86" w14:paraId="46547D77"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65" w:type="dxa"/>
          </w:tcPr>
          <w:p w14:paraId="0EDA222D" w14:textId="77777777" w:rsidR="00A2339C" w:rsidRPr="002B4947" w:rsidRDefault="00A2339C" w:rsidP="003708BA">
            <w:pPr>
              <w:spacing w:before="120" w:after="120"/>
              <w:ind w:right="134"/>
              <w:rPr>
                <w:rFonts w:cs="Arial"/>
                <w:color w:val="auto"/>
                <w:szCs w:val="18"/>
              </w:rPr>
            </w:pPr>
            <w:r w:rsidRPr="002B4947">
              <w:rPr>
                <w:rFonts w:cs="Arial"/>
                <w:color w:val="auto"/>
                <w:szCs w:val="18"/>
              </w:rPr>
              <w:t>Freephone and local rate</w:t>
            </w:r>
          </w:p>
        </w:tc>
        <w:tc>
          <w:tcPr>
            <w:tcW w:w="1389" w:type="dxa"/>
          </w:tcPr>
          <w:p w14:paraId="615DE226"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18,830</w:t>
            </w:r>
          </w:p>
        </w:tc>
        <w:tc>
          <w:tcPr>
            <w:tcW w:w="1389" w:type="dxa"/>
          </w:tcPr>
          <w:p w14:paraId="69B9C8C8"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12,814</w:t>
            </w:r>
          </w:p>
        </w:tc>
        <w:tc>
          <w:tcPr>
            <w:tcW w:w="1389" w:type="dxa"/>
          </w:tcPr>
          <w:p w14:paraId="17589FF6"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13,096</w:t>
            </w:r>
          </w:p>
        </w:tc>
        <w:tc>
          <w:tcPr>
            <w:tcW w:w="1389" w:type="dxa"/>
          </w:tcPr>
          <w:p w14:paraId="3DFD6B25"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11,088</w:t>
            </w:r>
          </w:p>
        </w:tc>
        <w:tc>
          <w:tcPr>
            <w:tcW w:w="1389" w:type="dxa"/>
          </w:tcPr>
          <w:p w14:paraId="3E044EEC"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12,495</w:t>
            </w:r>
          </w:p>
        </w:tc>
      </w:tr>
      <w:tr w:rsidR="00A2339C" w:rsidRPr="00FD7E86" w14:paraId="00E5ED00"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665" w:type="dxa"/>
          </w:tcPr>
          <w:p w14:paraId="325E0DE1" w14:textId="77777777" w:rsidR="00A2339C" w:rsidRPr="002B4947" w:rsidRDefault="00A2339C" w:rsidP="003708BA">
            <w:pPr>
              <w:spacing w:before="120" w:after="120"/>
              <w:ind w:right="134"/>
              <w:rPr>
                <w:rFonts w:cs="Arial"/>
                <w:color w:val="auto"/>
                <w:szCs w:val="18"/>
              </w:rPr>
            </w:pPr>
            <w:r w:rsidRPr="002B4947">
              <w:rPr>
                <w:rFonts w:cs="Arial"/>
                <w:color w:val="auto"/>
                <w:szCs w:val="18"/>
              </w:rPr>
              <w:t>Mobile</w:t>
            </w:r>
          </w:p>
        </w:tc>
        <w:tc>
          <w:tcPr>
            <w:tcW w:w="1389" w:type="dxa"/>
          </w:tcPr>
          <w:p w14:paraId="5D474DCC"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1,896,016</w:t>
            </w:r>
          </w:p>
        </w:tc>
        <w:tc>
          <w:tcPr>
            <w:tcW w:w="1389" w:type="dxa"/>
          </w:tcPr>
          <w:p w14:paraId="13807BE1"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2,627,350</w:t>
            </w:r>
          </w:p>
        </w:tc>
        <w:tc>
          <w:tcPr>
            <w:tcW w:w="1389" w:type="dxa"/>
          </w:tcPr>
          <w:p w14:paraId="431D2860"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1,743,485</w:t>
            </w:r>
          </w:p>
        </w:tc>
        <w:tc>
          <w:tcPr>
            <w:tcW w:w="1389" w:type="dxa"/>
          </w:tcPr>
          <w:p w14:paraId="50A2C936"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1,668,163</w:t>
            </w:r>
          </w:p>
        </w:tc>
        <w:tc>
          <w:tcPr>
            <w:tcW w:w="1389" w:type="dxa"/>
          </w:tcPr>
          <w:p w14:paraId="100DEA65" w14:textId="77777777" w:rsidR="00A2339C" w:rsidRPr="00FD7E86" w:rsidRDefault="00A2339C" w:rsidP="003708BA">
            <w:pPr>
              <w:spacing w:before="120" w:after="120"/>
              <w:ind w:right="285"/>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1,721,284</w:t>
            </w:r>
          </w:p>
        </w:tc>
      </w:tr>
    </w:tbl>
    <w:p w14:paraId="0FC1D758" w14:textId="77777777" w:rsidR="00A2339C" w:rsidRPr="00FD7E86" w:rsidRDefault="00A2339C" w:rsidP="00A2339C">
      <w:pPr>
        <w:pStyle w:val="ACMANotes"/>
      </w:pPr>
      <w:r w:rsidRPr="00FD7E86">
        <w:t>*Figure revised due to one CSP submitting updated data.</w:t>
      </w:r>
    </w:p>
    <w:p w14:paraId="1A6F033E" w14:textId="77777777" w:rsidR="00A2339C" w:rsidRPr="00FD7E86" w:rsidRDefault="00A2339C" w:rsidP="00E450B7">
      <w:pPr>
        <w:pStyle w:val="ACMANotes"/>
      </w:pPr>
      <w:r w:rsidRPr="00FD7E86">
        <w:t>Source: ACMA and INMS.</w:t>
      </w:r>
    </w:p>
    <w:p w14:paraId="2FDC3050" w14:textId="77777777" w:rsidR="00E450B7" w:rsidRPr="00FD7E86" w:rsidRDefault="00E450B7" w:rsidP="00216D8C">
      <w:pPr>
        <w:pStyle w:val="ACMASpaceaftertable"/>
        <w:rPr>
          <w:i/>
          <w:sz w:val="16"/>
          <w:szCs w:val="16"/>
        </w:rPr>
      </w:pPr>
    </w:p>
    <w:p w14:paraId="2D363389" w14:textId="77777777" w:rsidR="00A2339C" w:rsidRPr="00FD7E86" w:rsidRDefault="001276AF" w:rsidP="000B3AFF">
      <w:pPr>
        <w:pStyle w:val="ACMAHeading1"/>
      </w:pPr>
      <w:bookmarkStart w:id="499" w:name="_Toc433790426"/>
      <w:r w:rsidRPr="00FD7E86">
        <w:t>5.8</w:t>
      </w:r>
      <w:r w:rsidRPr="00FD7E86">
        <w:tab/>
      </w:r>
      <w:r w:rsidRPr="00FD7E86">
        <w:tab/>
      </w:r>
      <w:r w:rsidR="00A2339C" w:rsidRPr="00FD7E86">
        <w:t>Cabling regulation</w:t>
      </w:r>
      <w:bookmarkEnd w:id="499"/>
    </w:p>
    <w:p w14:paraId="1363CF06" w14:textId="77777777" w:rsidR="00A2339C" w:rsidRPr="00FD7E86" w:rsidRDefault="00A2339C" w:rsidP="000664F7">
      <w:pPr>
        <w:pStyle w:val="ACMAHeading2"/>
      </w:pPr>
      <w:bookmarkStart w:id="500" w:name="_Toc399331801"/>
      <w:bookmarkStart w:id="501" w:name="_Toc399336982"/>
      <w:bookmarkStart w:id="502" w:name="_Toc402337583"/>
      <w:bookmarkStart w:id="503" w:name="_Toc433790427"/>
      <w:r w:rsidRPr="00FD7E86">
        <w:t>Registered cablers</w:t>
      </w:r>
      <w:bookmarkEnd w:id="500"/>
      <w:bookmarkEnd w:id="501"/>
      <w:bookmarkEnd w:id="502"/>
      <w:bookmarkEnd w:id="503"/>
    </w:p>
    <w:p w14:paraId="7709D681" w14:textId="77777777" w:rsidR="00A2339C" w:rsidRPr="00FD7E86" w:rsidRDefault="00A2339C" w:rsidP="00314FB5">
      <w:r w:rsidRPr="00FD7E86">
        <w:t>All individual cablers who perform customer cabling work connected to the telecommunications network</w:t>
      </w:r>
      <w:r w:rsidR="000E5162" w:rsidRPr="00FD7E86">
        <w:t>,</w:t>
      </w:r>
      <w:r w:rsidRPr="00FD7E86">
        <w:t xml:space="preserve"> or intended for use on the customer side of the network boundary</w:t>
      </w:r>
      <w:r w:rsidR="000E5162" w:rsidRPr="00FD7E86">
        <w:t>,</w:t>
      </w:r>
      <w:r w:rsidRPr="00FD7E86">
        <w:t xml:space="preserve"> must either be registered with an ACMA-accredited registrar as a cabling provider or supervised by a person who is registered.</w:t>
      </w:r>
    </w:p>
    <w:p w14:paraId="4F7719B2" w14:textId="77777777" w:rsidR="00A2339C" w:rsidRPr="00FD7E86" w:rsidRDefault="0094242E" w:rsidP="00314FB5">
      <w:r w:rsidRPr="00FD7E86">
        <w:t xml:space="preserve">Table </w:t>
      </w:r>
      <w:r w:rsidR="00A2339C" w:rsidRPr="00FD7E86">
        <w:t>5.14 shows that the total number of registered cablers in the industry has increased each year since 30 June 2010.</w:t>
      </w:r>
    </w:p>
    <w:p w14:paraId="2721A971" w14:textId="77777777" w:rsidR="00A2339C" w:rsidRPr="00FD7E86" w:rsidRDefault="008D6EC9" w:rsidP="008D6EC9">
      <w:pPr>
        <w:pStyle w:val="ACMATableHeader"/>
        <w:numPr>
          <w:ilvl w:val="0"/>
          <w:numId w:val="0"/>
        </w:numPr>
        <w:ind w:left="964" w:hanging="964"/>
      </w:pPr>
      <w:r w:rsidRPr="00FD7E86">
        <w:t xml:space="preserve">Table 5.14 </w:t>
      </w:r>
      <w:r w:rsidR="00A2339C" w:rsidRPr="00FD7E86">
        <w:t>Total number of licenced/registered cablers</w:t>
      </w:r>
    </w:p>
    <w:tbl>
      <w:tblPr>
        <w:tblStyle w:val="Commsreport2014-15TABLE"/>
        <w:tblW w:w="9429" w:type="dxa"/>
        <w:tblLook w:val="04A0" w:firstRow="1" w:lastRow="0" w:firstColumn="1" w:lastColumn="0" w:noHBand="0" w:noVBand="1"/>
        <w:tblCaption w:val="Table 5.14 Total number of licenced/registered cablers"/>
      </w:tblPr>
      <w:tblGrid>
        <w:gridCol w:w="2360"/>
        <w:gridCol w:w="1179"/>
        <w:gridCol w:w="1178"/>
        <w:gridCol w:w="1178"/>
        <w:gridCol w:w="1178"/>
        <w:gridCol w:w="1178"/>
        <w:gridCol w:w="1178"/>
      </w:tblGrid>
      <w:tr w:rsidR="00A2339C" w:rsidRPr="00FD7E86" w14:paraId="4B06AF27" w14:textId="77777777" w:rsidTr="0021202A">
        <w:trPr>
          <w:cnfStyle w:val="100000000000" w:firstRow="1" w:lastRow="0" w:firstColumn="0" w:lastColumn="0" w:oddVBand="0" w:evenVBand="0" w:oddHBand="0" w:evenHBand="0" w:firstRowFirstColumn="0" w:firstRowLastColumn="0" w:lastRowFirstColumn="0" w:lastRowLastColumn="0"/>
          <w:trHeight w:val="454"/>
          <w:tblHeader/>
        </w:trPr>
        <w:tc>
          <w:tcPr>
            <w:cnfStyle w:val="001000000000" w:firstRow="0" w:lastRow="0" w:firstColumn="1" w:lastColumn="0" w:oddVBand="0" w:evenVBand="0" w:oddHBand="0" w:evenHBand="0" w:firstRowFirstColumn="0" w:firstRowLastColumn="0" w:lastRowFirstColumn="0" w:lastRowLastColumn="0"/>
            <w:tcW w:w="2428" w:type="dxa"/>
            <w:shd w:val="clear" w:color="auto" w:fill="auto"/>
          </w:tcPr>
          <w:p w14:paraId="516E1D7B" w14:textId="77777777" w:rsidR="00A2339C" w:rsidRPr="00FD7E86" w:rsidRDefault="00A2339C" w:rsidP="0021202A">
            <w:pPr>
              <w:pStyle w:val="TableHeading"/>
              <w:jc w:val="right"/>
            </w:pPr>
          </w:p>
        </w:tc>
        <w:tc>
          <w:tcPr>
            <w:tcW w:w="1198" w:type="dxa"/>
          </w:tcPr>
          <w:p w14:paraId="086DD1D3"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Jun-10</w:t>
            </w:r>
          </w:p>
        </w:tc>
        <w:tc>
          <w:tcPr>
            <w:tcW w:w="1197" w:type="dxa"/>
          </w:tcPr>
          <w:p w14:paraId="781752D5"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Jun-11</w:t>
            </w:r>
          </w:p>
        </w:tc>
        <w:tc>
          <w:tcPr>
            <w:tcW w:w="1197" w:type="dxa"/>
          </w:tcPr>
          <w:p w14:paraId="31D1A4A6"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Jun-12</w:t>
            </w:r>
          </w:p>
        </w:tc>
        <w:tc>
          <w:tcPr>
            <w:tcW w:w="1197" w:type="dxa"/>
          </w:tcPr>
          <w:p w14:paraId="52A6441A"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Jun-13</w:t>
            </w:r>
          </w:p>
        </w:tc>
        <w:tc>
          <w:tcPr>
            <w:tcW w:w="1197" w:type="dxa"/>
          </w:tcPr>
          <w:p w14:paraId="4F8F8471"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Jun-14</w:t>
            </w:r>
          </w:p>
        </w:tc>
        <w:tc>
          <w:tcPr>
            <w:tcW w:w="1197" w:type="dxa"/>
          </w:tcPr>
          <w:p w14:paraId="4FD8CB93" w14:textId="77777777" w:rsidR="00A2339C" w:rsidRPr="004E56DE" w:rsidRDefault="00A2339C" w:rsidP="0021202A">
            <w:pPr>
              <w:pStyle w:val="TableHeading"/>
              <w:cnfStyle w:val="100000000000" w:firstRow="1" w:lastRow="0" w:firstColumn="0" w:lastColumn="0" w:oddVBand="0" w:evenVBand="0" w:oddHBand="0" w:evenHBand="0" w:firstRowFirstColumn="0" w:firstRowLastColumn="0" w:lastRowFirstColumn="0" w:lastRowLastColumn="0"/>
              <w:rPr>
                <w:b/>
              </w:rPr>
            </w:pPr>
            <w:r w:rsidRPr="004E56DE">
              <w:rPr>
                <w:b/>
              </w:rPr>
              <w:t>Jun-15</w:t>
            </w:r>
          </w:p>
        </w:tc>
      </w:tr>
      <w:tr w:rsidR="00A2339C" w:rsidRPr="00FD7E86" w14:paraId="5C2E7D2F" w14:textId="77777777" w:rsidTr="000E4F20">
        <w:trPr>
          <w:trHeight w:val="454"/>
        </w:trPr>
        <w:tc>
          <w:tcPr>
            <w:cnfStyle w:val="001000000000" w:firstRow="0" w:lastRow="0" w:firstColumn="1" w:lastColumn="0" w:oddVBand="0" w:evenVBand="0" w:oddHBand="0" w:evenHBand="0" w:firstRowFirstColumn="0" w:firstRowLastColumn="0" w:lastRowFirstColumn="0" w:lastRowLastColumn="0"/>
            <w:tcW w:w="2428" w:type="dxa"/>
          </w:tcPr>
          <w:p w14:paraId="5A7A4275" w14:textId="77777777" w:rsidR="00A2339C" w:rsidRPr="00FD7E86" w:rsidRDefault="00A2339C" w:rsidP="003708BA">
            <w:pPr>
              <w:pStyle w:val="TableHeading"/>
              <w:rPr>
                <w:b w:val="0"/>
              </w:rPr>
            </w:pPr>
            <w:r w:rsidRPr="002B4947">
              <w:rPr>
                <w:b w:val="0"/>
                <w:color w:val="auto"/>
              </w:rPr>
              <w:t>Number of cablers</w:t>
            </w:r>
          </w:p>
        </w:tc>
        <w:tc>
          <w:tcPr>
            <w:tcW w:w="1198" w:type="dxa"/>
          </w:tcPr>
          <w:p w14:paraId="1F5473CC"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64,587</w:t>
            </w:r>
          </w:p>
        </w:tc>
        <w:tc>
          <w:tcPr>
            <w:tcW w:w="1197" w:type="dxa"/>
          </w:tcPr>
          <w:p w14:paraId="05EB252A"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65,696</w:t>
            </w:r>
          </w:p>
        </w:tc>
        <w:tc>
          <w:tcPr>
            <w:tcW w:w="1197" w:type="dxa"/>
          </w:tcPr>
          <w:p w14:paraId="28FD7DBF"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67,637</w:t>
            </w:r>
          </w:p>
        </w:tc>
        <w:tc>
          <w:tcPr>
            <w:tcW w:w="1197" w:type="dxa"/>
          </w:tcPr>
          <w:p w14:paraId="1FCDD8C9"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69,155</w:t>
            </w:r>
          </w:p>
        </w:tc>
        <w:tc>
          <w:tcPr>
            <w:tcW w:w="1197" w:type="dxa"/>
          </w:tcPr>
          <w:p w14:paraId="37026D0A"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71,057</w:t>
            </w:r>
          </w:p>
        </w:tc>
        <w:tc>
          <w:tcPr>
            <w:tcW w:w="1197" w:type="dxa"/>
          </w:tcPr>
          <w:p w14:paraId="731DE030" w14:textId="77777777" w:rsidR="00A2339C" w:rsidRPr="00FD7E86" w:rsidRDefault="00A2339C" w:rsidP="003708BA">
            <w:pPr>
              <w:pStyle w:val="TableHeading"/>
              <w:cnfStyle w:val="000000000000" w:firstRow="0" w:lastRow="0" w:firstColumn="0" w:lastColumn="0" w:oddVBand="0" w:evenVBand="0" w:oddHBand="0" w:evenHBand="0" w:firstRowFirstColumn="0" w:firstRowLastColumn="0" w:lastRowFirstColumn="0" w:lastRowLastColumn="0"/>
              <w:rPr>
                <w:b w:val="0"/>
              </w:rPr>
            </w:pPr>
            <w:r w:rsidRPr="00FD7E86">
              <w:rPr>
                <w:rFonts w:cs="Arial"/>
                <w:b w:val="0"/>
                <w:szCs w:val="18"/>
              </w:rPr>
              <w:t>71,288</w:t>
            </w:r>
          </w:p>
        </w:tc>
      </w:tr>
    </w:tbl>
    <w:p w14:paraId="7E8555B4" w14:textId="77777777" w:rsidR="00A2339C" w:rsidRPr="00FD7E86" w:rsidRDefault="00733CE8" w:rsidP="00E450B7">
      <w:pPr>
        <w:pStyle w:val="ACMANotes"/>
      </w:pPr>
      <w:r w:rsidRPr="00FD7E86">
        <w:t>Source: ACMA.</w:t>
      </w:r>
    </w:p>
    <w:p w14:paraId="5C35CE3A" w14:textId="77777777" w:rsidR="00E450B7" w:rsidRPr="00FD7E86" w:rsidRDefault="00E450B7" w:rsidP="00216D8C">
      <w:pPr>
        <w:pStyle w:val="ACMASpaceaftertable"/>
        <w:rPr>
          <w:i/>
          <w:sz w:val="16"/>
          <w:szCs w:val="16"/>
        </w:rPr>
      </w:pPr>
    </w:p>
    <w:p w14:paraId="17358062" w14:textId="77777777" w:rsidR="00A2339C" w:rsidRPr="00FD7E86" w:rsidRDefault="00A2339C" w:rsidP="00314FB5">
      <w:r w:rsidRPr="00FD7E86">
        <w:t xml:space="preserve">In 2014–15, there were five ACMA-accredited registrars providing registration and other associated services to cablers. </w:t>
      </w:r>
    </w:p>
    <w:p w14:paraId="7A8AE5FF" w14:textId="77777777" w:rsidR="00A2339C" w:rsidRPr="00FD7E86" w:rsidRDefault="00A2339C" w:rsidP="000664F7">
      <w:pPr>
        <w:pStyle w:val="ACMAHeading2"/>
      </w:pPr>
      <w:bookmarkStart w:id="504" w:name="_Toc399331802"/>
      <w:bookmarkStart w:id="505" w:name="_Toc399336983"/>
      <w:bookmarkStart w:id="506" w:name="_Toc402337584"/>
      <w:bookmarkStart w:id="507" w:name="_Toc433790428"/>
      <w:r w:rsidRPr="00FD7E86">
        <w:t>Cabling compliance</w:t>
      </w:r>
      <w:bookmarkEnd w:id="504"/>
      <w:bookmarkEnd w:id="505"/>
      <w:bookmarkEnd w:id="506"/>
      <w:bookmarkEnd w:id="507"/>
    </w:p>
    <w:p w14:paraId="3DA662E5" w14:textId="77777777" w:rsidR="00A2339C" w:rsidRPr="00FD7E86" w:rsidRDefault="00A2339C" w:rsidP="00314FB5">
      <w:r w:rsidRPr="00FD7E86">
        <w:t>The ACMA investigates complaints about non-compliant cabling work or work performed by unregistered cablers. Where appropriate, the ACMA conducts investigations arising from these complaints.</w:t>
      </w:r>
    </w:p>
    <w:p w14:paraId="332CBD64" w14:textId="77777777" w:rsidR="00A2339C" w:rsidRPr="00FD7E86" w:rsidRDefault="00A2339C" w:rsidP="00314FB5">
      <w:r w:rsidRPr="00FD7E86">
        <w:lastRenderedPageBreak/>
        <w:t xml:space="preserve">During 2014–15, the ACMA received 40 cabling-related complaints mainly about contraventions of the </w:t>
      </w:r>
      <w:r w:rsidRPr="00FD7E86">
        <w:rPr>
          <w:rFonts w:cs="Arial"/>
        </w:rPr>
        <w:t xml:space="preserve">Telecommunications Cabling Provider Rules 2000 </w:t>
      </w:r>
      <w:r w:rsidRPr="00FD7E86">
        <w:t xml:space="preserve">or alleged unregistered cablers. During the period, the ACMA also conducted 14 cabling inspections. The ACMA issued two warning notices under </w:t>
      </w:r>
      <w:r w:rsidR="00D70BED" w:rsidRPr="00FD7E86">
        <w:t xml:space="preserve">the </w:t>
      </w:r>
      <w:r w:rsidR="00D70BED" w:rsidRPr="00565BC3">
        <w:rPr>
          <w:i/>
          <w:iCs/>
        </w:rPr>
        <w:t>Telecommunications A</w:t>
      </w:r>
      <w:r w:rsidR="00D70BED" w:rsidRPr="004E1659">
        <w:rPr>
          <w:i/>
          <w:iCs/>
        </w:rPr>
        <w:t>ct</w:t>
      </w:r>
      <w:r w:rsidR="00D70BED" w:rsidRPr="00FD7E86">
        <w:rPr>
          <w:i/>
          <w:iCs/>
        </w:rPr>
        <w:t xml:space="preserve"> 1997 </w:t>
      </w:r>
      <w:r w:rsidR="00D70BED" w:rsidRPr="00FD7E86">
        <w:rPr>
          <w:iCs/>
        </w:rPr>
        <w:t>(</w:t>
      </w:r>
      <w:r w:rsidRPr="00FD7E86">
        <w:t>the Act</w:t>
      </w:r>
      <w:r w:rsidR="00D70BED" w:rsidRPr="00FD7E86">
        <w:t>)</w:t>
      </w:r>
      <w:r w:rsidRPr="00FD7E86">
        <w:t xml:space="preserve"> for unregistered cabling and four warning notices for non-compliant cabling. There were no telecommunications infringement notices issued.</w:t>
      </w:r>
    </w:p>
    <w:p w14:paraId="566A62C5" w14:textId="77777777" w:rsidR="00A2339C" w:rsidRPr="00FD7E86" w:rsidRDefault="001276AF" w:rsidP="000B3AFF">
      <w:pPr>
        <w:pStyle w:val="ACMAHeading1"/>
      </w:pPr>
      <w:bookmarkStart w:id="508" w:name="_Toc433790429"/>
      <w:r w:rsidRPr="00FD7E86">
        <w:t>5.9</w:t>
      </w:r>
      <w:r w:rsidRPr="00FD7E86">
        <w:tab/>
      </w:r>
      <w:r w:rsidRPr="00FD7E86">
        <w:tab/>
      </w:r>
      <w:r w:rsidR="00A2339C" w:rsidRPr="00FD7E86">
        <w:t>Do Not Call Register (DNCR)</w:t>
      </w:r>
      <w:bookmarkEnd w:id="508"/>
    </w:p>
    <w:p w14:paraId="4A5BF74F" w14:textId="77777777" w:rsidR="00A2339C" w:rsidRPr="00FD7E86" w:rsidRDefault="00A2339C" w:rsidP="00314FB5">
      <w:pPr>
        <w:spacing w:after="80"/>
      </w:pPr>
      <w:r w:rsidRPr="00FD7E86">
        <w:t>The DNCR is a secure database that allows people to list their numbers to opt out of receiving most unsolicited telemarketing calls and marketing faxes. A number is eligible to be registered if it is:</w:t>
      </w:r>
    </w:p>
    <w:p w14:paraId="452B6013" w14:textId="77777777" w:rsidR="00A2339C" w:rsidRPr="00FD7E86" w:rsidRDefault="00A2339C" w:rsidP="00A2339C">
      <w:pPr>
        <w:pStyle w:val="ListBullet"/>
      </w:pPr>
      <w:r w:rsidRPr="00FD7E86">
        <w:t>used or maintained primarily for private or domestic purposes</w:t>
      </w:r>
    </w:p>
    <w:p w14:paraId="2C119298" w14:textId="77777777" w:rsidR="00A2339C" w:rsidRPr="00FD7E86" w:rsidRDefault="00A2339C" w:rsidP="00A2339C">
      <w:pPr>
        <w:pStyle w:val="ListBullet"/>
      </w:pPr>
      <w:r w:rsidRPr="00FD7E86">
        <w:t>used for transmitting and/or receiving faxes</w:t>
      </w:r>
    </w:p>
    <w:p w14:paraId="393194F4" w14:textId="77777777" w:rsidR="00A2339C" w:rsidRPr="00FD7E86" w:rsidRDefault="00A2339C" w:rsidP="00A2339C">
      <w:pPr>
        <w:pStyle w:val="ListBullet"/>
      </w:pPr>
      <w:r w:rsidRPr="00FD7E86">
        <w:t>used exclusively by a government body</w:t>
      </w:r>
    </w:p>
    <w:p w14:paraId="3E2C3646" w14:textId="77777777" w:rsidR="00A2339C" w:rsidRPr="00FD7E86" w:rsidRDefault="00A2339C" w:rsidP="000664F7">
      <w:pPr>
        <w:pStyle w:val="ListBulletLast"/>
      </w:pPr>
      <w:r w:rsidRPr="00FD7E86">
        <w:t>an emergency service number.</w:t>
      </w:r>
    </w:p>
    <w:p w14:paraId="412AE8E8" w14:textId="77777777" w:rsidR="00A2339C" w:rsidRPr="00FD7E86" w:rsidRDefault="00A2339C" w:rsidP="00A2339C">
      <w:pPr>
        <w:rPr>
          <w:rFonts w:cs="Arial"/>
        </w:rPr>
      </w:pPr>
      <w:r w:rsidRPr="00FD7E86">
        <w:rPr>
          <w:rFonts w:cs="Arial"/>
        </w:rPr>
        <w:t>In 2014–15, 660,000 numbers were added to the DNCR, taking the total amount of numbers listed on the register to 10.26 million.</w:t>
      </w:r>
    </w:p>
    <w:p w14:paraId="2635DF14" w14:textId="77777777" w:rsidR="00A2339C" w:rsidRPr="00FD7E86" w:rsidRDefault="00A2339C" w:rsidP="00314FB5">
      <w:r w:rsidRPr="00FD7E86">
        <w:t xml:space="preserve">To avoid breaching the </w:t>
      </w:r>
      <w:r w:rsidR="00556F0A" w:rsidRPr="00FD7E86">
        <w:rPr>
          <w:i/>
        </w:rPr>
        <w:t xml:space="preserve">Do Not Call Register Act 2006 </w:t>
      </w:r>
      <w:r w:rsidR="00556F0A" w:rsidRPr="00FD7E86">
        <w:t>(</w:t>
      </w:r>
      <w:r w:rsidRPr="00FD7E86">
        <w:t>DNCR Act</w:t>
      </w:r>
      <w:r w:rsidR="00556F0A" w:rsidRPr="00FD7E86">
        <w:t>)</w:t>
      </w:r>
      <w:r w:rsidRPr="00FD7E86">
        <w:t>, telemarketers and fax marketers are able to submit their contact lists to the DNCR operator for checking, or ‘washing’, against the DNCR. During 2014–15, 1,096 telemarketers and fax marketers submitted over 960 million numbers for checking (Figure 5.6).</w:t>
      </w:r>
    </w:p>
    <w:p w14:paraId="7BBBD116" w14:textId="77777777" w:rsidR="00A2339C" w:rsidRPr="00FD7E86" w:rsidRDefault="008D6EC9" w:rsidP="00C05F4C">
      <w:pPr>
        <w:pStyle w:val="Captionfigure"/>
        <w:numPr>
          <w:ilvl w:val="0"/>
          <w:numId w:val="0"/>
        </w:numPr>
        <w:spacing w:after="160"/>
        <w:ind w:left="1021" w:hanging="1021"/>
      </w:pPr>
      <w:r w:rsidRPr="00FD7E86">
        <w:t xml:space="preserve">Figure 5.6 </w:t>
      </w:r>
      <w:r w:rsidR="00A2339C" w:rsidRPr="00FD7E86">
        <w:t>Numbers submitted for checking against the DNCR (billions)</w:t>
      </w:r>
    </w:p>
    <w:p w14:paraId="6F513C7D" w14:textId="77777777" w:rsidR="00A2339C" w:rsidRPr="00FD7E86" w:rsidRDefault="00A93770" w:rsidP="00C05F4C">
      <w:pPr>
        <w:pStyle w:val="ACMAFigureHeader"/>
        <w:numPr>
          <w:ilvl w:val="0"/>
          <w:numId w:val="0"/>
        </w:numPr>
        <w:spacing w:after="0"/>
      </w:pPr>
      <w:r>
        <w:rPr>
          <w:noProof/>
        </w:rPr>
        <w:drawing>
          <wp:inline distT="0" distB="0" distL="0" distR="0" wp14:anchorId="07F61F25" wp14:editId="5750D21A">
            <wp:extent cx="5939790" cy="1591310"/>
            <wp:effectExtent l="0" t="0" r="0" b="0"/>
            <wp:docPr id="6" name="Picture 6" descr="A .csv file of Figure 5.6 is available on the landing page ‘Communications report 2014–15’, available from the ACMA website. " title="Figure 5.6 Numbers submitted for checking against the DNCR (bill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hapter 5_Figure 5.6.png"/>
                    <pic:cNvPicPr/>
                  </pic:nvPicPr>
                  <pic:blipFill>
                    <a:blip r:embed="rId126">
                      <a:extLst>
                        <a:ext uri="{28A0092B-C50C-407E-A947-70E740481C1C}">
                          <a14:useLocalDpi xmlns:a14="http://schemas.microsoft.com/office/drawing/2010/main" val="0"/>
                        </a:ext>
                      </a:extLst>
                    </a:blip>
                    <a:stretch>
                      <a:fillRect/>
                    </a:stretch>
                  </pic:blipFill>
                  <pic:spPr>
                    <a:xfrm>
                      <a:off x="0" y="0"/>
                      <a:ext cx="5939790" cy="1591310"/>
                    </a:xfrm>
                    <a:prstGeom prst="rect">
                      <a:avLst/>
                    </a:prstGeom>
                  </pic:spPr>
                </pic:pic>
              </a:graphicData>
            </a:graphic>
          </wp:inline>
        </w:drawing>
      </w:r>
    </w:p>
    <w:p w14:paraId="1A8A7F39" w14:textId="77777777" w:rsidR="00A2339C" w:rsidRPr="00FD7E86" w:rsidRDefault="00A2339C" w:rsidP="00A2339C">
      <w:pPr>
        <w:pStyle w:val="ACMANotes"/>
      </w:pPr>
      <w:r w:rsidRPr="00FD7E86">
        <w:t>Base: Numbers submitted for checking.</w:t>
      </w:r>
    </w:p>
    <w:p w14:paraId="4E3F7244" w14:textId="77777777" w:rsidR="00A2339C" w:rsidRPr="00FD7E86" w:rsidRDefault="00A2339C" w:rsidP="00E450B7">
      <w:pPr>
        <w:pStyle w:val="ACMANotes"/>
      </w:pPr>
      <w:r w:rsidRPr="00FD7E86">
        <w:t>Source: Register operator (service Stream Solutions Pty Ltd) reports to the ACMA.</w:t>
      </w:r>
    </w:p>
    <w:p w14:paraId="730F7C42" w14:textId="77777777" w:rsidR="00E450B7" w:rsidRPr="00FD7E86" w:rsidRDefault="00E450B7" w:rsidP="00216D8C">
      <w:pPr>
        <w:pStyle w:val="ACMASpaceaftertable"/>
        <w:rPr>
          <w:i/>
          <w:sz w:val="16"/>
          <w:szCs w:val="16"/>
        </w:rPr>
      </w:pPr>
    </w:p>
    <w:p w14:paraId="341EDCD9" w14:textId="77777777" w:rsidR="00A2339C" w:rsidRPr="00FD7E86" w:rsidRDefault="001276AF" w:rsidP="000B3AFF">
      <w:pPr>
        <w:pStyle w:val="ACMAHeading1"/>
      </w:pPr>
      <w:bookmarkStart w:id="509" w:name="_Toc433790430"/>
      <w:r w:rsidRPr="00FD7E86">
        <w:t>5.10</w:t>
      </w:r>
      <w:r w:rsidRPr="00FD7E86">
        <w:tab/>
      </w:r>
      <w:r w:rsidR="00A2339C" w:rsidRPr="00FD7E86">
        <w:t>Unsolicited communications—spam and telemarketing</w:t>
      </w:r>
      <w:bookmarkEnd w:id="509"/>
    </w:p>
    <w:p w14:paraId="1F0B47D3" w14:textId="77777777" w:rsidR="00A2339C" w:rsidRPr="00FD7E86" w:rsidRDefault="00A2339C" w:rsidP="00314FB5">
      <w:r w:rsidRPr="00FD7E86">
        <w:t>The ACMA is responsible for compliance and enforcement of the</w:t>
      </w:r>
      <w:r w:rsidR="001D4E81" w:rsidRPr="00FD7E86">
        <w:t xml:space="preserve"> DNCR Act</w:t>
      </w:r>
      <w:r w:rsidRPr="00FD7E86">
        <w:t xml:space="preserve">, the </w:t>
      </w:r>
      <w:r w:rsidRPr="00FD7E86">
        <w:rPr>
          <w:i/>
        </w:rPr>
        <w:t xml:space="preserve">Spam Act 2003 </w:t>
      </w:r>
      <w:r w:rsidRPr="00FD7E86">
        <w:t>(Spam Act), the Telemarketing and Research Industry Standard 2007 and the Fax Marketing Industry Standard 2011. This regulation is designed to minimise the impact on Australians of unsolicited telemarketing, fax marketing and commercial electronic messages including email, SMS, MMS and instant messaging.</w:t>
      </w:r>
    </w:p>
    <w:p w14:paraId="0ECF3F13" w14:textId="77777777" w:rsidR="00A2339C" w:rsidRPr="00FD7E86" w:rsidRDefault="00A2339C" w:rsidP="00314FB5">
      <w:r w:rsidRPr="00FD7E86">
        <w:rPr>
          <w:rFonts w:cs="Arial"/>
        </w:rPr>
        <w:t xml:space="preserve">In </w:t>
      </w:r>
      <w:r w:rsidRPr="00FD7E86">
        <w:t>2014–15, the number of telemarketing complaints received by the ACMA fell by 10.6 per cent. The overall number of fax marketing complaints remained very low, decreasing by a further 57 per cent.</w:t>
      </w:r>
    </w:p>
    <w:p w14:paraId="3FB37213" w14:textId="77777777" w:rsidR="00A2339C" w:rsidRPr="00FD7E86" w:rsidRDefault="00A2339C" w:rsidP="00314FB5">
      <w:r w:rsidRPr="00FD7E86">
        <w:t>The number of complaints and reports about commercial electronic messages (spam) received by the ACMA in 2014–15 increased slightly, by 0.87 per cent.</w:t>
      </w:r>
    </w:p>
    <w:p w14:paraId="622C2941" w14:textId="77777777" w:rsidR="00A2339C" w:rsidRPr="00FD7E86" w:rsidRDefault="00A2339C" w:rsidP="00314FB5">
      <w:r w:rsidRPr="00FD7E86">
        <w:t xml:space="preserve">Complaints and reports from Australian consumers about unsolicited communications are used by the ACMA to identify businesses that may be in breach of the legislation. In addressing business non-compliance, the ACMA takes a graduated approach that begins with educating, advising or informally </w:t>
      </w:r>
      <w:r w:rsidRPr="00FD7E86">
        <w:lastRenderedPageBreak/>
        <w:t xml:space="preserve">warning businesses that may potentially be in breach of the legislation. The ACMA has found that the majority of businesses address compliance issues after just one contact from the ACMA advising of suspected non-compliance. When businesses do not respond favourably to these informal communications, cases may be escalated, including to formal investigations. </w:t>
      </w:r>
    </w:p>
    <w:p w14:paraId="53378119" w14:textId="77777777" w:rsidR="00A2339C" w:rsidRPr="00FD7E86" w:rsidRDefault="00A2339C" w:rsidP="00314FB5">
      <w:r w:rsidRPr="00FD7E86">
        <w:t>Table 5.15 below summarises the number of complaints, reports and enquiries received by the ACMA and the levels of the ACMA’s compli</w:t>
      </w:r>
      <w:r w:rsidR="007E2BC9" w:rsidRPr="00FD7E86">
        <w:t xml:space="preserve">ance and enforcement activity. </w:t>
      </w:r>
    </w:p>
    <w:p w14:paraId="136077CC" w14:textId="77777777" w:rsidR="00A2339C" w:rsidRPr="00FD7E86" w:rsidRDefault="00031959" w:rsidP="00314FB5">
      <w:pPr>
        <w:pStyle w:val="ACMATableHeader"/>
        <w:keepNext/>
        <w:keepLines/>
        <w:numPr>
          <w:ilvl w:val="0"/>
          <w:numId w:val="0"/>
        </w:numPr>
        <w:rPr>
          <w:rFonts w:cs="Arial"/>
        </w:rPr>
      </w:pPr>
      <w:r w:rsidRPr="00FD7E86">
        <w:t xml:space="preserve">Table 5.15 </w:t>
      </w:r>
      <w:r w:rsidR="00A2339C" w:rsidRPr="00FD7E86">
        <w:t>Summary of complaints, reports, enquiries, compliance activities and enforcement</w:t>
      </w:r>
    </w:p>
    <w:tbl>
      <w:tblPr>
        <w:tblStyle w:val="Commsreport2014-15TABLE"/>
        <w:tblW w:w="9429" w:type="dxa"/>
        <w:tblLayout w:type="fixed"/>
        <w:tblLook w:val="04A0" w:firstRow="1" w:lastRow="0" w:firstColumn="1" w:lastColumn="0" w:noHBand="0" w:noVBand="1"/>
        <w:tblCaption w:val="Table 5.15 Summary of complaints, reports, enquiries, compliance activities and enforcement"/>
      </w:tblPr>
      <w:tblGrid>
        <w:gridCol w:w="1454"/>
        <w:gridCol w:w="1876"/>
        <w:gridCol w:w="2121"/>
        <w:gridCol w:w="1326"/>
        <w:gridCol w:w="1326"/>
        <w:gridCol w:w="1326"/>
      </w:tblGrid>
      <w:tr w:rsidR="00A2339C" w:rsidRPr="0021202A" w14:paraId="59073F94" w14:textId="77777777" w:rsidTr="0021202A">
        <w:trPr>
          <w:cnfStyle w:val="100000000000" w:firstRow="1" w:lastRow="0" w:firstColumn="0" w:lastColumn="0" w:oddVBand="0" w:evenVBand="0" w:oddHBand="0" w:evenHBand="0" w:firstRowFirstColumn="0" w:firstRowLastColumn="0" w:lastRowFirstColumn="0" w:lastRowLastColumn="0"/>
          <w:trHeight w:val="435"/>
          <w:tblHeader/>
        </w:trPr>
        <w:tc>
          <w:tcPr>
            <w:cnfStyle w:val="001000000000" w:firstRow="0" w:lastRow="0" w:firstColumn="1" w:lastColumn="0" w:oddVBand="0" w:evenVBand="0" w:oddHBand="0" w:evenHBand="0" w:firstRowFirstColumn="0" w:firstRowLastColumn="0" w:lastRowFirstColumn="0" w:lastRowLastColumn="0"/>
            <w:tcW w:w="1454" w:type="dxa"/>
            <w:shd w:val="clear" w:color="auto" w:fill="auto"/>
            <w:noWrap/>
            <w:hideMark/>
          </w:tcPr>
          <w:p w14:paraId="76E08D2C" w14:textId="77777777" w:rsidR="00A2339C" w:rsidRPr="0021202A" w:rsidRDefault="00A2339C" w:rsidP="0021202A">
            <w:pPr>
              <w:pStyle w:val="TableHeading"/>
              <w:spacing w:before="20"/>
              <w:rPr>
                <w:b/>
              </w:rPr>
            </w:pPr>
          </w:p>
        </w:tc>
        <w:tc>
          <w:tcPr>
            <w:tcW w:w="1876" w:type="dxa"/>
            <w:shd w:val="clear" w:color="auto" w:fill="auto"/>
          </w:tcPr>
          <w:p w14:paraId="1F94B671" w14:textId="77777777" w:rsidR="00A2339C" w:rsidRPr="0021202A" w:rsidRDefault="00A2339C" w:rsidP="0021202A">
            <w:pPr>
              <w:pStyle w:val="TableHeading"/>
              <w:spacing w:before="20"/>
              <w:cnfStyle w:val="100000000000" w:firstRow="1" w:lastRow="0" w:firstColumn="0" w:lastColumn="0" w:oddVBand="0" w:evenVBand="0" w:oddHBand="0" w:evenHBand="0" w:firstRowFirstColumn="0" w:firstRowLastColumn="0" w:lastRowFirstColumn="0" w:lastRowLastColumn="0"/>
              <w:rPr>
                <w:b/>
                <w:bCs/>
              </w:rPr>
            </w:pPr>
          </w:p>
        </w:tc>
        <w:tc>
          <w:tcPr>
            <w:tcW w:w="2121" w:type="dxa"/>
            <w:tcBorders>
              <w:bottom w:val="single" w:sz="24" w:space="0" w:color="FFFFFF" w:themeColor="background1"/>
            </w:tcBorders>
            <w:shd w:val="clear" w:color="auto" w:fill="auto"/>
          </w:tcPr>
          <w:p w14:paraId="2727BE6E" w14:textId="77777777" w:rsidR="00A2339C" w:rsidRPr="0021202A" w:rsidRDefault="00A2339C" w:rsidP="0021202A">
            <w:pPr>
              <w:pStyle w:val="TableHeading"/>
              <w:spacing w:before="20"/>
              <w:cnfStyle w:val="100000000000" w:firstRow="1" w:lastRow="0" w:firstColumn="0" w:lastColumn="0" w:oddVBand="0" w:evenVBand="0" w:oddHBand="0" w:evenHBand="0" w:firstRowFirstColumn="0" w:firstRowLastColumn="0" w:lastRowFirstColumn="0" w:lastRowLastColumn="0"/>
              <w:rPr>
                <w:b/>
                <w:bCs/>
              </w:rPr>
            </w:pPr>
          </w:p>
        </w:tc>
        <w:tc>
          <w:tcPr>
            <w:tcW w:w="1326" w:type="dxa"/>
          </w:tcPr>
          <w:p w14:paraId="3AC15056" w14:textId="77777777" w:rsidR="00A2339C" w:rsidRPr="0021202A" w:rsidRDefault="00A2339C" w:rsidP="0021202A">
            <w:pPr>
              <w:pStyle w:val="TableHeading"/>
              <w:spacing w:before="20"/>
              <w:cnfStyle w:val="100000000000" w:firstRow="1" w:lastRow="0" w:firstColumn="0" w:lastColumn="0" w:oddVBand="0" w:evenVBand="0" w:oddHBand="0" w:evenHBand="0" w:firstRowFirstColumn="0" w:firstRowLastColumn="0" w:lastRowFirstColumn="0" w:lastRowLastColumn="0"/>
              <w:rPr>
                <w:b/>
                <w:bCs/>
              </w:rPr>
            </w:pPr>
            <w:r w:rsidRPr="0021202A">
              <w:rPr>
                <w:b/>
                <w:bCs/>
              </w:rPr>
              <w:t>2013–14</w:t>
            </w:r>
          </w:p>
        </w:tc>
        <w:tc>
          <w:tcPr>
            <w:tcW w:w="1326" w:type="dxa"/>
          </w:tcPr>
          <w:p w14:paraId="2533CCEF" w14:textId="77777777" w:rsidR="00A2339C" w:rsidRPr="0021202A" w:rsidRDefault="00A2339C" w:rsidP="0021202A">
            <w:pPr>
              <w:pStyle w:val="TableHeading"/>
              <w:spacing w:before="20"/>
              <w:cnfStyle w:val="100000000000" w:firstRow="1" w:lastRow="0" w:firstColumn="0" w:lastColumn="0" w:oddVBand="0" w:evenVBand="0" w:oddHBand="0" w:evenHBand="0" w:firstRowFirstColumn="0" w:firstRowLastColumn="0" w:lastRowFirstColumn="0" w:lastRowLastColumn="0"/>
              <w:rPr>
                <w:b/>
                <w:bCs/>
              </w:rPr>
            </w:pPr>
            <w:r w:rsidRPr="0021202A">
              <w:rPr>
                <w:b/>
                <w:bCs/>
              </w:rPr>
              <w:t>2014–15</w:t>
            </w:r>
          </w:p>
        </w:tc>
        <w:tc>
          <w:tcPr>
            <w:tcW w:w="1326" w:type="dxa"/>
            <w:noWrap/>
            <w:hideMark/>
          </w:tcPr>
          <w:p w14:paraId="4F49B08F" w14:textId="77777777" w:rsidR="00A2339C" w:rsidRPr="0021202A" w:rsidRDefault="00016AC7" w:rsidP="0021202A">
            <w:pPr>
              <w:pStyle w:val="TableHeading"/>
              <w:spacing w:before="20"/>
              <w:cnfStyle w:val="100000000000" w:firstRow="1" w:lastRow="0" w:firstColumn="0" w:lastColumn="0" w:oddVBand="0" w:evenVBand="0" w:oddHBand="0" w:evenHBand="0" w:firstRowFirstColumn="0" w:firstRowLastColumn="0" w:lastRowFirstColumn="0" w:lastRowLastColumn="0"/>
              <w:rPr>
                <w:b/>
                <w:bCs/>
              </w:rPr>
            </w:pPr>
            <w:r w:rsidRPr="0021202A">
              <w:rPr>
                <w:b/>
                <w:bCs/>
              </w:rPr>
              <w:t>C</w:t>
            </w:r>
            <w:r w:rsidR="00A2339C" w:rsidRPr="0021202A">
              <w:rPr>
                <w:b/>
                <w:bCs/>
              </w:rPr>
              <w:t>hange</w:t>
            </w:r>
            <w:r w:rsidRPr="0021202A">
              <w:rPr>
                <w:b/>
                <w:bCs/>
              </w:rPr>
              <w:t xml:space="preserve"> (%)</w:t>
            </w:r>
          </w:p>
        </w:tc>
      </w:tr>
      <w:tr w:rsidR="002B4947" w:rsidRPr="00FD7E86" w14:paraId="2F3BB680" w14:textId="77777777" w:rsidTr="00FC7E5C">
        <w:trPr>
          <w:trHeight w:val="435"/>
        </w:trPr>
        <w:tc>
          <w:tcPr>
            <w:cnfStyle w:val="001000000000" w:firstRow="0" w:lastRow="0" w:firstColumn="1" w:lastColumn="0" w:oddVBand="0" w:evenVBand="0" w:oddHBand="0" w:evenHBand="0" w:firstRowFirstColumn="0" w:firstRowLastColumn="0" w:lastRowFirstColumn="0" w:lastRowLastColumn="0"/>
            <w:tcW w:w="1454" w:type="dxa"/>
            <w:vMerge w:val="restart"/>
            <w:noWrap/>
          </w:tcPr>
          <w:p w14:paraId="061F049C" w14:textId="77777777" w:rsidR="002B4947" w:rsidRPr="002B4947" w:rsidRDefault="002B4947" w:rsidP="00314FB5">
            <w:pPr>
              <w:keepNext/>
              <w:keepLines/>
              <w:spacing w:before="60" w:after="60"/>
              <w:rPr>
                <w:color w:val="auto"/>
                <w:szCs w:val="18"/>
              </w:rPr>
            </w:pPr>
            <w:r w:rsidRPr="002B4947">
              <w:rPr>
                <w:rFonts w:cs="Arial"/>
                <w:b/>
                <w:bCs/>
                <w:color w:val="auto"/>
                <w:szCs w:val="18"/>
              </w:rPr>
              <w:t>Complaints and reports*</w:t>
            </w:r>
          </w:p>
        </w:tc>
        <w:tc>
          <w:tcPr>
            <w:tcW w:w="3997" w:type="dxa"/>
            <w:gridSpan w:val="2"/>
            <w:shd w:val="clear" w:color="auto" w:fill="65CDD5" w:themeFill="accent2"/>
          </w:tcPr>
          <w:p w14:paraId="6F00811A" w14:textId="77777777" w:rsidR="002B4947" w:rsidRPr="00FD7E86" w:rsidRDefault="002B4947"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color w:val="000000"/>
                <w:szCs w:val="18"/>
              </w:rPr>
            </w:pPr>
            <w:r w:rsidRPr="00C05F4C">
              <w:rPr>
                <w:szCs w:val="18"/>
              </w:rPr>
              <w:t>Telemarketing complaints</w:t>
            </w:r>
          </w:p>
        </w:tc>
        <w:tc>
          <w:tcPr>
            <w:tcW w:w="1326" w:type="dxa"/>
          </w:tcPr>
          <w:p w14:paraId="0165B7A3" w14:textId="77777777" w:rsidR="002B4947" w:rsidRPr="00FD7E86" w:rsidRDefault="002B4947"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20,232</w:t>
            </w:r>
          </w:p>
        </w:tc>
        <w:tc>
          <w:tcPr>
            <w:tcW w:w="1326" w:type="dxa"/>
          </w:tcPr>
          <w:p w14:paraId="36429EFD"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18,081</w:t>
            </w:r>
          </w:p>
        </w:tc>
        <w:tc>
          <w:tcPr>
            <w:tcW w:w="1326" w:type="dxa"/>
            <w:noWrap/>
          </w:tcPr>
          <w:p w14:paraId="34DA2149"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–10.6</w:t>
            </w:r>
          </w:p>
        </w:tc>
      </w:tr>
      <w:tr w:rsidR="002B4947" w:rsidRPr="00FD7E86" w14:paraId="10335D7B" w14:textId="77777777" w:rsidTr="00FC7E5C">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20D52332" w14:textId="77777777" w:rsidR="002B4947" w:rsidRPr="002B4947" w:rsidRDefault="002B4947" w:rsidP="00314FB5">
            <w:pPr>
              <w:keepNext/>
              <w:keepLines/>
              <w:spacing w:before="60" w:after="60"/>
              <w:rPr>
                <w:color w:val="auto"/>
                <w:szCs w:val="18"/>
              </w:rPr>
            </w:pPr>
          </w:p>
        </w:tc>
        <w:tc>
          <w:tcPr>
            <w:tcW w:w="3997" w:type="dxa"/>
            <w:gridSpan w:val="2"/>
            <w:shd w:val="clear" w:color="auto" w:fill="65CDD5" w:themeFill="accent2"/>
          </w:tcPr>
          <w:p w14:paraId="2BB3EEB6" w14:textId="77777777" w:rsidR="002B4947" w:rsidRPr="00FD7E86" w:rsidRDefault="002B4947"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color w:val="000000"/>
                <w:szCs w:val="18"/>
              </w:rPr>
            </w:pPr>
            <w:r w:rsidRPr="00C05F4C">
              <w:rPr>
                <w:szCs w:val="18"/>
              </w:rPr>
              <w:t>Fax marketing complaints</w:t>
            </w:r>
          </w:p>
        </w:tc>
        <w:tc>
          <w:tcPr>
            <w:tcW w:w="1326" w:type="dxa"/>
          </w:tcPr>
          <w:p w14:paraId="30D982C7" w14:textId="77777777" w:rsidR="002B4947" w:rsidRPr="00FD7E86" w:rsidRDefault="002B4947"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230</w:t>
            </w:r>
          </w:p>
        </w:tc>
        <w:tc>
          <w:tcPr>
            <w:tcW w:w="1326" w:type="dxa"/>
          </w:tcPr>
          <w:p w14:paraId="237ACAC9"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99</w:t>
            </w:r>
          </w:p>
        </w:tc>
        <w:tc>
          <w:tcPr>
            <w:tcW w:w="1326" w:type="dxa"/>
            <w:noWrap/>
          </w:tcPr>
          <w:p w14:paraId="38C2473A"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–57.0</w:t>
            </w:r>
          </w:p>
        </w:tc>
      </w:tr>
      <w:tr w:rsidR="00A2339C" w:rsidRPr="00FD7E86" w14:paraId="685859C0"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1D95F042" w14:textId="77777777" w:rsidR="00A2339C" w:rsidRPr="002B4947" w:rsidRDefault="00A2339C" w:rsidP="00314FB5">
            <w:pPr>
              <w:keepNext/>
              <w:keepLines/>
              <w:spacing w:before="60" w:after="60"/>
              <w:rPr>
                <w:color w:val="auto"/>
                <w:szCs w:val="18"/>
              </w:rPr>
            </w:pPr>
          </w:p>
        </w:tc>
        <w:tc>
          <w:tcPr>
            <w:tcW w:w="1876" w:type="dxa"/>
            <w:vMerge w:val="restart"/>
            <w:shd w:val="clear" w:color="auto" w:fill="65CDD5" w:themeFill="accent2"/>
          </w:tcPr>
          <w:p w14:paraId="1C2ECCC6"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Spam</w:t>
            </w:r>
          </w:p>
        </w:tc>
        <w:tc>
          <w:tcPr>
            <w:tcW w:w="2121" w:type="dxa"/>
            <w:shd w:val="clear" w:color="auto" w:fill="65CDD5" w:themeFill="accent2"/>
          </w:tcPr>
          <w:p w14:paraId="4A7295A1"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Email complaints</w:t>
            </w:r>
          </w:p>
        </w:tc>
        <w:tc>
          <w:tcPr>
            <w:tcW w:w="1326" w:type="dxa"/>
          </w:tcPr>
          <w:p w14:paraId="28E32931"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1,087</w:t>
            </w:r>
          </w:p>
        </w:tc>
        <w:tc>
          <w:tcPr>
            <w:tcW w:w="1326" w:type="dxa"/>
          </w:tcPr>
          <w:p w14:paraId="2DAFFF43"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1,341</w:t>
            </w:r>
          </w:p>
        </w:tc>
        <w:tc>
          <w:tcPr>
            <w:tcW w:w="1326" w:type="dxa"/>
            <w:noWrap/>
          </w:tcPr>
          <w:p w14:paraId="53E08B99"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+23.4</w:t>
            </w:r>
          </w:p>
        </w:tc>
      </w:tr>
      <w:tr w:rsidR="00A2339C" w:rsidRPr="00FD7E86" w14:paraId="4EB58E6D"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20780D8B" w14:textId="77777777" w:rsidR="00A2339C" w:rsidRPr="002B4947" w:rsidRDefault="00A2339C" w:rsidP="00314FB5">
            <w:pPr>
              <w:keepNext/>
              <w:keepLines/>
              <w:spacing w:before="60" w:after="60"/>
              <w:rPr>
                <w:color w:val="auto"/>
                <w:szCs w:val="18"/>
              </w:rPr>
            </w:pPr>
          </w:p>
        </w:tc>
        <w:tc>
          <w:tcPr>
            <w:tcW w:w="1876" w:type="dxa"/>
            <w:vMerge/>
            <w:shd w:val="clear" w:color="auto" w:fill="65CDD5" w:themeFill="accent2"/>
          </w:tcPr>
          <w:p w14:paraId="38AC4B76" w14:textId="77777777" w:rsidR="00A2339C" w:rsidRPr="00C05F4C" w:rsidRDefault="00A2339C" w:rsidP="00314FB5">
            <w:pPr>
              <w:keepNext/>
              <w:keepLines/>
              <w:spacing w:before="60" w:after="60"/>
              <w:ind w:right="340" w:firstLine="318"/>
              <w:cnfStyle w:val="000000000000" w:firstRow="0" w:lastRow="0" w:firstColumn="0" w:lastColumn="0" w:oddVBand="0" w:evenVBand="0" w:oddHBand="0" w:evenHBand="0" w:firstRowFirstColumn="0" w:firstRowLastColumn="0" w:lastRowFirstColumn="0" w:lastRowLastColumn="0"/>
              <w:rPr>
                <w:szCs w:val="18"/>
              </w:rPr>
            </w:pPr>
          </w:p>
        </w:tc>
        <w:tc>
          <w:tcPr>
            <w:tcW w:w="2121" w:type="dxa"/>
            <w:shd w:val="clear" w:color="auto" w:fill="65CDD5" w:themeFill="accent2"/>
          </w:tcPr>
          <w:p w14:paraId="44D7D006"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Email reports</w:t>
            </w:r>
          </w:p>
        </w:tc>
        <w:tc>
          <w:tcPr>
            <w:tcW w:w="1326" w:type="dxa"/>
          </w:tcPr>
          <w:p w14:paraId="26544E13"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337,730</w:t>
            </w:r>
          </w:p>
        </w:tc>
        <w:tc>
          <w:tcPr>
            <w:tcW w:w="1326" w:type="dxa"/>
          </w:tcPr>
          <w:p w14:paraId="0B43E4DB"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 xml:space="preserve">342,607 </w:t>
            </w:r>
          </w:p>
        </w:tc>
        <w:tc>
          <w:tcPr>
            <w:tcW w:w="1326" w:type="dxa"/>
            <w:noWrap/>
          </w:tcPr>
          <w:p w14:paraId="46AF50A4"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+1.4</w:t>
            </w:r>
          </w:p>
        </w:tc>
      </w:tr>
      <w:tr w:rsidR="00A2339C" w:rsidRPr="00FD7E86" w14:paraId="147AA583"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2625C630" w14:textId="77777777" w:rsidR="00A2339C" w:rsidRPr="002B4947" w:rsidRDefault="00A2339C" w:rsidP="00314FB5">
            <w:pPr>
              <w:keepNext/>
              <w:keepLines/>
              <w:spacing w:before="60" w:after="60"/>
              <w:rPr>
                <w:rFonts w:cs="Arial"/>
                <w:b/>
                <w:bCs/>
                <w:color w:val="auto"/>
                <w:szCs w:val="18"/>
              </w:rPr>
            </w:pPr>
          </w:p>
        </w:tc>
        <w:tc>
          <w:tcPr>
            <w:tcW w:w="1876" w:type="dxa"/>
            <w:vMerge/>
            <w:shd w:val="clear" w:color="auto" w:fill="65CDD5" w:themeFill="accent2"/>
          </w:tcPr>
          <w:p w14:paraId="1230EA12" w14:textId="77777777" w:rsidR="00A2339C" w:rsidRPr="00C05F4C" w:rsidRDefault="00A2339C" w:rsidP="00314FB5">
            <w:pPr>
              <w:keepNext/>
              <w:keepLines/>
              <w:spacing w:before="60" w:after="60"/>
              <w:ind w:right="340" w:firstLine="318"/>
              <w:cnfStyle w:val="000000000000" w:firstRow="0" w:lastRow="0" w:firstColumn="0" w:lastColumn="0" w:oddVBand="0" w:evenVBand="0" w:oddHBand="0" w:evenHBand="0" w:firstRowFirstColumn="0" w:firstRowLastColumn="0" w:lastRowFirstColumn="0" w:lastRowLastColumn="0"/>
              <w:rPr>
                <w:szCs w:val="18"/>
              </w:rPr>
            </w:pPr>
          </w:p>
        </w:tc>
        <w:tc>
          <w:tcPr>
            <w:tcW w:w="2121" w:type="dxa"/>
            <w:shd w:val="clear" w:color="auto" w:fill="65CDD5" w:themeFill="accent2"/>
          </w:tcPr>
          <w:p w14:paraId="799064B7"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SMS complaints</w:t>
            </w:r>
          </w:p>
        </w:tc>
        <w:tc>
          <w:tcPr>
            <w:tcW w:w="1326" w:type="dxa"/>
          </w:tcPr>
          <w:p w14:paraId="3374B8D1"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300</w:t>
            </w:r>
          </w:p>
        </w:tc>
        <w:tc>
          <w:tcPr>
            <w:tcW w:w="1326" w:type="dxa"/>
          </w:tcPr>
          <w:p w14:paraId="1FE2F8FA" w14:textId="77777777" w:rsidR="00A2339C" w:rsidRPr="00FD7E86" w:rsidDel="001662AF"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388</w:t>
            </w:r>
          </w:p>
        </w:tc>
        <w:tc>
          <w:tcPr>
            <w:tcW w:w="1326" w:type="dxa"/>
            <w:noWrap/>
          </w:tcPr>
          <w:p w14:paraId="61765A7F"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+29.3</w:t>
            </w:r>
          </w:p>
        </w:tc>
      </w:tr>
      <w:tr w:rsidR="00A2339C" w:rsidRPr="00FD7E86" w14:paraId="05952754"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402C513B" w14:textId="77777777" w:rsidR="00A2339C" w:rsidRPr="002B4947" w:rsidRDefault="00A2339C" w:rsidP="00314FB5">
            <w:pPr>
              <w:keepNext/>
              <w:keepLines/>
              <w:spacing w:before="60" w:after="60"/>
              <w:rPr>
                <w:b/>
                <w:color w:val="auto"/>
                <w:szCs w:val="18"/>
              </w:rPr>
            </w:pPr>
          </w:p>
        </w:tc>
        <w:tc>
          <w:tcPr>
            <w:tcW w:w="1876" w:type="dxa"/>
            <w:vMerge/>
            <w:shd w:val="clear" w:color="auto" w:fill="65CDD5" w:themeFill="accent2"/>
          </w:tcPr>
          <w:p w14:paraId="7F351893" w14:textId="77777777" w:rsidR="00A2339C" w:rsidRPr="00C05F4C" w:rsidRDefault="00A2339C" w:rsidP="00314FB5">
            <w:pPr>
              <w:keepNext/>
              <w:keepLines/>
              <w:spacing w:before="60" w:after="60"/>
              <w:ind w:right="340" w:firstLine="318"/>
              <w:cnfStyle w:val="000000000000" w:firstRow="0" w:lastRow="0" w:firstColumn="0" w:lastColumn="0" w:oddVBand="0" w:evenVBand="0" w:oddHBand="0" w:evenHBand="0" w:firstRowFirstColumn="0" w:firstRowLastColumn="0" w:lastRowFirstColumn="0" w:lastRowLastColumn="0"/>
              <w:rPr>
                <w:szCs w:val="18"/>
              </w:rPr>
            </w:pPr>
          </w:p>
        </w:tc>
        <w:tc>
          <w:tcPr>
            <w:tcW w:w="2121" w:type="dxa"/>
            <w:tcBorders>
              <w:bottom w:val="single" w:sz="24" w:space="0" w:color="FFFFFF" w:themeColor="background1"/>
            </w:tcBorders>
            <w:shd w:val="clear" w:color="auto" w:fill="65CDD5" w:themeFill="accent2"/>
          </w:tcPr>
          <w:p w14:paraId="32FCBEEE"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SMS reports</w:t>
            </w:r>
          </w:p>
        </w:tc>
        <w:tc>
          <w:tcPr>
            <w:tcW w:w="1326" w:type="dxa"/>
          </w:tcPr>
          <w:p w14:paraId="2535904C"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8,862</w:t>
            </w:r>
          </w:p>
        </w:tc>
        <w:tc>
          <w:tcPr>
            <w:tcW w:w="1326" w:type="dxa"/>
          </w:tcPr>
          <w:p w14:paraId="12ED734D" w14:textId="77777777" w:rsidR="00A2339C" w:rsidRPr="00FD7E86" w:rsidDel="001662AF"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6,689</w:t>
            </w:r>
          </w:p>
        </w:tc>
        <w:tc>
          <w:tcPr>
            <w:tcW w:w="1326" w:type="dxa"/>
            <w:noWrap/>
          </w:tcPr>
          <w:p w14:paraId="3A6D1396"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–24.5</w:t>
            </w:r>
          </w:p>
        </w:tc>
      </w:tr>
      <w:tr w:rsidR="00A2339C" w:rsidRPr="00FD7E86" w14:paraId="5AA3EBE9"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46128015" w14:textId="77777777" w:rsidR="00A2339C" w:rsidRPr="002B4947" w:rsidRDefault="00A2339C" w:rsidP="00314FB5">
            <w:pPr>
              <w:keepNext/>
              <w:keepLines/>
              <w:spacing w:before="60" w:after="60"/>
              <w:rPr>
                <w:b/>
                <w:color w:val="auto"/>
                <w:szCs w:val="18"/>
              </w:rPr>
            </w:pPr>
          </w:p>
        </w:tc>
        <w:tc>
          <w:tcPr>
            <w:tcW w:w="1876" w:type="dxa"/>
            <w:tcBorders>
              <w:right w:val="nil"/>
            </w:tcBorders>
            <w:shd w:val="clear" w:color="auto" w:fill="00ADBB" w:themeFill="accent1"/>
          </w:tcPr>
          <w:p w14:paraId="4EC872CE" w14:textId="77777777" w:rsidR="00A2339C" w:rsidRPr="00FD7E86"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Total</w:t>
            </w:r>
          </w:p>
        </w:tc>
        <w:tc>
          <w:tcPr>
            <w:tcW w:w="2121" w:type="dxa"/>
            <w:tcBorders>
              <w:left w:val="nil"/>
            </w:tcBorders>
            <w:shd w:val="clear" w:color="auto" w:fill="00ADBB" w:themeFill="accent1"/>
          </w:tcPr>
          <w:p w14:paraId="7AE9261E" w14:textId="77777777" w:rsidR="00A2339C" w:rsidRPr="00FD7E86"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b/>
                <w:bCs/>
                <w:i/>
                <w:iCs/>
                <w:color w:val="FFFFFF" w:themeColor="background1"/>
                <w:szCs w:val="18"/>
              </w:rPr>
            </w:pPr>
          </w:p>
        </w:tc>
        <w:tc>
          <w:tcPr>
            <w:tcW w:w="1326" w:type="dxa"/>
            <w:shd w:val="clear" w:color="auto" w:fill="00ADBB" w:themeFill="accent1"/>
          </w:tcPr>
          <w:p w14:paraId="5D685292"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368,441</w:t>
            </w:r>
          </w:p>
        </w:tc>
        <w:tc>
          <w:tcPr>
            <w:tcW w:w="1326" w:type="dxa"/>
            <w:shd w:val="clear" w:color="auto" w:fill="00ADBB" w:themeFill="accent1"/>
          </w:tcPr>
          <w:p w14:paraId="063486AE" w14:textId="77777777" w:rsidR="00A2339C" w:rsidRPr="00FD7E86" w:rsidDel="001662AF"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369,205</w:t>
            </w:r>
          </w:p>
        </w:tc>
        <w:tc>
          <w:tcPr>
            <w:tcW w:w="1326" w:type="dxa"/>
            <w:shd w:val="clear" w:color="auto" w:fill="00ADBB" w:themeFill="accent1"/>
            <w:noWrap/>
          </w:tcPr>
          <w:p w14:paraId="281F7A4F"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+0.2</w:t>
            </w:r>
          </w:p>
        </w:tc>
      </w:tr>
      <w:tr w:rsidR="002B4947" w:rsidRPr="00FD7E86" w14:paraId="5F1EB913"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val="restart"/>
            <w:noWrap/>
            <w:hideMark/>
          </w:tcPr>
          <w:p w14:paraId="5D9E20DC" w14:textId="77777777" w:rsidR="002B4947" w:rsidRPr="002B4947" w:rsidRDefault="002B4947" w:rsidP="00314FB5">
            <w:pPr>
              <w:keepNext/>
              <w:keepLines/>
              <w:spacing w:before="60" w:after="60"/>
              <w:rPr>
                <w:b/>
                <w:bCs/>
                <w:i/>
                <w:iCs/>
                <w:color w:val="auto"/>
                <w:szCs w:val="18"/>
              </w:rPr>
            </w:pPr>
            <w:r w:rsidRPr="002B4947">
              <w:rPr>
                <w:b/>
                <w:color w:val="auto"/>
                <w:szCs w:val="18"/>
              </w:rPr>
              <w:t>Enquiries</w:t>
            </w:r>
          </w:p>
        </w:tc>
        <w:tc>
          <w:tcPr>
            <w:tcW w:w="3997" w:type="dxa"/>
            <w:gridSpan w:val="2"/>
            <w:shd w:val="clear" w:color="auto" w:fill="65CDD5" w:themeFill="accent2"/>
          </w:tcPr>
          <w:p w14:paraId="165F823F" w14:textId="77777777" w:rsidR="002B4947" w:rsidRPr="00FD7E86" w:rsidRDefault="002B4947"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color w:val="000000"/>
                <w:szCs w:val="18"/>
              </w:rPr>
            </w:pPr>
            <w:r w:rsidRPr="00C05F4C">
              <w:rPr>
                <w:bCs/>
                <w:iCs/>
                <w:szCs w:val="18"/>
              </w:rPr>
              <w:t>Telemarketing &amp; fax marketing</w:t>
            </w:r>
          </w:p>
        </w:tc>
        <w:tc>
          <w:tcPr>
            <w:tcW w:w="1326" w:type="dxa"/>
          </w:tcPr>
          <w:p w14:paraId="69147B0F" w14:textId="77777777" w:rsidR="002B4947" w:rsidRPr="00FD7E86" w:rsidRDefault="002B4947"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11,335</w:t>
            </w:r>
          </w:p>
        </w:tc>
        <w:tc>
          <w:tcPr>
            <w:tcW w:w="1326" w:type="dxa"/>
          </w:tcPr>
          <w:p w14:paraId="51C1D5ED"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12,113</w:t>
            </w:r>
          </w:p>
        </w:tc>
        <w:tc>
          <w:tcPr>
            <w:tcW w:w="1326" w:type="dxa"/>
            <w:noWrap/>
          </w:tcPr>
          <w:p w14:paraId="1438B905" w14:textId="77777777" w:rsidR="002B4947" w:rsidRPr="00FD7E86" w:rsidRDefault="002B4947"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+6.9</w:t>
            </w:r>
          </w:p>
        </w:tc>
      </w:tr>
      <w:tr w:rsidR="00A2339C" w:rsidRPr="00FD7E86" w14:paraId="739A6F55"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38AEF9F3" w14:textId="77777777" w:rsidR="00A2339C" w:rsidRPr="002B4947" w:rsidRDefault="00A2339C" w:rsidP="00314FB5">
            <w:pPr>
              <w:keepNext/>
              <w:keepLines/>
              <w:spacing w:before="60" w:after="60"/>
              <w:rPr>
                <w:b/>
                <w:bCs/>
                <w:i/>
                <w:iCs/>
                <w:color w:val="auto"/>
                <w:szCs w:val="18"/>
              </w:rPr>
            </w:pPr>
          </w:p>
        </w:tc>
        <w:tc>
          <w:tcPr>
            <w:tcW w:w="1876" w:type="dxa"/>
            <w:tcBorders>
              <w:right w:val="nil"/>
            </w:tcBorders>
            <w:shd w:val="clear" w:color="auto" w:fill="65CDD5" w:themeFill="accent2"/>
          </w:tcPr>
          <w:p w14:paraId="2BB7B645"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Spam</w:t>
            </w:r>
          </w:p>
        </w:tc>
        <w:tc>
          <w:tcPr>
            <w:tcW w:w="2121" w:type="dxa"/>
            <w:tcBorders>
              <w:left w:val="nil"/>
            </w:tcBorders>
            <w:shd w:val="clear" w:color="auto" w:fill="65CDD5" w:themeFill="accent2"/>
          </w:tcPr>
          <w:p w14:paraId="41D84A7C" w14:textId="77777777" w:rsidR="00A2339C" w:rsidRPr="00FD7E86"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color w:val="000000"/>
                <w:szCs w:val="18"/>
              </w:rPr>
            </w:pPr>
          </w:p>
        </w:tc>
        <w:tc>
          <w:tcPr>
            <w:tcW w:w="1326" w:type="dxa"/>
          </w:tcPr>
          <w:p w14:paraId="21AE5396"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1,340</w:t>
            </w:r>
          </w:p>
        </w:tc>
        <w:tc>
          <w:tcPr>
            <w:tcW w:w="1326" w:type="dxa"/>
          </w:tcPr>
          <w:p w14:paraId="37C9617B"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1,337</w:t>
            </w:r>
          </w:p>
        </w:tc>
        <w:tc>
          <w:tcPr>
            <w:tcW w:w="1326" w:type="dxa"/>
            <w:noWrap/>
          </w:tcPr>
          <w:p w14:paraId="43AD8A2B"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–0.2</w:t>
            </w:r>
          </w:p>
        </w:tc>
      </w:tr>
      <w:tr w:rsidR="001E6A89" w:rsidRPr="00FD7E86" w14:paraId="60CD33FF"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06ADF64F" w14:textId="77777777" w:rsidR="001E6A89" w:rsidRPr="002B4947" w:rsidRDefault="001E6A89" w:rsidP="00314FB5">
            <w:pPr>
              <w:keepNext/>
              <w:keepLines/>
              <w:spacing w:before="60" w:after="60"/>
              <w:rPr>
                <w:b/>
                <w:bCs/>
                <w:i/>
                <w:iCs/>
                <w:color w:val="auto"/>
                <w:szCs w:val="18"/>
              </w:rPr>
            </w:pPr>
          </w:p>
        </w:tc>
        <w:tc>
          <w:tcPr>
            <w:tcW w:w="3997" w:type="dxa"/>
            <w:gridSpan w:val="2"/>
            <w:shd w:val="clear" w:color="auto" w:fill="00ADBB" w:themeFill="accent1"/>
          </w:tcPr>
          <w:p w14:paraId="5ACEF3DD" w14:textId="77777777" w:rsidR="001E6A89" w:rsidRPr="00FD7E86" w:rsidRDefault="001E6A89"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b/>
                <w:bCs/>
                <w:i/>
                <w:iCs/>
                <w:color w:val="FFFFFF" w:themeColor="background1"/>
                <w:szCs w:val="18"/>
              </w:rPr>
            </w:pPr>
            <w:r w:rsidRPr="00FD7E86">
              <w:rPr>
                <w:b/>
                <w:bCs/>
                <w:color w:val="FFFFFF" w:themeColor="background1"/>
                <w:szCs w:val="18"/>
              </w:rPr>
              <w:t>Telemarketing and spam subtotal</w:t>
            </w:r>
          </w:p>
        </w:tc>
        <w:tc>
          <w:tcPr>
            <w:tcW w:w="1326" w:type="dxa"/>
            <w:shd w:val="clear" w:color="auto" w:fill="00ADBB" w:themeFill="accent1"/>
          </w:tcPr>
          <w:p w14:paraId="506E43D8" w14:textId="77777777" w:rsidR="001E6A89" w:rsidRPr="00FD7E86" w:rsidRDefault="001E6A89"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12,675</w:t>
            </w:r>
          </w:p>
        </w:tc>
        <w:tc>
          <w:tcPr>
            <w:tcW w:w="1326" w:type="dxa"/>
            <w:shd w:val="clear" w:color="auto" w:fill="00ADBB" w:themeFill="accent1"/>
          </w:tcPr>
          <w:p w14:paraId="312D9827" w14:textId="77777777" w:rsidR="001E6A89" w:rsidRPr="00FD7E86" w:rsidRDefault="001E6A89"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13,450</w:t>
            </w:r>
          </w:p>
        </w:tc>
        <w:tc>
          <w:tcPr>
            <w:tcW w:w="1326" w:type="dxa"/>
            <w:shd w:val="clear" w:color="auto" w:fill="00ADBB" w:themeFill="accent1"/>
            <w:noWrap/>
          </w:tcPr>
          <w:p w14:paraId="3D32CC1C" w14:textId="77777777" w:rsidR="001E6A89" w:rsidRPr="00FD7E86" w:rsidRDefault="001E6A89"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b/>
                <w:color w:val="FFFFFF" w:themeColor="background1"/>
                <w:szCs w:val="18"/>
              </w:rPr>
              <w:t>+6.1</w:t>
            </w:r>
          </w:p>
        </w:tc>
      </w:tr>
      <w:tr w:rsidR="00A2339C" w:rsidRPr="00FD7E86" w14:paraId="0069765A"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3B50B812" w14:textId="77777777" w:rsidR="00A2339C" w:rsidRPr="002B4947" w:rsidRDefault="00A2339C" w:rsidP="00314FB5">
            <w:pPr>
              <w:keepNext/>
              <w:keepLines/>
              <w:spacing w:before="60" w:after="60"/>
              <w:rPr>
                <w:color w:val="auto"/>
                <w:szCs w:val="18"/>
              </w:rPr>
            </w:pPr>
          </w:p>
        </w:tc>
        <w:tc>
          <w:tcPr>
            <w:tcW w:w="1876" w:type="dxa"/>
            <w:vMerge w:val="restart"/>
            <w:shd w:val="clear" w:color="auto" w:fill="65CDD5" w:themeFill="accent2"/>
          </w:tcPr>
          <w:p w14:paraId="22B25CBD"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Telemarketing &amp; fax marketing</w:t>
            </w:r>
          </w:p>
        </w:tc>
        <w:tc>
          <w:tcPr>
            <w:tcW w:w="2121" w:type="dxa"/>
            <w:shd w:val="clear" w:color="auto" w:fill="65CDD5" w:themeFill="accent2"/>
          </w:tcPr>
          <w:p w14:paraId="2F9C7C1A"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Advisory letters</w:t>
            </w:r>
          </w:p>
        </w:tc>
        <w:tc>
          <w:tcPr>
            <w:tcW w:w="1326" w:type="dxa"/>
          </w:tcPr>
          <w:p w14:paraId="2151C930"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940</w:t>
            </w:r>
            <w:r w:rsidRPr="00FD7E86">
              <w:rPr>
                <w:vertAlign w:val="superscript"/>
              </w:rPr>
              <w:t>†</w:t>
            </w:r>
          </w:p>
        </w:tc>
        <w:tc>
          <w:tcPr>
            <w:tcW w:w="1326" w:type="dxa"/>
          </w:tcPr>
          <w:p w14:paraId="59A004D0"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880</w:t>
            </w:r>
          </w:p>
        </w:tc>
        <w:tc>
          <w:tcPr>
            <w:tcW w:w="1326" w:type="dxa"/>
            <w:noWrap/>
          </w:tcPr>
          <w:p w14:paraId="6AE57940"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–6.4</w:t>
            </w:r>
          </w:p>
        </w:tc>
      </w:tr>
      <w:tr w:rsidR="00A2339C" w:rsidRPr="00FD7E86" w14:paraId="3C84A166"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68EE15F6" w14:textId="77777777" w:rsidR="00A2339C" w:rsidRPr="002B4947" w:rsidRDefault="00A2339C" w:rsidP="00314FB5">
            <w:pPr>
              <w:keepNext/>
              <w:keepLines/>
              <w:spacing w:before="60" w:after="60"/>
              <w:rPr>
                <w:color w:val="auto"/>
                <w:szCs w:val="18"/>
              </w:rPr>
            </w:pPr>
          </w:p>
        </w:tc>
        <w:tc>
          <w:tcPr>
            <w:tcW w:w="1876" w:type="dxa"/>
            <w:vMerge/>
            <w:shd w:val="clear" w:color="auto" w:fill="65CDD5" w:themeFill="accent2"/>
          </w:tcPr>
          <w:p w14:paraId="10CD7236" w14:textId="77777777" w:rsidR="00A2339C" w:rsidRPr="00C05F4C" w:rsidRDefault="00A2339C" w:rsidP="00314FB5">
            <w:pPr>
              <w:keepNext/>
              <w:keepLines/>
              <w:spacing w:before="60" w:after="60"/>
              <w:ind w:right="340" w:firstLine="318"/>
              <w:cnfStyle w:val="000000000000" w:firstRow="0" w:lastRow="0" w:firstColumn="0" w:lastColumn="0" w:oddVBand="0" w:evenVBand="0" w:oddHBand="0" w:evenHBand="0" w:firstRowFirstColumn="0" w:firstRowLastColumn="0" w:lastRowFirstColumn="0" w:lastRowLastColumn="0"/>
              <w:rPr>
                <w:szCs w:val="18"/>
              </w:rPr>
            </w:pPr>
          </w:p>
        </w:tc>
        <w:tc>
          <w:tcPr>
            <w:tcW w:w="2121" w:type="dxa"/>
            <w:shd w:val="clear" w:color="auto" w:fill="65CDD5" w:themeFill="accent2"/>
          </w:tcPr>
          <w:p w14:paraId="34A33C70"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Informal warnings</w:t>
            </w:r>
          </w:p>
        </w:tc>
        <w:tc>
          <w:tcPr>
            <w:tcW w:w="1326" w:type="dxa"/>
          </w:tcPr>
          <w:p w14:paraId="75525EB7"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114</w:t>
            </w:r>
            <w:r w:rsidRPr="00FD7E86">
              <w:rPr>
                <w:vertAlign w:val="superscript"/>
              </w:rPr>
              <w:t>†</w:t>
            </w:r>
          </w:p>
        </w:tc>
        <w:tc>
          <w:tcPr>
            <w:tcW w:w="1326" w:type="dxa"/>
          </w:tcPr>
          <w:p w14:paraId="74087E00"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82</w:t>
            </w:r>
          </w:p>
        </w:tc>
        <w:tc>
          <w:tcPr>
            <w:tcW w:w="1326" w:type="dxa"/>
            <w:noWrap/>
          </w:tcPr>
          <w:p w14:paraId="04D6B905"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–28.1</w:t>
            </w:r>
          </w:p>
        </w:tc>
      </w:tr>
      <w:tr w:rsidR="00A2339C" w:rsidRPr="00FD7E86" w14:paraId="6F9EFBA1"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4730A2D1" w14:textId="77777777" w:rsidR="00A2339C" w:rsidRPr="002B4947" w:rsidRDefault="00A2339C" w:rsidP="00314FB5">
            <w:pPr>
              <w:keepNext/>
              <w:keepLines/>
              <w:spacing w:before="60" w:after="60"/>
              <w:rPr>
                <w:color w:val="auto"/>
                <w:szCs w:val="18"/>
              </w:rPr>
            </w:pPr>
          </w:p>
        </w:tc>
        <w:tc>
          <w:tcPr>
            <w:tcW w:w="1876" w:type="dxa"/>
            <w:shd w:val="clear" w:color="auto" w:fill="65CDD5" w:themeFill="accent2"/>
          </w:tcPr>
          <w:p w14:paraId="2FE300D2"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Spam</w:t>
            </w:r>
          </w:p>
        </w:tc>
        <w:tc>
          <w:tcPr>
            <w:tcW w:w="2121" w:type="dxa"/>
            <w:tcBorders>
              <w:bottom w:val="single" w:sz="24" w:space="0" w:color="FFFFFF" w:themeColor="background1"/>
            </w:tcBorders>
            <w:shd w:val="clear" w:color="auto" w:fill="65CDD5" w:themeFill="accent2"/>
          </w:tcPr>
          <w:p w14:paraId="32A34A69"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szCs w:val="18"/>
              </w:rPr>
              <w:t xml:space="preserve">Informal warnings </w:t>
            </w:r>
          </w:p>
        </w:tc>
        <w:tc>
          <w:tcPr>
            <w:tcW w:w="1326" w:type="dxa"/>
          </w:tcPr>
          <w:p w14:paraId="3D6A7AFB"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4,697</w:t>
            </w:r>
            <w:r w:rsidRPr="00FD7E86">
              <w:rPr>
                <w:vertAlign w:val="superscript"/>
              </w:rPr>
              <w:t>†</w:t>
            </w:r>
          </w:p>
        </w:tc>
        <w:tc>
          <w:tcPr>
            <w:tcW w:w="1326" w:type="dxa"/>
          </w:tcPr>
          <w:p w14:paraId="38FCCB0C"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6,918</w:t>
            </w:r>
          </w:p>
        </w:tc>
        <w:tc>
          <w:tcPr>
            <w:tcW w:w="1326" w:type="dxa"/>
            <w:noWrap/>
          </w:tcPr>
          <w:p w14:paraId="5506595C"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+47.3</w:t>
            </w:r>
          </w:p>
        </w:tc>
      </w:tr>
      <w:tr w:rsidR="00A2339C" w:rsidRPr="00FD7E86" w14:paraId="673EE06C"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41284E31" w14:textId="77777777" w:rsidR="00A2339C" w:rsidRPr="002B4947" w:rsidRDefault="00A2339C" w:rsidP="00314FB5">
            <w:pPr>
              <w:keepNext/>
              <w:keepLines/>
              <w:spacing w:before="60" w:after="60"/>
              <w:rPr>
                <w:color w:val="auto"/>
                <w:szCs w:val="18"/>
              </w:rPr>
            </w:pPr>
          </w:p>
        </w:tc>
        <w:tc>
          <w:tcPr>
            <w:tcW w:w="1876" w:type="dxa"/>
            <w:tcBorders>
              <w:right w:val="nil"/>
            </w:tcBorders>
            <w:shd w:val="clear" w:color="auto" w:fill="00ADBB" w:themeFill="accent1"/>
          </w:tcPr>
          <w:p w14:paraId="424C8DA2" w14:textId="77777777" w:rsidR="00A2339C" w:rsidRPr="00FD7E86"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Total</w:t>
            </w:r>
          </w:p>
        </w:tc>
        <w:tc>
          <w:tcPr>
            <w:tcW w:w="2121" w:type="dxa"/>
            <w:tcBorders>
              <w:left w:val="nil"/>
            </w:tcBorders>
            <w:shd w:val="clear" w:color="auto" w:fill="00ADBB" w:themeFill="accent1"/>
          </w:tcPr>
          <w:p w14:paraId="0DE265E8" w14:textId="77777777" w:rsidR="00A2339C" w:rsidRPr="00FD7E86"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color w:val="FFFFFF" w:themeColor="background1"/>
                <w:szCs w:val="18"/>
              </w:rPr>
            </w:pPr>
          </w:p>
        </w:tc>
        <w:tc>
          <w:tcPr>
            <w:tcW w:w="1326" w:type="dxa"/>
            <w:shd w:val="clear" w:color="auto" w:fill="00ADBB" w:themeFill="accent1"/>
          </w:tcPr>
          <w:p w14:paraId="416C37E5"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5,751</w:t>
            </w:r>
          </w:p>
        </w:tc>
        <w:tc>
          <w:tcPr>
            <w:tcW w:w="1326" w:type="dxa"/>
            <w:shd w:val="clear" w:color="auto" w:fill="00ADBB" w:themeFill="accent1"/>
          </w:tcPr>
          <w:p w14:paraId="6FA91206"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7,880</w:t>
            </w:r>
          </w:p>
        </w:tc>
        <w:tc>
          <w:tcPr>
            <w:tcW w:w="1326" w:type="dxa"/>
            <w:shd w:val="clear" w:color="auto" w:fill="00ADBB" w:themeFill="accent1"/>
            <w:noWrap/>
          </w:tcPr>
          <w:p w14:paraId="4425551C"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b/>
                <w:color w:val="FFFFFF" w:themeColor="background1"/>
                <w:szCs w:val="18"/>
              </w:rPr>
              <w:t>+37.0</w:t>
            </w:r>
          </w:p>
        </w:tc>
      </w:tr>
      <w:tr w:rsidR="00A2339C" w:rsidRPr="00FD7E86" w14:paraId="7E14E816"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val="restart"/>
            <w:noWrap/>
            <w:hideMark/>
          </w:tcPr>
          <w:p w14:paraId="7234737C" w14:textId="77777777" w:rsidR="00A2339C" w:rsidRPr="002B4947" w:rsidRDefault="00A2339C" w:rsidP="00314FB5">
            <w:pPr>
              <w:keepNext/>
              <w:keepLines/>
              <w:spacing w:before="60" w:after="60"/>
              <w:rPr>
                <w:b/>
                <w:bCs/>
                <w:iCs/>
                <w:color w:val="auto"/>
                <w:szCs w:val="18"/>
              </w:rPr>
            </w:pPr>
            <w:r w:rsidRPr="002B4947">
              <w:rPr>
                <w:b/>
                <w:bCs/>
                <w:iCs/>
                <w:color w:val="auto"/>
                <w:szCs w:val="18"/>
              </w:rPr>
              <w:t>Investigations</w:t>
            </w:r>
          </w:p>
        </w:tc>
        <w:tc>
          <w:tcPr>
            <w:tcW w:w="1876" w:type="dxa"/>
            <w:tcBorders>
              <w:right w:val="nil"/>
            </w:tcBorders>
            <w:shd w:val="clear" w:color="auto" w:fill="65CDD5" w:themeFill="accent2"/>
          </w:tcPr>
          <w:p w14:paraId="613F5D99"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Telemarketing</w:t>
            </w:r>
          </w:p>
        </w:tc>
        <w:tc>
          <w:tcPr>
            <w:tcW w:w="2121" w:type="dxa"/>
            <w:tcBorders>
              <w:left w:val="nil"/>
            </w:tcBorders>
            <w:shd w:val="clear" w:color="auto" w:fill="65CDD5" w:themeFill="accent2"/>
          </w:tcPr>
          <w:p w14:paraId="56F692AB" w14:textId="77777777" w:rsidR="00A2339C" w:rsidRPr="00C05F4C"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szCs w:val="18"/>
              </w:rPr>
            </w:pPr>
          </w:p>
        </w:tc>
        <w:tc>
          <w:tcPr>
            <w:tcW w:w="1326" w:type="dxa"/>
          </w:tcPr>
          <w:p w14:paraId="4C658D07"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5</w:t>
            </w:r>
            <w:r w:rsidRPr="00FD7E86">
              <w:rPr>
                <w:vertAlign w:val="superscript"/>
              </w:rPr>
              <w:t>†</w:t>
            </w:r>
          </w:p>
        </w:tc>
        <w:tc>
          <w:tcPr>
            <w:tcW w:w="1326" w:type="dxa"/>
          </w:tcPr>
          <w:p w14:paraId="6EE01663"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5</w:t>
            </w:r>
          </w:p>
        </w:tc>
        <w:tc>
          <w:tcPr>
            <w:tcW w:w="1326" w:type="dxa"/>
            <w:noWrap/>
          </w:tcPr>
          <w:p w14:paraId="25C7D3CB"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0.0</w:t>
            </w:r>
          </w:p>
        </w:tc>
      </w:tr>
      <w:tr w:rsidR="00A2339C" w:rsidRPr="00FD7E86" w14:paraId="654E0C62"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03188FED" w14:textId="77777777" w:rsidR="00A2339C" w:rsidRPr="00FD7E86" w:rsidRDefault="00A2339C" w:rsidP="00314FB5">
            <w:pPr>
              <w:keepNext/>
              <w:keepLines/>
              <w:spacing w:before="60" w:after="60"/>
              <w:rPr>
                <w:b/>
                <w:bCs/>
                <w:i/>
                <w:iCs/>
                <w:szCs w:val="18"/>
              </w:rPr>
            </w:pPr>
          </w:p>
        </w:tc>
        <w:tc>
          <w:tcPr>
            <w:tcW w:w="1876" w:type="dxa"/>
            <w:tcBorders>
              <w:right w:val="nil"/>
            </w:tcBorders>
            <w:shd w:val="clear" w:color="auto" w:fill="65CDD5" w:themeFill="accent2"/>
          </w:tcPr>
          <w:p w14:paraId="60563B5B"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bCs/>
                <w:iCs/>
                <w:szCs w:val="18"/>
              </w:rPr>
            </w:pPr>
            <w:r w:rsidRPr="00C05F4C">
              <w:rPr>
                <w:bCs/>
                <w:iCs/>
                <w:szCs w:val="18"/>
              </w:rPr>
              <w:t>Fax marketing</w:t>
            </w:r>
          </w:p>
        </w:tc>
        <w:tc>
          <w:tcPr>
            <w:tcW w:w="2121" w:type="dxa"/>
            <w:tcBorders>
              <w:left w:val="nil"/>
            </w:tcBorders>
            <w:shd w:val="clear" w:color="auto" w:fill="65CDD5" w:themeFill="accent2"/>
          </w:tcPr>
          <w:p w14:paraId="672FFE1B" w14:textId="77777777" w:rsidR="00A2339C" w:rsidRPr="00C05F4C"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b/>
                <w:bCs/>
                <w:i/>
                <w:iCs/>
                <w:szCs w:val="18"/>
              </w:rPr>
            </w:pPr>
          </w:p>
        </w:tc>
        <w:tc>
          <w:tcPr>
            <w:tcW w:w="1326" w:type="dxa"/>
          </w:tcPr>
          <w:p w14:paraId="37343FCE"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0</w:t>
            </w:r>
          </w:p>
        </w:tc>
        <w:tc>
          <w:tcPr>
            <w:tcW w:w="1326" w:type="dxa"/>
          </w:tcPr>
          <w:p w14:paraId="6A808E30" w14:textId="77777777" w:rsidR="00A2339C" w:rsidRPr="00FD7E86" w:rsidDel="007E61A5"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0</w:t>
            </w:r>
          </w:p>
        </w:tc>
        <w:tc>
          <w:tcPr>
            <w:tcW w:w="1326" w:type="dxa"/>
            <w:noWrap/>
          </w:tcPr>
          <w:p w14:paraId="60DBA4CC"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n/a</w:t>
            </w:r>
          </w:p>
        </w:tc>
      </w:tr>
      <w:tr w:rsidR="00A2339C" w:rsidRPr="00FD7E86" w14:paraId="529D21F1"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hideMark/>
          </w:tcPr>
          <w:p w14:paraId="7E3E097A" w14:textId="77777777" w:rsidR="00A2339C" w:rsidRPr="00FD7E86" w:rsidRDefault="00A2339C" w:rsidP="00314FB5">
            <w:pPr>
              <w:keepNext/>
              <w:keepLines/>
              <w:spacing w:before="60" w:after="60"/>
              <w:rPr>
                <w:b/>
                <w:bCs/>
                <w:i/>
                <w:iCs/>
                <w:szCs w:val="18"/>
              </w:rPr>
            </w:pPr>
          </w:p>
        </w:tc>
        <w:tc>
          <w:tcPr>
            <w:tcW w:w="1876" w:type="dxa"/>
            <w:tcBorders>
              <w:right w:val="nil"/>
            </w:tcBorders>
            <w:shd w:val="clear" w:color="auto" w:fill="65CDD5" w:themeFill="accent2"/>
          </w:tcPr>
          <w:p w14:paraId="2CFE9385" w14:textId="77777777" w:rsidR="00A2339C" w:rsidRPr="00C05F4C"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szCs w:val="18"/>
              </w:rPr>
            </w:pPr>
            <w:r w:rsidRPr="00C05F4C">
              <w:rPr>
                <w:bCs/>
                <w:iCs/>
                <w:szCs w:val="18"/>
              </w:rPr>
              <w:t>Spam</w:t>
            </w:r>
          </w:p>
        </w:tc>
        <w:tc>
          <w:tcPr>
            <w:tcW w:w="2121" w:type="dxa"/>
            <w:tcBorders>
              <w:left w:val="nil"/>
            </w:tcBorders>
            <w:shd w:val="clear" w:color="auto" w:fill="65CDD5" w:themeFill="accent2"/>
          </w:tcPr>
          <w:p w14:paraId="3D6E1515" w14:textId="77777777" w:rsidR="00A2339C" w:rsidRPr="00C05F4C"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szCs w:val="18"/>
              </w:rPr>
            </w:pPr>
          </w:p>
        </w:tc>
        <w:tc>
          <w:tcPr>
            <w:tcW w:w="1326" w:type="dxa"/>
          </w:tcPr>
          <w:p w14:paraId="432B9035"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10</w:t>
            </w:r>
          </w:p>
        </w:tc>
        <w:tc>
          <w:tcPr>
            <w:tcW w:w="1326" w:type="dxa"/>
          </w:tcPr>
          <w:p w14:paraId="79482953"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color w:val="000000"/>
                <w:szCs w:val="18"/>
              </w:rPr>
              <w:t>4</w:t>
            </w:r>
            <w:r w:rsidRPr="00FD7E86">
              <w:rPr>
                <w:vertAlign w:val="superscript"/>
              </w:rPr>
              <w:t>†</w:t>
            </w:r>
          </w:p>
        </w:tc>
        <w:tc>
          <w:tcPr>
            <w:tcW w:w="1326" w:type="dxa"/>
            <w:noWrap/>
          </w:tcPr>
          <w:p w14:paraId="606660D1"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szCs w:val="18"/>
              </w:rPr>
              <w:t>–60.0</w:t>
            </w:r>
          </w:p>
        </w:tc>
      </w:tr>
      <w:tr w:rsidR="00A2339C" w:rsidRPr="00FD7E86" w14:paraId="2E346918" w14:textId="77777777" w:rsidTr="002B4947">
        <w:trPr>
          <w:trHeight w:val="435"/>
        </w:trPr>
        <w:tc>
          <w:tcPr>
            <w:cnfStyle w:val="001000000000" w:firstRow="0" w:lastRow="0" w:firstColumn="1" w:lastColumn="0" w:oddVBand="0" w:evenVBand="0" w:oddHBand="0" w:evenHBand="0" w:firstRowFirstColumn="0" w:firstRowLastColumn="0" w:lastRowFirstColumn="0" w:lastRowLastColumn="0"/>
            <w:tcW w:w="1454" w:type="dxa"/>
            <w:vMerge/>
            <w:noWrap/>
          </w:tcPr>
          <w:p w14:paraId="712C0998" w14:textId="77777777" w:rsidR="00A2339C" w:rsidRPr="00FD7E86" w:rsidRDefault="00A2339C" w:rsidP="00314FB5">
            <w:pPr>
              <w:keepNext/>
              <w:keepLines/>
              <w:spacing w:before="60" w:after="60"/>
              <w:rPr>
                <w:b/>
                <w:bCs/>
                <w:i/>
                <w:iCs/>
                <w:szCs w:val="18"/>
              </w:rPr>
            </w:pPr>
          </w:p>
        </w:tc>
        <w:tc>
          <w:tcPr>
            <w:tcW w:w="1876" w:type="dxa"/>
            <w:tcBorders>
              <w:right w:val="nil"/>
            </w:tcBorders>
            <w:shd w:val="clear" w:color="auto" w:fill="00ADBB" w:themeFill="accent1"/>
          </w:tcPr>
          <w:p w14:paraId="4178ED67" w14:textId="77777777" w:rsidR="00A2339C" w:rsidRPr="00FD7E86" w:rsidRDefault="00A2339C" w:rsidP="002B4947">
            <w:pPr>
              <w:keepNext/>
              <w:keepLines/>
              <w:spacing w:before="60" w:after="60"/>
              <w:ind w:right="340"/>
              <w:jc w:val="left"/>
              <w:cnfStyle w:val="000000000000" w:firstRow="0" w:lastRow="0" w:firstColumn="0" w:lastColumn="0" w:oddVBand="0" w:evenVBand="0" w:oddHBand="0" w:evenHBand="0" w:firstRowFirstColumn="0" w:firstRowLastColumn="0" w:lastRowFirstColumn="0" w:lastRowLastColumn="0"/>
              <w:rPr>
                <w:b/>
                <w:bCs/>
                <w:color w:val="FFFFFF" w:themeColor="background1"/>
                <w:szCs w:val="18"/>
              </w:rPr>
            </w:pPr>
            <w:r w:rsidRPr="00FD7E86">
              <w:rPr>
                <w:b/>
                <w:bCs/>
                <w:color w:val="FFFFFF" w:themeColor="background1"/>
                <w:szCs w:val="18"/>
              </w:rPr>
              <w:t>Total</w:t>
            </w:r>
          </w:p>
        </w:tc>
        <w:tc>
          <w:tcPr>
            <w:tcW w:w="2121" w:type="dxa"/>
            <w:tcBorders>
              <w:left w:val="nil"/>
            </w:tcBorders>
            <w:shd w:val="clear" w:color="auto" w:fill="00ADBB" w:themeFill="accent1"/>
          </w:tcPr>
          <w:p w14:paraId="57385285" w14:textId="77777777" w:rsidR="00A2339C" w:rsidRPr="00FD7E86" w:rsidRDefault="00A2339C" w:rsidP="00314FB5">
            <w:pPr>
              <w:keepNext/>
              <w:keepLines/>
              <w:spacing w:before="60" w:after="60"/>
              <w:ind w:right="340"/>
              <w:cnfStyle w:val="000000000000" w:firstRow="0" w:lastRow="0" w:firstColumn="0" w:lastColumn="0" w:oddVBand="0" w:evenVBand="0" w:oddHBand="0" w:evenHBand="0" w:firstRowFirstColumn="0" w:firstRowLastColumn="0" w:lastRowFirstColumn="0" w:lastRowLastColumn="0"/>
              <w:rPr>
                <w:b/>
                <w:bCs/>
                <w:i/>
                <w:iCs/>
                <w:color w:val="FFFFFF" w:themeColor="background1"/>
                <w:szCs w:val="18"/>
              </w:rPr>
            </w:pPr>
          </w:p>
        </w:tc>
        <w:tc>
          <w:tcPr>
            <w:tcW w:w="1326" w:type="dxa"/>
            <w:shd w:val="clear" w:color="auto" w:fill="00ADBB" w:themeFill="accent1"/>
          </w:tcPr>
          <w:p w14:paraId="26C2AACF" w14:textId="77777777" w:rsidR="00A2339C" w:rsidRPr="00FD7E86" w:rsidRDefault="00A2339C" w:rsidP="00314FB5">
            <w:pPr>
              <w:keepNext/>
              <w:keepLines/>
              <w:spacing w:before="60" w:after="60"/>
              <w:ind w:right="39"/>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15</w:t>
            </w:r>
          </w:p>
        </w:tc>
        <w:tc>
          <w:tcPr>
            <w:tcW w:w="1326" w:type="dxa"/>
            <w:shd w:val="clear" w:color="auto" w:fill="00ADBB" w:themeFill="accent1"/>
          </w:tcPr>
          <w:p w14:paraId="151F8FA8"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color w:val="000000"/>
                <w:szCs w:val="18"/>
              </w:rPr>
            </w:pPr>
            <w:r w:rsidRPr="00FD7E86">
              <w:rPr>
                <w:b/>
                <w:bCs/>
                <w:color w:val="FFFFFF" w:themeColor="background1"/>
                <w:szCs w:val="18"/>
              </w:rPr>
              <w:t>9</w:t>
            </w:r>
          </w:p>
        </w:tc>
        <w:tc>
          <w:tcPr>
            <w:tcW w:w="1326" w:type="dxa"/>
            <w:shd w:val="clear" w:color="auto" w:fill="00ADBB" w:themeFill="accent1"/>
            <w:noWrap/>
          </w:tcPr>
          <w:p w14:paraId="76D6EC4E" w14:textId="77777777" w:rsidR="00A2339C" w:rsidRPr="00FD7E86" w:rsidRDefault="00A2339C" w:rsidP="00314FB5">
            <w:pPr>
              <w:keepNext/>
              <w:keepLines/>
              <w:spacing w:before="60" w:after="60"/>
              <w:ind w:right="41"/>
              <w:cnfStyle w:val="000000000000" w:firstRow="0" w:lastRow="0" w:firstColumn="0" w:lastColumn="0" w:oddVBand="0" w:evenVBand="0" w:oddHBand="0" w:evenHBand="0" w:firstRowFirstColumn="0" w:firstRowLastColumn="0" w:lastRowFirstColumn="0" w:lastRowLastColumn="0"/>
              <w:rPr>
                <w:szCs w:val="18"/>
              </w:rPr>
            </w:pPr>
            <w:r w:rsidRPr="00FD7E86">
              <w:rPr>
                <w:b/>
                <w:color w:val="FFFFFF" w:themeColor="background1"/>
                <w:szCs w:val="18"/>
              </w:rPr>
              <w:t>–40.0</w:t>
            </w:r>
          </w:p>
        </w:tc>
      </w:tr>
    </w:tbl>
    <w:p w14:paraId="2BB081D5" w14:textId="77777777" w:rsidR="00A2339C" w:rsidRPr="00FD7E86" w:rsidRDefault="00A2339C" w:rsidP="00314FB5">
      <w:pPr>
        <w:pStyle w:val="ACMANotes"/>
        <w:keepNext/>
        <w:keepLines/>
      </w:pPr>
      <w:r w:rsidRPr="00FD7E86">
        <w:t>n/a=not available.</w:t>
      </w:r>
    </w:p>
    <w:p w14:paraId="2D718021" w14:textId="77777777" w:rsidR="00A2339C" w:rsidRPr="00FD7E86" w:rsidRDefault="00A2339C" w:rsidP="00314FB5">
      <w:pPr>
        <w:pStyle w:val="ACMANotes"/>
        <w:keepNext/>
        <w:keepLines/>
      </w:pPr>
      <w:r w:rsidRPr="00FD7E86">
        <w:t>*Complaints are an expression of dissatisfaction made to the ACMA about unsolicited emails or SMS whereas reports are an advice of spam activity directed to the ACMA</w:t>
      </w:r>
      <w:r w:rsidR="001D4E81" w:rsidRPr="00FD7E86">
        <w:t>’</w:t>
      </w:r>
      <w:r w:rsidRPr="00FD7E86">
        <w:t>s anti-spam databases. Reports are not actioned individually but assist the ACMA in its anti-spam activities.</w:t>
      </w:r>
    </w:p>
    <w:p w14:paraId="764D2ADB" w14:textId="77777777" w:rsidR="00A2339C" w:rsidRPr="00FD7E86" w:rsidRDefault="00A2339C" w:rsidP="00314FB5">
      <w:pPr>
        <w:pStyle w:val="ACMANotes"/>
        <w:keepNext/>
        <w:keepLines/>
      </w:pPr>
      <w:r w:rsidRPr="00FD7E86">
        <w:rPr>
          <w:vertAlign w:val="superscript"/>
        </w:rPr>
        <w:t>†</w:t>
      </w:r>
      <w:r w:rsidRPr="00FD7E86">
        <w:t>Revised from previous year.</w:t>
      </w:r>
    </w:p>
    <w:p w14:paraId="09720E98" w14:textId="77777777" w:rsidR="00A2339C" w:rsidRPr="00FD7E86" w:rsidRDefault="00A2339C" w:rsidP="00314FB5">
      <w:pPr>
        <w:pStyle w:val="ACMANotes"/>
        <w:keepNext/>
        <w:keepLines/>
      </w:pPr>
      <w:r w:rsidRPr="00FD7E86">
        <w:t>Source: ACMA.</w:t>
      </w:r>
    </w:p>
    <w:p w14:paraId="77A69A95" w14:textId="77777777" w:rsidR="00E450B7" w:rsidRPr="00FD7E86" w:rsidRDefault="00E450B7" w:rsidP="00216D8C">
      <w:pPr>
        <w:pStyle w:val="ACMASpaceaftertable"/>
        <w:rPr>
          <w:i/>
          <w:sz w:val="16"/>
          <w:szCs w:val="16"/>
        </w:rPr>
      </w:pPr>
    </w:p>
    <w:p w14:paraId="4D853D44" w14:textId="77777777" w:rsidR="00A2339C" w:rsidRPr="00FD7E86" w:rsidRDefault="001276AF" w:rsidP="00C05F4C">
      <w:pPr>
        <w:pStyle w:val="ACMAHeading1"/>
        <w:keepLines/>
      </w:pPr>
      <w:bookmarkStart w:id="510" w:name="_Toc433790431"/>
      <w:r w:rsidRPr="00FD7E86">
        <w:lastRenderedPageBreak/>
        <w:t>5.11</w:t>
      </w:r>
      <w:r w:rsidRPr="00FD7E86">
        <w:tab/>
      </w:r>
      <w:r w:rsidRPr="00FD7E86">
        <w:tab/>
      </w:r>
      <w:r w:rsidR="00A2339C" w:rsidRPr="00FD7E86">
        <w:t>Cybersecurity</w:t>
      </w:r>
      <w:bookmarkEnd w:id="510"/>
    </w:p>
    <w:p w14:paraId="0B8C2C5A" w14:textId="77777777" w:rsidR="00A2339C" w:rsidRPr="00FD7E86" w:rsidRDefault="00A2339C" w:rsidP="00C05F4C">
      <w:pPr>
        <w:keepNext/>
        <w:keepLines/>
      </w:pPr>
      <w:r w:rsidRPr="00FD7E86">
        <w:t>The Australian Internet Security Initiative (AISI) is a voluntary program operated by the ACMA to assist AISI participants—generally Australian ISPs, educational institutions and other organisations with assigned IP ranges—to address the problem of computing devices that are ‘compromised’ by malware (or malicious software). Malware compromises enable malicious actors to steal personal and sensitive information from these devices and control them remotely for illegal or harmful purposes, without the users’ knowledge. These infections often enable activities causing harm to other internet users, including the mass distribution of spam, hosting of phishing sites, facilitation of identity theft, participation in dedicated denial of service attacks and dissemination of ransomware (malware that blocks access to a computer system until a sum of money is paid).</w:t>
      </w:r>
    </w:p>
    <w:p w14:paraId="1B8E3996" w14:textId="77777777" w:rsidR="00A2339C" w:rsidRPr="00FD7E86" w:rsidRDefault="00A2339C" w:rsidP="00314FB5">
      <w:r w:rsidRPr="00FD7E86">
        <w:t>The AISI provides daily reports to participants about malware-infected computing devices residing on their networks. When they receive a report of an infection, AISI participants are expected to contact their customers or users, inform them that their computing devices are infected</w:t>
      </w:r>
      <w:r w:rsidR="001D4E81" w:rsidRPr="00FD7E86">
        <w:t>,</w:t>
      </w:r>
      <w:r w:rsidRPr="00FD7E86">
        <w:t xml:space="preserve"> and provide information to help restore these devices to safe operation. Participants can also access AISI compromise data relating to their networks through an online portal, which contains more comprehensive data than that contained in the daily AISI email reports. </w:t>
      </w:r>
    </w:p>
    <w:p w14:paraId="3A43EE82" w14:textId="77777777" w:rsidR="00A2339C" w:rsidRPr="00FD7E86" w:rsidRDefault="00A2339C" w:rsidP="00314FB5">
      <w:pPr>
        <w:rPr>
          <w:szCs w:val="20"/>
        </w:rPr>
      </w:pPr>
      <w:r w:rsidRPr="00FD7E86">
        <w:t>At 30 June 2015, there were 140 participants in the AISI, with these participants estimated to cover more than 95 per cent of allocated Australian IP address ranges. A total of 9.73</w:t>
      </w:r>
      <w:r w:rsidRPr="00FD7E86">
        <w:rPr>
          <w:szCs w:val="20"/>
        </w:rPr>
        <w:t xml:space="preserve"> million observations of infections were reported to AISI participants in 2014–15—averaging 26,645 per day, compared to 25,839 in 2013</w:t>
      </w:r>
      <w:r w:rsidR="005B34E5" w:rsidRPr="00FD7E86">
        <w:rPr>
          <w:szCs w:val="20"/>
        </w:rPr>
        <w:t>–</w:t>
      </w:r>
      <w:r w:rsidRPr="00FD7E86">
        <w:rPr>
          <w:szCs w:val="20"/>
        </w:rPr>
        <w:t>14.</w:t>
      </w:r>
    </w:p>
    <w:p w14:paraId="5B21C1D9" w14:textId="77777777" w:rsidR="00A2339C" w:rsidRPr="00FD7E86" w:rsidRDefault="00A2339C" w:rsidP="00314FB5">
      <w:r w:rsidRPr="00FD7E86">
        <w:t>In March 2015</w:t>
      </w:r>
      <w:r w:rsidR="001D4E81" w:rsidRPr="00FD7E86">
        <w:t>,</w:t>
      </w:r>
      <w:r w:rsidRPr="00FD7E86">
        <w:t xml:space="preserve"> the ACMA commenced the reporting of services vulnerable to known exploits—such as websites, network attached storage devices and home routers—that potentially allow a malicious actor to intercept communications occurring through that device to steal sensitive information</w:t>
      </w:r>
      <w:r w:rsidR="001D4E81" w:rsidRPr="00FD7E86">
        <w:t xml:space="preserve">, </w:t>
      </w:r>
      <w:r w:rsidRPr="00FD7E86">
        <w:t xml:space="preserve">such as communications relating to a financial transaction. These services are generally ‘vulnerable’ as they permit the use of outmoded and insecure encryption standards. </w:t>
      </w:r>
    </w:p>
    <w:p w14:paraId="39168CC1" w14:textId="77777777" w:rsidR="00A2339C" w:rsidRPr="00FD7E86" w:rsidRDefault="00A2339C" w:rsidP="00314FB5">
      <w:r w:rsidRPr="00FD7E86">
        <w:t xml:space="preserve">Approximately 106,000 vulnerable IP addresses were reported per day to AISI members from 13 March to 30 June 2015. This extension to the AISI helps home and small business users </w:t>
      </w:r>
      <w:r w:rsidR="001D4E81" w:rsidRPr="00FD7E86">
        <w:t xml:space="preserve">by </w:t>
      </w:r>
      <w:r w:rsidRPr="00FD7E86">
        <w:t>improving the security level of the Australian web services with which they undertake transactions. It also helps raise the security levels of home routers through alerting home users to vulnerabilities in this equipment. The feedback from AISI participants has been generally positive about the reporting of vulnerability data through the AISI program</w:t>
      </w:r>
      <w:r w:rsidR="001D4E81" w:rsidRPr="00FD7E86">
        <w:t>. However</w:t>
      </w:r>
      <w:r w:rsidRPr="00FD7E86">
        <w:t>, the large number of services reported each day indicates a need for a greater industry focus on maintaining security levels on these services.</w:t>
      </w:r>
    </w:p>
    <w:p w14:paraId="3122A9AC" w14:textId="77777777" w:rsidR="00A2339C" w:rsidRPr="00FD7E86" w:rsidRDefault="00A2339C" w:rsidP="00A2339C">
      <w:pPr>
        <w:rPr>
          <w:rFonts w:cs="Arial"/>
        </w:rPr>
      </w:pPr>
      <w:r w:rsidRPr="00FD7E86">
        <w:rPr>
          <w:rFonts w:cs="Arial"/>
        </w:rPr>
        <w:t>The AISI is complemented by the iCode, which commenced operating on 1 December 2010, and is designed to provide a consistent approach for Australian ISPs to help inform, educate and protect their customers against cybersecurity risks. The AISI is specified in the iCode as one of the methods that ISPs should use to detect malware infections in their networks.</w:t>
      </w:r>
    </w:p>
    <w:p w14:paraId="19D3F1FF" w14:textId="77777777" w:rsidR="00A2339C" w:rsidRPr="00FD7E86" w:rsidRDefault="00A2339C" w:rsidP="00314FB5">
      <w:r w:rsidRPr="00FD7E86">
        <w:t>A further cybersecurity activity of the ACMA is an automated system for reporting suspected ‘phishing’ URLs extracted from spam emails reported to the ACMA. Phishing emails direct internet users to fraudulent web pages that represent themselves as belonging to legitimate businesses, such as banks. Their main function is to obtain financial and personal information from unsuspecting internet users for criminal purposes.</w:t>
      </w:r>
    </w:p>
    <w:p w14:paraId="72F77430" w14:textId="77777777" w:rsidR="00A2339C" w:rsidRPr="00FD7E86" w:rsidRDefault="00A2339C" w:rsidP="00314FB5">
      <w:r w:rsidRPr="00FD7E86">
        <w:t>Recipients of the ACMA’s phishing reports include the Australian Tax Office, Facebook, Telstra and a number of major financial institutions. A total of 43,520 reports of suspected phishing URLs were provided to these organisations in 2014–15. To enable quick and early action, phishing reports are provided within minutes of being received by the ACMA.</w:t>
      </w:r>
    </w:p>
    <w:p w14:paraId="1A314A41" w14:textId="77777777" w:rsidR="00A2339C" w:rsidRPr="00FD7E86" w:rsidRDefault="001276AF" w:rsidP="000B3AFF">
      <w:pPr>
        <w:pStyle w:val="ACMAHeading1"/>
      </w:pPr>
      <w:bookmarkStart w:id="511" w:name="_Toc433790432"/>
      <w:r w:rsidRPr="00FD7E86">
        <w:lastRenderedPageBreak/>
        <w:t>5.12</w:t>
      </w:r>
      <w:r w:rsidRPr="00FD7E86">
        <w:tab/>
      </w:r>
      <w:r w:rsidRPr="00FD7E86">
        <w:tab/>
      </w:r>
      <w:r w:rsidR="00A2339C" w:rsidRPr="00FD7E86">
        <w:t>Telecommunications codes—development and review</w:t>
      </w:r>
      <w:bookmarkEnd w:id="511"/>
    </w:p>
    <w:p w14:paraId="6FFA59FB" w14:textId="77777777" w:rsidR="00A2339C" w:rsidRPr="00FD7E86" w:rsidRDefault="00A2339C" w:rsidP="00A2339C">
      <w:pPr>
        <w:keepNext/>
        <w:spacing w:after="80"/>
        <w:rPr>
          <w:rFonts w:cs="Arial"/>
          <w:szCs w:val="20"/>
        </w:rPr>
      </w:pPr>
      <w:r w:rsidRPr="00FD7E86">
        <w:rPr>
          <w:rFonts w:cs="Arial"/>
          <w:szCs w:val="20"/>
        </w:rPr>
        <w:t xml:space="preserve">Under Part 6 of the Act, the ACMA may register codes developed by industry bodies. At 30 June 2015, </w:t>
      </w:r>
      <w:r w:rsidR="00406635" w:rsidRPr="00FD7E86">
        <w:rPr>
          <w:rFonts w:cs="Arial"/>
          <w:szCs w:val="20"/>
        </w:rPr>
        <w:t>20</w:t>
      </w:r>
      <w:r w:rsidR="00406635">
        <w:rPr>
          <w:rFonts w:cs="Arial"/>
          <w:szCs w:val="20"/>
        </w:rPr>
        <w:t> </w:t>
      </w:r>
      <w:r w:rsidRPr="00FD7E86">
        <w:rPr>
          <w:rFonts w:cs="Arial"/>
          <w:szCs w:val="20"/>
        </w:rPr>
        <w:t>codes were registered, comprising:</w:t>
      </w:r>
    </w:p>
    <w:p w14:paraId="725ADF20" w14:textId="77777777" w:rsidR="00A2339C" w:rsidRPr="00FD7E86" w:rsidRDefault="00A2339C" w:rsidP="00A2339C">
      <w:pPr>
        <w:pStyle w:val="ListBullet"/>
        <w:keepNext/>
        <w:rPr>
          <w:rFonts w:cs="Arial"/>
          <w:szCs w:val="20"/>
        </w:rPr>
      </w:pPr>
      <w:r w:rsidRPr="00FD7E86">
        <w:rPr>
          <w:rFonts w:cs="Arial"/>
          <w:szCs w:val="20"/>
        </w:rPr>
        <w:t>19 codes developed by C</w:t>
      </w:r>
      <w:r w:rsidR="00D768BE" w:rsidRPr="00FD7E86">
        <w:rPr>
          <w:rFonts w:cs="Arial"/>
          <w:szCs w:val="20"/>
        </w:rPr>
        <w:t xml:space="preserve">ommunications </w:t>
      </w:r>
      <w:r w:rsidRPr="00FD7E86">
        <w:rPr>
          <w:rFonts w:cs="Arial"/>
          <w:szCs w:val="20"/>
        </w:rPr>
        <w:t>A</w:t>
      </w:r>
      <w:r w:rsidR="00D768BE" w:rsidRPr="00FD7E86">
        <w:rPr>
          <w:rFonts w:cs="Arial"/>
          <w:szCs w:val="20"/>
        </w:rPr>
        <w:t>lliance</w:t>
      </w:r>
    </w:p>
    <w:p w14:paraId="232ED306" w14:textId="77777777" w:rsidR="00A2339C" w:rsidRPr="00FD7E86" w:rsidRDefault="00A2339C" w:rsidP="00314FB5">
      <w:pPr>
        <w:pStyle w:val="ListBulletLast"/>
      </w:pPr>
      <w:r w:rsidRPr="00FD7E86">
        <w:t>the Cabling Requirements for Business Code, developed by the Cabling Industry Committee.</w:t>
      </w:r>
    </w:p>
    <w:p w14:paraId="56626585" w14:textId="77777777" w:rsidR="00A2339C" w:rsidRPr="00FD7E86" w:rsidRDefault="00A2339C" w:rsidP="00A2339C">
      <w:pPr>
        <w:keepNext/>
        <w:spacing w:after="80"/>
        <w:rPr>
          <w:rFonts w:cs="Arial"/>
          <w:szCs w:val="20"/>
        </w:rPr>
      </w:pPr>
      <w:r w:rsidRPr="00FD7E86">
        <w:rPr>
          <w:rFonts w:cs="Arial"/>
          <w:szCs w:val="20"/>
        </w:rPr>
        <w:t>In 2014–15:</w:t>
      </w:r>
    </w:p>
    <w:p w14:paraId="17DD7F14" w14:textId="77777777" w:rsidR="00A2339C" w:rsidRPr="00FD7E86" w:rsidRDefault="00A2339C" w:rsidP="00A2339C">
      <w:pPr>
        <w:pStyle w:val="ListBullet"/>
        <w:rPr>
          <w:rFonts w:cs="Arial"/>
          <w:szCs w:val="20"/>
        </w:rPr>
      </w:pPr>
      <w:r w:rsidRPr="00FD7E86">
        <w:rPr>
          <w:rFonts w:cs="Arial"/>
          <w:szCs w:val="20"/>
        </w:rPr>
        <w:t xml:space="preserve">CA commenced a review of the Telecommunications Consumer Protections (TCP) Code 2012 </w:t>
      </w:r>
      <w:r w:rsidR="00556F0A" w:rsidRPr="00FD7E86">
        <w:rPr>
          <w:rFonts w:cs="Arial"/>
          <w:szCs w:val="20"/>
        </w:rPr>
        <w:t xml:space="preserve">(the TCP Code) </w:t>
      </w:r>
      <w:r w:rsidRPr="00FD7E86">
        <w:rPr>
          <w:rFonts w:cs="Arial"/>
          <w:szCs w:val="20"/>
        </w:rPr>
        <w:t>focusing on customer information requirements</w:t>
      </w:r>
    </w:p>
    <w:p w14:paraId="2760DAFD" w14:textId="77777777" w:rsidR="00A2339C" w:rsidRPr="00FD7E86" w:rsidRDefault="00A2339C" w:rsidP="00A2339C">
      <w:pPr>
        <w:pStyle w:val="ListBullet"/>
        <w:rPr>
          <w:rFonts w:cs="Arial"/>
          <w:szCs w:val="20"/>
        </w:rPr>
      </w:pPr>
      <w:r w:rsidRPr="00FD7E86">
        <w:rPr>
          <w:rFonts w:cs="Arial"/>
          <w:szCs w:val="20"/>
        </w:rPr>
        <w:t>CA completed a review of the Mobile Premium Services (MPS) Code</w:t>
      </w:r>
      <w:r w:rsidR="00556F0A" w:rsidRPr="00FD7E86">
        <w:rPr>
          <w:rFonts w:cs="Arial"/>
          <w:szCs w:val="20"/>
        </w:rPr>
        <w:t xml:space="preserve"> (the MPS Code)</w:t>
      </w:r>
      <w:r w:rsidRPr="00FD7E86">
        <w:rPr>
          <w:rFonts w:cs="Arial"/>
          <w:szCs w:val="20"/>
        </w:rPr>
        <w:t>. The revised MPS Code was registered by the ACMA on 20 October 2014.</w:t>
      </w:r>
    </w:p>
    <w:p w14:paraId="49BDE2A4" w14:textId="77777777" w:rsidR="00A2339C" w:rsidRPr="00FD7E86" w:rsidRDefault="00A2339C" w:rsidP="000664F7">
      <w:pPr>
        <w:pStyle w:val="ListBulletLast"/>
      </w:pPr>
      <w:r w:rsidRPr="00FD7E86">
        <w:t>the Internet Industry Spam Code of Practice was deregistered (16 October 2014).</w:t>
      </w:r>
    </w:p>
    <w:p w14:paraId="14AC9967" w14:textId="77777777" w:rsidR="00A2339C" w:rsidRPr="00FD7E86" w:rsidRDefault="001276AF" w:rsidP="000B3AFF">
      <w:pPr>
        <w:pStyle w:val="ACMAHeading1"/>
      </w:pPr>
      <w:bookmarkStart w:id="512" w:name="_Toc433790433"/>
      <w:r w:rsidRPr="00FD7E86">
        <w:t>5.13</w:t>
      </w:r>
      <w:r w:rsidRPr="00FD7E86">
        <w:tab/>
      </w:r>
      <w:r w:rsidRPr="00FD7E86">
        <w:tab/>
      </w:r>
      <w:r w:rsidR="00A2339C" w:rsidRPr="00FD7E86">
        <w:t>Industry compliance with telecommunications codes</w:t>
      </w:r>
      <w:bookmarkEnd w:id="512"/>
    </w:p>
    <w:p w14:paraId="3C85C681" w14:textId="77777777" w:rsidR="00A2339C" w:rsidRPr="00FD7E86" w:rsidRDefault="00A2339C" w:rsidP="000664F7">
      <w:pPr>
        <w:pStyle w:val="ACMAHeading2"/>
      </w:pPr>
      <w:bookmarkStart w:id="513" w:name="_Toc402337590"/>
      <w:bookmarkStart w:id="514" w:name="_Toc433790434"/>
      <w:r w:rsidRPr="00FD7E86">
        <w:t>Compliance with the TCP Code</w:t>
      </w:r>
      <w:bookmarkEnd w:id="513"/>
      <w:bookmarkEnd w:id="514"/>
    </w:p>
    <w:p w14:paraId="731D24A4" w14:textId="77777777" w:rsidR="00A2339C" w:rsidRPr="00FD7E86" w:rsidRDefault="00A2339C" w:rsidP="00A2339C">
      <w:pPr>
        <w:spacing w:after="80" w:line="240" w:lineRule="auto"/>
        <w:rPr>
          <w:rFonts w:cs="Arial"/>
          <w:szCs w:val="20"/>
        </w:rPr>
      </w:pPr>
      <w:r w:rsidRPr="00FD7E86">
        <w:rPr>
          <w:rFonts w:cs="Arial"/>
          <w:szCs w:val="20"/>
        </w:rPr>
        <w:t>Telecommunications companies demonstrated high levels of compliance with the TCP Code across a range of audits and investigations. For the period 1 July 2014 to 30 June 2015:</w:t>
      </w:r>
    </w:p>
    <w:p w14:paraId="4013A95B" w14:textId="77777777" w:rsidR="00A2339C" w:rsidRPr="00FD7E86" w:rsidRDefault="00A2339C" w:rsidP="00A2339C">
      <w:pPr>
        <w:pStyle w:val="ListBullet"/>
        <w:rPr>
          <w:rFonts w:cs="Arial"/>
          <w:szCs w:val="20"/>
        </w:rPr>
      </w:pPr>
      <w:r w:rsidRPr="00FD7E86">
        <w:rPr>
          <w:rFonts w:cs="Arial"/>
          <w:szCs w:val="20"/>
        </w:rPr>
        <w:t>27 advertisements from 17 different providers were reviewed and found to be compliant with the advertising requirements of the TCP Code.</w:t>
      </w:r>
    </w:p>
    <w:p w14:paraId="4D54D29D" w14:textId="77777777" w:rsidR="00A2339C" w:rsidRPr="00FD7E86" w:rsidRDefault="00A2339C" w:rsidP="000664F7">
      <w:pPr>
        <w:pStyle w:val="ListBulletLast"/>
      </w:pPr>
      <w:r w:rsidRPr="00FD7E86">
        <w:t xml:space="preserve">while compliance with Critical Information Summary </w:t>
      </w:r>
      <w:r w:rsidR="00F47AB4" w:rsidRPr="00FD7E86">
        <w:t xml:space="preserve">(CIS) </w:t>
      </w:r>
      <w:r w:rsidRPr="00FD7E86">
        <w:t>requirements was down from 90 per cent in the previous year to 69 per cent, the majority of non-compliant CISs required only minor changes to make them compliant. The ACMA will continue to monitor compliance in this area.</w:t>
      </w:r>
    </w:p>
    <w:p w14:paraId="4A20A09C" w14:textId="77777777" w:rsidR="00A2339C" w:rsidRPr="00FD7E86" w:rsidRDefault="00A2339C" w:rsidP="00314FB5">
      <w:r w:rsidRPr="00FD7E86">
        <w:t xml:space="preserve">Communications Compliance (CommCom) requires providers to promote code awareness, lodge annual compliance documents, and prepare and maintain a </w:t>
      </w:r>
      <w:r w:rsidR="00EF0244" w:rsidRPr="00FD7E86">
        <w:t>c</w:t>
      </w:r>
      <w:r w:rsidRPr="00FD7E86">
        <w:t xml:space="preserve">ompliance </w:t>
      </w:r>
      <w:r w:rsidR="00EF0244" w:rsidRPr="00FD7E86">
        <w:t>p</w:t>
      </w:r>
      <w:r w:rsidRPr="00FD7E86">
        <w:t>lan</w:t>
      </w:r>
      <w:r w:rsidRPr="00FD7E86">
        <w:rPr>
          <w:lang w:val="en"/>
        </w:rPr>
        <w:t xml:space="preserve">. </w:t>
      </w:r>
      <w:r w:rsidRPr="00FD7E86">
        <w:t xml:space="preserve">Under the TCP Code, companies providing services to consumers must submit compliance statements to </w:t>
      </w:r>
      <w:hyperlink r:id="rId127" w:history="1">
        <w:r w:rsidRPr="00FD7E86">
          <w:t>CommCom</w:t>
        </w:r>
      </w:hyperlink>
      <w:r w:rsidRPr="00FD7E86">
        <w:t xml:space="preserve"> by 1 April each year. In 2014–15, 391 </w:t>
      </w:r>
      <w:hyperlink r:id="rId128" w:tgtFrame="_blank" w:history="1"/>
      <w:r w:rsidRPr="00FD7E86">
        <w:t xml:space="preserve">providers submitted code compliance statements to CommCom, up from 224 in </w:t>
      </w:r>
      <w:r w:rsidR="00406635">
        <w:br/>
      </w:r>
      <w:r w:rsidRPr="00FD7E86">
        <w:t xml:space="preserve">2013–14. </w:t>
      </w:r>
    </w:p>
    <w:p w14:paraId="60BE56C3" w14:textId="77777777" w:rsidR="00A2339C" w:rsidRPr="00FD7E86" w:rsidRDefault="00A2339C" w:rsidP="00314FB5">
      <w:pPr>
        <w:spacing w:after="80"/>
      </w:pPr>
      <w:r w:rsidRPr="00FD7E86">
        <w:t>For the period 1 July 2014 to 30 June 2015, 15 telecommunications companies</w:t>
      </w:r>
      <w:r w:rsidRPr="00FD7E86" w:rsidDel="0059794E">
        <w:t xml:space="preserve"> </w:t>
      </w:r>
      <w:r w:rsidRPr="00FD7E86">
        <w:t xml:space="preserve">received directions to comply with the TCP </w:t>
      </w:r>
      <w:r w:rsidR="00C05F4C">
        <w:t>C</w:t>
      </w:r>
      <w:r w:rsidRPr="00FD7E86">
        <w:t xml:space="preserve">ode. These were issued to: </w:t>
      </w:r>
    </w:p>
    <w:p w14:paraId="01136BBB" w14:textId="77777777" w:rsidR="00A2339C" w:rsidRPr="00FD7E86" w:rsidRDefault="00A2339C" w:rsidP="00A2339C">
      <w:pPr>
        <w:pStyle w:val="ListBullet"/>
        <w:rPr>
          <w:rFonts w:cs="Arial"/>
          <w:szCs w:val="20"/>
        </w:rPr>
      </w:pPr>
      <w:r w:rsidRPr="00FD7E86">
        <w:rPr>
          <w:rFonts w:cs="Arial"/>
          <w:szCs w:val="20"/>
        </w:rPr>
        <w:t>Sure Telecom Pty Ltd, M and E Alchi Family Trust</w:t>
      </w:r>
      <w:r w:rsidR="00EF0244" w:rsidRPr="00FD7E86">
        <w:rPr>
          <w:rFonts w:cs="Arial"/>
          <w:szCs w:val="20"/>
        </w:rPr>
        <w:t>,</w:t>
      </w:r>
      <w:r w:rsidRPr="00FD7E86">
        <w:rPr>
          <w:rFonts w:cs="Arial"/>
          <w:szCs w:val="20"/>
        </w:rPr>
        <w:t xml:space="preserve"> operating as Business Class Telecom</w:t>
      </w:r>
      <w:r w:rsidR="00EF0244" w:rsidRPr="00FD7E86">
        <w:rPr>
          <w:rFonts w:cs="Arial"/>
          <w:szCs w:val="20"/>
        </w:rPr>
        <w:t>,</w:t>
      </w:r>
      <w:r w:rsidRPr="00FD7E86">
        <w:rPr>
          <w:rFonts w:cs="Arial"/>
          <w:szCs w:val="20"/>
        </w:rPr>
        <w:t xml:space="preserve"> and Tele-Talk Pty Ltd—for failing to comply with sales practice and customer transfer provisions</w:t>
      </w:r>
    </w:p>
    <w:p w14:paraId="6118A632" w14:textId="77777777" w:rsidR="00A2339C" w:rsidRPr="00FD7E86" w:rsidRDefault="00A2339C" w:rsidP="00A2339C">
      <w:pPr>
        <w:pStyle w:val="ListBullet"/>
        <w:rPr>
          <w:rFonts w:cs="Arial"/>
          <w:szCs w:val="20"/>
        </w:rPr>
      </w:pPr>
      <w:r w:rsidRPr="00FD7E86">
        <w:rPr>
          <w:rFonts w:cs="Arial"/>
          <w:szCs w:val="20"/>
        </w:rPr>
        <w:t>SoleNet Pty Ltd—for failing to comply with the customer transfer provisions</w:t>
      </w:r>
    </w:p>
    <w:p w14:paraId="09ACAE06" w14:textId="77777777" w:rsidR="00A2339C" w:rsidRPr="00FD7E86" w:rsidRDefault="00A2339C" w:rsidP="00314FB5">
      <w:pPr>
        <w:pStyle w:val="ListBulletLast"/>
      </w:pPr>
      <w:r w:rsidRPr="00FD7E86">
        <w:t>Vocaltone Networks Australia Pty Ltd, Spinktel, Reeds Internet &amp; Telecom Pty Ltd, Pivit Pty Ltd, Oz Talk Communications Pty Ltd, Netbay Internet Pty Ltd, Max Telecom Pty Ltd, iTalk (Australia) Pty Ltd, HomeLinX Pty Ltd, E-Tel Communications Pty Ltd</w:t>
      </w:r>
      <w:r w:rsidR="00EF0244" w:rsidRPr="00FD7E86">
        <w:t>,</w:t>
      </w:r>
      <w:r w:rsidRPr="00FD7E86">
        <w:t xml:space="preserve"> and David John Esmond T/a Aunix—for failing to comply with requirements to provide </w:t>
      </w:r>
      <w:r w:rsidRPr="00314FB5">
        <w:t>compliance</w:t>
      </w:r>
      <w:r w:rsidRPr="00FD7E86">
        <w:t xml:space="preserve"> statements to CommCom in 2014.</w:t>
      </w:r>
    </w:p>
    <w:p w14:paraId="409CE3A9" w14:textId="77777777" w:rsidR="00A2339C" w:rsidRPr="00FD7E86" w:rsidRDefault="00A2339C" w:rsidP="00A2339C">
      <w:pPr>
        <w:pStyle w:val="ListBullet"/>
        <w:numPr>
          <w:ilvl w:val="0"/>
          <w:numId w:val="0"/>
        </w:numPr>
        <w:rPr>
          <w:rFonts w:cs="Arial"/>
          <w:szCs w:val="20"/>
        </w:rPr>
      </w:pPr>
      <w:r w:rsidRPr="00FD7E86">
        <w:rPr>
          <w:rFonts w:cs="Arial"/>
          <w:szCs w:val="20"/>
        </w:rPr>
        <w:t xml:space="preserve">In addition, a total of 42 formal warnings were issued to: </w:t>
      </w:r>
    </w:p>
    <w:p w14:paraId="5DD6AF2C" w14:textId="77777777" w:rsidR="00A2339C" w:rsidRPr="00FD7E86" w:rsidRDefault="00A2339C" w:rsidP="00A2339C">
      <w:pPr>
        <w:pStyle w:val="ListBullet"/>
        <w:rPr>
          <w:rFonts w:cs="Arial"/>
          <w:szCs w:val="20"/>
        </w:rPr>
      </w:pPr>
      <w:r w:rsidRPr="00FD7E86">
        <w:rPr>
          <w:rFonts w:cs="Arial"/>
          <w:szCs w:val="20"/>
        </w:rPr>
        <w:t xml:space="preserve">Harbour Technology (HotNet) Pty Ltd—for inadequate Critical Information Summaries </w:t>
      </w:r>
    </w:p>
    <w:p w14:paraId="100B1097" w14:textId="77777777" w:rsidR="00A2339C" w:rsidRPr="00FD7E86" w:rsidRDefault="00A2339C" w:rsidP="00A2339C">
      <w:pPr>
        <w:pStyle w:val="ListBullet"/>
        <w:rPr>
          <w:rFonts w:cs="Arial"/>
          <w:szCs w:val="20"/>
        </w:rPr>
      </w:pPr>
      <w:r w:rsidRPr="00FD7E86">
        <w:rPr>
          <w:rFonts w:cs="Arial"/>
          <w:szCs w:val="20"/>
        </w:rPr>
        <w:t>iiNet Ltd and Dodo Services Pty Ltd—for failing to comply with direct debit provisions</w:t>
      </w:r>
    </w:p>
    <w:p w14:paraId="13883006" w14:textId="77777777" w:rsidR="00A2339C" w:rsidRPr="00FD7E86" w:rsidRDefault="00A2339C" w:rsidP="000664F7">
      <w:pPr>
        <w:pStyle w:val="ListBulletLast"/>
      </w:pPr>
      <w:r w:rsidRPr="00FD7E86">
        <w:t>another 39 providers following referrals from CommCom for failing to lodge compliance statements.</w:t>
      </w:r>
    </w:p>
    <w:p w14:paraId="6AA70E60" w14:textId="77777777" w:rsidR="00A2339C" w:rsidRPr="00FD7E86" w:rsidRDefault="001276AF" w:rsidP="00C04B4C">
      <w:pPr>
        <w:pStyle w:val="ACMAHeading1"/>
        <w:keepLines/>
      </w:pPr>
      <w:bookmarkStart w:id="515" w:name="_Toc433790435"/>
      <w:r w:rsidRPr="00FD7E86">
        <w:lastRenderedPageBreak/>
        <w:t>5.14</w:t>
      </w:r>
      <w:r w:rsidRPr="00FD7E86">
        <w:tab/>
      </w:r>
      <w:r w:rsidRPr="00FD7E86">
        <w:tab/>
      </w:r>
      <w:r w:rsidR="00A2339C" w:rsidRPr="00FD7E86">
        <w:t>Industry compliance with TIO scheme</w:t>
      </w:r>
      <w:bookmarkEnd w:id="515"/>
    </w:p>
    <w:p w14:paraId="25DF5B8F" w14:textId="77777777" w:rsidR="00A2339C" w:rsidRPr="00FD7E86" w:rsidRDefault="00A2339C" w:rsidP="00C04B4C">
      <w:pPr>
        <w:keepNext/>
        <w:keepLines/>
      </w:pPr>
      <w:r w:rsidRPr="00FD7E86">
        <w:t>Section 128 of the TCPSS Act requires carriers and eligible CSPs to join the TIO scheme. The scheme provides for the resolution of unresolved complaints about carriers or CSPs made by residential and small-business customers where those complaints are not resolved by the CSP/carrier. Eligible CSPs are those providers who supply fixed standard telephone, mobile or internet services to residential and small-business customers. TIO scheme members are required to comply with the scheme.</w:t>
      </w:r>
    </w:p>
    <w:p w14:paraId="04C838E5" w14:textId="77777777" w:rsidR="00A2339C" w:rsidRPr="00FD7E86" w:rsidRDefault="00A2339C" w:rsidP="00314FB5">
      <w:r w:rsidRPr="00FD7E86">
        <w:t xml:space="preserve">From 1 July 2014 to 30 June 2015, the TIO referred 21 companies that had not joined the TIO scheme to the ACMA. At 30 June 2015, 17 firms joined the scheme as a result of TIO referrals to the ACMA, though some of these referrals were made in the previous reporting year. </w:t>
      </w:r>
    </w:p>
    <w:p w14:paraId="103B68A9" w14:textId="77777777" w:rsidR="00A2339C" w:rsidRPr="00FD7E86" w:rsidRDefault="00A2339C" w:rsidP="00314FB5">
      <w:pPr>
        <w:spacing w:after="80"/>
      </w:pPr>
      <w:r w:rsidRPr="00FD7E86">
        <w:t>Investigations into TIO scheme membership led to four directions to comply with section 128 the TCPSS Act issued to:</w:t>
      </w:r>
    </w:p>
    <w:p w14:paraId="522AC91A" w14:textId="77777777" w:rsidR="00A2339C" w:rsidRPr="00FD7E86" w:rsidRDefault="00A2339C" w:rsidP="00A2339C">
      <w:pPr>
        <w:pStyle w:val="ListBullet"/>
      </w:pPr>
      <w:r w:rsidRPr="00FD7E86">
        <w:t>Compare Communications Australia Pty Ltd</w:t>
      </w:r>
    </w:p>
    <w:p w14:paraId="4E71BCA4" w14:textId="77777777" w:rsidR="00A2339C" w:rsidRPr="00FD7E86" w:rsidRDefault="00A2339C" w:rsidP="00A2339C">
      <w:pPr>
        <w:pStyle w:val="ListBullet"/>
      </w:pPr>
      <w:r w:rsidRPr="00FD7E86">
        <w:t>Tru Telecom Pty Ltd</w:t>
      </w:r>
    </w:p>
    <w:p w14:paraId="7C5EC361" w14:textId="77777777" w:rsidR="00A2339C" w:rsidRPr="00FD7E86" w:rsidRDefault="00A2339C" w:rsidP="00A2339C">
      <w:pPr>
        <w:pStyle w:val="ListBullet"/>
      </w:pPr>
      <w:r w:rsidRPr="00FD7E86">
        <w:t>123 Group Pty Ltd</w:t>
      </w:r>
    </w:p>
    <w:p w14:paraId="5A7A5E57" w14:textId="77777777" w:rsidR="00A2339C" w:rsidRPr="00FD7E86" w:rsidRDefault="00A2339C" w:rsidP="000664F7">
      <w:pPr>
        <w:pStyle w:val="ListBulletLast"/>
      </w:pPr>
      <w:r w:rsidRPr="00FD7E86">
        <w:t>Netfast Communications Pty Ltd.</w:t>
      </w:r>
    </w:p>
    <w:p w14:paraId="2382246C" w14:textId="77777777" w:rsidR="00A2339C" w:rsidRPr="00FD7E86" w:rsidRDefault="00A2339C" w:rsidP="00314FB5">
      <w:r w:rsidRPr="00FD7E86">
        <w:t xml:space="preserve">Both Compare Communications and Tru Telecom subsequently joined the TIO scheme, complying with the terms of the ACMA </w:t>
      </w:r>
      <w:r w:rsidR="00EF0244" w:rsidRPr="00FD7E86">
        <w:t>d</w:t>
      </w:r>
      <w:r w:rsidRPr="00FD7E86">
        <w:t xml:space="preserve">irections. Further enforcement action against the other two firms is under consideration. </w:t>
      </w:r>
    </w:p>
    <w:p w14:paraId="52BBFD87" w14:textId="77777777" w:rsidR="00A2339C" w:rsidRPr="00FD7E86" w:rsidRDefault="00A2339C" w:rsidP="00314FB5">
      <w:r w:rsidRPr="00FD7E86">
        <w:t>The remaining referrals are either the subject of ongoing ACMA inquiries/investigations or were not pursued as the relevant company had ceased operating as a CSP.</w:t>
      </w:r>
    </w:p>
    <w:p w14:paraId="10FA0A06" w14:textId="77777777" w:rsidR="00A2339C" w:rsidRPr="00FD7E86" w:rsidRDefault="00A2339C" w:rsidP="00314FB5">
      <w:r w:rsidRPr="00FD7E86">
        <w:t>Following a referral from the TIO in June 2014, the ACMA commenced an investigation into Planet ISP Pty Ltd</w:t>
      </w:r>
      <w:r w:rsidR="00EF0244" w:rsidRPr="00FD7E86">
        <w:t>,</w:t>
      </w:r>
      <w:r w:rsidRPr="00FD7E86">
        <w:t xml:space="preserve"> which had failed to comply with the TIO scheme by not refunding a customer $5,115.26 in call charges, following the theft of a mobile phone in South Africa. The ACMA’s investigation found that Planet ISP had failed to comply with a determination made by the TIO and had therefore failed to comply with the TIO scheme, the TCPSS Act, and subsequently the service provider rules set out at clause 1 of Schedule</w:t>
      </w:r>
      <w:r w:rsidR="00133157" w:rsidRPr="00FD7E86">
        <w:t xml:space="preserve"> </w:t>
      </w:r>
      <w:r w:rsidRPr="00FD7E86">
        <w:t xml:space="preserve">2 to the Act. The ACMA issued a direction to comply with the TIO scheme </w:t>
      </w:r>
      <w:r w:rsidR="00EF0244" w:rsidRPr="00FD7E86">
        <w:t>to Planet ISP, which</w:t>
      </w:r>
      <w:r w:rsidRPr="00FD7E86">
        <w:t xml:space="preserve"> refunded the amount to the customer on 2 April 2015.</w:t>
      </w:r>
    </w:p>
    <w:p w14:paraId="635F43D2" w14:textId="77777777" w:rsidR="00A2339C" w:rsidRPr="00FD7E86" w:rsidRDefault="001276AF" w:rsidP="000B3AFF">
      <w:pPr>
        <w:pStyle w:val="ACMAHeading1"/>
      </w:pPr>
      <w:bookmarkStart w:id="516" w:name="_Toc433790436"/>
      <w:r w:rsidRPr="00FD7E86">
        <w:t>5.15</w:t>
      </w:r>
      <w:r w:rsidRPr="00FD7E86">
        <w:tab/>
      </w:r>
      <w:r w:rsidRPr="00FD7E86">
        <w:tab/>
      </w:r>
      <w:r w:rsidR="00A2339C" w:rsidRPr="00FD7E86">
        <w:t>Complaints to the TIO</w:t>
      </w:r>
      <w:bookmarkEnd w:id="516"/>
    </w:p>
    <w:p w14:paraId="58B9BF9B" w14:textId="77777777" w:rsidR="00A2339C" w:rsidRPr="00FD7E86" w:rsidRDefault="00A2339C" w:rsidP="00314FB5">
      <w:r w:rsidRPr="00FD7E86">
        <w:t xml:space="preserve">There were 124,417 new complaints made to the TIO during 2014–15, down by 10.4 per cent from </w:t>
      </w:r>
      <w:r w:rsidR="00406635">
        <w:br/>
      </w:r>
      <w:r w:rsidRPr="00FD7E86">
        <w:t>2013–14. The most significant decrease in complaints was for mobile services</w:t>
      </w:r>
      <w:r w:rsidR="00EF0244" w:rsidRPr="00FD7E86">
        <w:t>—</w:t>
      </w:r>
      <w:r w:rsidRPr="00FD7E86">
        <w:t>down by 29 per cent on the previous year, and less than half the level recorded in 2011</w:t>
      </w:r>
      <w:r w:rsidR="00133157" w:rsidRPr="00FD7E86">
        <w:t>–</w:t>
      </w:r>
      <w:r w:rsidRPr="00FD7E86">
        <w:t xml:space="preserve">12. Complaints about fixed-line and internet </w:t>
      </w:r>
      <w:r w:rsidR="00EF0244" w:rsidRPr="00FD7E86">
        <w:t xml:space="preserve">services </w:t>
      </w:r>
      <w:r w:rsidRPr="00FD7E86">
        <w:t>were also down (one per cent and two per cent on the previous year respectively), but complaints about mobile premium services were up 22 per cent from 2013–14, noting this was from a low base (Figure 5.7).</w:t>
      </w:r>
    </w:p>
    <w:p w14:paraId="68F881DC" w14:textId="77777777" w:rsidR="00A2339C" w:rsidRPr="00FD7E86" w:rsidRDefault="00A2339C" w:rsidP="00314FB5">
      <w:r w:rsidRPr="00FD7E86">
        <w:t>The TIO records a new complaint when it receives an expression of dissatisfaction from a consumer whose complaint has not been resolved by the service provider. The TIO identifies and allocates complaint issues within each new complaint from a choice of keywords that are aligned to industry codes or common complaint categories identified by the TIO. As such, each new complaint involves at least one complaint issue and often more than one.</w:t>
      </w:r>
    </w:p>
    <w:p w14:paraId="209ACBFC" w14:textId="77777777" w:rsidR="00A2339C" w:rsidRPr="00FD7E86" w:rsidRDefault="00A6782F" w:rsidP="002B4947">
      <w:pPr>
        <w:pStyle w:val="ACMAFigureHeader"/>
        <w:keepNext/>
        <w:numPr>
          <w:ilvl w:val="0"/>
          <w:numId w:val="0"/>
        </w:numPr>
        <w:spacing w:after="240"/>
      </w:pPr>
      <w:r w:rsidRPr="00FD7E86">
        <w:lastRenderedPageBreak/>
        <w:t xml:space="preserve">Figure 5.7 </w:t>
      </w:r>
      <w:r w:rsidR="00A2339C" w:rsidRPr="00FD7E86">
        <w:t>Annual TIO new complaints by service type</w:t>
      </w:r>
    </w:p>
    <w:p w14:paraId="6D904E12" w14:textId="77777777" w:rsidR="00A2339C" w:rsidRPr="00FD7E86" w:rsidRDefault="00CB7A91" w:rsidP="00C05F4C">
      <w:pPr>
        <w:pStyle w:val="ACMAFigureHeader"/>
        <w:numPr>
          <w:ilvl w:val="0"/>
          <w:numId w:val="0"/>
        </w:numPr>
        <w:spacing w:after="0"/>
      </w:pPr>
      <w:r>
        <w:rPr>
          <w:noProof/>
        </w:rPr>
        <w:drawing>
          <wp:inline distT="0" distB="0" distL="0" distR="0" wp14:anchorId="3A59FABC" wp14:editId="61F12E8B">
            <wp:extent cx="5939790" cy="4152900"/>
            <wp:effectExtent l="0" t="0" r="3810" b="0"/>
            <wp:docPr id="78" name="Picture 78" descr="A .csv file of Figure 5.7 is available on the landing page ‘Communications report 2014–15’, available from the ACMA website. " title="Figure 5.7 Annual TIO new complaints by service 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Chapter 5_Figure 5.7.png"/>
                    <pic:cNvPicPr/>
                  </pic:nvPicPr>
                  <pic:blipFill>
                    <a:blip r:embed="rId129">
                      <a:extLst>
                        <a:ext uri="{28A0092B-C50C-407E-A947-70E740481C1C}">
                          <a14:useLocalDpi xmlns:a14="http://schemas.microsoft.com/office/drawing/2010/main" val="0"/>
                        </a:ext>
                      </a:extLst>
                    </a:blip>
                    <a:stretch>
                      <a:fillRect/>
                    </a:stretch>
                  </pic:blipFill>
                  <pic:spPr>
                    <a:xfrm>
                      <a:off x="0" y="0"/>
                      <a:ext cx="5939790" cy="4152900"/>
                    </a:xfrm>
                    <a:prstGeom prst="rect">
                      <a:avLst/>
                    </a:prstGeom>
                  </pic:spPr>
                </pic:pic>
              </a:graphicData>
            </a:graphic>
          </wp:inline>
        </w:drawing>
      </w:r>
    </w:p>
    <w:p w14:paraId="54100C56" w14:textId="77777777" w:rsidR="00A2339C" w:rsidRPr="00FD7E86" w:rsidRDefault="00A2339C" w:rsidP="00E450B7">
      <w:pPr>
        <w:pStyle w:val="ACMANotes"/>
      </w:pPr>
      <w:r w:rsidRPr="00FD7E86">
        <w:t>Source: TIO.</w:t>
      </w:r>
    </w:p>
    <w:p w14:paraId="06B62C91" w14:textId="77777777" w:rsidR="00E450B7" w:rsidRPr="00FD7E86" w:rsidRDefault="00E450B7" w:rsidP="00216D8C">
      <w:pPr>
        <w:pStyle w:val="ACMASpaceaftertable"/>
        <w:rPr>
          <w:i/>
          <w:sz w:val="16"/>
          <w:szCs w:val="16"/>
        </w:rPr>
      </w:pPr>
    </w:p>
    <w:p w14:paraId="15D86AAE" w14:textId="77777777" w:rsidR="00A2339C" w:rsidRPr="00FD7E86" w:rsidRDefault="00A2339C" w:rsidP="00314FB5">
      <w:r w:rsidRPr="00FD7E86">
        <w:t xml:space="preserve">Table 5.16 shows the top six TIO new complaint issues for the last five financial years. The number of complaint issues in each category has fallen in 2014–15. </w:t>
      </w:r>
    </w:p>
    <w:p w14:paraId="2A814AF0" w14:textId="77777777" w:rsidR="00A2339C" w:rsidRPr="00FD7E86" w:rsidRDefault="00A6782F" w:rsidP="00A6782F">
      <w:pPr>
        <w:pStyle w:val="ACMATableHeader"/>
        <w:numPr>
          <w:ilvl w:val="0"/>
          <w:numId w:val="0"/>
        </w:numPr>
      </w:pPr>
      <w:r w:rsidRPr="00FD7E86">
        <w:t xml:space="preserve">Table 5.16 </w:t>
      </w:r>
      <w:r w:rsidR="00A2339C" w:rsidRPr="00FD7E86">
        <w:t>Top six TIO new complaint issues</w:t>
      </w:r>
    </w:p>
    <w:tbl>
      <w:tblPr>
        <w:tblStyle w:val="Commsreport2014-15TABLE"/>
        <w:tblW w:w="9429" w:type="dxa"/>
        <w:tblLayout w:type="fixed"/>
        <w:tblLook w:val="04A0" w:firstRow="1" w:lastRow="0" w:firstColumn="1" w:lastColumn="0" w:noHBand="0" w:noVBand="1"/>
        <w:tblCaption w:val="Table 5.16 Top six TIO new complaint issues"/>
      </w:tblPr>
      <w:tblGrid>
        <w:gridCol w:w="2203"/>
        <w:gridCol w:w="1204"/>
        <w:gridCol w:w="1204"/>
        <w:gridCol w:w="1205"/>
        <w:gridCol w:w="1204"/>
        <w:gridCol w:w="1204"/>
        <w:gridCol w:w="1205"/>
      </w:tblGrid>
      <w:tr w:rsidR="00A2339C" w:rsidRPr="0021202A" w14:paraId="2EC0E90C" w14:textId="77777777" w:rsidTr="0021202A">
        <w:trPr>
          <w:cnfStyle w:val="100000000000" w:firstRow="1" w:lastRow="0" w:firstColumn="0" w:lastColumn="0" w:oddVBand="0" w:evenVBand="0" w:oddHBand="0" w:evenHBand="0" w:firstRowFirstColumn="0" w:firstRowLastColumn="0" w:lastRowFirstColumn="0" w:lastRowLastColumn="0"/>
          <w:trHeight w:val="437"/>
          <w:tblHeader/>
        </w:trPr>
        <w:tc>
          <w:tcPr>
            <w:cnfStyle w:val="001000000000" w:firstRow="0" w:lastRow="0" w:firstColumn="1" w:lastColumn="0" w:oddVBand="0" w:evenVBand="0" w:oddHBand="0" w:evenHBand="0" w:firstRowFirstColumn="0" w:firstRowLastColumn="0" w:lastRowFirstColumn="0" w:lastRowLastColumn="0"/>
            <w:tcW w:w="2280" w:type="dxa"/>
            <w:noWrap/>
            <w:vAlign w:val="top"/>
            <w:hideMark/>
          </w:tcPr>
          <w:p w14:paraId="3D2495BB" w14:textId="77777777" w:rsidR="00A2339C" w:rsidRPr="0021202A" w:rsidRDefault="00A2339C" w:rsidP="0021202A">
            <w:pPr>
              <w:pStyle w:val="TableHeading"/>
              <w:spacing w:before="20" w:after="40"/>
              <w:rPr>
                <w:b/>
              </w:rPr>
            </w:pPr>
            <w:r w:rsidRPr="0021202A">
              <w:rPr>
                <w:b/>
              </w:rPr>
              <w:t>Complaint issue category</w:t>
            </w:r>
          </w:p>
        </w:tc>
        <w:tc>
          <w:tcPr>
            <w:tcW w:w="1242" w:type="dxa"/>
            <w:vAlign w:val="top"/>
          </w:tcPr>
          <w:p w14:paraId="3F90F7C8" w14:textId="77777777" w:rsidR="00A2339C" w:rsidRPr="0021202A" w:rsidRDefault="00A2339C"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2010–11</w:t>
            </w:r>
          </w:p>
        </w:tc>
        <w:tc>
          <w:tcPr>
            <w:tcW w:w="1242" w:type="dxa"/>
            <w:vAlign w:val="top"/>
          </w:tcPr>
          <w:p w14:paraId="377E8D1F" w14:textId="77777777" w:rsidR="00A2339C" w:rsidRPr="0021202A" w:rsidRDefault="00A2339C"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2011–12</w:t>
            </w:r>
          </w:p>
        </w:tc>
        <w:tc>
          <w:tcPr>
            <w:tcW w:w="1243" w:type="dxa"/>
            <w:vAlign w:val="top"/>
          </w:tcPr>
          <w:p w14:paraId="0CF8B375" w14:textId="77777777" w:rsidR="00A2339C" w:rsidRPr="0021202A" w:rsidRDefault="00A2339C"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2012–13</w:t>
            </w:r>
          </w:p>
        </w:tc>
        <w:tc>
          <w:tcPr>
            <w:tcW w:w="1242" w:type="dxa"/>
            <w:noWrap/>
            <w:vAlign w:val="top"/>
            <w:hideMark/>
          </w:tcPr>
          <w:p w14:paraId="3C095723" w14:textId="77777777" w:rsidR="00A2339C" w:rsidRPr="0021202A" w:rsidRDefault="00A2339C"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2013–14</w:t>
            </w:r>
          </w:p>
        </w:tc>
        <w:tc>
          <w:tcPr>
            <w:tcW w:w="1242" w:type="dxa"/>
            <w:noWrap/>
            <w:vAlign w:val="top"/>
            <w:hideMark/>
          </w:tcPr>
          <w:p w14:paraId="4D60A611" w14:textId="77777777" w:rsidR="00A2339C" w:rsidRPr="0021202A" w:rsidRDefault="00A2339C"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2014–15</w:t>
            </w:r>
          </w:p>
        </w:tc>
        <w:tc>
          <w:tcPr>
            <w:tcW w:w="1243" w:type="dxa"/>
            <w:noWrap/>
            <w:vAlign w:val="top"/>
            <w:hideMark/>
          </w:tcPr>
          <w:p w14:paraId="0FCFB78A" w14:textId="77777777" w:rsidR="00A2339C" w:rsidRPr="0021202A" w:rsidRDefault="00290911" w:rsidP="0021202A">
            <w:pPr>
              <w:pStyle w:val="TableHeading"/>
              <w:spacing w:before="20" w:after="40"/>
              <w:cnfStyle w:val="100000000000" w:firstRow="1" w:lastRow="0" w:firstColumn="0" w:lastColumn="0" w:oddVBand="0" w:evenVBand="0" w:oddHBand="0" w:evenHBand="0" w:firstRowFirstColumn="0" w:firstRowLastColumn="0" w:lastRowFirstColumn="0" w:lastRowLastColumn="0"/>
              <w:rPr>
                <w:b/>
              </w:rPr>
            </w:pPr>
            <w:r w:rsidRPr="0021202A">
              <w:rPr>
                <w:b/>
              </w:rPr>
              <w:t xml:space="preserve">2013–14 to 2014–15 </w:t>
            </w:r>
            <w:r w:rsidR="00132332" w:rsidRPr="0021202A">
              <w:rPr>
                <w:b/>
              </w:rPr>
              <w:t>c</w:t>
            </w:r>
            <w:r w:rsidR="00A2339C" w:rsidRPr="0021202A">
              <w:rPr>
                <w:b/>
              </w:rPr>
              <w:t>hange</w:t>
            </w:r>
            <w:r w:rsidR="00132332" w:rsidRPr="0021202A">
              <w:rPr>
                <w:b/>
              </w:rPr>
              <w:t xml:space="preserve"> (%)</w:t>
            </w:r>
          </w:p>
        </w:tc>
      </w:tr>
      <w:tr w:rsidR="00A2339C" w:rsidRPr="00FD7E86" w14:paraId="71F224F8"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39B948E0" w14:textId="77777777" w:rsidR="00A2339C" w:rsidRPr="002B4947" w:rsidRDefault="00A2339C" w:rsidP="003708BA">
            <w:pPr>
              <w:spacing w:after="0"/>
              <w:rPr>
                <w:rFonts w:cs="Arial"/>
                <w:color w:val="auto"/>
              </w:rPr>
            </w:pPr>
            <w:r w:rsidRPr="002B4947">
              <w:rPr>
                <w:rFonts w:cs="Arial"/>
                <w:color w:val="auto"/>
              </w:rPr>
              <w:t xml:space="preserve">Billing and </w:t>
            </w:r>
            <w:r w:rsidR="00132332" w:rsidRPr="002B4947">
              <w:rPr>
                <w:rFonts w:cs="Arial"/>
                <w:color w:val="auto"/>
              </w:rPr>
              <w:t>p</w:t>
            </w:r>
            <w:r w:rsidRPr="002B4947">
              <w:rPr>
                <w:rFonts w:cs="Arial"/>
                <w:color w:val="auto"/>
              </w:rPr>
              <w:t>ayments</w:t>
            </w:r>
          </w:p>
        </w:tc>
        <w:tc>
          <w:tcPr>
            <w:tcW w:w="1242" w:type="dxa"/>
          </w:tcPr>
          <w:p w14:paraId="142D9936"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115,595</w:t>
            </w:r>
          </w:p>
        </w:tc>
        <w:tc>
          <w:tcPr>
            <w:tcW w:w="1242" w:type="dxa"/>
          </w:tcPr>
          <w:p w14:paraId="345B6C4F"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109,502</w:t>
            </w:r>
          </w:p>
        </w:tc>
        <w:tc>
          <w:tcPr>
            <w:tcW w:w="1243" w:type="dxa"/>
          </w:tcPr>
          <w:p w14:paraId="3256D550"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szCs w:val="18"/>
              </w:rPr>
              <w:t>78,160</w:t>
            </w:r>
          </w:p>
        </w:tc>
        <w:tc>
          <w:tcPr>
            <w:tcW w:w="1242" w:type="dxa"/>
            <w:noWrap/>
            <w:hideMark/>
          </w:tcPr>
          <w:p w14:paraId="484223E5"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76,587</w:t>
            </w:r>
          </w:p>
        </w:tc>
        <w:tc>
          <w:tcPr>
            <w:tcW w:w="1242" w:type="dxa"/>
            <w:noWrap/>
            <w:hideMark/>
          </w:tcPr>
          <w:p w14:paraId="2C67ED1F"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66,128</w:t>
            </w:r>
          </w:p>
        </w:tc>
        <w:tc>
          <w:tcPr>
            <w:tcW w:w="1243" w:type="dxa"/>
            <w:noWrap/>
            <w:hideMark/>
          </w:tcPr>
          <w:p w14:paraId="2A008B71" w14:textId="77777777" w:rsidR="00A2339C" w:rsidRPr="00FD7E86" w:rsidRDefault="00A2339C" w:rsidP="00132332">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w:t>
            </w:r>
            <w:r w:rsidR="00132332" w:rsidRPr="00FD7E86">
              <w:rPr>
                <w:rFonts w:cs="Arial"/>
                <w:color w:val="000000"/>
              </w:rPr>
              <w:t>14</w:t>
            </w:r>
            <w:r w:rsidRPr="00FD7E86">
              <w:rPr>
                <w:rFonts w:cs="Arial"/>
                <w:color w:val="000000"/>
              </w:rPr>
              <w:t>%</w:t>
            </w:r>
          </w:p>
        </w:tc>
      </w:tr>
      <w:tr w:rsidR="00A2339C" w:rsidRPr="00FD7E86" w14:paraId="0DA24FF0"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718143C3" w14:textId="77777777" w:rsidR="00A2339C" w:rsidRPr="002B4947" w:rsidRDefault="00A2339C" w:rsidP="00132332">
            <w:pPr>
              <w:spacing w:after="0"/>
              <w:rPr>
                <w:rFonts w:cs="Arial"/>
                <w:color w:val="auto"/>
              </w:rPr>
            </w:pPr>
            <w:r w:rsidRPr="002B4947">
              <w:rPr>
                <w:rFonts w:cs="Arial"/>
                <w:color w:val="auto"/>
              </w:rPr>
              <w:t xml:space="preserve">Customer </w:t>
            </w:r>
            <w:r w:rsidR="00132332" w:rsidRPr="002B4947">
              <w:rPr>
                <w:rFonts w:cs="Arial"/>
                <w:color w:val="auto"/>
              </w:rPr>
              <w:t>s</w:t>
            </w:r>
            <w:r w:rsidRPr="002B4947">
              <w:rPr>
                <w:rFonts w:cs="Arial"/>
                <w:color w:val="auto"/>
              </w:rPr>
              <w:t>ervice</w:t>
            </w:r>
          </w:p>
        </w:tc>
        <w:tc>
          <w:tcPr>
            <w:tcW w:w="1242" w:type="dxa"/>
          </w:tcPr>
          <w:p w14:paraId="071191D8"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92,548</w:t>
            </w:r>
          </w:p>
        </w:tc>
        <w:tc>
          <w:tcPr>
            <w:tcW w:w="1242" w:type="dxa"/>
          </w:tcPr>
          <w:p w14:paraId="4814C4A4"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93,941</w:t>
            </w:r>
          </w:p>
        </w:tc>
        <w:tc>
          <w:tcPr>
            <w:tcW w:w="1243" w:type="dxa"/>
          </w:tcPr>
          <w:p w14:paraId="5FC891C1"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szCs w:val="18"/>
              </w:rPr>
              <w:t>94,639</w:t>
            </w:r>
          </w:p>
        </w:tc>
        <w:tc>
          <w:tcPr>
            <w:tcW w:w="1242" w:type="dxa"/>
            <w:noWrap/>
            <w:hideMark/>
          </w:tcPr>
          <w:p w14:paraId="2C8C9293"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75,033</w:t>
            </w:r>
          </w:p>
        </w:tc>
        <w:tc>
          <w:tcPr>
            <w:tcW w:w="1242" w:type="dxa"/>
            <w:noWrap/>
            <w:hideMark/>
          </w:tcPr>
          <w:p w14:paraId="27DFD5BD"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58,674</w:t>
            </w:r>
          </w:p>
        </w:tc>
        <w:tc>
          <w:tcPr>
            <w:tcW w:w="1243" w:type="dxa"/>
            <w:noWrap/>
            <w:hideMark/>
          </w:tcPr>
          <w:p w14:paraId="51178050" w14:textId="77777777" w:rsidR="00A2339C" w:rsidRPr="00FD7E86" w:rsidRDefault="00A2339C" w:rsidP="00132332">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w:t>
            </w:r>
            <w:r w:rsidR="00132332" w:rsidRPr="00FD7E86">
              <w:rPr>
                <w:rFonts w:cs="Arial"/>
                <w:color w:val="000000"/>
              </w:rPr>
              <w:t>22</w:t>
            </w:r>
            <w:r w:rsidRPr="00FD7E86">
              <w:rPr>
                <w:rFonts w:cs="Arial"/>
                <w:color w:val="000000"/>
              </w:rPr>
              <w:t>%</w:t>
            </w:r>
          </w:p>
        </w:tc>
      </w:tr>
      <w:tr w:rsidR="00A2339C" w:rsidRPr="00FD7E86" w14:paraId="5005D881"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26E1599E" w14:textId="77777777" w:rsidR="00A2339C" w:rsidRPr="002B4947" w:rsidRDefault="00A2339C" w:rsidP="003708BA">
            <w:pPr>
              <w:spacing w:after="0"/>
              <w:rPr>
                <w:rFonts w:cs="Arial"/>
                <w:color w:val="auto"/>
              </w:rPr>
            </w:pPr>
            <w:r w:rsidRPr="002B4947">
              <w:rPr>
                <w:rFonts w:cs="Arial"/>
                <w:color w:val="auto"/>
              </w:rPr>
              <w:t>Faults</w:t>
            </w:r>
          </w:p>
        </w:tc>
        <w:tc>
          <w:tcPr>
            <w:tcW w:w="1242" w:type="dxa"/>
          </w:tcPr>
          <w:p w14:paraId="2E37DB6A"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84,087</w:t>
            </w:r>
          </w:p>
        </w:tc>
        <w:tc>
          <w:tcPr>
            <w:tcW w:w="1242" w:type="dxa"/>
          </w:tcPr>
          <w:p w14:paraId="2FE94342"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78,829</w:t>
            </w:r>
          </w:p>
        </w:tc>
        <w:tc>
          <w:tcPr>
            <w:tcW w:w="1243" w:type="dxa"/>
          </w:tcPr>
          <w:p w14:paraId="22C5F4F9"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szCs w:val="18"/>
              </w:rPr>
              <w:t>75,325</w:t>
            </w:r>
          </w:p>
        </w:tc>
        <w:tc>
          <w:tcPr>
            <w:tcW w:w="1242" w:type="dxa"/>
            <w:noWrap/>
            <w:hideMark/>
          </w:tcPr>
          <w:p w14:paraId="1F53BE90"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54,055</w:t>
            </w:r>
          </w:p>
        </w:tc>
        <w:tc>
          <w:tcPr>
            <w:tcW w:w="1242" w:type="dxa"/>
            <w:noWrap/>
            <w:hideMark/>
          </w:tcPr>
          <w:p w14:paraId="6AC26670"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47,860</w:t>
            </w:r>
          </w:p>
        </w:tc>
        <w:tc>
          <w:tcPr>
            <w:tcW w:w="1243" w:type="dxa"/>
            <w:noWrap/>
            <w:hideMark/>
          </w:tcPr>
          <w:p w14:paraId="3EE0C582"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w:t>
            </w:r>
            <w:r w:rsidR="00132332" w:rsidRPr="00FD7E86">
              <w:rPr>
                <w:rFonts w:cs="Arial"/>
                <w:color w:val="000000"/>
              </w:rPr>
              <w:t>11</w:t>
            </w:r>
            <w:r w:rsidRPr="00FD7E86">
              <w:rPr>
                <w:rFonts w:cs="Arial"/>
                <w:color w:val="000000"/>
              </w:rPr>
              <w:t>%</w:t>
            </w:r>
          </w:p>
        </w:tc>
      </w:tr>
      <w:tr w:rsidR="00A2339C" w:rsidRPr="00FD7E86" w14:paraId="0D1953B6"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0B4FA342" w14:textId="77777777" w:rsidR="00A2339C" w:rsidRPr="002B4947" w:rsidRDefault="00A2339C" w:rsidP="003708BA">
            <w:pPr>
              <w:spacing w:after="0"/>
              <w:rPr>
                <w:rFonts w:cs="Arial"/>
                <w:color w:val="auto"/>
              </w:rPr>
            </w:pPr>
            <w:r w:rsidRPr="002B4947">
              <w:rPr>
                <w:rFonts w:cs="Arial"/>
                <w:color w:val="auto"/>
              </w:rPr>
              <w:t>Complaint handling</w:t>
            </w:r>
          </w:p>
        </w:tc>
        <w:tc>
          <w:tcPr>
            <w:tcW w:w="1242" w:type="dxa"/>
          </w:tcPr>
          <w:p w14:paraId="0936DF04"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94,749</w:t>
            </w:r>
          </w:p>
        </w:tc>
        <w:tc>
          <w:tcPr>
            <w:tcW w:w="1242" w:type="dxa"/>
          </w:tcPr>
          <w:p w14:paraId="19164D3C"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65,818</w:t>
            </w:r>
          </w:p>
        </w:tc>
        <w:tc>
          <w:tcPr>
            <w:tcW w:w="1243" w:type="dxa"/>
          </w:tcPr>
          <w:p w14:paraId="079DB3CB"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szCs w:val="18"/>
              </w:rPr>
              <w:t>50,504</w:t>
            </w:r>
          </w:p>
        </w:tc>
        <w:tc>
          <w:tcPr>
            <w:tcW w:w="1242" w:type="dxa"/>
            <w:noWrap/>
            <w:hideMark/>
          </w:tcPr>
          <w:p w14:paraId="480720AD"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46,469</w:t>
            </w:r>
          </w:p>
        </w:tc>
        <w:tc>
          <w:tcPr>
            <w:tcW w:w="1242" w:type="dxa"/>
            <w:noWrap/>
            <w:hideMark/>
          </w:tcPr>
          <w:p w14:paraId="547D73F3"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36,938</w:t>
            </w:r>
          </w:p>
        </w:tc>
        <w:tc>
          <w:tcPr>
            <w:tcW w:w="1243" w:type="dxa"/>
            <w:noWrap/>
            <w:hideMark/>
          </w:tcPr>
          <w:p w14:paraId="6BD608B7"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–2</w:t>
            </w:r>
            <w:r w:rsidR="00132332" w:rsidRPr="00FD7E86">
              <w:rPr>
                <w:rFonts w:cs="Arial"/>
                <w:color w:val="000000"/>
              </w:rPr>
              <w:t>1</w:t>
            </w:r>
            <w:r w:rsidRPr="00FD7E86">
              <w:rPr>
                <w:rFonts w:cs="Arial"/>
                <w:color w:val="000000"/>
              </w:rPr>
              <w:t>%</w:t>
            </w:r>
          </w:p>
        </w:tc>
      </w:tr>
      <w:tr w:rsidR="00A2339C" w:rsidRPr="00FD7E86" w14:paraId="05B11CB4"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1FAD3114" w14:textId="77777777" w:rsidR="00A2339C" w:rsidRPr="002B4947" w:rsidRDefault="00A2339C" w:rsidP="003708BA">
            <w:pPr>
              <w:spacing w:after="0"/>
              <w:rPr>
                <w:rFonts w:cs="Arial"/>
                <w:color w:val="auto"/>
              </w:rPr>
            </w:pPr>
            <w:r w:rsidRPr="002B4947">
              <w:rPr>
                <w:rFonts w:cs="Arial"/>
                <w:color w:val="auto"/>
              </w:rPr>
              <w:t>Contracts</w:t>
            </w:r>
          </w:p>
        </w:tc>
        <w:tc>
          <w:tcPr>
            <w:tcW w:w="1242" w:type="dxa"/>
          </w:tcPr>
          <w:p w14:paraId="52409C70"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n/a</w:t>
            </w:r>
          </w:p>
        </w:tc>
        <w:tc>
          <w:tcPr>
            <w:tcW w:w="1242" w:type="dxa"/>
          </w:tcPr>
          <w:p w14:paraId="13BE5C2B"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n/a</w:t>
            </w:r>
          </w:p>
        </w:tc>
        <w:tc>
          <w:tcPr>
            <w:tcW w:w="1243" w:type="dxa"/>
          </w:tcPr>
          <w:p w14:paraId="08E28B2E"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n/a</w:t>
            </w:r>
          </w:p>
        </w:tc>
        <w:tc>
          <w:tcPr>
            <w:tcW w:w="1242" w:type="dxa"/>
            <w:noWrap/>
            <w:hideMark/>
          </w:tcPr>
          <w:p w14:paraId="760227F8"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37,430</w:t>
            </w:r>
          </w:p>
        </w:tc>
        <w:tc>
          <w:tcPr>
            <w:tcW w:w="1242" w:type="dxa"/>
            <w:noWrap/>
            <w:hideMark/>
          </w:tcPr>
          <w:p w14:paraId="4BC44124"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34,021</w:t>
            </w:r>
          </w:p>
        </w:tc>
        <w:tc>
          <w:tcPr>
            <w:tcW w:w="1243" w:type="dxa"/>
            <w:noWrap/>
            <w:hideMark/>
          </w:tcPr>
          <w:p w14:paraId="4303D938"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w:t>
            </w:r>
            <w:r w:rsidR="00132332" w:rsidRPr="00FD7E86">
              <w:rPr>
                <w:rFonts w:cs="Arial"/>
                <w:color w:val="000000"/>
              </w:rPr>
              <w:t>9</w:t>
            </w:r>
            <w:r w:rsidRPr="00FD7E86">
              <w:rPr>
                <w:rFonts w:cs="Arial"/>
                <w:color w:val="000000"/>
              </w:rPr>
              <w:t>%</w:t>
            </w:r>
          </w:p>
        </w:tc>
      </w:tr>
      <w:tr w:rsidR="00A2339C" w:rsidRPr="00FD7E86" w14:paraId="66F1A4E1" w14:textId="77777777" w:rsidTr="000E4F20">
        <w:trPr>
          <w:trHeight w:val="437"/>
        </w:trPr>
        <w:tc>
          <w:tcPr>
            <w:cnfStyle w:val="001000000000" w:firstRow="0" w:lastRow="0" w:firstColumn="1" w:lastColumn="0" w:oddVBand="0" w:evenVBand="0" w:oddHBand="0" w:evenHBand="0" w:firstRowFirstColumn="0" w:firstRowLastColumn="0" w:lastRowFirstColumn="0" w:lastRowLastColumn="0"/>
            <w:tcW w:w="2280" w:type="dxa"/>
            <w:noWrap/>
            <w:hideMark/>
          </w:tcPr>
          <w:p w14:paraId="76A6D352" w14:textId="77777777" w:rsidR="00A2339C" w:rsidRPr="002B4947" w:rsidRDefault="00A2339C" w:rsidP="003708BA">
            <w:pPr>
              <w:spacing w:after="0"/>
              <w:rPr>
                <w:rFonts w:cs="Arial"/>
                <w:color w:val="auto"/>
              </w:rPr>
            </w:pPr>
            <w:r w:rsidRPr="002B4947">
              <w:rPr>
                <w:rFonts w:cs="Arial"/>
                <w:color w:val="auto"/>
              </w:rPr>
              <w:t xml:space="preserve">Credit </w:t>
            </w:r>
            <w:r w:rsidR="00132332" w:rsidRPr="002B4947">
              <w:rPr>
                <w:rFonts w:cs="Arial"/>
                <w:color w:val="auto"/>
              </w:rPr>
              <w:t>m</w:t>
            </w:r>
            <w:r w:rsidRPr="002B4947">
              <w:rPr>
                <w:rFonts w:cs="Arial"/>
                <w:color w:val="auto"/>
              </w:rPr>
              <w:t>anagement</w:t>
            </w:r>
          </w:p>
        </w:tc>
        <w:tc>
          <w:tcPr>
            <w:tcW w:w="1242" w:type="dxa"/>
          </w:tcPr>
          <w:p w14:paraId="7905D7E3"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43,139</w:t>
            </w:r>
          </w:p>
        </w:tc>
        <w:tc>
          <w:tcPr>
            <w:tcW w:w="1242" w:type="dxa"/>
          </w:tcPr>
          <w:p w14:paraId="70381D44"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szCs w:val="18"/>
              </w:rPr>
            </w:pPr>
            <w:r w:rsidRPr="00FD7E86">
              <w:rPr>
                <w:rFonts w:cs="Arial"/>
                <w:szCs w:val="18"/>
              </w:rPr>
              <w:t>52,907</w:t>
            </w:r>
          </w:p>
        </w:tc>
        <w:tc>
          <w:tcPr>
            <w:tcW w:w="1243" w:type="dxa"/>
          </w:tcPr>
          <w:p w14:paraId="33C7B902"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szCs w:val="18"/>
              </w:rPr>
              <w:t>46,138</w:t>
            </w:r>
          </w:p>
        </w:tc>
        <w:tc>
          <w:tcPr>
            <w:tcW w:w="1242" w:type="dxa"/>
            <w:noWrap/>
            <w:hideMark/>
          </w:tcPr>
          <w:p w14:paraId="10114C95"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40,040</w:t>
            </w:r>
          </w:p>
        </w:tc>
        <w:tc>
          <w:tcPr>
            <w:tcW w:w="1242" w:type="dxa"/>
            <w:noWrap/>
            <w:hideMark/>
          </w:tcPr>
          <w:p w14:paraId="02B3B538"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29,999</w:t>
            </w:r>
          </w:p>
        </w:tc>
        <w:tc>
          <w:tcPr>
            <w:tcW w:w="1243" w:type="dxa"/>
            <w:noWrap/>
            <w:hideMark/>
          </w:tcPr>
          <w:p w14:paraId="433BC497" w14:textId="77777777" w:rsidR="00A2339C" w:rsidRPr="00FD7E86" w:rsidRDefault="00A2339C" w:rsidP="003708BA">
            <w:pPr>
              <w:spacing w:after="0"/>
              <w:cnfStyle w:val="000000000000" w:firstRow="0" w:lastRow="0" w:firstColumn="0" w:lastColumn="0" w:oddVBand="0" w:evenVBand="0" w:oddHBand="0" w:evenHBand="0" w:firstRowFirstColumn="0" w:firstRowLastColumn="0" w:lastRowFirstColumn="0" w:lastRowLastColumn="0"/>
              <w:rPr>
                <w:rFonts w:cs="Arial"/>
                <w:color w:val="000000"/>
              </w:rPr>
            </w:pPr>
            <w:r w:rsidRPr="00FD7E86">
              <w:rPr>
                <w:rFonts w:cs="Arial"/>
                <w:color w:val="000000"/>
              </w:rPr>
              <w:t>–</w:t>
            </w:r>
            <w:r w:rsidR="00132332" w:rsidRPr="00FD7E86">
              <w:rPr>
                <w:rFonts w:cs="Arial"/>
                <w:color w:val="000000"/>
              </w:rPr>
              <w:t>25</w:t>
            </w:r>
            <w:r w:rsidRPr="00FD7E86">
              <w:rPr>
                <w:rFonts w:cs="Arial"/>
                <w:color w:val="000000"/>
              </w:rPr>
              <w:t>%</w:t>
            </w:r>
          </w:p>
        </w:tc>
      </w:tr>
    </w:tbl>
    <w:p w14:paraId="5F4F3C47" w14:textId="77777777" w:rsidR="00A2339C" w:rsidRPr="00FD7E86" w:rsidRDefault="00A2339C" w:rsidP="00A2339C">
      <w:pPr>
        <w:pStyle w:val="ACMANotes"/>
      </w:pPr>
      <w:r w:rsidRPr="00FD7E86">
        <w:t>n/a=not available prior to 2012–13.</w:t>
      </w:r>
    </w:p>
    <w:p w14:paraId="7DC86940" w14:textId="77777777" w:rsidR="00A2339C" w:rsidRPr="00FD7E86" w:rsidRDefault="00A2339C" w:rsidP="00E450B7">
      <w:pPr>
        <w:pStyle w:val="ACMANotes"/>
      </w:pPr>
      <w:r w:rsidRPr="00FD7E86">
        <w:t>Source: TIO.</w:t>
      </w:r>
    </w:p>
    <w:p w14:paraId="0C7AA6F4" w14:textId="77777777" w:rsidR="00E450B7" w:rsidRPr="00FD7E86" w:rsidRDefault="00E450B7" w:rsidP="00216D8C">
      <w:pPr>
        <w:pStyle w:val="ACMASpaceaftertable"/>
        <w:rPr>
          <w:i/>
          <w:sz w:val="16"/>
          <w:szCs w:val="16"/>
        </w:rPr>
      </w:pPr>
    </w:p>
    <w:p w14:paraId="586384EE" w14:textId="77777777" w:rsidR="00A2339C" w:rsidRPr="00FD7E86" w:rsidRDefault="001276AF" w:rsidP="000B3AFF">
      <w:pPr>
        <w:pStyle w:val="ACMAHeading1"/>
      </w:pPr>
      <w:bookmarkStart w:id="517" w:name="_Toc433790437"/>
      <w:r w:rsidRPr="00FD7E86">
        <w:lastRenderedPageBreak/>
        <w:t>5.16</w:t>
      </w:r>
      <w:r w:rsidRPr="00FD7E86">
        <w:tab/>
      </w:r>
      <w:r w:rsidRPr="00FD7E86">
        <w:tab/>
      </w:r>
      <w:r w:rsidR="00A2339C" w:rsidRPr="00FD7E86">
        <w:t>Communications infrastructure regulation</w:t>
      </w:r>
      <w:bookmarkEnd w:id="517"/>
    </w:p>
    <w:p w14:paraId="7CEF7154" w14:textId="77777777" w:rsidR="00A2339C" w:rsidRPr="00FD7E86" w:rsidRDefault="00A2339C" w:rsidP="00314FB5">
      <w:r w:rsidRPr="00FD7E86">
        <w:t xml:space="preserve">When installing large telecommunications facilities, such as mobile phone towers, carriers generally need to obtain local council planning permission and comply with relevant state and territory planning laws. Schedule 3 </w:t>
      </w:r>
      <w:r w:rsidR="00556F0A" w:rsidRPr="00FD7E86">
        <w:t>to</w:t>
      </w:r>
      <w:r w:rsidRPr="00FD7E86">
        <w:t xml:space="preserve"> the Act allows licensed carriers to install a limited range of facilities referred to as ‘low-impact facilities’ without seeking state or territory approval. Low-impact facilities as defined in the Ministerial Telecommunications (Low-impact Facilities) Determination 1997 are </w:t>
      </w:r>
      <w:r w:rsidR="00FB089C" w:rsidRPr="00FD7E86">
        <w:t xml:space="preserve">considered </w:t>
      </w:r>
      <w:r w:rsidRPr="00FD7E86">
        <w:t xml:space="preserve">to be unobtrusive. </w:t>
      </w:r>
    </w:p>
    <w:p w14:paraId="08DB9FAD" w14:textId="77777777" w:rsidR="00A2339C" w:rsidRPr="00FD7E86" w:rsidRDefault="00A2339C" w:rsidP="00314FB5">
      <w:r w:rsidRPr="00FD7E86">
        <w:t xml:space="preserve">While low-impact facilities are exempt from local government planning laws, carriers must still comply with Schedule 3 </w:t>
      </w:r>
      <w:r w:rsidR="00556F0A" w:rsidRPr="00FD7E86">
        <w:t xml:space="preserve">to </w:t>
      </w:r>
      <w:r w:rsidRPr="00FD7E86">
        <w:t xml:space="preserve">the Act and the Telecommunications Code of Practice 1997, which includes notifying land owners and occupiers of their activities, ensuring minimal detriment and damage is caused by the activity and restoring the land to a similar condition before the activity began. </w:t>
      </w:r>
    </w:p>
    <w:p w14:paraId="6C896292" w14:textId="77777777" w:rsidR="00A2339C" w:rsidRPr="00FD7E86" w:rsidRDefault="00A2339C" w:rsidP="00A6782F">
      <w:pPr>
        <w:pStyle w:val="ACMAHeading2"/>
        <w:rPr>
          <w:szCs w:val="22"/>
        </w:rPr>
      </w:pPr>
      <w:bookmarkStart w:id="518" w:name="_Toc433790438"/>
      <w:bookmarkStart w:id="519" w:name="_Toc399331810"/>
      <w:bookmarkStart w:id="520" w:name="_Toc399336991"/>
      <w:bookmarkStart w:id="521" w:name="_Toc402337594"/>
      <w:r w:rsidRPr="00FD7E86">
        <w:t>Complaints to the TIO</w:t>
      </w:r>
      <w:bookmarkEnd w:id="518"/>
      <w:r w:rsidRPr="00FD7E86">
        <w:t xml:space="preserve"> </w:t>
      </w:r>
    </w:p>
    <w:p w14:paraId="6D977A1D" w14:textId="77777777" w:rsidR="00314FB5" w:rsidRDefault="00A2339C" w:rsidP="00314FB5">
      <w:r w:rsidRPr="00FD7E86">
        <w:t>The TIO can consider objections to land access, and the installation and maintenance of low-impact facilities. The majority of land access complaints to the TIO relate to damage to property by carriers. During the reporting period, the TIO received a total of 502 new complaints (not including enquiries)—a 27 per cent increase from the 2013–14 reporting</w:t>
      </w:r>
      <w:r w:rsidR="00D427E1" w:rsidRPr="00FD7E86">
        <w:t xml:space="preserve"> period—and </w:t>
      </w:r>
      <w:r w:rsidR="00A35ACF" w:rsidRPr="00FD7E86">
        <w:t xml:space="preserve">completed </w:t>
      </w:r>
      <w:r w:rsidR="00D427E1" w:rsidRPr="00FD7E86">
        <w:t>106 investigations (Figure</w:t>
      </w:r>
      <w:r w:rsidR="00192CA2" w:rsidRPr="00FD7E86">
        <w:t xml:space="preserve"> 5.8).</w:t>
      </w:r>
      <w:r w:rsidR="00D427E1" w:rsidRPr="00FD7E86">
        <w:t xml:space="preserve"> </w:t>
      </w:r>
    </w:p>
    <w:p w14:paraId="6734AD22" w14:textId="77777777" w:rsidR="00A2339C" w:rsidRPr="00FD7E86" w:rsidRDefault="00A2339C" w:rsidP="00314FB5">
      <w:pPr>
        <w:spacing w:after="80"/>
      </w:pPr>
      <w:r w:rsidRPr="00FD7E86">
        <w:t>Of the new complaints received by the TIO during 2014–15:</w:t>
      </w:r>
    </w:p>
    <w:p w14:paraId="6AE2E244" w14:textId="77777777" w:rsidR="00A2339C" w:rsidRPr="00FD7E86" w:rsidRDefault="00A2339C" w:rsidP="00A2339C">
      <w:pPr>
        <w:pStyle w:val="ListBullet"/>
      </w:pPr>
      <w:r w:rsidRPr="00FD7E86">
        <w:t xml:space="preserve">354 were from owners/occupiers of land about alleged damage to property by the provider </w:t>
      </w:r>
    </w:p>
    <w:p w14:paraId="1D0F40A5" w14:textId="77777777" w:rsidR="00A2339C" w:rsidRPr="00FD7E86" w:rsidRDefault="00A2339C" w:rsidP="00A2339C">
      <w:pPr>
        <w:pStyle w:val="ListBullet"/>
      </w:pPr>
      <w:r w:rsidRPr="00FD7E86">
        <w:t>52 were from owners/occupiers of land about carriers billing them for damage to cables allegedly caused by the owner/occupier</w:t>
      </w:r>
    </w:p>
    <w:p w14:paraId="6D2FA9D1" w14:textId="77777777" w:rsidR="00A2339C" w:rsidRPr="00FD7E86" w:rsidRDefault="00A2339C" w:rsidP="00A2339C">
      <w:pPr>
        <w:pStyle w:val="ListBullet"/>
      </w:pPr>
      <w:r w:rsidRPr="00FD7E86">
        <w:t>32 related to the standard of service from providers when installing subscriber connections</w:t>
      </w:r>
    </w:p>
    <w:p w14:paraId="5892B9C0" w14:textId="77777777" w:rsidR="00A2339C" w:rsidRPr="00FD7E86" w:rsidRDefault="00A2339C" w:rsidP="00A2339C">
      <w:pPr>
        <w:pStyle w:val="ListBullet"/>
      </w:pPr>
      <w:r w:rsidRPr="00FD7E86">
        <w:t>50 related to the absence of carrier notice for land entry, failure to bring the notice to the landowner/occupier’s attention</w:t>
      </w:r>
      <w:r w:rsidR="00152EB4" w:rsidRPr="00FD7E86">
        <w:t>,</w:t>
      </w:r>
      <w:r w:rsidRPr="00FD7E86">
        <w:t xml:space="preserve"> or where the landowner/occupier was not allowed to object to the land entry</w:t>
      </w:r>
    </w:p>
    <w:p w14:paraId="0FECDA49" w14:textId="77777777" w:rsidR="00A2339C" w:rsidRPr="00FD7E86" w:rsidRDefault="00A2339C" w:rsidP="00A2339C">
      <w:pPr>
        <w:pStyle w:val="ListBullet"/>
      </w:pPr>
      <w:r w:rsidRPr="00FD7E86">
        <w:t>11 were formal objections to the low</w:t>
      </w:r>
      <w:r w:rsidR="00152EB4" w:rsidRPr="00FD7E86">
        <w:t>-</w:t>
      </w:r>
      <w:r w:rsidRPr="00FD7E86">
        <w:t xml:space="preserve">impact facility activity by the landowner/occupier </w:t>
      </w:r>
    </w:p>
    <w:p w14:paraId="0C7EECB4" w14:textId="77777777" w:rsidR="00A2339C" w:rsidRPr="00FD7E86" w:rsidRDefault="00F47AB4" w:rsidP="00314FB5">
      <w:pPr>
        <w:pStyle w:val="ListBulletLast"/>
      </w:pPr>
      <w:r w:rsidRPr="00FD7E86">
        <w:t xml:space="preserve">three </w:t>
      </w:r>
      <w:r w:rsidR="00A2339C" w:rsidRPr="00FD7E86">
        <w:t xml:space="preserve">were premature </w:t>
      </w:r>
      <w:r w:rsidR="00A2339C" w:rsidRPr="00314FB5">
        <w:t>objections</w:t>
      </w:r>
      <w:r w:rsidR="00A2339C" w:rsidRPr="00FD7E86">
        <w:t>.</w:t>
      </w:r>
    </w:p>
    <w:p w14:paraId="7C4B621F" w14:textId="77777777" w:rsidR="00A2339C" w:rsidRPr="00FD7E86" w:rsidRDefault="00A2339C" w:rsidP="00314FB5">
      <w:r w:rsidRPr="00FD7E86">
        <w:t xml:space="preserve">Of the 11 objections, the TIO made directions to carriers in nine cases, and in one case found that the </w:t>
      </w:r>
      <w:r w:rsidR="00131B91" w:rsidRPr="00FD7E86">
        <w:t>carrier notice did not comply with legislative requirements</w:t>
      </w:r>
      <w:r w:rsidRPr="00FD7E86">
        <w:t xml:space="preserve"> and the land access activity could not proceed. </w:t>
      </w:r>
    </w:p>
    <w:p w14:paraId="730029F5" w14:textId="77777777" w:rsidR="00A2339C" w:rsidRPr="00FD7E86" w:rsidRDefault="00D427E1" w:rsidP="00A6782F">
      <w:pPr>
        <w:pStyle w:val="ACMAFigureHeader"/>
        <w:numPr>
          <w:ilvl w:val="0"/>
          <w:numId w:val="0"/>
        </w:numPr>
        <w:ind w:left="1021" w:hanging="1021"/>
      </w:pPr>
      <w:bookmarkStart w:id="522" w:name="_Toc371589090"/>
      <w:bookmarkStart w:id="523" w:name="_Toc373149152"/>
      <w:bookmarkEnd w:id="519"/>
      <w:bookmarkEnd w:id="520"/>
      <w:bookmarkEnd w:id="521"/>
      <w:r w:rsidRPr="00FD7E86">
        <w:rPr>
          <w:bCs w:val="0"/>
        </w:rPr>
        <w:t xml:space="preserve">Figure 5.8 </w:t>
      </w:r>
      <w:r w:rsidR="00A2339C" w:rsidRPr="00FD7E86">
        <w:rPr>
          <w:bCs w:val="0"/>
        </w:rPr>
        <w:t>Facility installation complaints/land access</w:t>
      </w:r>
      <w:r w:rsidR="00A1796A">
        <w:rPr>
          <w:bCs w:val="0"/>
        </w:rPr>
        <w:t xml:space="preserve"> complaints received by the TIO</w:t>
      </w:r>
    </w:p>
    <w:p w14:paraId="68568F04" w14:textId="77777777" w:rsidR="00A2339C" w:rsidRPr="00FD7E86" w:rsidRDefault="00262B5B" w:rsidP="00C05F4C">
      <w:pPr>
        <w:pStyle w:val="ACMASpaceaftertable"/>
        <w:spacing w:after="0"/>
      </w:pPr>
      <w:r>
        <w:rPr>
          <w:noProof/>
        </w:rPr>
        <w:drawing>
          <wp:inline distT="0" distB="0" distL="0" distR="0" wp14:anchorId="55173CBF" wp14:editId="3549D20D">
            <wp:extent cx="5939790" cy="1623060"/>
            <wp:effectExtent l="0" t="0" r="0" b="0"/>
            <wp:docPr id="79" name="Picture 79" descr="A .csv file of Figure 5.8 is available on the landing page ‘Communications report 2014–15’, available from the ACMA website. " title="Figure 5.8 Facility installation complaints/land access complaints received by the T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Chapter 5_Figure 5.8.png"/>
                    <pic:cNvPicPr/>
                  </pic:nvPicPr>
                  <pic:blipFill>
                    <a:blip r:embed="rId130">
                      <a:extLst>
                        <a:ext uri="{28A0092B-C50C-407E-A947-70E740481C1C}">
                          <a14:useLocalDpi xmlns:a14="http://schemas.microsoft.com/office/drawing/2010/main" val="0"/>
                        </a:ext>
                      </a:extLst>
                    </a:blip>
                    <a:stretch>
                      <a:fillRect/>
                    </a:stretch>
                  </pic:blipFill>
                  <pic:spPr>
                    <a:xfrm>
                      <a:off x="0" y="0"/>
                      <a:ext cx="5939790" cy="1623060"/>
                    </a:xfrm>
                    <a:prstGeom prst="rect">
                      <a:avLst/>
                    </a:prstGeom>
                  </pic:spPr>
                </pic:pic>
              </a:graphicData>
            </a:graphic>
          </wp:inline>
        </w:drawing>
      </w:r>
    </w:p>
    <w:p w14:paraId="774D6699" w14:textId="22430EFE" w:rsidR="00E450B7" w:rsidRPr="00231E53" w:rsidRDefault="00231E53" w:rsidP="00231E53">
      <w:pPr>
        <w:pStyle w:val="ACMANotes"/>
      </w:pPr>
      <w:r>
        <w:t>Source: TIO.</w:t>
      </w:r>
    </w:p>
    <w:p w14:paraId="6F65F6D6" w14:textId="77777777" w:rsidR="00A2339C" w:rsidRPr="00FD7E86" w:rsidRDefault="001276AF" w:rsidP="00C05F4C">
      <w:pPr>
        <w:pStyle w:val="ACMAHeading1"/>
        <w:keepLines/>
      </w:pPr>
      <w:bookmarkStart w:id="524" w:name="_Toc433790439"/>
      <w:r w:rsidRPr="00FD7E86">
        <w:lastRenderedPageBreak/>
        <w:t>5.17</w:t>
      </w:r>
      <w:r w:rsidRPr="00FD7E86">
        <w:tab/>
      </w:r>
      <w:r w:rsidRPr="00FD7E86">
        <w:tab/>
      </w:r>
      <w:r w:rsidR="00A2339C" w:rsidRPr="00FD7E86">
        <w:t>Mobile phone base stations</w:t>
      </w:r>
      <w:bookmarkEnd w:id="524"/>
    </w:p>
    <w:p w14:paraId="35BB684E" w14:textId="77777777" w:rsidR="00A2339C" w:rsidRPr="00FD7E86" w:rsidRDefault="00A2339C" w:rsidP="00C05F4C">
      <w:pPr>
        <w:keepNext/>
        <w:keepLines/>
      </w:pPr>
      <w:r w:rsidRPr="00FD7E86">
        <w:t xml:space="preserve">Optus, Telstra and VHA are the three carriers that operate mobile phone networks in Australia. When installing mobile phone base stations, these carriers are required to comply with the C564:2011 </w:t>
      </w:r>
      <w:r w:rsidRPr="00FD7E86">
        <w:rPr>
          <w:i/>
        </w:rPr>
        <w:t xml:space="preserve">Mobile Phone Base Station Deployment Code </w:t>
      </w:r>
      <w:r w:rsidRPr="00FD7E86">
        <w:t>(the industry code). The industry code supplements the requirements already imposed on carriers under the existing legislative scheme by requiring them to consult with local communities and to adopt a precautionary approach in planning, installing and operating mobile phone base stations.</w:t>
      </w:r>
    </w:p>
    <w:p w14:paraId="719D35D9" w14:textId="77777777" w:rsidR="00A2339C" w:rsidRPr="00FD7E86" w:rsidRDefault="00A2339C" w:rsidP="00C05F4C">
      <w:pPr>
        <w:keepNext/>
        <w:keepLines/>
      </w:pPr>
      <w:r w:rsidRPr="00FD7E86">
        <w:t xml:space="preserve">The mobile communications industry has developed a national database of mobile phone base stations—the National Site Archive—to improve access to information about the deployment of mobile phone infrastructure across Australia. The archive contains information about most mobile phone towers deployed by carriers and includes electromagnetic energy reports about communications facilities. This information is available at </w:t>
      </w:r>
      <w:hyperlink r:id="rId131" w:history="1">
        <w:r w:rsidRPr="00FD7E86">
          <w:rPr>
            <w:rStyle w:val="Hyperlink"/>
            <w:rFonts w:cs="Arial"/>
          </w:rPr>
          <w:t>www.rfnsa.com.au</w:t>
        </w:r>
      </w:hyperlink>
      <w:r w:rsidRPr="00FD7E86">
        <w:t>.</w:t>
      </w:r>
    </w:p>
    <w:p w14:paraId="3727CAE8" w14:textId="77777777" w:rsidR="00A2339C" w:rsidRPr="00FD7E86" w:rsidRDefault="00A2339C" w:rsidP="00FC4F68">
      <w:pPr>
        <w:pStyle w:val="ACMAHeading2"/>
      </w:pPr>
      <w:bookmarkStart w:id="525" w:name="_Toc402337596"/>
      <w:bookmarkStart w:id="526" w:name="_Toc433790440"/>
      <w:r w:rsidRPr="00FD7E86">
        <w:t>Complaints and enquiries to the ACMA</w:t>
      </w:r>
      <w:bookmarkEnd w:id="525"/>
      <w:bookmarkEnd w:id="526"/>
    </w:p>
    <w:p w14:paraId="0C9FF08A" w14:textId="77777777" w:rsidR="00A2339C" w:rsidRPr="00FD7E86" w:rsidRDefault="00A2339C" w:rsidP="00314FB5">
      <w:r w:rsidRPr="00FD7E86">
        <w:t>Complaints about carriers’ compliance with the industry code are directed to the carriers in the first instance. The industry code specifies mandatory processes for complaints-handling by carriers. The ACMA examines complaints against the code and may take regulatory action under Part 6 of the Act.</w:t>
      </w:r>
    </w:p>
    <w:p w14:paraId="6EDB91D5" w14:textId="77777777" w:rsidR="00A2339C" w:rsidRPr="00FD7E86" w:rsidRDefault="00A2339C" w:rsidP="00314FB5">
      <w:pPr>
        <w:rPr>
          <w:szCs w:val="22"/>
        </w:rPr>
      </w:pPr>
      <w:r w:rsidRPr="00FD7E86">
        <w:t xml:space="preserve">During the reporting period, the ACMA received 29 enquiries related to the industry code (Figure 5.9). </w:t>
      </w:r>
      <w:r w:rsidR="00226BCA" w:rsidRPr="00FD7E86">
        <w:t>C</w:t>
      </w:r>
      <w:r w:rsidRPr="00FD7E86">
        <w:t>arriers undertook a total of 5,867 consultations during this period.</w:t>
      </w:r>
    </w:p>
    <w:p w14:paraId="78767EF4" w14:textId="77777777" w:rsidR="00A2339C" w:rsidRPr="00FD7E86" w:rsidRDefault="00A2339C" w:rsidP="00314FB5">
      <w:pPr>
        <w:rPr>
          <w:rFonts w:cs="Arial"/>
        </w:rPr>
      </w:pPr>
      <w:r w:rsidRPr="00FD7E86">
        <w:t xml:space="preserve">The ACMA received 25 enquiries about matters covered by Schedule 3 to the Act and the </w:t>
      </w:r>
      <w:r w:rsidR="00226BCA" w:rsidRPr="00FD7E86">
        <w:t>industry c</w:t>
      </w:r>
      <w:r w:rsidRPr="00FD7E86">
        <w:t>ode. Additionally, the ACMA received four enquiries relating to the deployment of fixed</w:t>
      </w:r>
      <w:r w:rsidR="00251271" w:rsidRPr="00FD7E86">
        <w:t>-</w:t>
      </w:r>
      <w:r w:rsidRPr="00FD7E86">
        <w:t>wireless internet facilities not falling into other categories.</w:t>
      </w:r>
    </w:p>
    <w:p w14:paraId="74F14A1A" w14:textId="77777777" w:rsidR="00A2339C" w:rsidRPr="00FD7E86" w:rsidRDefault="00192CA2" w:rsidP="00192CA2">
      <w:pPr>
        <w:pStyle w:val="ACMAFigureHeader"/>
        <w:numPr>
          <w:ilvl w:val="0"/>
          <w:numId w:val="0"/>
        </w:numPr>
      </w:pPr>
      <w:r w:rsidRPr="00FD7E86">
        <w:t xml:space="preserve">Figure 5.9 </w:t>
      </w:r>
      <w:r w:rsidR="00A2339C" w:rsidRPr="00FD7E86">
        <w:t>Facility installation enquiries and complaints received by the ACMA</w:t>
      </w:r>
    </w:p>
    <w:bookmarkEnd w:id="522"/>
    <w:bookmarkEnd w:id="523"/>
    <w:p w14:paraId="67B4C433" w14:textId="58C45E23" w:rsidR="00A2339C" w:rsidRPr="00FD7E86" w:rsidRDefault="00F15FB4" w:rsidP="00C05F4C">
      <w:pPr>
        <w:spacing w:after="0"/>
        <w:rPr>
          <w:rFonts w:cs="Arial"/>
        </w:rPr>
      </w:pPr>
      <w:r>
        <w:rPr>
          <w:rFonts w:cs="Arial"/>
          <w:noProof/>
        </w:rPr>
        <w:drawing>
          <wp:inline distT="0" distB="0" distL="0" distR="0" wp14:anchorId="005C423B" wp14:editId="1470091B">
            <wp:extent cx="5939790" cy="1617980"/>
            <wp:effectExtent l="0" t="0" r="0" b="0"/>
            <wp:docPr id="131" name="Picture 131" descr="A .csv file of Figure 5.9 is available on the landing page ‘Communications report 2014–15’, available from the ACMA website. " title="Figure 5.9 Facility installation enquiries and complaints received by the ACM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Chapter 5_Figure 5.9.png"/>
                    <pic:cNvPicPr/>
                  </pic:nvPicPr>
                  <pic:blipFill>
                    <a:blip r:embed="rId132">
                      <a:extLst>
                        <a:ext uri="{28A0092B-C50C-407E-A947-70E740481C1C}">
                          <a14:useLocalDpi xmlns:a14="http://schemas.microsoft.com/office/drawing/2010/main" val="0"/>
                        </a:ext>
                      </a:extLst>
                    </a:blip>
                    <a:stretch>
                      <a:fillRect/>
                    </a:stretch>
                  </pic:blipFill>
                  <pic:spPr>
                    <a:xfrm>
                      <a:off x="0" y="0"/>
                      <a:ext cx="5939790" cy="1617980"/>
                    </a:xfrm>
                    <a:prstGeom prst="rect">
                      <a:avLst/>
                    </a:prstGeom>
                  </pic:spPr>
                </pic:pic>
              </a:graphicData>
            </a:graphic>
          </wp:inline>
        </w:drawing>
      </w:r>
    </w:p>
    <w:p w14:paraId="1C60B51D" w14:textId="6051A35E" w:rsidR="00E450B7" w:rsidRPr="00231E53" w:rsidRDefault="007709F5" w:rsidP="00231E53">
      <w:pPr>
        <w:pStyle w:val="ACMANotes"/>
        <w:spacing w:after="360"/>
      </w:pPr>
      <w:r w:rsidRPr="00FD7E86">
        <w:t>Source: ACMA</w:t>
      </w:r>
      <w:r w:rsidR="00231E53">
        <w:t>.</w:t>
      </w:r>
    </w:p>
    <w:p w14:paraId="4510D268" w14:textId="77777777" w:rsidR="00CF02AF" w:rsidRPr="00FD7E86" w:rsidRDefault="00CF02AF">
      <w:pPr>
        <w:pStyle w:val="ACMANotes"/>
      </w:pPr>
    </w:p>
    <w:p w14:paraId="3164B474" w14:textId="77777777" w:rsidR="00763375" w:rsidRPr="00FD7E86" w:rsidRDefault="00763375">
      <w:pPr>
        <w:pStyle w:val="ACMANotes"/>
        <w:sectPr w:rsidR="00763375" w:rsidRPr="00FD7E86" w:rsidSect="008C3A05">
          <w:endnotePr>
            <w:numFmt w:val="decimal"/>
            <w:numRestart w:val="eachSect"/>
          </w:endnotePr>
          <w:pgSz w:w="11906" w:h="16838" w:code="9"/>
          <w:pgMar w:top="1985" w:right="1134" w:bottom="1134" w:left="1134" w:header="709" w:footer="119" w:gutter="284"/>
          <w:cols w:space="708"/>
          <w:docGrid w:linePitch="360"/>
        </w:sectPr>
      </w:pPr>
    </w:p>
    <w:p w14:paraId="7F6B835A" w14:textId="77777777" w:rsidR="00A42E26" w:rsidRPr="00FD7E86" w:rsidRDefault="00A42E26" w:rsidP="00FF3C69">
      <w:pPr>
        <w:pStyle w:val="Heading1"/>
      </w:pPr>
      <w:bookmarkStart w:id="527" w:name="_Toc433790441"/>
      <w:r w:rsidRPr="00FD7E86">
        <w:lastRenderedPageBreak/>
        <w:t>Glossary</w:t>
      </w:r>
      <w:bookmarkEnd w:id="527"/>
    </w:p>
    <w:p w14:paraId="5A9B2342" w14:textId="77777777" w:rsidR="0021374C" w:rsidRPr="00FD7E86" w:rsidRDefault="0021374C" w:rsidP="0021374C">
      <w:pPr>
        <w:spacing w:after="60"/>
        <w:rPr>
          <w:rFonts w:cs="Arial"/>
          <w:b/>
        </w:rPr>
      </w:pPr>
      <w:r w:rsidRPr="00FD7E86">
        <w:rPr>
          <w:rFonts w:cs="Arial"/>
          <w:b/>
        </w:rPr>
        <w:t>2G—second generation mobile telecommunications</w:t>
      </w:r>
    </w:p>
    <w:p w14:paraId="0CA475B8" w14:textId="77777777" w:rsidR="0021374C" w:rsidRPr="00FD7E86" w:rsidRDefault="0021374C" w:rsidP="0021374C">
      <w:r w:rsidRPr="00FD7E86">
        <w:t xml:space="preserve">Mobile telecommunications services that use digital techniques, providing voice communications and a relatively low transmission rate for data. </w:t>
      </w:r>
      <w:r w:rsidRPr="00FD7E86">
        <w:rPr>
          <w:lang w:val="en"/>
        </w:rPr>
        <w:t xml:space="preserve">Denoted by the introduction of the digital encryption of telephone conversations and of mobile data services with SMS text messaging. See also </w:t>
      </w:r>
      <w:r w:rsidRPr="00C05F4C">
        <w:rPr>
          <w:b/>
          <w:lang w:val="en"/>
        </w:rPr>
        <w:t>GSM</w:t>
      </w:r>
      <w:r w:rsidR="00406635">
        <w:rPr>
          <w:lang w:val="en"/>
        </w:rPr>
        <w:t>.</w:t>
      </w:r>
    </w:p>
    <w:p w14:paraId="1C44C60C" w14:textId="77777777" w:rsidR="0021374C" w:rsidRPr="00FD7E86" w:rsidRDefault="0021374C" w:rsidP="0021374C">
      <w:pPr>
        <w:spacing w:after="60"/>
        <w:rPr>
          <w:rFonts w:cs="Arial"/>
          <w:b/>
        </w:rPr>
      </w:pPr>
      <w:r w:rsidRPr="00FD7E86">
        <w:rPr>
          <w:rFonts w:cs="Arial"/>
          <w:b/>
        </w:rPr>
        <w:t>3G—third generation mobile telecommunications</w:t>
      </w:r>
    </w:p>
    <w:p w14:paraId="156E88AA" w14:textId="77777777" w:rsidR="0021374C" w:rsidRPr="00FD7E86" w:rsidRDefault="0021374C" w:rsidP="0021374C">
      <w:r w:rsidRPr="00FD7E86">
        <w:t xml:space="preserve">Broadband mobile telecommunications services </w:t>
      </w:r>
      <w:r w:rsidRPr="00FD7E86">
        <w:rPr>
          <w:lang w:val="en"/>
        </w:rPr>
        <w:t>with improved data rates over their 2G predecessors providing for applications such as web-browsing, video conferencing and location-based services.</w:t>
      </w:r>
      <w:r w:rsidRPr="00FD7E86">
        <w:t xml:space="preserve"> </w:t>
      </w:r>
    </w:p>
    <w:p w14:paraId="4C7D8E1D" w14:textId="77777777" w:rsidR="0021374C" w:rsidRPr="00FD7E86" w:rsidRDefault="0021374C" w:rsidP="0021374C">
      <w:pPr>
        <w:spacing w:after="60"/>
        <w:rPr>
          <w:rFonts w:cs="Arial"/>
          <w:b/>
        </w:rPr>
      </w:pPr>
      <w:r w:rsidRPr="00FD7E86">
        <w:rPr>
          <w:rFonts w:cs="Arial"/>
          <w:b/>
        </w:rPr>
        <w:t>4G—fourth generation mobile telecommunications</w:t>
      </w:r>
    </w:p>
    <w:p w14:paraId="07C1DCC2" w14:textId="77777777" w:rsidR="0021374C" w:rsidRPr="00C05F4C" w:rsidRDefault="0021374C" w:rsidP="0021374C">
      <w:pPr>
        <w:autoSpaceDE w:val="0"/>
        <w:autoSpaceDN w:val="0"/>
        <w:adjustRightInd w:val="0"/>
        <w:spacing w:line="240" w:lineRule="auto"/>
      </w:pPr>
      <w:r w:rsidRPr="00FD7E86">
        <w:t xml:space="preserve">Enhanced broadband mobile telecommunications services which </w:t>
      </w:r>
      <w:r w:rsidRPr="00C05F4C">
        <w:t>are expected to provide increased bandwidth to support</w:t>
      </w:r>
      <w:r w:rsidRPr="00FD7E86" w:rsidDel="0017232E">
        <w:t xml:space="preserve"> </w:t>
      </w:r>
      <w:r w:rsidRPr="00FD7E86">
        <w:t xml:space="preserve">voice, video, data and </w:t>
      </w:r>
      <w:r w:rsidRPr="00C05F4C">
        <w:t xml:space="preserve">high quality streaming multimedia content </w:t>
      </w:r>
      <w:r w:rsidRPr="00FD7E86">
        <w:t>over an all IP network.</w:t>
      </w:r>
      <w:r w:rsidRPr="00C05F4C">
        <w:t xml:space="preserve"> See also </w:t>
      </w:r>
      <w:r w:rsidRPr="00C05F4C">
        <w:rPr>
          <w:b/>
        </w:rPr>
        <w:t>LTE</w:t>
      </w:r>
      <w:r w:rsidR="00406635">
        <w:t>.</w:t>
      </w:r>
    </w:p>
    <w:p w14:paraId="333EB95F" w14:textId="77777777" w:rsidR="0021374C" w:rsidRPr="00FD7E86" w:rsidRDefault="0021374C" w:rsidP="0021374C">
      <w:pPr>
        <w:spacing w:after="60"/>
        <w:rPr>
          <w:rFonts w:cs="Arial"/>
          <w:b/>
          <w:color w:val="4D4D4F"/>
        </w:rPr>
      </w:pPr>
      <w:r w:rsidRPr="00FD7E86">
        <w:rPr>
          <w:rFonts w:cs="Arial"/>
          <w:b/>
          <w:bCs/>
        </w:rPr>
        <w:t>ABC</w:t>
      </w:r>
      <w:r w:rsidRPr="00FD7E86">
        <w:rPr>
          <w:rFonts w:cs="Arial"/>
          <w:b/>
          <w:color w:val="4D4D4F"/>
        </w:rPr>
        <w:t>—</w:t>
      </w:r>
      <w:r w:rsidRPr="00FD7E86">
        <w:rPr>
          <w:rFonts w:cs="Arial"/>
          <w:b/>
        </w:rPr>
        <w:t>Australian Broadcasting Corporation</w:t>
      </w:r>
    </w:p>
    <w:p w14:paraId="085A4283" w14:textId="77777777" w:rsidR="0021374C" w:rsidRPr="00FD7E86" w:rsidRDefault="0021374C" w:rsidP="0021374C">
      <w:r w:rsidRPr="00FD7E86">
        <w:t>Free-to-air national broadcaster of ABC radio and television channels, as well as online services, funded by the Australian Government.</w:t>
      </w:r>
    </w:p>
    <w:p w14:paraId="09B65CA2" w14:textId="77777777" w:rsidR="0021374C" w:rsidRPr="00FD7E86" w:rsidRDefault="0021374C" w:rsidP="0021374C">
      <w:pPr>
        <w:spacing w:after="60"/>
        <w:rPr>
          <w:rFonts w:cs="Arial"/>
          <w:b/>
          <w:color w:val="4D4D4F"/>
        </w:rPr>
      </w:pPr>
      <w:r w:rsidRPr="00FD7E86">
        <w:rPr>
          <w:rFonts w:cs="Arial"/>
          <w:b/>
        </w:rPr>
        <w:t>ABS—</w:t>
      </w:r>
      <w:r w:rsidRPr="00FD7E86">
        <w:rPr>
          <w:rFonts w:cs="Arial"/>
          <w:b/>
          <w:szCs w:val="20"/>
        </w:rPr>
        <w:t>Australian Bureau of Statistics</w:t>
      </w:r>
    </w:p>
    <w:p w14:paraId="340C5971" w14:textId="77777777" w:rsidR="0021374C" w:rsidRPr="00FD7E86" w:rsidRDefault="0021374C" w:rsidP="0021374C">
      <w:r w:rsidRPr="00FD7E86">
        <w:t>Commonwealth body responsible for collecting, analysing and publishing Australian demographic data.</w:t>
      </w:r>
    </w:p>
    <w:p w14:paraId="58D00C6E" w14:textId="77777777" w:rsidR="0021374C" w:rsidRPr="00FD7E86" w:rsidRDefault="0021374C" w:rsidP="0021374C">
      <w:pPr>
        <w:spacing w:after="60"/>
        <w:rPr>
          <w:rFonts w:cs="Arial"/>
          <w:b/>
        </w:rPr>
      </w:pPr>
      <w:r w:rsidRPr="00FD7E86">
        <w:rPr>
          <w:rFonts w:cs="Arial"/>
          <w:b/>
        </w:rPr>
        <w:t>ACCC—</w:t>
      </w:r>
      <w:r w:rsidRPr="00FD7E86">
        <w:rPr>
          <w:rFonts w:cs="Arial"/>
          <w:b/>
          <w:szCs w:val="20"/>
        </w:rPr>
        <w:t>Australian Competition and Consumer Commission</w:t>
      </w:r>
    </w:p>
    <w:p w14:paraId="4079C3A2" w14:textId="77777777" w:rsidR="0021374C" w:rsidRPr="00FD7E86" w:rsidRDefault="0021374C" w:rsidP="0021374C">
      <w:r w:rsidRPr="00FD7E86">
        <w:t xml:space="preserve">Commonwealth regulatory body with responsibilities derived from the </w:t>
      </w:r>
      <w:r w:rsidRPr="00FD7E86">
        <w:rPr>
          <w:i/>
        </w:rPr>
        <w:t>Competition and Consumer Act 2010</w:t>
      </w:r>
      <w:r w:rsidRPr="00FD7E86">
        <w:t xml:space="preserve"> (formerly the </w:t>
      </w:r>
      <w:r w:rsidRPr="00FD7E86">
        <w:rPr>
          <w:i/>
        </w:rPr>
        <w:t>Trade Practices Act 1974</w:t>
      </w:r>
      <w:r w:rsidRPr="00FD7E86">
        <w:t>).</w:t>
      </w:r>
    </w:p>
    <w:p w14:paraId="1A52F85E" w14:textId="77777777" w:rsidR="0021374C" w:rsidRPr="00FD7E86" w:rsidRDefault="0021374C" w:rsidP="0021374C">
      <w:pPr>
        <w:spacing w:after="60"/>
        <w:rPr>
          <w:rFonts w:cs="Arial"/>
          <w:b/>
          <w:color w:val="4D4D4F"/>
          <w:szCs w:val="20"/>
        </w:rPr>
      </w:pPr>
      <w:r w:rsidRPr="00FD7E86">
        <w:rPr>
          <w:rFonts w:cs="Arial"/>
          <w:b/>
        </w:rPr>
        <w:t>ACE—</w:t>
      </w:r>
      <w:r w:rsidRPr="00FD7E86">
        <w:rPr>
          <w:rFonts w:cs="Arial"/>
          <w:b/>
          <w:szCs w:val="20"/>
        </w:rPr>
        <w:t>Australian Communication Exchange</w:t>
      </w:r>
    </w:p>
    <w:p w14:paraId="7C0EF1CE" w14:textId="77777777" w:rsidR="0021374C" w:rsidRPr="00FD7E86" w:rsidRDefault="0021374C" w:rsidP="0021374C">
      <w:r w:rsidRPr="00FD7E86">
        <w:t xml:space="preserve">A national non-for-profit organisation that currently provides the relay component of the National Relay Service. </w:t>
      </w:r>
    </w:p>
    <w:p w14:paraId="645F6CDC" w14:textId="77777777" w:rsidR="0021374C" w:rsidRPr="00FD7E86" w:rsidRDefault="0021374C" w:rsidP="0021374C">
      <w:pPr>
        <w:spacing w:after="60"/>
        <w:rPr>
          <w:rFonts w:cs="Arial"/>
          <w:b/>
          <w:szCs w:val="20"/>
        </w:rPr>
      </w:pPr>
      <w:r w:rsidRPr="00FD7E86">
        <w:rPr>
          <w:rFonts w:cs="Arial"/>
          <w:b/>
          <w:szCs w:val="20"/>
        </w:rPr>
        <w:t>ACMA—Australian Communications and Media Authority</w:t>
      </w:r>
    </w:p>
    <w:p w14:paraId="3BE02C08" w14:textId="77777777" w:rsidR="0021374C" w:rsidRPr="00FD7E86" w:rsidRDefault="0021374C" w:rsidP="0021374C">
      <w:pPr>
        <w:rPr>
          <w:rFonts w:cs="Arial"/>
          <w:b/>
          <w:bCs/>
          <w:color w:val="4D4D4F"/>
          <w:szCs w:val="20"/>
        </w:rPr>
      </w:pPr>
      <w:r w:rsidRPr="00FD7E86">
        <w:t xml:space="preserve">Commonwealth regulatory authority for broadcasting, online content, radiocommunications and telecommunications, with responsibilities under the </w:t>
      </w:r>
      <w:r w:rsidRPr="00FD7E86">
        <w:rPr>
          <w:i/>
          <w:iCs/>
        </w:rPr>
        <w:t>Broadcasting Services Act 1992</w:t>
      </w:r>
      <w:r w:rsidRPr="00FD7E86">
        <w:t xml:space="preserve">, the </w:t>
      </w:r>
      <w:r w:rsidRPr="00FD7E86">
        <w:rPr>
          <w:i/>
          <w:iCs/>
        </w:rPr>
        <w:t>Radiocommunications Act 1992</w:t>
      </w:r>
      <w:r w:rsidRPr="00FD7E86">
        <w:t xml:space="preserve">, the </w:t>
      </w:r>
      <w:r w:rsidRPr="00FD7E86">
        <w:rPr>
          <w:i/>
          <w:iCs/>
        </w:rPr>
        <w:t xml:space="preserve">Telecommunications Act 1997 </w:t>
      </w:r>
      <w:r w:rsidRPr="00FD7E86">
        <w:t xml:space="preserve">and related Acts. Established on </w:t>
      </w:r>
      <w:r w:rsidR="00406635" w:rsidRPr="00FD7E86">
        <w:t>1</w:t>
      </w:r>
      <w:r w:rsidR="00406635">
        <w:t> </w:t>
      </w:r>
      <w:r w:rsidRPr="00FD7E86">
        <w:t>July 2005 following a merger of the Australian Communications Authority and the Australian Broadcasting Authority.</w:t>
      </w:r>
    </w:p>
    <w:p w14:paraId="22060F44" w14:textId="77777777" w:rsidR="0021374C" w:rsidRPr="00FD7E86" w:rsidRDefault="0021374C" w:rsidP="0021374C">
      <w:pPr>
        <w:spacing w:after="60"/>
        <w:rPr>
          <w:rFonts w:cs="Arial"/>
          <w:b/>
          <w:szCs w:val="20"/>
        </w:rPr>
      </w:pPr>
      <w:r w:rsidRPr="00FD7E86">
        <w:rPr>
          <w:rFonts w:cs="Arial"/>
          <w:b/>
          <w:szCs w:val="20"/>
        </w:rPr>
        <w:t>ADSL—asymmetric digital subscriber line</w:t>
      </w:r>
    </w:p>
    <w:p w14:paraId="5D846DCE" w14:textId="77777777" w:rsidR="0021374C" w:rsidRPr="00FD7E86" w:rsidRDefault="0021374C" w:rsidP="0021374C">
      <w:r w:rsidRPr="00FD7E86">
        <w:t>A transmission technology that enables high-speed data services to be delivered over a twisted pair copper line, typically with a download speed in excess of 256 kbit/s, but with a lower upload data speed.</w:t>
      </w:r>
    </w:p>
    <w:p w14:paraId="3C756A54" w14:textId="77777777" w:rsidR="0021374C" w:rsidRPr="00FD7E86" w:rsidRDefault="0021374C" w:rsidP="0021374C">
      <w:pPr>
        <w:spacing w:after="60"/>
        <w:rPr>
          <w:rFonts w:cs="Arial"/>
          <w:b/>
          <w:szCs w:val="20"/>
        </w:rPr>
      </w:pPr>
      <w:r w:rsidRPr="00FD7E86">
        <w:rPr>
          <w:rFonts w:cs="Arial"/>
          <w:b/>
          <w:szCs w:val="20"/>
        </w:rPr>
        <w:t>AFP—Australian Federal Police</w:t>
      </w:r>
    </w:p>
    <w:p w14:paraId="7F7CE0F8" w14:textId="77777777" w:rsidR="0021374C" w:rsidRPr="00FD7E86" w:rsidRDefault="0021374C" w:rsidP="0021374C">
      <w:r w:rsidRPr="00FD7E86">
        <w:t>Australia’s national police force. The ACMA works with the AFP on email spam and illegal internet content such as online child sexual abuse material that is hosted outside Australia.</w:t>
      </w:r>
    </w:p>
    <w:p w14:paraId="74CF7CBB" w14:textId="77777777" w:rsidR="0021374C" w:rsidRPr="00FD7E86" w:rsidRDefault="0021374C" w:rsidP="0021374C">
      <w:pPr>
        <w:spacing w:after="60"/>
        <w:rPr>
          <w:rFonts w:cs="Arial"/>
          <w:b/>
          <w:szCs w:val="20"/>
        </w:rPr>
      </w:pPr>
      <w:r w:rsidRPr="00FD7E86">
        <w:rPr>
          <w:rFonts w:cs="Arial"/>
          <w:b/>
          <w:szCs w:val="20"/>
        </w:rPr>
        <w:t>AISI—Australian Internet Security Initiative</w:t>
      </w:r>
    </w:p>
    <w:p w14:paraId="56F10ED7" w14:textId="77777777" w:rsidR="0021374C" w:rsidRPr="00FD7E86" w:rsidRDefault="0021374C" w:rsidP="0021374C">
      <w:pPr>
        <w:keepLines/>
        <w:autoSpaceDE w:val="0"/>
        <w:autoSpaceDN w:val="0"/>
        <w:adjustRightInd w:val="0"/>
        <w:spacing w:line="240" w:lineRule="auto"/>
      </w:pPr>
      <w:r w:rsidRPr="00FD7E86">
        <w:t>Collects data from various sources on compromised computers (sometimes referred to as ‘zombies’, bots or ‘drones’). The ACMA analyses this data and provides free daily reports to participating Australian internet service providers (ISPs) identifying IP addresses operating on their networks that appear to be compromised.</w:t>
      </w:r>
    </w:p>
    <w:p w14:paraId="78D32026" w14:textId="77777777" w:rsidR="0021374C" w:rsidRPr="00FD7E86" w:rsidRDefault="0021374C" w:rsidP="0021374C">
      <w:pPr>
        <w:spacing w:after="60"/>
        <w:rPr>
          <w:rFonts w:cs="Arial"/>
          <w:b/>
          <w:szCs w:val="20"/>
        </w:rPr>
      </w:pPr>
      <w:r w:rsidRPr="00FD7E86">
        <w:rPr>
          <w:rFonts w:cs="Arial"/>
          <w:b/>
          <w:szCs w:val="20"/>
        </w:rPr>
        <w:lastRenderedPageBreak/>
        <w:t>auDA—.au Domain Administration</w:t>
      </w:r>
    </w:p>
    <w:p w14:paraId="56854E09" w14:textId="77777777" w:rsidR="0021374C" w:rsidRPr="00FD7E86" w:rsidRDefault="003770DB" w:rsidP="0021374C">
      <w:r w:rsidRPr="0014452B">
        <w:t>Independent industry self-regulatory body responsible for the .au domain name space</w:t>
      </w:r>
      <w:r w:rsidR="0021374C" w:rsidRPr="0014452B">
        <w:t>.</w:t>
      </w:r>
    </w:p>
    <w:p w14:paraId="530F8F67" w14:textId="77777777" w:rsidR="0021374C" w:rsidRPr="00FD7E86" w:rsidRDefault="0021374C" w:rsidP="0021374C">
      <w:pPr>
        <w:spacing w:after="60"/>
        <w:rPr>
          <w:rFonts w:cs="Arial"/>
          <w:b/>
          <w:szCs w:val="20"/>
        </w:rPr>
      </w:pPr>
      <w:r w:rsidRPr="00FD7E86">
        <w:rPr>
          <w:rFonts w:cs="Arial"/>
          <w:b/>
          <w:szCs w:val="20"/>
        </w:rPr>
        <w:t>bit/s—bits per second</w:t>
      </w:r>
    </w:p>
    <w:p w14:paraId="16FD3DFC" w14:textId="77777777" w:rsidR="0021374C" w:rsidRPr="00FD7E86" w:rsidRDefault="0021374C" w:rsidP="0021374C">
      <w:r w:rsidRPr="00FD7E86">
        <w:t xml:space="preserve">Rate of transfer of data. A bit (binary digit) is the basic unit of data able to represent one of two values. See also </w:t>
      </w:r>
      <w:r w:rsidRPr="00FD7E86">
        <w:rPr>
          <w:b/>
        </w:rPr>
        <w:t>Gbit/s</w:t>
      </w:r>
      <w:r w:rsidRPr="00FD7E86">
        <w:t xml:space="preserve">, </w:t>
      </w:r>
      <w:r w:rsidRPr="00FD7E86">
        <w:rPr>
          <w:b/>
        </w:rPr>
        <w:t>kbit/s</w:t>
      </w:r>
      <w:r w:rsidRPr="00FD7E86">
        <w:t xml:space="preserve">, </w:t>
      </w:r>
      <w:r w:rsidRPr="00FD7E86">
        <w:rPr>
          <w:b/>
        </w:rPr>
        <w:t>Mbit/s</w:t>
      </w:r>
      <w:r w:rsidRPr="00FD7E86">
        <w:t>.</w:t>
      </w:r>
    </w:p>
    <w:p w14:paraId="0C3F9EAD" w14:textId="77777777" w:rsidR="0021374C" w:rsidRPr="00FD7E86" w:rsidRDefault="0021374C" w:rsidP="0021374C">
      <w:pPr>
        <w:spacing w:after="60"/>
        <w:rPr>
          <w:rFonts w:cs="Arial"/>
          <w:b/>
          <w:szCs w:val="20"/>
        </w:rPr>
      </w:pPr>
      <w:r w:rsidRPr="00FD7E86">
        <w:rPr>
          <w:rFonts w:cs="Arial"/>
          <w:b/>
          <w:szCs w:val="20"/>
        </w:rPr>
        <w:t xml:space="preserve">broadband </w:t>
      </w:r>
    </w:p>
    <w:p w14:paraId="7FB71A2D" w14:textId="77777777" w:rsidR="0021374C" w:rsidRPr="00FD7E86" w:rsidRDefault="0021374C" w:rsidP="0021374C">
      <w:r w:rsidRPr="00FD7E86">
        <w:rPr>
          <w:lang w:val="en"/>
        </w:rPr>
        <w:t xml:space="preserve">High-speed internet access that is always on and faster than traditional dial-up access. </w:t>
      </w:r>
      <w:r w:rsidRPr="00FD7E86">
        <w:t xml:space="preserve">Broadband is implemented through a range of technologies such as optical fibre, </w:t>
      </w:r>
      <w:r w:rsidRPr="00FC4F68">
        <w:rPr>
          <w:lang w:val="en"/>
        </w:rPr>
        <w:t>Digital Subscriber Line (DSL)</w:t>
      </w:r>
      <w:r w:rsidRPr="00FD7E86">
        <w:t>, HFC, cellular mobile, fixed wireless</w:t>
      </w:r>
      <w:r w:rsidRPr="00FD7E86">
        <w:rPr>
          <w:lang w:val="en"/>
        </w:rPr>
        <w:t xml:space="preserve"> </w:t>
      </w:r>
      <w:r w:rsidRPr="00FD7E86">
        <w:t>and satellite.</w:t>
      </w:r>
    </w:p>
    <w:p w14:paraId="2E742D8E" w14:textId="77777777" w:rsidR="0021374C" w:rsidRPr="00FD7E86" w:rsidRDefault="0021374C" w:rsidP="0021374C">
      <w:pPr>
        <w:spacing w:after="60"/>
        <w:rPr>
          <w:rFonts w:cs="Arial"/>
          <w:b/>
          <w:szCs w:val="20"/>
        </w:rPr>
      </w:pPr>
      <w:r w:rsidRPr="00FD7E86">
        <w:rPr>
          <w:rFonts w:cs="Arial"/>
          <w:b/>
          <w:szCs w:val="20"/>
        </w:rPr>
        <w:t>cable—hybrid fibre coaxial (HFC) cable</w:t>
      </w:r>
    </w:p>
    <w:p w14:paraId="3A046825" w14:textId="77777777" w:rsidR="0021374C" w:rsidRPr="00FD7E86" w:rsidRDefault="0021374C" w:rsidP="0021374C">
      <w:r w:rsidRPr="00FD7E86">
        <w:t>Transmission links consisting of optical fibre on main routes, supplemented by coaxial cable closer to the end user’s premises.</w:t>
      </w:r>
    </w:p>
    <w:p w14:paraId="561C18D3" w14:textId="77777777" w:rsidR="0021374C" w:rsidRPr="00FD7E86" w:rsidRDefault="0021374C" w:rsidP="0021374C">
      <w:pPr>
        <w:spacing w:after="60"/>
        <w:rPr>
          <w:rFonts w:cs="Arial"/>
          <w:b/>
          <w:szCs w:val="20"/>
        </w:rPr>
      </w:pPr>
      <w:r w:rsidRPr="00FD7E86">
        <w:rPr>
          <w:rFonts w:cs="Arial"/>
          <w:b/>
          <w:szCs w:val="20"/>
        </w:rPr>
        <w:t xml:space="preserve">carrier </w:t>
      </w:r>
    </w:p>
    <w:p w14:paraId="0EF13823" w14:textId="77777777" w:rsidR="0021374C" w:rsidRPr="00FD7E86" w:rsidRDefault="0021374C" w:rsidP="0021374C">
      <w:r w:rsidRPr="00FD7E86">
        <w:t xml:space="preserve">The holder of a telecommunications carrier licence in force under the </w:t>
      </w:r>
      <w:r w:rsidRPr="00FD7E86">
        <w:rPr>
          <w:i/>
          <w:iCs/>
        </w:rPr>
        <w:t>Telecommunications Act 1997</w:t>
      </w:r>
      <w:r w:rsidRPr="00FD7E86">
        <w:t>.</w:t>
      </w:r>
    </w:p>
    <w:p w14:paraId="57035641" w14:textId="77777777" w:rsidR="0021374C" w:rsidRPr="00FD7E86" w:rsidRDefault="0021374C" w:rsidP="0021374C">
      <w:pPr>
        <w:spacing w:after="60"/>
        <w:rPr>
          <w:rFonts w:cs="Arial"/>
          <w:b/>
          <w:szCs w:val="20"/>
        </w:rPr>
      </w:pPr>
      <w:r w:rsidRPr="00FD7E86">
        <w:rPr>
          <w:rFonts w:cs="Arial"/>
          <w:b/>
          <w:szCs w:val="20"/>
        </w:rPr>
        <w:t>catch-up TV</w:t>
      </w:r>
    </w:p>
    <w:p w14:paraId="3610D6A7" w14:textId="77777777" w:rsidR="0021374C" w:rsidRPr="00FD7E86" w:rsidRDefault="0021374C" w:rsidP="0021374C">
      <w:pPr>
        <w:rPr>
          <w:bCs/>
        </w:rPr>
      </w:pPr>
      <w:r w:rsidRPr="00FD7E86">
        <w:rPr>
          <w:bCs/>
        </w:rPr>
        <w:t xml:space="preserve">Internet service typically provided on free-to-air and subscription broadcasters’ websites enabling users to watch a recent episode of a television program over the internet for a limited period of time. </w:t>
      </w:r>
    </w:p>
    <w:p w14:paraId="3F0792BE" w14:textId="77777777" w:rsidR="0021374C" w:rsidRPr="00FD7E86" w:rsidRDefault="0021374C" w:rsidP="0021374C">
      <w:pPr>
        <w:spacing w:after="60"/>
        <w:rPr>
          <w:rFonts w:cs="Arial"/>
          <w:b/>
          <w:szCs w:val="20"/>
        </w:rPr>
      </w:pPr>
      <w:r w:rsidRPr="00FD7E86">
        <w:rPr>
          <w:rFonts w:cs="Arial"/>
          <w:b/>
          <w:szCs w:val="20"/>
        </w:rPr>
        <w:t>CEASA—Commercial Economic Advisory Service of Australia</w:t>
      </w:r>
    </w:p>
    <w:p w14:paraId="20956734" w14:textId="77777777" w:rsidR="0021374C" w:rsidRPr="00FD7E86" w:rsidRDefault="0021374C" w:rsidP="0021374C">
      <w:r w:rsidRPr="00FD7E86">
        <w:t>An information research company specialising in media, economic, marketing and advertising research, surveys and publications.</w:t>
      </w:r>
    </w:p>
    <w:p w14:paraId="1EA50A1D" w14:textId="77777777" w:rsidR="0021374C" w:rsidRPr="00FD7E86" w:rsidRDefault="0021374C" w:rsidP="0021374C">
      <w:pPr>
        <w:spacing w:after="60"/>
        <w:rPr>
          <w:rFonts w:cs="Arial"/>
          <w:b/>
          <w:szCs w:val="20"/>
        </w:rPr>
      </w:pPr>
      <w:r w:rsidRPr="00FD7E86">
        <w:rPr>
          <w:rFonts w:cs="Arial"/>
          <w:b/>
          <w:szCs w:val="20"/>
        </w:rPr>
        <w:t>cloud computing</w:t>
      </w:r>
    </w:p>
    <w:p w14:paraId="3C81B44E" w14:textId="77777777" w:rsidR="0021374C" w:rsidRPr="00FD7E86" w:rsidRDefault="0021374C" w:rsidP="0021374C">
      <w:r w:rsidRPr="00FD7E86">
        <w:t>Internet-based computing where data and applications are hosted online, stored on remote servers and available to clients on demand through broadband internet-enabled devices.</w:t>
      </w:r>
    </w:p>
    <w:p w14:paraId="56EEEFE6" w14:textId="77777777" w:rsidR="0021374C" w:rsidRPr="00FD7E86" w:rsidRDefault="0021374C" w:rsidP="0021374C">
      <w:pPr>
        <w:spacing w:after="60"/>
        <w:rPr>
          <w:rFonts w:cs="Arial"/>
          <w:b/>
          <w:szCs w:val="20"/>
        </w:rPr>
      </w:pPr>
      <w:r w:rsidRPr="00FD7E86">
        <w:rPr>
          <w:rFonts w:cs="Arial"/>
          <w:b/>
          <w:szCs w:val="20"/>
        </w:rPr>
        <w:t>Communications Alliance (CA)</w:t>
      </w:r>
    </w:p>
    <w:p w14:paraId="2776230C" w14:textId="77777777" w:rsidR="0021374C" w:rsidRPr="00FD7E86" w:rsidRDefault="0021374C" w:rsidP="0021374C">
      <w:r w:rsidRPr="00FD7E86">
        <w:t>Telecommunications industry organisation formed on 1 September 2006 from the merger of the Australian Communications Industry Forum (ACIF) and the Service Providers Association Network (SPAN).</w:t>
      </w:r>
    </w:p>
    <w:p w14:paraId="7A2B4AB0" w14:textId="77777777" w:rsidR="0021374C" w:rsidRPr="00FD7E86" w:rsidRDefault="0021374C" w:rsidP="0021374C">
      <w:pPr>
        <w:spacing w:after="60"/>
        <w:rPr>
          <w:rFonts w:cs="Arial"/>
          <w:b/>
          <w:szCs w:val="20"/>
        </w:rPr>
      </w:pPr>
      <w:r w:rsidRPr="00FD7E86">
        <w:rPr>
          <w:rFonts w:cs="Arial"/>
          <w:b/>
          <w:szCs w:val="20"/>
        </w:rPr>
        <w:t>CSG—Customer Service Guarantee</w:t>
      </w:r>
    </w:p>
    <w:p w14:paraId="69DD3F24" w14:textId="77777777" w:rsidR="0021374C" w:rsidRPr="00FD7E86" w:rsidRDefault="0021374C" w:rsidP="0021374C">
      <w:r w:rsidRPr="00FD7E86">
        <w:t>Standard providing for financial compensation to customers where requirements set out in the CSG Standard are not met.</w:t>
      </w:r>
    </w:p>
    <w:p w14:paraId="67CC35FF" w14:textId="77777777" w:rsidR="0021374C" w:rsidRPr="00FD7E86" w:rsidRDefault="0021374C" w:rsidP="0021374C">
      <w:pPr>
        <w:spacing w:after="60"/>
        <w:rPr>
          <w:rFonts w:cs="Arial"/>
          <w:b/>
          <w:szCs w:val="20"/>
        </w:rPr>
      </w:pPr>
      <w:r w:rsidRPr="00FD7E86">
        <w:rPr>
          <w:rFonts w:cs="Arial"/>
          <w:b/>
          <w:szCs w:val="20"/>
        </w:rPr>
        <w:t>CSP—carriage service provider</w:t>
      </w:r>
    </w:p>
    <w:p w14:paraId="20406363" w14:textId="77777777" w:rsidR="0021374C" w:rsidRPr="00FD7E86" w:rsidRDefault="0021374C" w:rsidP="0021374C">
      <w:r w:rsidRPr="00FD7E86">
        <w:t xml:space="preserve">Person supplying or proposing to supply certain carriage services to a customer, including a commercial entity acquiring telecommunications capacity or services from a carrier for resale to a third party. Under the </w:t>
      </w:r>
      <w:r w:rsidRPr="00FD7E86">
        <w:rPr>
          <w:i/>
          <w:iCs/>
        </w:rPr>
        <w:t xml:space="preserve">Telecommunications Act 1997, </w:t>
      </w:r>
      <w:r w:rsidRPr="00FD7E86">
        <w:t>internet and subscription TV service providers fall within the definition of carriage service providers.</w:t>
      </w:r>
    </w:p>
    <w:p w14:paraId="61318815" w14:textId="77777777" w:rsidR="0021374C" w:rsidRPr="00FD7E86" w:rsidRDefault="0021374C" w:rsidP="0021374C">
      <w:pPr>
        <w:spacing w:after="60"/>
        <w:rPr>
          <w:rFonts w:cs="Arial"/>
          <w:b/>
          <w:szCs w:val="20"/>
        </w:rPr>
      </w:pPr>
      <w:r w:rsidRPr="00FD7E86">
        <w:rPr>
          <w:rFonts w:cs="Arial"/>
          <w:b/>
          <w:szCs w:val="20"/>
        </w:rPr>
        <w:t>CTS—Children’s Television Standard</w:t>
      </w:r>
    </w:p>
    <w:p w14:paraId="443E7388" w14:textId="77777777" w:rsidR="0021374C" w:rsidRPr="00FD7E86" w:rsidRDefault="0021374C" w:rsidP="0021374C">
      <w:r w:rsidRPr="00FD7E86">
        <w:t>A standard designed to provide access for children (aged under 14 years) to quality television programs made specifically for them. The standard regulates timing and scheduling of children’s programs and content of adjacent programming.</w:t>
      </w:r>
    </w:p>
    <w:p w14:paraId="2AE30372" w14:textId="77777777" w:rsidR="0021374C" w:rsidRPr="00FD7E86" w:rsidRDefault="0021374C" w:rsidP="00314FB5">
      <w:pPr>
        <w:keepNext/>
        <w:spacing w:after="60"/>
        <w:rPr>
          <w:rFonts w:cs="Arial"/>
          <w:b/>
          <w:szCs w:val="20"/>
        </w:rPr>
      </w:pPr>
      <w:r w:rsidRPr="00FD7E86">
        <w:rPr>
          <w:rFonts w:cs="Arial"/>
          <w:b/>
          <w:szCs w:val="20"/>
        </w:rPr>
        <w:lastRenderedPageBreak/>
        <w:t>DAB—Digital Audio Broadcasting</w:t>
      </w:r>
    </w:p>
    <w:p w14:paraId="6207FA7D" w14:textId="77777777" w:rsidR="0021374C" w:rsidRPr="00FD7E86" w:rsidRDefault="0021374C" w:rsidP="0021374C">
      <w:r w:rsidRPr="00FD7E86">
        <w:t xml:space="preserve">A digital radio broadcasting standard. </w:t>
      </w:r>
      <w:r w:rsidRPr="00FD7E86">
        <w:rPr>
          <w:lang w:val="en"/>
        </w:rPr>
        <w:t xml:space="preserve">Australia is using an upgraded version of this standard called DAB+ to broadcast digital radio in Adelaide, Brisbane, Melbourne, Perth and Sydney. DAB+ uses the same spectrum currently used to deliver both analogue and digital television services. </w:t>
      </w:r>
    </w:p>
    <w:p w14:paraId="67217196" w14:textId="77777777" w:rsidR="0021374C" w:rsidRPr="00FD7E86" w:rsidRDefault="0021374C" w:rsidP="0021374C">
      <w:pPr>
        <w:spacing w:after="60"/>
        <w:rPr>
          <w:rFonts w:cs="Arial"/>
          <w:b/>
          <w:szCs w:val="20"/>
        </w:rPr>
      </w:pPr>
      <w:r w:rsidRPr="00FD7E86">
        <w:rPr>
          <w:rFonts w:cs="Arial"/>
          <w:b/>
          <w:szCs w:val="20"/>
        </w:rPr>
        <w:t xml:space="preserve">data traffic </w:t>
      </w:r>
    </w:p>
    <w:p w14:paraId="090F8214" w14:textId="77777777" w:rsidR="0021374C" w:rsidRPr="00FD7E86" w:rsidRDefault="0021374C" w:rsidP="0021374C">
      <w:r w:rsidRPr="00FD7E86">
        <w:t>Volume of data transferred in both directions between a customer and their ISP. Data traffic is measured in bytes.</w:t>
      </w:r>
    </w:p>
    <w:p w14:paraId="32FDF309" w14:textId="77777777" w:rsidR="0021374C" w:rsidRPr="00FD7E86" w:rsidRDefault="0021374C" w:rsidP="0021374C">
      <w:pPr>
        <w:spacing w:after="60"/>
        <w:rPr>
          <w:rFonts w:cs="Arial"/>
          <w:b/>
          <w:szCs w:val="20"/>
        </w:rPr>
      </w:pPr>
      <w:r w:rsidRPr="00FD7E86">
        <w:rPr>
          <w:rFonts w:cs="Arial"/>
          <w:b/>
          <w:szCs w:val="20"/>
        </w:rPr>
        <w:t>DoC—Department of Communications</w:t>
      </w:r>
    </w:p>
    <w:p w14:paraId="53617BD5" w14:textId="77777777" w:rsidR="0021374C" w:rsidRPr="00FD7E86" w:rsidRDefault="0021374C" w:rsidP="0021374C">
      <w:pPr>
        <w:spacing w:after="60"/>
        <w:rPr>
          <w:rFonts w:cs="Arial"/>
          <w:szCs w:val="20"/>
        </w:rPr>
      </w:pPr>
      <w:r w:rsidRPr="00FD7E86">
        <w:rPr>
          <w:rFonts w:cs="Arial"/>
          <w:szCs w:val="20"/>
        </w:rPr>
        <w:t xml:space="preserve">Former name of </w:t>
      </w:r>
      <w:r w:rsidRPr="00FD7E86">
        <w:t>Commonwealth department responsible for, among other things, communications policy and programs</w:t>
      </w:r>
      <w:r w:rsidR="00406635">
        <w:t>.</w:t>
      </w:r>
      <w:r w:rsidRPr="00FD7E86">
        <w:t xml:space="preserve"> </w:t>
      </w:r>
      <w:r w:rsidR="00406635">
        <w:t>S</w:t>
      </w:r>
      <w:r w:rsidRPr="00FD7E86">
        <w:t xml:space="preserve">ee </w:t>
      </w:r>
      <w:r w:rsidRPr="00C05F4C">
        <w:rPr>
          <w:b/>
        </w:rPr>
        <w:t>DoCA</w:t>
      </w:r>
      <w:r w:rsidRPr="00FD7E86">
        <w:t>.</w:t>
      </w:r>
    </w:p>
    <w:p w14:paraId="5DD872DE" w14:textId="77777777" w:rsidR="0021374C" w:rsidRPr="00FD7E86" w:rsidRDefault="0021374C" w:rsidP="0021374C">
      <w:pPr>
        <w:spacing w:after="60"/>
        <w:rPr>
          <w:rFonts w:cs="Arial"/>
          <w:b/>
          <w:szCs w:val="20"/>
        </w:rPr>
      </w:pPr>
    </w:p>
    <w:p w14:paraId="53BB9C58" w14:textId="77777777" w:rsidR="0021374C" w:rsidRPr="00FD7E86" w:rsidRDefault="0021374C" w:rsidP="0021374C">
      <w:pPr>
        <w:spacing w:after="60"/>
        <w:rPr>
          <w:rFonts w:cs="Arial"/>
          <w:b/>
          <w:szCs w:val="20"/>
        </w:rPr>
      </w:pPr>
      <w:r w:rsidRPr="00FD7E86">
        <w:rPr>
          <w:rFonts w:cs="Arial"/>
          <w:b/>
          <w:szCs w:val="20"/>
        </w:rPr>
        <w:t>DoCA—Department of Communications and the Arts</w:t>
      </w:r>
    </w:p>
    <w:p w14:paraId="5F69B2CF" w14:textId="77777777" w:rsidR="0021374C" w:rsidRPr="00FD7E86" w:rsidRDefault="0021374C" w:rsidP="0021374C">
      <w:r w:rsidRPr="00FD7E86">
        <w:t>Since September 2015, Commonwealth department responsible for, among other things, communications policy and programs, formerly known as Department of Communications (DoC).</w:t>
      </w:r>
    </w:p>
    <w:p w14:paraId="74FD9D0B" w14:textId="77777777" w:rsidR="0021374C" w:rsidRPr="00FD7E86" w:rsidRDefault="0021374C" w:rsidP="0021374C">
      <w:pPr>
        <w:spacing w:after="60"/>
        <w:rPr>
          <w:rFonts w:cs="Arial"/>
          <w:b/>
          <w:szCs w:val="20"/>
        </w:rPr>
      </w:pPr>
      <w:r w:rsidRPr="00FD7E86">
        <w:rPr>
          <w:rFonts w:cs="Arial"/>
          <w:b/>
          <w:szCs w:val="20"/>
        </w:rPr>
        <w:t>dial-up internet service</w:t>
      </w:r>
    </w:p>
    <w:p w14:paraId="407E93C6" w14:textId="77777777" w:rsidR="0021374C" w:rsidRPr="00FD7E86" w:rsidRDefault="0021374C" w:rsidP="0021374C">
      <w:r w:rsidRPr="00FD7E86">
        <w:t>Service in which subscribers connect to the internet via a modem and dial-up software utilising the PSTN or an ISDN connection.</w:t>
      </w:r>
    </w:p>
    <w:p w14:paraId="52F7F89B" w14:textId="77777777" w:rsidR="0021374C" w:rsidRPr="00FD7E86" w:rsidRDefault="0021374C" w:rsidP="0021374C">
      <w:pPr>
        <w:spacing w:after="60"/>
        <w:rPr>
          <w:rFonts w:cs="Arial"/>
          <w:b/>
          <w:szCs w:val="20"/>
        </w:rPr>
      </w:pPr>
      <w:r w:rsidRPr="00FD7E86">
        <w:rPr>
          <w:rFonts w:cs="Arial"/>
          <w:b/>
          <w:szCs w:val="20"/>
        </w:rPr>
        <w:t>digital television</w:t>
      </w:r>
    </w:p>
    <w:p w14:paraId="0E093ECF" w14:textId="77777777" w:rsidR="0021374C" w:rsidRPr="00FD7E86" w:rsidRDefault="0021374C" w:rsidP="0021374C">
      <w:pPr>
        <w:rPr>
          <w:bCs/>
        </w:rPr>
      </w:pPr>
      <w:r w:rsidRPr="00FD7E86">
        <w:rPr>
          <w:bCs/>
        </w:rPr>
        <w:t>The transmission of television (audio and video) via digital signals, serving as a replacement technology for analog services.</w:t>
      </w:r>
    </w:p>
    <w:p w14:paraId="13BB3F47" w14:textId="77777777" w:rsidR="0021374C" w:rsidRPr="00FD7E86" w:rsidRDefault="0021374C" w:rsidP="0021374C">
      <w:pPr>
        <w:spacing w:after="60"/>
        <w:rPr>
          <w:rFonts w:cs="Arial"/>
          <w:b/>
          <w:szCs w:val="20"/>
        </w:rPr>
      </w:pPr>
      <w:r w:rsidRPr="00FD7E86">
        <w:rPr>
          <w:rFonts w:cs="Arial"/>
          <w:b/>
          <w:szCs w:val="20"/>
        </w:rPr>
        <w:t>digital radio</w:t>
      </w:r>
    </w:p>
    <w:p w14:paraId="1177437D" w14:textId="77777777" w:rsidR="0021374C" w:rsidRPr="00FD7E86" w:rsidRDefault="0021374C" w:rsidP="0021374C">
      <w:pPr>
        <w:rPr>
          <w:bCs/>
        </w:rPr>
      </w:pPr>
      <w:r w:rsidRPr="00FD7E86">
        <w:rPr>
          <w:bCs/>
        </w:rPr>
        <w:t xml:space="preserve">Method for the digital transmission of radio signals for digital radio reception. </w:t>
      </w:r>
      <w:r w:rsidRPr="00FD7E86">
        <w:rPr>
          <w:bCs/>
          <w:lang w:val="en"/>
        </w:rPr>
        <w:t>Digital radio services have been operating in Sydney, Melbourne, Brisbane, Adelaide and Perth since July 2009.</w:t>
      </w:r>
    </w:p>
    <w:p w14:paraId="2764CAD5" w14:textId="77777777" w:rsidR="0021374C" w:rsidRPr="00FD7E86" w:rsidRDefault="0021374C" w:rsidP="0021374C">
      <w:pPr>
        <w:spacing w:after="60"/>
        <w:rPr>
          <w:rFonts w:cs="Arial"/>
          <w:b/>
          <w:szCs w:val="20"/>
        </w:rPr>
      </w:pPr>
      <w:r w:rsidRPr="00FD7E86">
        <w:rPr>
          <w:rFonts w:cs="Arial"/>
          <w:b/>
          <w:szCs w:val="20"/>
        </w:rPr>
        <w:t>DNCR—Do Not Call Register</w:t>
      </w:r>
    </w:p>
    <w:p w14:paraId="60C61E99" w14:textId="77777777" w:rsidR="0021374C" w:rsidRPr="00FD7E86" w:rsidRDefault="0021374C" w:rsidP="0021374C">
      <w:r w:rsidRPr="00FD7E86">
        <w:t>Register established by the ACMA that allows individuals to register their home and mobile numbers to opt out of receiving most unsolicited telemarketing calls and faxes, with limited exemptions for public interest organisations.</w:t>
      </w:r>
    </w:p>
    <w:p w14:paraId="2B90CFE4" w14:textId="77777777" w:rsidR="0021374C" w:rsidRPr="00FD7E86" w:rsidRDefault="0021374C" w:rsidP="0021374C">
      <w:pPr>
        <w:spacing w:after="60"/>
        <w:rPr>
          <w:rFonts w:cs="Arial"/>
          <w:b/>
          <w:szCs w:val="20"/>
        </w:rPr>
      </w:pPr>
      <w:r w:rsidRPr="00FD7E86">
        <w:rPr>
          <w:rFonts w:cs="Arial"/>
          <w:b/>
          <w:szCs w:val="20"/>
        </w:rPr>
        <w:t>DSI—domestic systems interference</w:t>
      </w:r>
    </w:p>
    <w:p w14:paraId="6D841E6A" w14:textId="77777777" w:rsidR="0021374C" w:rsidRPr="00FD7E86" w:rsidRDefault="0021374C" w:rsidP="0021374C">
      <w:pPr>
        <w:rPr>
          <w:bCs/>
        </w:rPr>
      </w:pPr>
      <w:r w:rsidRPr="00FD7E86">
        <w:rPr>
          <w:bCs/>
        </w:rPr>
        <w:t>Interference to the reception of radio or television broadcasting, usually in domestic premises.</w:t>
      </w:r>
    </w:p>
    <w:p w14:paraId="008FB861" w14:textId="77777777" w:rsidR="0021374C" w:rsidRPr="00FD7E86" w:rsidRDefault="0021374C" w:rsidP="0021374C">
      <w:pPr>
        <w:spacing w:after="60"/>
        <w:rPr>
          <w:rFonts w:cs="Arial"/>
          <w:b/>
          <w:szCs w:val="20"/>
        </w:rPr>
      </w:pPr>
      <w:r w:rsidRPr="00FD7E86">
        <w:rPr>
          <w:rFonts w:cs="Arial"/>
          <w:b/>
          <w:szCs w:val="20"/>
        </w:rPr>
        <w:t>ECP—emergency call person</w:t>
      </w:r>
    </w:p>
    <w:p w14:paraId="24A11C0F" w14:textId="77777777" w:rsidR="0021374C" w:rsidRPr="00FD7E86" w:rsidRDefault="0021374C" w:rsidP="0021374C">
      <w:r w:rsidRPr="00FD7E86">
        <w:t xml:space="preserve">Nominated organisation responsible for handling emergency calls. For calls made to Triple Zero (the primary emergency call number) and 112 (the international emergency number for GSM and WCDMA mobile phones), the ECP is Telstra. For calls made to the 106 text service (for people who are </w:t>
      </w:r>
      <w:r w:rsidR="00406635">
        <w:t>D</w:t>
      </w:r>
      <w:r w:rsidRPr="00FD7E86">
        <w:t>eaf or have a hearing or speech impairment), the ECP is Australian Communication Exchange (ACE).</w:t>
      </w:r>
    </w:p>
    <w:p w14:paraId="53BE357B" w14:textId="77777777" w:rsidR="0021374C" w:rsidRPr="00FD7E86" w:rsidRDefault="0021374C" w:rsidP="0021374C">
      <w:pPr>
        <w:spacing w:after="60"/>
        <w:rPr>
          <w:rFonts w:cs="Arial"/>
          <w:b/>
          <w:szCs w:val="20"/>
        </w:rPr>
      </w:pPr>
      <w:r w:rsidRPr="00FD7E86">
        <w:rPr>
          <w:rFonts w:cs="Arial"/>
          <w:b/>
          <w:szCs w:val="20"/>
        </w:rPr>
        <w:t>ESO—emergency service organisation</w:t>
      </w:r>
    </w:p>
    <w:p w14:paraId="43168058" w14:textId="77777777" w:rsidR="0021374C" w:rsidRPr="00FD7E86" w:rsidRDefault="0021374C" w:rsidP="0021374C">
      <w:r w:rsidRPr="00FD7E86">
        <w:t>Organisation providing an emergency service—police, ambulance or fire service.</w:t>
      </w:r>
    </w:p>
    <w:p w14:paraId="51468B3B" w14:textId="77777777" w:rsidR="0021374C" w:rsidRPr="00FD7E86" w:rsidRDefault="0021374C" w:rsidP="0021374C">
      <w:pPr>
        <w:spacing w:after="60"/>
        <w:rPr>
          <w:rFonts w:cs="Arial"/>
          <w:b/>
          <w:szCs w:val="20"/>
        </w:rPr>
      </w:pPr>
      <w:r w:rsidRPr="00FD7E86">
        <w:rPr>
          <w:rFonts w:cs="Arial"/>
          <w:b/>
          <w:szCs w:val="20"/>
        </w:rPr>
        <w:t>fixed-line telephone service</w:t>
      </w:r>
    </w:p>
    <w:p w14:paraId="1A58396B" w14:textId="77777777" w:rsidR="0021374C" w:rsidRPr="00FD7E86" w:rsidRDefault="0021374C" w:rsidP="0021374C">
      <w:r w:rsidRPr="00FD7E86">
        <w:t>Covers the delivery of voice services over a copper pair-based PSTN access network or fixed-line broadband networks.</w:t>
      </w:r>
    </w:p>
    <w:p w14:paraId="459F6F53" w14:textId="77777777" w:rsidR="0021374C" w:rsidRPr="00FD7E86" w:rsidRDefault="0021374C" w:rsidP="0021374C">
      <w:pPr>
        <w:spacing w:after="60"/>
        <w:rPr>
          <w:rFonts w:cs="Arial"/>
          <w:b/>
          <w:szCs w:val="20"/>
        </w:rPr>
      </w:pPr>
      <w:r w:rsidRPr="00FD7E86">
        <w:rPr>
          <w:rFonts w:cs="Arial"/>
          <w:b/>
          <w:szCs w:val="20"/>
        </w:rPr>
        <w:t>FLRN—freephone and local rate number</w:t>
      </w:r>
    </w:p>
    <w:p w14:paraId="107E9880" w14:textId="77777777" w:rsidR="0021374C" w:rsidRPr="00FD7E86" w:rsidRDefault="0021374C" w:rsidP="0021374C">
      <w:r w:rsidRPr="00FD7E86">
        <w:t>Telephone numbers commencing with the digits 1800 (freephone) or 13 (local rate).</w:t>
      </w:r>
    </w:p>
    <w:p w14:paraId="63AD15B4" w14:textId="77777777" w:rsidR="0021374C" w:rsidRPr="00FD7E86" w:rsidRDefault="0021374C" w:rsidP="0021374C">
      <w:pPr>
        <w:spacing w:after="60"/>
        <w:rPr>
          <w:rFonts w:cs="Arial"/>
          <w:b/>
          <w:szCs w:val="20"/>
        </w:rPr>
      </w:pPr>
      <w:r w:rsidRPr="00FD7E86">
        <w:rPr>
          <w:rFonts w:cs="Arial"/>
          <w:b/>
          <w:szCs w:val="20"/>
        </w:rPr>
        <w:lastRenderedPageBreak/>
        <w:t xml:space="preserve">Free TV Australia </w:t>
      </w:r>
    </w:p>
    <w:p w14:paraId="022684DE" w14:textId="77777777" w:rsidR="0021374C" w:rsidRPr="00FD7E86" w:rsidRDefault="0021374C" w:rsidP="0021374C">
      <w:r w:rsidRPr="00FD7E86">
        <w:t>Industry body that represents Australia’s commercial free-to-air television licensees, and is responsible for developing and reviewing the Commercial Television Industry Code of Practice.</w:t>
      </w:r>
    </w:p>
    <w:p w14:paraId="1AC3F066" w14:textId="77777777" w:rsidR="0021374C" w:rsidRPr="00FD7E86" w:rsidRDefault="0021374C" w:rsidP="0021374C">
      <w:pPr>
        <w:spacing w:after="60"/>
        <w:rPr>
          <w:rFonts w:cs="Arial"/>
          <w:b/>
          <w:szCs w:val="20"/>
        </w:rPr>
      </w:pPr>
      <w:r w:rsidRPr="00FD7E86">
        <w:rPr>
          <w:rFonts w:cs="Arial"/>
          <w:b/>
          <w:szCs w:val="20"/>
        </w:rPr>
        <w:t>FSA—field service area</w:t>
      </w:r>
    </w:p>
    <w:p w14:paraId="69EA31ED" w14:textId="77777777" w:rsidR="0021374C" w:rsidRPr="00FD7E86" w:rsidRDefault="0021374C" w:rsidP="0021374C">
      <w:r w:rsidRPr="00FD7E86">
        <w:t>One of 44 broad geographic regions in Telstra’s fixed telephone network.</w:t>
      </w:r>
    </w:p>
    <w:p w14:paraId="588A3CC5" w14:textId="77777777" w:rsidR="0021374C" w:rsidRPr="00FD7E86" w:rsidRDefault="0021374C" w:rsidP="0021374C">
      <w:pPr>
        <w:spacing w:after="60"/>
        <w:rPr>
          <w:rFonts w:cs="Arial"/>
          <w:b/>
          <w:szCs w:val="20"/>
        </w:rPr>
      </w:pPr>
      <w:r w:rsidRPr="00FD7E86">
        <w:rPr>
          <w:rFonts w:cs="Arial"/>
          <w:b/>
          <w:szCs w:val="20"/>
        </w:rPr>
        <w:t>FSAM—Fibre Serving Area Module</w:t>
      </w:r>
    </w:p>
    <w:p w14:paraId="4A4A2C14" w14:textId="77777777" w:rsidR="0021374C" w:rsidRPr="00FD7E86" w:rsidRDefault="0021374C" w:rsidP="0021374C">
      <w:pPr>
        <w:rPr>
          <w:bCs/>
          <w:szCs w:val="26"/>
        </w:rPr>
      </w:pPr>
      <w:r w:rsidRPr="00FD7E86">
        <w:rPr>
          <w:bCs/>
          <w:szCs w:val="26"/>
        </w:rPr>
        <w:t>An area that is passed or intended to be passed by nbn fibre.</w:t>
      </w:r>
      <w:r w:rsidR="00AE5128" w:rsidRPr="00FD7E86">
        <w:t xml:space="preserve"> From 23 May 2014, the nbn began replacing most existing fixed-line telephone links, ADSL internet and Telstra cable internet services (HFC) in the first 15 fibre Serving Area Modules (SAMs).</w:t>
      </w:r>
    </w:p>
    <w:p w14:paraId="1A89E54B" w14:textId="77777777" w:rsidR="0021374C" w:rsidRPr="00FD7E86" w:rsidRDefault="0021374C" w:rsidP="0021374C">
      <w:pPr>
        <w:spacing w:after="60"/>
        <w:rPr>
          <w:rFonts w:cs="Arial"/>
          <w:b/>
          <w:szCs w:val="20"/>
        </w:rPr>
      </w:pPr>
      <w:r w:rsidRPr="00FD7E86">
        <w:rPr>
          <w:rFonts w:cs="Arial"/>
          <w:b/>
          <w:szCs w:val="20"/>
        </w:rPr>
        <w:t>FTA TV—free-to-air television</w:t>
      </w:r>
    </w:p>
    <w:p w14:paraId="372E228C" w14:textId="77777777" w:rsidR="0021374C" w:rsidRPr="00FD7E86" w:rsidRDefault="0021374C" w:rsidP="0021374C">
      <w:pPr>
        <w:rPr>
          <w:b/>
          <w:bCs/>
        </w:rPr>
      </w:pPr>
      <w:r w:rsidRPr="00FD7E86">
        <w:rPr>
          <w:bCs/>
        </w:rPr>
        <w:t>Broadcast t</w:t>
      </w:r>
      <w:hyperlink r:id="rId133" w:tooltip="Television" w:history="1">
        <w:r w:rsidRPr="00FD7E86">
          <w:rPr>
            <w:bCs/>
          </w:rPr>
          <w:t>elevision</w:t>
        </w:r>
      </w:hyperlink>
      <w:r w:rsidRPr="00FD7E86">
        <w:rPr>
          <w:bCs/>
        </w:rPr>
        <w:t xml:space="preserve"> services where the signal is delivered without charge to the viewer.</w:t>
      </w:r>
      <w:r w:rsidRPr="00FD7E86">
        <w:t xml:space="preserve"> </w:t>
      </w:r>
    </w:p>
    <w:p w14:paraId="7FF02674" w14:textId="77777777" w:rsidR="0021374C" w:rsidRPr="00FD7E86" w:rsidRDefault="0021374C" w:rsidP="0021374C">
      <w:pPr>
        <w:spacing w:after="60"/>
        <w:rPr>
          <w:rFonts w:cs="Arial"/>
          <w:b/>
          <w:szCs w:val="20"/>
        </w:rPr>
      </w:pPr>
      <w:r w:rsidRPr="00FD7E86">
        <w:rPr>
          <w:rFonts w:cs="Arial"/>
          <w:b/>
          <w:szCs w:val="20"/>
        </w:rPr>
        <w:t>GB—gigabyte</w:t>
      </w:r>
    </w:p>
    <w:p w14:paraId="3B0028ED" w14:textId="77777777" w:rsidR="0021374C" w:rsidRPr="00FD7E86" w:rsidRDefault="0021374C" w:rsidP="0021374C">
      <w:r w:rsidRPr="00FD7E86">
        <w:t>One billion bytes. Each byte is eight bits.</w:t>
      </w:r>
    </w:p>
    <w:p w14:paraId="102EDE72" w14:textId="77777777" w:rsidR="0021374C" w:rsidRPr="00FD7E86" w:rsidRDefault="0021374C" w:rsidP="0021374C">
      <w:pPr>
        <w:spacing w:after="60"/>
        <w:rPr>
          <w:rFonts w:cs="Arial"/>
          <w:b/>
          <w:szCs w:val="20"/>
        </w:rPr>
      </w:pPr>
      <w:r w:rsidRPr="00FD7E86">
        <w:rPr>
          <w:rFonts w:cs="Arial"/>
          <w:b/>
          <w:szCs w:val="20"/>
        </w:rPr>
        <w:t>Gbit/s—gigabits per second</w:t>
      </w:r>
    </w:p>
    <w:p w14:paraId="711886CA" w14:textId="77777777" w:rsidR="0021374C" w:rsidRPr="00FD7E86" w:rsidRDefault="0021374C" w:rsidP="0021374C">
      <w:r w:rsidRPr="00FD7E86">
        <w:t xml:space="preserve">Data transfer rate of a billion bits per second. See also </w:t>
      </w:r>
      <w:r w:rsidRPr="00FD7E86">
        <w:rPr>
          <w:b/>
        </w:rPr>
        <w:t>bit/s</w:t>
      </w:r>
      <w:r w:rsidRPr="00FD7E86">
        <w:t>.</w:t>
      </w:r>
    </w:p>
    <w:p w14:paraId="54F7E93E" w14:textId="77777777" w:rsidR="0021374C" w:rsidRPr="00FD7E86" w:rsidRDefault="0021374C" w:rsidP="0021374C">
      <w:pPr>
        <w:spacing w:after="60"/>
        <w:rPr>
          <w:rFonts w:cs="Arial"/>
          <w:b/>
          <w:szCs w:val="20"/>
        </w:rPr>
      </w:pPr>
      <w:r w:rsidRPr="00FD7E86">
        <w:rPr>
          <w:rFonts w:cs="Arial"/>
          <w:b/>
          <w:szCs w:val="20"/>
        </w:rPr>
        <w:t>geographic numbers</w:t>
      </w:r>
    </w:p>
    <w:p w14:paraId="45BBE516" w14:textId="77777777" w:rsidR="0021374C" w:rsidRPr="00FD7E86" w:rsidRDefault="0021374C" w:rsidP="0021374C">
      <w:r w:rsidRPr="00FD7E86">
        <w:t>Numbers used to provide access to local telephone services and related voicemail and facsimile services. Also known as local numbers.</w:t>
      </w:r>
    </w:p>
    <w:p w14:paraId="5450569B" w14:textId="77777777" w:rsidR="0021374C" w:rsidRPr="00FD7E86" w:rsidRDefault="0021374C" w:rsidP="0021374C">
      <w:pPr>
        <w:spacing w:after="60"/>
        <w:rPr>
          <w:rFonts w:cs="Arial"/>
          <w:b/>
          <w:szCs w:val="20"/>
        </w:rPr>
      </w:pPr>
      <w:r w:rsidRPr="00FD7E86">
        <w:rPr>
          <w:rFonts w:cs="Arial"/>
          <w:b/>
          <w:szCs w:val="20"/>
        </w:rPr>
        <w:t>GSM—global system for mobile communications</w:t>
      </w:r>
    </w:p>
    <w:p w14:paraId="29175B71" w14:textId="77777777" w:rsidR="0021374C" w:rsidRPr="00FD7E86" w:rsidRDefault="0021374C" w:rsidP="0021374C">
      <w:r w:rsidRPr="00FD7E86">
        <w:t>The second generation mobile digital technology originally developed for Europe, but now used globally.</w:t>
      </w:r>
    </w:p>
    <w:p w14:paraId="001BBD72" w14:textId="77777777" w:rsidR="0021374C" w:rsidRPr="00FD7E86" w:rsidRDefault="0021374C" w:rsidP="0021374C">
      <w:pPr>
        <w:spacing w:after="60"/>
        <w:rPr>
          <w:rFonts w:cs="Arial"/>
          <w:b/>
          <w:szCs w:val="20"/>
        </w:rPr>
      </w:pPr>
      <w:r w:rsidRPr="00FD7E86">
        <w:rPr>
          <w:rFonts w:cs="Arial"/>
          <w:b/>
          <w:szCs w:val="20"/>
        </w:rPr>
        <w:t>INHOPE—Internet Hotline Providers in Europe Association</w:t>
      </w:r>
    </w:p>
    <w:p w14:paraId="433F6527" w14:textId="77777777" w:rsidR="0021374C" w:rsidRPr="00FD7E86" w:rsidRDefault="0021374C" w:rsidP="0021374C">
      <w:r w:rsidRPr="00FD7E86">
        <w:t>International forum for internet hotlines to exchange information and experience. Member hotlines deal with complaints about illegal internet content, particularly online child sexual abuse material. The ACMA is an INHOPE member.</w:t>
      </w:r>
    </w:p>
    <w:p w14:paraId="72185F7C" w14:textId="77777777" w:rsidR="0021374C" w:rsidRPr="00FD7E86" w:rsidRDefault="0021374C" w:rsidP="0021374C">
      <w:pPr>
        <w:spacing w:after="60"/>
        <w:rPr>
          <w:rFonts w:cs="Arial"/>
          <w:b/>
          <w:szCs w:val="20"/>
        </w:rPr>
      </w:pPr>
      <w:r w:rsidRPr="00FD7E86">
        <w:rPr>
          <w:rFonts w:cs="Arial"/>
          <w:b/>
          <w:szCs w:val="20"/>
        </w:rPr>
        <w:t xml:space="preserve">interception </w:t>
      </w:r>
    </w:p>
    <w:p w14:paraId="2C1409DD" w14:textId="77777777" w:rsidR="0021374C" w:rsidRPr="00FD7E86" w:rsidRDefault="0021374C" w:rsidP="0021374C">
      <w:r w:rsidRPr="00FD7E86">
        <w:t>The interception of telecommunications services for the purpose of law enforcement and national security.</w:t>
      </w:r>
    </w:p>
    <w:p w14:paraId="17CB39D5" w14:textId="77777777" w:rsidR="0021374C" w:rsidRPr="00FD7E86" w:rsidRDefault="0021374C" w:rsidP="0021374C">
      <w:pPr>
        <w:spacing w:after="60"/>
        <w:rPr>
          <w:rFonts w:cs="Arial"/>
          <w:b/>
          <w:szCs w:val="20"/>
        </w:rPr>
      </w:pPr>
      <w:r w:rsidRPr="00FD7E86">
        <w:rPr>
          <w:rFonts w:cs="Arial"/>
          <w:b/>
          <w:szCs w:val="20"/>
        </w:rPr>
        <w:t xml:space="preserve">internet telephony </w:t>
      </w:r>
    </w:p>
    <w:p w14:paraId="6A764BFC" w14:textId="77777777" w:rsidR="0021374C" w:rsidRPr="00FD7E86" w:rsidRDefault="0021374C" w:rsidP="0021374C">
      <w:pPr>
        <w:rPr>
          <w:bCs/>
        </w:rPr>
      </w:pPr>
      <w:r w:rsidRPr="00FD7E86">
        <w:rPr>
          <w:bCs/>
        </w:rPr>
        <w:t>See</w:t>
      </w:r>
      <w:r w:rsidRPr="00FD7E86">
        <w:rPr>
          <w:b/>
          <w:bCs/>
        </w:rPr>
        <w:t xml:space="preserve"> VoIP</w:t>
      </w:r>
      <w:r w:rsidRPr="00FD7E86">
        <w:rPr>
          <w:bCs/>
        </w:rPr>
        <w:t>.</w:t>
      </w:r>
    </w:p>
    <w:p w14:paraId="574DF7CF" w14:textId="77777777" w:rsidR="0021374C" w:rsidRPr="00FD7E86" w:rsidRDefault="0021374C" w:rsidP="0021374C">
      <w:pPr>
        <w:spacing w:after="60"/>
        <w:rPr>
          <w:rFonts w:cs="Arial"/>
          <w:b/>
          <w:szCs w:val="20"/>
        </w:rPr>
      </w:pPr>
      <w:r w:rsidRPr="00FD7E86">
        <w:rPr>
          <w:rFonts w:cs="Arial"/>
          <w:b/>
          <w:szCs w:val="20"/>
        </w:rPr>
        <w:t xml:space="preserve">internet users </w:t>
      </w:r>
    </w:p>
    <w:p w14:paraId="6528A44D" w14:textId="77777777" w:rsidR="0021374C" w:rsidRPr="00FD7E86" w:rsidRDefault="0021374C" w:rsidP="0021374C">
      <w:pPr>
        <w:rPr>
          <w:bCs/>
        </w:rPr>
      </w:pPr>
      <w:r w:rsidRPr="00FD7E86">
        <w:rPr>
          <w:bCs/>
        </w:rPr>
        <w:t>See Appendix A–Research methodology.</w:t>
      </w:r>
    </w:p>
    <w:p w14:paraId="63341196" w14:textId="77777777" w:rsidR="0021374C" w:rsidRPr="00FD7E86" w:rsidRDefault="0021374C" w:rsidP="0021374C">
      <w:pPr>
        <w:spacing w:after="60"/>
        <w:rPr>
          <w:rFonts w:cs="Arial"/>
          <w:b/>
          <w:szCs w:val="20"/>
        </w:rPr>
      </w:pPr>
      <w:r w:rsidRPr="00FD7E86">
        <w:rPr>
          <w:rFonts w:cs="Arial"/>
          <w:b/>
          <w:szCs w:val="20"/>
        </w:rPr>
        <w:t>IP—internet protocol</w:t>
      </w:r>
    </w:p>
    <w:p w14:paraId="5F938BBF" w14:textId="77777777" w:rsidR="0021374C" w:rsidRPr="00FD7E86" w:rsidRDefault="0021374C" w:rsidP="0021374C">
      <w:r w:rsidRPr="00FD7E86">
        <w:t xml:space="preserve">The main routing protocol used in the internet—it operates at the logical network layer and is a code used to label packets of data sent across the internet, identifying both the sending and receiving hosts. IP is also used to designate data, traffic, services and equipment supported by or used in the internet. </w:t>
      </w:r>
    </w:p>
    <w:p w14:paraId="3A64F993" w14:textId="77777777" w:rsidR="0021374C" w:rsidRPr="00FD7E86" w:rsidRDefault="0021374C" w:rsidP="0021374C">
      <w:pPr>
        <w:spacing w:after="60"/>
        <w:rPr>
          <w:rFonts w:cs="Arial"/>
          <w:b/>
          <w:szCs w:val="20"/>
        </w:rPr>
      </w:pPr>
      <w:r w:rsidRPr="00FD7E86">
        <w:rPr>
          <w:rFonts w:cs="Arial"/>
          <w:b/>
          <w:szCs w:val="20"/>
        </w:rPr>
        <w:t>IPND—Integrated Public Number Database</w:t>
      </w:r>
    </w:p>
    <w:p w14:paraId="4EC7586A" w14:textId="77777777" w:rsidR="0021374C" w:rsidRPr="00FD7E86" w:rsidRDefault="0021374C" w:rsidP="0021374C">
      <w:r w:rsidRPr="00FD7E86">
        <w:t>Database of number, name and address information about customers of telecommunications services in Australia, for all carriers and CSPs.</w:t>
      </w:r>
    </w:p>
    <w:p w14:paraId="5097B672" w14:textId="77777777" w:rsidR="0021374C" w:rsidRPr="00FD7E86" w:rsidRDefault="0021374C" w:rsidP="00314FB5">
      <w:pPr>
        <w:keepNext/>
        <w:spacing w:after="60"/>
        <w:rPr>
          <w:rFonts w:cs="Arial"/>
          <w:b/>
          <w:szCs w:val="20"/>
        </w:rPr>
      </w:pPr>
      <w:r w:rsidRPr="00FD7E86">
        <w:rPr>
          <w:rFonts w:cs="Arial"/>
          <w:b/>
          <w:szCs w:val="20"/>
        </w:rPr>
        <w:lastRenderedPageBreak/>
        <w:t>IPTV—internet protocol television</w:t>
      </w:r>
    </w:p>
    <w:p w14:paraId="673F0861" w14:textId="77777777" w:rsidR="0021374C" w:rsidRPr="00FD7E86" w:rsidRDefault="0021374C" w:rsidP="0021374C">
      <w:r w:rsidRPr="00FD7E86">
        <w:t>High-end multimedia services such as television, video and graphics delivered over managed IP-based networks that provide an acceptable level of Quality of Service (QoS)/Quality of Experience (QoE), security, interactivity and reliability.</w:t>
      </w:r>
    </w:p>
    <w:p w14:paraId="783170B0" w14:textId="77777777" w:rsidR="0021374C" w:rsidRPr="00FD7E86" w:rsidRDefault="0021374C" w:rsidP="0021374C">
      <w:pPr>
        <w:spacing w:after="60"/>
        <w:rPr>
          <w:rFonts w:cs="Arial"/>
          <w:b/>
          <w:szCs w:val="20"/>
        </w:rPr>
      </w:pPr>
      <w:r w:rsidRPr="00FD7E86">
        <w:rPr>
          <w:rFonts w:cs="Arial"/>
          <w:b/>
          <w:szCs w:val="20"/>
        </w:rPr>
        <w:t>ISDN—</w:t>
      </w:r>
      <w:r w:rsidRPr="00FD7E86">
        <w:t xml:space="preserve"> </w:t>
      </w:r>
      <w:r w:rsidRPr="00FD7E86">
        <w:rPr>
          <w:rFonts w:cs="Arial"/>
          <w:b/>
          <w:szCs w:val="20"/>
        </w:rPr>
        <w:t>integrated services digital network</w:t>
      </w:r>
    </w:p>
    <w:p w14:paraId="1BBD0F05" w14:textId="77777777" w:rsidR="0021374C" w:rsidRPr="00FD7E86" w:rsidRDefault="00AE5128" w:rsidP="0021374C">
      <w:r w:rsidRPr="00FD7E86">
        <w:t>A high-speed network for carrying voice and data services in digital format over the PSTN. Can be considered as an evolutionary step between dial-up and today’s broadband internet services.</w:t>
      </w:r>
    </w:p>
    <w:p w14:paraId="3EF5E8B1" w14:textId="77777777" w:rsidR="0021374C" w:rsidRPr="00FD7E86" w:rsidRDefault="0021374C" w:rsidP="0021374C">
      <w:pPr>
        <w:spacing w:after="60"/>
        <w:rPr>
          <w:rFonts w:cs="Arial"/>
          <w:b/>
          <w:szCs w:val="20"/>
        </w:rPr>
      </w:pPr>
      <w:r w:rsidRPr="00FD7E86">
        <w:rPr>
          <w:rFonts w:cs="Arial"/>
          <w:b/>
          <w:szCs w:val="20"/>
        </w:rPr>
        <w:t>ISP—internet service provider</w:t>
      </w:r>
    </w:p>
    <w:p w14:paraId="7AEC98C7" w14:textId="77777777" w:rsidR="0021374C" w:rsidRPr="00FD7E86" w:rsidRDefault="0021374C" w:rsidP="0021374C">
      <w:r w:rsidRPr="00FD7E86">
        <w:t>A CSP offering internet access to the public or another service provider.</w:t>
      </w:r>
    </w:p>
    <w:p w14:paraId="61ADF943" w14:textId="77777777" w:rsidR="0021374C" w:rsidRPr="00FD7E86" w:rsidRDefault="0021374C" w:rsidP="0021374C">
      <w:pPr>
        <w:spacing w:after="60"/>
        <w:rPr>
          <w:rFonts w:cs="Arial"/>
          <w:b/>
          <w:szCs w:val="20"/>
        </w:rPr>
      </w:pPr>
      <w:r w:rsidRPr="00FD7E86">
        <w:rPr>
          <w:rFonts w:cs="Arial"/>
          <w:b/>
          <w:szCs w:val="20"/>
        </w:rPr>
        <w:t>kbit/s—kilobits per second</w:t>
      </w:r>
    </w:p>
    <w:p w14:paraId="6A4059A0" w14:textId="77777777" w:rsidR="0021374C" w:rsidRPr="00FD7E86" w:rsidRDefault="0021374C" w:rsidP="0021374C">
      <w:r w:rsidRPr="00FD7E86">
        <w:t xml:space="preserve">Data transfer rate of 1,000 bits per second. See also </w:t>
      </w:r>
      <w:r w:rsidRPr="00FD7E86">
        <w:rPr>
          <w:b/>
        </w:rPr>
        <w:t>bit/s</w:t>
      </w:r>
      <w:r w:rsidRPr="00FD7E86">
        <w:t>.</w:t>
      </w:r>
    </w:p>
    <w:p w14:paraId="41BB4A9B" w14:textId="77777777" w:rsidR="0021374C" w:rsidRPr="00FD7E86" w:rsidRDefault="0021374C" w:rsidP="0021374C">
      <w:pPr>
        <w:spacing w:after="60"/>
        <w:rPr>
          <w:rFonts w:cs="Arial"/>
          <w:b/>
          <w:szCs w:val="20"/>
        </w:rPr>
      </w:pPr>
      <w:r w:rsidRPr="00FD7E86">
        <w:rPr>
          <w:rFonts w:cs="Arial"/>
          <w:b/>
          <w:szCs w:val="20"/>
        </w:rPr>
        <w:t xml:space="preserve">local numbers </w:t>
      </w:r>
    </w:p>
    <w:p w14:paraId="492A0356" w14:textId="77777777" w:rsidR="0021374C" w:rsidRPr="00FD7E86" w:rsidRDefault="0021374C" w:rsidP="0021374C">
      <w:r w:rsidRPr="00FD7E86">
        <w:t xml:space="preserve">See </w:t>
      </w:r>
      <w:r w:rsidRPr="00FD7E86">
        <w:rPr>
          <w:b/>
        </w:rPr>
        <w:t>geographic numbers</w:t>
      </w:r>
      <w:r w:rsidRPr="00FD7E86">
        <w:t>.</w:t>
      </w:r>
    </w:p>
    <w:p w14:paraId="6BCECAB6" w14:textId="77777777" w:rsidR="0021374C" w:rsidRPr="00FD7E86" w:rsidRDefault="0021374C" w:rsidP="0021374C">
      <w:pPr>
        <w:spacing w:after="60"/>
        <w:rPr>
          <w:rFonts w:cs="Arial"/>
          <w:b/>
          <w:szCs w:val="20"/>
        </w:rPr>
      </w:pPr>
      <w:r w:rsidRPr="00FD7E86">
        <w:rPr>
          <w:rFonts w:cs="Arial"/>
          <w:b/>
          <w:szCs w:val="20"/>
        </w:rPr>
        <w:t xml:space="preserve">low-impact facilities </w:t>
      </w:r>
    </w:p>
    <w:p w14:paraId="7743AB77" w14:textId="77777777" w:rsidR="0021374C" w:rsidRPr="00FD7E86" w:rsidRDefault="0021374C" w:rsidP="0021374C">
      <w:r w:rsidRPr="00FD7E86">
        <w:t xml:space="preserve">Communications facilities that are considered to have a low impact on their environment. They include underground cabling, small radiocommunications antennas and dishes, in-building subscriber connections and public payphones. The </w:t>
      </w:r>
      <w:r w:rsidRPr="00FD7E86">
        <w:rPr>
          <w:i/>
          <w:iCs/>
        </w:rPr>
        <w:t xml:space="preserve">Telecommunications Act 1997 </w:t>
      </w:r>
      <w:r w:rsidRPr="00FD7E86">
        <w:t>provides carriers with immunity from state and territory planning laws for the installation of ‘low-impact’ facilities.</w:t>
      </w:r>
    </w:p>
    <w:p w14:paraId="7A15DE1A" w14:textId="77777777" w:rsidR="0021374C" w:rsidRPr="00FD7E86" w:rsidRDefault="0021374C" w:rsidP="0021374C">
      <w:pPr>
        <w:spacing w:after="60"/>
        <w:rPr>
          <w:rFonts w:cs="Arial"/>
          <w:b/>
          <w:szCs w:val="20"/>
        </w:rPr>
      </w:pPr>
      <w:r w:rsidRPr="00FD7E86">
        <w:rPr>
          <w:rFonts w:cs="Arial"/>
          <w:b/>
          <w:szCs w:val="20"/>
        </w:rPr>
        <w:t>LTE—Long Term Evolution</w:t>
      </w:r>
    </w:p>
    <w:p w14:paraId="33F67E9C" w14:textId="77777777" w:rsidR="0021374C" w:rsidRPr="00FD7E86" w:rsidRDefault="0021374C" w:rsidP="0021374C">
      <w:r w:rsidRPr="00FD7E86">
        <w:t xml:space="preserve">A suite of radio and core network specifications for the enhancement of mobile networks beyond 3G capabilities. Generally regarded as </w:t>
      </w:r>
      <w:r w:rsidRPr="00FD7E86">
        <w:rPr>
          <w:rFonts w:cs="Arial"/>
          <w:b/>
        </w:rPr>
        <w:t>fourth generation mobile telecommunications (4G)</w:t>
      </w:r>
      <w:r w:rsidRPr="00FD7E86">
        <w:t xml:space="preserve">. </w:t>
      </w:r>
    </w:p>
    <w:p w14:paraId="1264078F" w14:textId="77777777" w:rsidR="0021374C" w:rsidRPr="00FD7E86" w:rsidRDefault="0021374C" w:rsidP="0021374C">
      <w:pPr>
        <w:spacing w:after="60"/>
        <w:rPr>
          <w:rFonts w:cs="Arial"/>
          <w:b/>
          <w:szCs w:val="20"/>
        </w:rPr>
      </w:pPr>
      <w:r w:rsidRPr="00FD7E86">
        <w:rPr>
          <w:rFonts w:cs="Arial"/>
          <w:b/>
          <w:szCs w:val="20"/>
        </w:rPr>
        <w:t>M2M—machine-to-machine</w:t>
      </w:r>
    </w:p>
    <w:p w14:paraId="2282A71B" w14:textId="77777777" w:rsidR="0021374C" w:rsidRPr="00FD7E86" w:rsidRDefault="0021374C" w:rsidP="0021374C">
      <w:pPr>
        <w:rPr>
          <w:iCs/>
          <w:szCs w:val="20"/>
        </w:rPr>
      </w:pPr>
      <w:r w:rsidRPr="00FD7E86">
        <w:rPr>
          <w:iCs/>
          <w:szCs w:val="20"/>
        </w:rPr>
        <w:t xml:space="preserve">M2M communications is used for automated data transmission and measurement between mechanical or electronic devices using wired and wireless networks. Much of the </w:t>
      </w:r>
      <w:r w:rsidRPr="00FC4F68">
        <w:rPr>
          <w:bCs/>
          <w:iCs/>
          <w:szCs w:val="20"/>
        </w:rPr>
        <w:t>M2M</w:t>
      </w:r>
      <w:r w:rsidRPr="00FD7E86">
        <w:rPr>
          <w:iCs/>
          <w:szCs w:val="20"/>
        </w:rPr>
        <w:t xml:space="preserve"> information is delivered in the form of sparse data, which can come from sensors and other non-IT devices.</w:t>
      </w:r>
      <w:r w:rsidRPr="00FD7E86" w:rsidDel="00A334B7">
        <w:rPr>
          <w:iCs/>
          <w:szCs w:val="20"/>
        </w:rPr>
        <w:t xml:space="preserve"> </w:t>
      </w:r>
    </w:p>
    <w:p w14:paraId="09518C75" w14:textId="77777777" w:rsidR="0021374C" w:rsidRPr="00FD7E86" w:rsidRDefault="0021374C" w:rsidP="0021374C">
      <w:pPr>
        <w:spacing w:after="60"/>
        <w:rPr>
          <w:rFonts w:cs="Arial"/>
          <w:b/>
          <w:szCs w:val="20"/>
        </w:rPr>
      </w:pPr>
      <w:r w:rsidRPr="00FD7E86">
        <w:rPr>
          <w:rFonts w:cs="Arial"/>
          <w:b/>
          <w:szCs w:val="20"/>
        </w:rPr>
        <w:t>MB—megabyte(s)</w:t>
      </w:r>
    </w:p>
    <w:p w14:paraId="18860939" w14:textId="77777777" w:rsidR="0021374C" w:rsidRPr="00FD7E86" w:rsidRDefault="0021374C" w:rsidP="0021374C">
      <w:r w:rsidRPr="00FD7E86">
        <w:t xml:space="preserve">One million bytes. </w:t>
      </w:r>
    </w:p>
    <w:p w14:paraId="691C8355" w14:textId="77777777" w:rsidR="0021374C" w:rsidRPr="00FD7E86" w:rsidRDefault="0021374C" w:rsidP="0021374C">
      <w:pPr>
        <w:spacing w:after="60"/>
        <w:rPr>
          <w:rFonts w:cs="Arial"/>
          <w:b/>
          <w:szCs w:val="20"/>
        </w:rPr>
      </w:pPr>
      <w:r w:rsidRPr="00FD7E86">
        <w:rPr>
          <w:rFonts w:cs="Arial"/>
          <w:b/>
          <w:szCs w:val="20"/>
        </w:rPr>
        <w:t>MHz—megahertz</w:t>
      </w:r>
    </w:p>
    <w:p w14:paraId="05E7337E" w14:textId="77777777" w:rsidR="0021374C" w:rsidRPr="00FD7E86" w:rsidRDefault="0021374C" w:rsidP="0021374C">
      <w:r w:rsidRPr="00FD7E86">
        <w:t xml:space="preserve">One million Hertz. </w:t>
      </w:r>
    </w:p>
    <w:p w14:paraId="11AF1390" w14:textId="77777777" w:rsidR="0021374C" w:rsidRPr="00FD7E86" w:rsidRDefault="0021374C" w:rsidP="0021374C">
      <w:pPr>
        <w:spacing w:after="60"/>
        <w:rPr>
          <w:rFonts w:cs="Arial"/>
          <w:b/>
          <w:szCs w:val="20"/>
        </w:rPr>
      </w:pPr>
      <w:r w:rsidRPr="00FD7E86">
        <w:rPr>
          <w:rFonts w:cs="Arial"/>
          <w:b/>
          <w:szCs w:val="20"/>
        </w:rPr>
        <w:t>the minister—Minister for Communications</w:t>
      </w:r>
    </w:p>
    <w:p w14:paraId="048E23ED" w14:textId="77777777" w:rsidR="0021374C" w:rsidRPr="00FD7E86" w:rsidRDefault="0021374C" w:rsidP="0021374C">
      <w:r w:rsidRPr="00FD7E86">
        <w:t>Minister responsible for the ACMA and its governing legislation, and the legislation that the ACMA administers</w:t>
      </w:r>
      <w:r w:rsidR="00E63E6B">
        <w:t>.</w:t>
      </w:r>
    </w:p>
    <w:p w14:paraId="5C04FFCE" w14:textId="77777777" w:rsidR="0021374C" w:rsidRPr="00FD7E86" w:rsidRDefault="0021374C" w:rsidP="0021374C">
      <w:pPr>
        <w:spacing w:after="60"/>
        <w:rPr>
          <w:rFonts w:cs="Arial"/>
          <w:b/>
          <w:szCs w:val="20"/>
        </w:rPr>
      </w:pPr>
      <w:r w:rsidRPr="00FD7E86">
        <w:rPr>
          <w:rFonts w:cs="Arial"/>
          <w:b/>
          <w:szCs w:val="20"/>
        </w:rPr>
        <w:t>MMS—multimedia messaging service</w:t>
      </w:r>
    </w:p>
    <w:p w14:paraId="46D67154" w14:textId="77777777" w:rsidR="0021374C" w:rsidRPr="00FD7E86" w:rsidRDefault="0021374C" w:rsidP="0021374C">
      <w:pPr>
        <w:pStyle w:val="MMS"/>
      </w:pPr>
      <w:r w:rsidRPr="00FD7E86">
        <w:t>Mobile telecommunications data transmission service for sending messages with a combination of text, sound, image and video to MMS-capable handsets.</w:t>
      </w:r>
    </w:p>
    <w:p w14:paraId="2BC68825" w14:textId="77777777" w:rsidR="0021374C" w:rsidRPr="00FD7E86" w:rsidRDefault="0021374C" w:rsidP="0021374C">
      <w:pPr>
        <w:spacing w:after="60"/>
        <w:rPr>
          <w:rFonts w:cs="Arial"/>
          <w:b/>
          <w:szCs w:val="20"/>
        </w:rPr>
      </w:pPr>
      <w:r w:rsidRPr="00FD7E86">
        <w:rPr>
          <w:rFonts w:cs="Arial"/>
          <w:b/>
          <w:szCs w:val="20"/>
        </w:rPr>
        <w:t>MPS—mobile premium services</w:t>
      </w:r>
    </w:p>
    <w:p w14:paraId="7A61CB1B" w14:textId="77777777" w:rsidR="0021374C" w:rsidRPr="00FD7E86" w:rsidRDefault="0021374C" w:rsidP="0021374C">
      <w:r w:rsidRPr="00FD7E86">
        <w:t>Content information and entertainment services delivered to a mobile phone that includes both premium SMS/MMS and mobile portal services.</w:t>
      </w:r>
    </w:p>
    <w:p w14:paraId="14B9B895" w14:textId="77777777" w:rsidR="0021374C" w:rsidRPr="00FD7E86" w:rsidRDefault="0021374C" w:rsidP="00314FB5">
      <w:pPr>
        <w:keepNext/>
        <w:spacing w:after="60"/>
        <w:rPr>
          <w:rFonts w:cs="Arial"/>
          <w:b/>
          <w:szCs w:val="20"/>
        </w:rPr>
      </w:pPr>
      <w:r w:rsidRPr="00FD7E86">
        <w:rPr>
          <w:rFonts w:cs="Arial"/>
          <w:b/>
          <w:szCs w:val="20"/>
        </w:rPr>
        <w:lastRenderedPageBreak/>
        <w:t>National Classification Scheme</w:t>
      </w:r>
    </w:p>
    <w:p w14:paraId="33EAE3A7" w14:textId="77777777" w:rsidR="0021374C" w:rsidRPr="00FD7E86" w:rsidRDefault="0021374C" w:rsidP="0021374C">
      <w:r w:rsidRPr="00FD7E86">
        <w:t>A cooperative arrangement between the Commonwealth and the states and territories, under which the Classification Board classifies films (including videos and DVDs), computer games and certain publications.</w:t>
      </w:r>
    </w:p>
    <w:p w14:paraId="552C47FF" w14:textId="77777777" w:rsidR="0021374C" w:rsidRPr="00FD7E86" w:rsidRDefault="0021374C" w:rsidP="0021374C">
      <w:pPr>
        <w:spacing w:after="60"/>
        <w:rPr>
          <w:rFonts w:cs="Arial"/>
          <w:b/>
          <w:szCs w:val="20"/>
        </w:rPr>
      </w:pPr>
      <w:r w:rsidRPr="00FD7E86">
        <w:rPr>
          <w:rFonts w:cs="Arial"/>
          <w:b/>
          <w:szCs w:val="20"/>
        </w:rPr>
        <w:t>nbn</w:t>
      </w:r>
      <w:r w:rsidR="00406635">
        <w:rPr>
          <w:rFonts w:cs="Arial"/>
          <w:b/>
          <w:szCs w:val="20"/>
        </w:rPr>
        <w:t>—</w:t>
      </w:r>
      <w:r w:rsidRPr="00FD7E86">
        <w:rPr>
          <w:rFonts w:cs="Arial"/>
          <w:b/>
          <w:szCs w:val="20"/>
        </w:rPr>
        <w:t>NBN Co Limited</w:t>
      </w:r>
    </w:p>
    <w:p w14:paraId="1ED2E2AC" w14:textId="77777777" w:rsidR="0021374C" w:rsidRPr="00FD7E86" w:rsidRDefault="0021374C" w:rsidP="0021374C">
      <w:pPr>
        <w:rPr>
          <w:b/>
          <w:bCs/>
          <w:szCs w:val="26"/>
        </w:rPr>
      </w:pPr>
      <w:r w:rsidRPr="00FD7E86">
        <w:rPr>
          <w:bCs/>
          <w:szCs w:val="26"/>
        </w:rPr>
        <w:t>The company established to design, build and operate the national broadband network.</w:t>
      </w:r>
    </w:p>
    <w:p w14:paraId="1B4E9C94" w14:textId="77777777" w:rsidR="0021374C" w:rsidRPr="00FD7E86" w:rsidRDefault="0021374C" w:rsidP="0021374C">
      <w:pPr>
        <w:spacing w:after="60"/>
        <w:rPr>
          <w:rFonts w:cs="Arial"/>
          <w:b/>
          <w:szCs w:val="20"/>
        </w:rPr>
      </w:pPr>
      <w:r w:rsidRPr="00FD7E86">
        <w:rPr>
          <w:rFonts w:cs="Arial"/>
          <w:b/>
          <w:szCs w:val="20"/>
        </w:rPr>
        <w:t>nbn network—national broadband network</w:t>
      </w:r>
    </w:p>
    <w:p w14:paraId="31D9A72B" w14:textId="77777777" w:rsidR="0021374C" w:rsidRPr="00FD7E86" w:rsidRDefault="0021374C" w:rsidP="0021374C">
      <w:r w:rsidRPr="00FD7E86">
        <w:t>The national wholesale-only open access data network in Australia offering high-speed broadband to all Australian premises using a multi-technology mix constructed by NBN Co Limited (nbn).</w:t>
      </w:r>
    </w:p>
    <w:p w14:paraId="05EEE874" w14:textId="77777777" w:rsidR="0021374C" w:rsidRPr="00FD7E86" w:rsidRDefault="0021374C" w:rsidP="0021374C">
      <w:pPr>
        <w:spacing w:after="60"/>
        <w:rPr>
          <w:rFonts w:cs="Arial"/>
          <w:b/>
          <w:szCs w:val="20"/>
        </w:rPr>
      </w:pPr>
      <w:r w:rsidRPr="00FD7E86">
        <w:rPr>
          <w:rFonts w:cs="Arial"/>
          <w:b/>
          <w:szCs w:val="20"/>
        </w:rPr>
        <w:t>NCD—nominated carrier declaration</w:t>
      </w:r>
    </w:p>
    <w:p w14:paraId="395856B9" w14:textId="77777777" w:rsidR="0021374C" w:rsidRPr="00FD7E86" w:rsidRDefault="0021374C" w:rsidP="0021374C">
      <w:r w:rsidRPr="00FD7E86">
        <w:t>Declaration made by the owner of a telecommunications network unit (facilities or infrastructure for delivery of telecommunications services) nominating a licensed carrier that will be responsible for the specified network unit.</w:t>
      </w:r>
    </w:p>
    <w:p w14:paraId="0D03D3F9" w14:textId="77777777" w:rsidR="0021374C" w:rsidRPr="00FD7E86" w:rsidRDefault="0021374C" w:rsidP="0021374C">
      <w:pPr>
        <w:spacing w:after="60"/>
        <w:rPr>
          <w:rFonts w:cs="Arial"/>
          <w:b/>
          <w:szCs w:val="20"/>
        </w:rPr>
      </w:pPr>
      <w:r w:rsidRPr="00FD7E86">
        <w:rPr>
          <w:rFonts w:cs="Arial"/>
          <w:b/>
          <w:szCs w:val="20"/>
        </w:rPr>
        <w:t>NRF—Network Reliability Framework</w:t>
      </w:r>
    </w:p>
    <w:p w14:paraId="66E7A5FC" w14:textId="77777777" w:rsidR="0021374C" w:rsidRPr="00FD7E86" w:rsidRDefault="0021374C" w:rsidP="0021374C">
      <w:r w:rsidRPr="00FD7E86">
        <w:t>Requirement on Telstra (since January 2003) to provide regular reports to the ACMA on the reliability of its fixed-line services, and to remediate the network in areas with particularly poor performance.</w:t>
      </w:r>
    </w:p>
    <w:p w14:paraId="5FD7AD08" w14:textId="77777777" w:rsidR="0021374C" w:rsidRPr="00FD7E86" w:rsidRDefault="0021374C" w:rsidP="0021374C">
      <w:pPr>
        <w:spacing w:after="60"/>
        <w:rPr>
          <w:rFonts w:cs="Arial"/>
          <w:b/>
          <w:szCs w:val="20"/>
        </w:rPr>
      </w:pPr>
      <w:r w:rsidRPr="00FD7E86">
        <w:rPr>
          <w:rFonts w:cs="Arial"/>
          <w:b/>
          <w:szCs w:val="20"/>
        </w:rPr>
        <w:t>NRS—National Relay Service</w:t>
      </w:r>
    </w:p>
    <w:p w14:paraId="7015E8BD" w14:textId="77777777" w:rsidR="0021374C" w:rsidRPr="00FD7E86" w:rsidRDefault="0021374C" w:rsidP="0021374C">
      <w:r w:rsidRPr="00FD7E86">
        <w:t xml:space="preserve">Provides access to the standard telephone service for people with a hearing or speech impairment through the relay of voice, modem or TTY communications. Operates as a translation service between voice and non-voice users of the standard telephone service. </w:t>
      </w:r>
    </w:p>
    <w:p w14:paraId="138E9CE3" w14:textId="77777777" w:rsidR="0021374C" w:rsidRPr="00FD7E86" w:rsidRDefault="0021374C" w:rsidP="0021374C">
      <w:pPr>
        <w:spacing w:after="60"/>
        <w:rPr>
          <w:rFonts w:cs="Arial"/>
          <w:b/>
          <w:szCs w:val="20"/>
        </w:rPr>
      </w:pPr>
      <w:r w:rsidRPr="00FD7E86">
        <w:rPr>
          <w:rFonts w:cs="Arial"/>
          <w:b/>
          <w:szCs w:val="20"/>
        </w:rPr>
        <w:t xml:space="preserve">number portability </w:t>
      </w:r>
    </w:p>
    <w:p w14:paraId="61257E9D" w14:textId="77777777" w:rsidR="0021374C" w:rsidRPr="00FD7E86" w:rsidRDefault="0021374C" w:rsidP="0021374C">
      <w:r w:rsidRPr="00FD7E86">
        <w:t>Arrangements allowing customers to transfer their telecommunications service from one service provider to another without changing their number. Number portability is available for local numbers, freephone and local rate numbers, and mobile numbers.</w:t>
      </w:r>
    </w:p>
    <w:p w14:paraId="7677382E" w14:textId="77777777" w:rsidR="0021374C" w:rsidRPr="00FD7E86" w:rsidRDefault="0021374C" w:rsidP="0021374C">
      <w:pPr>
        <w:spacing w:after="60"/>
        <w:rPr>
          <w:rFonts w:cs="Arial"/>
          <w:b/>
          <w:szCs w:val="20"/>
        </w:rPr>
      </w:pPr>
      <w:r w:rsidRPr="00FD7E86">
        <w:rPr>
          <w:rFonts w:cs="Arial"/>
          <w:b/>
          <w:szCs w:val="20"/>
        </w:rPr>
        <w:t>OTT—over-the-top services</w:t>
      </w:r>
    </w:p>
    <w:p w14:paraId="56B3332C" w14:textId="77777777" w:rsidR="0021374C" w:rsidRPr="00FD7E86" w:rsidRDefault="0021374C" w:rsidP="0021374C">
      <w:pPr>
        <w:autoSpaceDE w:val="0"/>
        <w:autoSpaceDN w:val="0"/>
        <w:adjustRightInd w:val="0"/>
        <w:spacing w:line="240" w:lineRule="auto"/>
      </w:pPr>
      <w:r w:rsidRPr="00FD7E86">
        <w:t xml:space="preserve">A general term for services delivered over a network that are not offered by that </w:t>
      </w:r>
      <w:r w:rsidRPr="002B4947">
        <w:t>network operator</w:t>
      </w:r>
      <w:r w:rsidRPr="00FD7E86">
        <w:t xml:space="preserve">. These services ride on top of the infrastructure service and are provided independently of the </w:t>
      </w:r>
      <w:r w:rsidRPr="002B4947">
        <w:t>network operator</w:t>
      </w:r>
      <w:r w:rsidRPr="00FD7E86">
        <w:t xml:space="preserve">. </w:t>
      </w:r>
    </w:p>
    <w:p w14:paraId="33BEFF91" w14:textId="77777777" w:rsidR="0021374C" w:rsidRPr="00FD7E86" w:rsidRDefault="0021374C" w:rsidP="0021374C">
      <w:pPr>
        <w:spacing w:after="60"/>
        <w:rPr>
          <w:rFonts w:cs="Arial"/>
          <w:b/>
          <w:szCs w:val="20"/>
        </w:rPr>
      </w:pPr>
      <w:r w:rsidRPr="00FD7E86">
        <w:rPr>
          <w:rFonts w:cs="Arial"/>
          <w:b/>
          <w:szCs w:val="20"/>
        </w:rPr>
        <w:t xml:space="preserve">pay TV </w:t>
      </w:r>
    </w:p>
    <w:p w14:paraId="415F3CAF" w14:textId="77777777" w:rsidR="0021374C" w:rsidRPr="00FD7E86" w:rsidRDefault="0021374C" w:rsidP="0021374C">
      <w:r w:rsidRPr="00FD7E86">
        <w:t xml:space="preserve">See </w:t>
      </w:r>
      <w:r w:rsidRPr="00FD7E86">
        <w:rPr>
          <w:b/>
        </w:rPr>
        <w:t>subscription television</w:t>
      </w:r>
      <w:r w:rsidRPr="00FD7E86">
        <w:t>.</w:t>
      </w:r>
    </w:p>
    <w:p w14:paraId="7DA7EBB3" w14:textId="77777777" w:rsidR="0021374C" w:rsidRPr="00FD7E86" w:rsidRDefault="0021374C" w:rsidP="0021374C">
      <w:pPr>
        <w:spacing w:after="60"/>
        <w:rPr>
          <w:rFonts w:cs="Arial"/>
          <w:b/>
          <w:szCs w:val="20"/>
        </w:rPr>
      </w:pPr>
      <w:r w:rsidRPr="00FD7E86">
        <w:rPr>
          <w:rFonts w:cs="Arial"/>
          <w:b/>
          <w:szCs w:val="20"/>
        </w:rPr>
        <w:t xml:space="preserve">payphone </w:t>
      </w:r>
    </w:p>
    <w:p w14:paraId="2E0A21F9" w14:textId="77777777" w:rsidR="0021374C" w:rsidRPr="00FD7E86" w:rsidRDefault="0021374C" w:rsidP="0021374C">
      <w:r w:rsidRPr="00FD7E86">
        <w:t>A public telephone where calls may be paid for with coins, phone cards, credit cards or reverse charge facilities.</w:t>
      </w:r>
    </w:p>
    <w:p w14:paraId="55C60F51" w14:textId="77777777" w:rsidR="0021374C" w:rsidRPr="00FD7E86" w:rsidRDefault="0021374C" w:rsidP="0021374C">
      <w:pPr>
        <w:spacing w:after="60"/>
        <w:rPr>
          <w:rFonts w:cs="Arial"/>
          <w:b/>
          <w:szCs w:val="20"/>
        </w:rPr>
      </w:pPr>
      <w:r w:rsidRPr="00FD7E86">
        <w:rPr>
          <w:rFonts w:cs="Arial"/>
          <w:b/>
          <w:szCs w:val="20"/>
        </w:rPr>
        <w:t xml:space="preserve">portability </w:t>
      </w:r>
    </w:p>
    <w:p w14:paraId="2A4689AB" w14:textId="77777777" w:rsidR="0021374C" w:rsidRPr="00FD7E86" w:rsidRDefault="0021374C" w:rsidP="0021374C">
      <w:r w:rsidRPr="00FD7E86">
        <w:t xml:space="preserve">See </w:t>
      </w:r>
      <w:r w:rsidRPr="00FD7E86">
        <w:rPr>
          <w:b/>
        </w:rPr>
        <w:t>number portability</w:t>
      </w:r>
      <w:r w:rsidRPr="00FD7E86">
        <w:t>.</w:t>
      </w:r>
    </w:p>
    <w:p w14:paraId="6F1C2688" w14:textId="77777777" w:rsidR="0021374C" w:rsidRPr="00FD7E86" w:rsidRDefault="0021374C" w:rsidP="0021374C">
      <w:pPr>
        <w:spacing w:after="60"/>
        <w:rPr>
          <w:rFonts w:cs="Arial"/>
          <w:b/>
          <w:szCs w:val="20"/>
        </w:rPr>
      </w:pPr>
      <w:r w:rsidRPr="00FD7E86">
        <w:rPr>
          <w:rFonts w:cs="Arial"/>
          <w:b/>
          <w:szCs w:val="20"/>
        </w:rPr>
        <w:t xml:space="preserve">post-paid </w:t>
      </w:r>
    </w:p>
    <w:p w14:paraId="25FF1F34" w14:textId="77777777" w:rsidR="0021374C" w:rsidRPr="00FD7E86" w:rsidRDefault="0021374C" w:rsidP="0021374C">
      <w:r w:rsidRPr="00FD7E86">
        <w:t>A contract under which a user is charged on a periodic basis, depending on service usage during the previous billing period.</w:t>
      </w:r>
    </w:p>
    <w:p w14:paraId="475CC1AA" w14:textId="77777777" w:rsidR="0021374C" w:rsidRPr="00FD7E86" w:rsidRDefault="0021374C" w:rsidP="0021374C">
      <w:pPr>
        <w:spacing w:after="60"/>
        <w:rPr>
          <w:rFonts w:cs="Arial"/>
          <w:b/>
          <w:szCs w:val="20"/>
        </w:rPr>
      </w:pPr>
      <w:r w:rsidRPr="00FD7E86">
        <w:rPr>
          <w:rFonts w:cs="Arial"/>
          <w:b/>
          <w:szCs w:val="20"/>
        </w:rPr>
        <w:t xml:space="preserve">prepaid </w:t>
      </w:r>
    </w:p>
    <w:p w14:paraId="4C7E844D" w14:textId="77777777" w:rsidR="0021374C" w:rsidRPr="00FD7E86" w:rsidRDefault="0021374C" w:rsidP="0021374C">
      <w:r w:rsidRPr="00FD7E86">
        <w:t>A contract system by which users pay an amount up-front to purchase a certain amount of usage or credit.</w:t>
      </w:r>
    </w:p>
    <w:p w14:paraId="2CA66D3E" w14:textId="77777777" w:rsidR="0021374C" w:rsidRPr="00FD7E86" w:rsidRDefault="0021374C" w:rsidP="0021374C">
      <w:pPr>
        <w:spacing w:after="60"/>
        <w:rPr>
          <w:rFonts w:cs="Arial"/>
          <w:b/>
          <w:szCs w:val="20"/>
        </w:rPr>
      </w:pPr>
      <w:r w:rsidRPr="00FD7E86">
        <w:rPr>
          <w:rFonts w:cs="Arial"/>
          <w:b/>
          <w:szCs w:val="20"/>
        </w:rPr>
        <w:lastRenderedPageBreak/>
        <w:t>PSTN—public switched telecommunications network</w:t>
      </w:r>
    </w:p>
    <w:p w14:paraId="07B9B340" w14:textId="77777777" w:rsidR="0021374C" w:rsidRPr="00FD7E86" w:rsidRDefault="0021374C" w:rsidP="0021374C">
      <w:r w:rsidRPr="00FD7E86">
        <w:t>Public telecommunications network to provide telephone services to subscribers.</w:t>
      </w:r>
    </w:p>
    <w:p w14:paraId="7A1E5BEA" w14:textId="77777777" w:rsidR="0021374C" w:rsidRPr="00FD7E86" w:rsidRDefault="0021374C" w:rsidP="0021374C">
      <w:pPr>
        <w:spacing w:after="60"/>
        <w:rPr>
          <w:rFonts w:cs="Arial"/>
          <w:b/>
          <w:szCs w:val="20"/>
        </w:rPr>
      </w:pPr>
      <w:r w:rsidRPr="00FD7E86">
        <w:rPr>
          <w:rFonts w:cs="Arial"/>
          <w:b/>
          <w:szCs w:val="20"/>
        </w:rPr>
        <w:t>PUSP—primary universal service provider</w:t>
      </w:r>
    </w:p>
    <w:p w14:paraId="79B90CA7" w14:textId="77777777" w:rsidR="0021374C" w:rsidRPr="00FD7E86" w:rsidRDefault="0021374C" w:rsidP="0021374C">
      <w:pPr>
        <w:rPr>
          <w:bCs/>
        </w:rPr>
      </w:pPr>
      <w:r w:rsidRPr="00FD7E86">
        <w:t xml:space="preserve">See </w:t>
      </w:r>
      <w:r w:rsidRPr="00FD7E86">
        <w:rPr>
          <w:b/>
          <w:bCs/>
        </w:rPr>
        <w:t>USP—universal service provider.</w:t>
      </w:r>
    </w:p>
    <w:p w14:paraId="4B274B31" w14:textId="77777777" w:rsidR="0021374C" w:rsidRPr="00FD7E86" w:rsidRDefault="0021374C" w:rsidP="00C05F4C">
      <w:pPr>
        <w:spacing w:after="60"/>
        <w:rPr>
          <w:b/>
          <w:szCs w:val="26"/>
        </w:rPr>
      </w:pPr>
      <w:r w:rsidRPr="00FD7E86">
        <w:rPr>
          <w:rFonts w:cs="Arial"/>
          <w:b/>
          <w:szCs w:val="20"/>
        </w:rPr>
        <w:t>QCSP—Qualifying Carriage Service Provider</w:t>
      </w:r>
    </w:p>
    <w:p w14:paraId="3D7C7FA0" w14:textId="77777777" w:rsidR="0021374C" w:rsidRPr="00FD7E86" w:rsidRDefault="0021374C" w:rsidP="0021374C">
      <w:r w:rsidRPr="00FD7E86">
        <w:t>CSPs that have 100,000 or more services covered by the CSG Standard as at the last day of the preceding financial year.</w:t>
      </w:r>
    </w:p>
    <w:p w14:paraId="6C38FB62" w14:textId="77777777" w:rsidR="0021374C" w:rsidRPr="00FD7E86" w:rsidRDefault="0021374C" w:rsidP="0021374C">
      <w:pPr>
        <w:spacing w:after="60"/>
        <w:rPr>
          <w:rFonts w:cs="Arial"/>
          <w:b/>
          <w:szCs w:val="20"/>
        </w:rPr>
      </w:pPr>
      <w:r w:rsidRPr="00FD7E86">
        <w:rPr>
          <w:rFonts w:cs="Arial"/>
          <w:b/>
          <w:szCs w:val="20"/>
        </w:rPr>
        <w:t>RVA—recorded voice announcement</w:t>
      </w:r>
    </w:p>
    <w:p w14:paraId="6110CBC5" w14:textId="77777777" w:rsidR="0021374C" w:rsidRPr="00FD7E86" w:rsidRDefault="0021374C" w:rsidP="0021374C">
      <w:pPr>
        <w:rPr>
          <w:bCs/>
        </w:rPr>
      </w:pPr>
      <w:r w:rsidRPr="00FD7E86">
        <w:rPr>
          <w:bCs/>
        </w:rPr>
        <w:t xml:space="preserve">A pre-recorded audio message played to listeners; for example, the message now played to all callers to the Triple Zero (000) emergency service. </w:t>
      </w:r>
    </w:p>
    <w:p w14:paraId="5C66376E" w14:textId="77777777" w:rsidR="00AE5128" w:rsidRPr="00FD7E86" w:rsidRDefault="00AE5128" w:rsidP="0021374C">
      <w:pPr>
        <w:spacing w:after="60"/>
        <w:rPr>
          <w:rFonts w:cs="Arial"/>
          <w:b/>
          <w:szCs w:val="20"/>
        </w:rPr>
      </w:pPr>
      <w:r w:rsidRPr="00FD7E86">
        <w:rPr>
          <w:rFonts w:cs="Arial"/>
          <w:b/>
          <w:szCs w:val="20"/>
        </w:rPr>
        <w:t>SAM—Serving area module</w:t>
      </w:r>
    </w:p>
    <w:p w14:paraId="58696242" w14:textId="77777777" w:rsidR="00AE5128" w:rsidRPr="00FD7E86" w:rsidRDefault="00AE5128" w:rsidP="00AE5128">
      <w:pPr>
        <w:rPr>
          <w:rFonts w:cs="Arial"/>
          <w:szCs w:val="20"/>
        </w:rPr>
      </w:pPr>
      <w:r w:rsidRPr="00FD7E86">
        <w:rPr>
          <w:rFonts w:cs="Arial"/>
          <w:szCs w:val="20"/>
        </w:rPr>
        <w:t>Defined, by nbn as part of their network architecture, as a geographical subset of premised to be served by the NBN.</w:t>
      </w:r>
    </w:p>
    <w:p w14:paraId="5DEB5C03" w14:textId="77777777" w:rsidR="0021374C" w:rsidRPr="00FD7E86" w:rsidRDefault="0021374C" w:rsidP="0021374C">
      <w:pPr>
        <w:spacing w:after="60"/>
        <w:rPr>
          <w:rFonts w:cs="Arial"/>
          <w:b/>
          <w:szCs w:val="20"/>
        </w:rPr>
      </w:pPr>
      <w:r w:rsidRPr="00FD7E86">
        <w:rPr>
          <w:rFonts w:cs="Arial"/>
          <w:b/>
          <w:szCs w:val="20"/>
        </w:rPr>
        <w:t>SBS—Special Broadcasting Service</w:t>
      </w:r>
    </w:p>
    <w:p w14:paraId="2935B75B" w14:textId="77777777" w:rsidR="0021374C" w:rsidRPr="00FD7E86" w:rsidRDefault="0021374C" w:rsidP="0021374C">
      <w:r w:rsidRPr="00FD7E86">
        <w:t>Free-to-air national radio and television broadcasting service providing multilingual and multicultural programs that inform, educate and entertain all Australians and, in doing so, reflect Australia’s multicultural society. The SBS Online service also provides additional multilingual content through the internet.</w:t>
      </w:r>
    </w:p>
    <w:p w14:paraId="0CC7F6DA" w14:textId="77777777" w:rsidR="0021374C" w:rsidRPr="00FD7E86" w:rsidRDefault="0021374C" w:rsidP="0021374C">
      <w:pPr>
        <w:spacing w:after="60"/>
        <w:rPr>
          <w:rFonts w:cs="Arial"/>
          <w:b/>
          <w:szCs w:val="20"/>
        </w:rPr>
      </w:pPr>
      <w:r w:rsidRPr="00FD7E86">
        <w:rPr>
          <w:rFonts w:cs="Arial"/>
          <w:b/>
          <w:szCs w:val="20"/>
        </w:rPr>
        <w:t>SIO—services in operation</w:t>
      </w:r>
    </w:p>
    <w:p w14:paraId="6E55C609" w14:textId="77777777" w:rsidR="0021374C" w:rsidRPr="00FD7E86" w:rsidRDefault="0021374C" w:rsidP="0021374C">
      <w:r w:rsidRPr="00FD7E86">
        <w:t>The number of services provided by a telephone company at a particular time. The term is used in the context of both fixed-line and mobile services.</w:t>
      </w:r>
    </w:p>
    <w:p w14:paraId="6B9B33FD" w14:textId="77777777" w:rsidR="0021374C" w:rsidRPr="00FD7E86" w:rsidRDefault="0021374C" w:rsidP="0021374C">
      <w:pPr>
        <w:spacing w:after="60"/>
        <w:rPr>
          <w:rFonts w:cs="Arial"/>
          <w:b/>
          <w:szCs w:val="20"/>
        </w:rPr>
      </w:pPr>
      <w:r w:rsidRPr="00FD7E86">
        <w:rPr>
          <w:rFonts w:cs="Arial"/>
          <w:b/>
          <w:szCs w:val="20"/>
        </w:rPr>
        <w:t xml:space="preserve">smartnumbers </w:t>
      </w:r>
    </w:p>
    <w:p w14:paraId="3C266054" w14:textId="77777777" w:rsidR="0021374C" w:rsidRPr="00FD7E86" w:rsidRDefault="0021374C" w:rsidP="0021374C">
      <w:r w:rsidRPr="00FD7E86">
        <w:t>Specified freephone (1800) or local rate (13 or 1300) numbers allocated by auction and considered desirable because they can be translated to a phoneword or they have a memorable pattern.</w:t>
      </w:r>
    </w:p>
    <w:p w14:paraId="274A5441" w14:textId="77777777" w:rsidR="0021374C" w:rsidRPr="00FD7E86" w:rsidRDefault="0021374C" w:rsidP="0021374C">
      <w:pPr>
        <w:spacing w:after="60"/>
        <w:rPr>
          <w:rFonts w:cs="Arial"/>
          <w:b/>
          <w:szCs w:val="20"/>
        </w:rPr>
      </w:pPr>
      <w:r w:rsidRPr="00FD7E86">
        <w:rPr>
          <w:rFonts w:cs="Arial"/>
          <w:b/>
          <w:szCs w:val="20"/>
        </w:rPr>
        <w:t>smartphone</w:t>
      </w:r>
    </w:p>
    <w:p w14:paraId="698EFE01" w14:textId="77777777" w:rsidR="0021374C" w:rsidRPr="00FD7E86" w:rsidRDefault="0021374C" w:rsidP="0021374C">
      <w:r w:rsidRPr="00FD7E86">
        <w:t xml:space="preserve">A mobile phone built on a mobile operating system, with more advanced computing capability and connectivity. </w:t>
      </w:r>
    </w:p>
    <w:p w14:paraId="2DB355A4" w14:textId="77777777" w:rsidR="0021374C" w:rsidRPr="00FD7E86" w:rsidRDefault="0021374C" w:rsidP="0021374C">
      <w:pPr>
        <w:spacing w:after="60"/>
        <w:rPr>
          <w:rFonts w:cs="Arial"/>
          <w:b/>
          <w:szCs w:val="20"/>
        </w:rPr>
      </w:pPr>
      <w:r w:rsidRPr="00FD7E86">
        <w:rPr>
          <w:rFonts w:cs="Arial"/>
          <w:b/>
          <w:szCs w:val="20"/>
        </w:rPr>
        <w:t>SMS—short message service</w:t>
      </w:r>
    </w:p>
    <w:p w14:paraId="53E92FEC" w14:textId="77777777" w:rsidR="0021374C" w:rsidRPr="00FD7E86" w:rsidRDefault="0021374C" w:rsidP="0021374C">
      <w:r w:rsidRPr="00FD7E86">
        <w:t>A mobile telecommunications data transmission service that allows users to send short text messages to each other using a mobile handset.</w:t>
      </w:r>
    </w:p>
    <w:p w14:paraId="33E0452E" w14:textId="77777777" w:rsidR="0021374C" w:rsidRPr="00FD7E86" w:rsidRDefault="0021374C" w:rsidP="0021374C">
      <w:pPr>
        <w:spacing w:after="60"/>
        <w:rPr>
          <w:rFonts w:cs="Arial"/>
          <w:b/>
          <w:szCs w:val="20"/>
        </w:rPr>
      </w:pPr>
      <w:r w:rsidRPr="00FD7E86">
        <w:rPr>
          <w:rFonts w:cs="Arial"/>
          <w:b/>
          <w:szCs w:val="20"/>
        </w:rPr>
        <w:t>spam</w:t>
      </w:r>
    </w:p>
    <w:p w14:paraId="3DCAC463" w14:textId="77777777" w:rsidR="0021374C" w:rsidRPr="00FD7E86" w:rsidRDefault="0021374C" w:rsidP="0021374C">
      <w:r w:rsidRPr="00FD7E86">
        <w:t>Unsolicited commercial electronic messages that are sent by email, SMS, MMS and/or instant messaging.</w:t>
      </w:r>
    </w:p>
    <w:p w14:paraId="26DCD92A" w14:textId="77777777" w:rsidR="0021374C" w:rsidRPr="00FD7E86" w:rsidRDefault="0021374C" w:rsidP="0021374C">
      <w:pPr>
        <w:spacing w:after="60"/>
        <w:rPr>
          <w:rFonts w:cs="Arial"/>
          <w:b/>
          <w:szCs w:val="20"/>
        </w:rPr>
      </w:pPr>
      <w:r w:rsidRPr="00FD7E86">
        <w:rPr>
          <w:rFonts w:cs="Arial"/>
          <w:b/>
          <w:szCs w:val="20"/>
        </w:rPr>
        <w:t>standard telephone service</w:t>
      </w:r>
    </w:p>
    <w:p w14:paraId="0183F9E0" w14:textId="77777777" w:rsidR="0021374C" w:rsidRPr="00FD7E86" w:rsidRDefault="0021374C" w:rsidP="0021374C">
      <w:r w:rsidRPr="00FD7E86">
        <w:t xml:space="preserve">The telecommunications service defined as a carriage service providing voice telephony or an equivalent service that meets the requirements of the </w:t>
      </w:r>
      <w:r w:rsidRPr="00FD7E86">
        <w:rPr>
          <w:i/>
        </w:rPr>
        <w:t>Telecommunications (Consumer Protection and Service Standards) Act 1999</w:t>
      </w:r>
      <w:r w:rsidRPr="00FD7E86">
        <w:t xml:space="preserve"> and the </w:t>
      </w:r>
      <w:r w:rsidRPr="00FD7E86">
        <w:rPr>
          <w:i/>
        </w:rPr>
        <w:t>Disability Discrimination Act 1992</w:t>
      </w:r>
      <w:r w:rsidRPr="00FD7E86">
        <w:t>.</w:t>
      </w:r>
    </w:p>
    <w:p w14:paraId="3F15C324" w14:textId="77777777" w:rsidR="0021374C" w:rsidRPr="00FD7E86" w:rsidRDefault="0021374C" w:rsidP="0021374C">
      <w:pPr>
        <w:spacing w:after="60"/>
        <w:rPr>
          <w:rFonts w:cs="Arial"/>
          <w:b/>
          <w:szCs w:val="20"/>
        </w:rPr>
      </w:pPr>
      <w:r w:rsidRPr="00FD7E86">
        <w:rPr>
          <w:rFonts w:cs="Arial"/>
          <w:b/>
          <w:szCs w:val="20"/>
        </w:rPr>
        <w:t>subscribers</w:t>
      </w:r>
    </w:p>
    <w:p w14:paraId="40EC21D5" w14:textId="77777777" w:rsidR="0021374C" w:rsidRPr="00FD7E86" w:rsidRDefault="0021374C" w:rsidP="0021374C">
      <w:r w:rsidRPr="00FD7E86">
        <w:t xml:space="preserve">ABS subscriber statistics measure the number of ‘subscriber lines’ rather than the number of ‘users’. Counts of subscribers are not the same as counts of people/organisations with internet access. This is </w:t>
      </w:r>
      <w:r w:rsidRPr="00FD7E86">
        <w:lastRenderedPageBreak/>
        <w:t xml:space="preserve">because some subscribers may have accounts with more than one ISP or multiple accounts with a single ISP. </w:t>
      </w:r>
    </w:p>
    <w:p w14:paraId="3DDAC0F2" w14:textId="77777777" w:rsidR="0021374C" w:rsidRPr="00FD7E86" w:rsidRDefault="0021374C" w:rsidP="0021374C">
      <w:pPr>
        <w:spacing w:after="60"/>
        <w:rPr>
          <w:rFonts w:cs="Arial"/>
          <w:b/>
          <w:szCs w:val="20"/>
        </w:rPr>
      </w:pPr>
      <w:r w:rsidRPr="00FD7E86">
        <w:rPr>
          <w:rFonts w:cs="Arial"/>
          <w:b/>
          <w:szCs w:val="20"/>
        </w:rPr>
        <w:t>subscription television</w:t>
      </w:r>
    </w:p>
    <w:p w14:paraId="0C28D238" w14:textId="77777777" w:rsidR="0021374C" w:rsidRPr="00FD7E86" w:rsidRDefault="0021374C" w:rsidP="0021374C">
      <w:r w:rsidRPr="00FD7E86">
        <w:t>Service providing access, for a fee, to television channels transmitted using cable, satellite or terrestrial microwave.</w:t>
      </w:r>
    </w:p>
    <w:p w14:paraId="15155AB4" w14:textId="77777777" w:rsidR="0021374C" w:rsidRPr="00821847" w:rsidRDefault="0021374C" w:rsidP="00821847">
      <w:pPr>
        <w:spacing w:after="60"/>
        <w:rPr>
          <w:rFonts w:cs="Arial"/>
          <w:b/>
          <w:szCs w:val="20"/>
        </w:rPr>
      </w:pPr>
      <w:r w:rsidRPr="00821847">
        <w:rPr>
          <w:rFonts w:cs="Arial"/>
          <w:b/>
          <w:szCs w:val="20"/>
        </w:rPr>
        <w:t>SVOD—subscription video on demand</w:t>
      </w:r>
    </w:p>
    <w:p w14:paraId="6F45733F" w14:textId="77777777" w:rsidR="0021374C" w:rsidRPr="00FD7E86" w:rsidRDefault="0021374C" w:rsidP="0021374C">
      <w:pPr>
        <w:rPr>
          <w:b/>
        </w:rPr>
      </w:pPr>
      <w:r w:rsidRPr="00FD7E86">
        <w:rPr>
          <w:rStyle w:val="tgc"/>
          <w:color w:val="222222"/>
        </w:rPr>
        <w:t>An internet service that gives users unlimited access to a range of online video content at any time, for a flat monthly fee. Users can start and stop the program they are watching when they choose.</w:t>
      </w:r>
    </w:p>
    <w:p w14:paraId="56631925" w14:textId="77777777" w:rsidR="0021374C" w:rsidRPr="00FD7E86" w:rsidRDefault="0021374C" w:rsidP="0021374C">
      <w:pPr>
        <w:spacing w:after="60"/>
        <w:rPr>
          <w:rFonts w:cs="Arial"/>
          <w:b/>
          <w:szCs w:val="20"/>
        </w:rPr>
      </w:pPr>
      <w:r w:rsidRPr="00FD7E86">
        <w:rPr>
          <w:rFonts w:cs="Arial"/>
          <w:b/>
          <w:szCs w:val="20"/>
        </w:rPr>
        <w:t xml:space="preserve">take-up </w:t>
      </w:r>
    </w:p>
    <w:p w14:paraId="32C87197" w14:textId="77777777" w:rsidR="0021374C" w:rsidRPr="00FD7E86" w:rsidRDefault="0021374C" w:rsidP="0021374C">
      <w:r w:rsidRPr="00FD7E86">
        <w:t>Adoption of a service or product by users.</w:t>
      </w:r>
    </w:p>
    <w:p w14:paraId="4EBA7CD4" w14:textId="77777777" w:rsidR="0021374C" w:rsidRPr="00FD7E86" w:rsidRDefault="0021374C" w:rsidP="0021374C">
      <w:pPr>
        <w:spacing w:after="60"/>
        <w:rPr>
          <w:rFonts w:cs="Arial"/>
          <w:b/>
          <w:szCs w:val="20"/>
        </w:rPr>
      </w:pPr>
      <w:r w:rsidRPr="00FD7E86">
        <w:rPr>
          <w:rFonts w:cs="Arial"/>
          <w:b/>
          <w:szCs w:val="20"/>
        </w:rPr>
        <w:t>TB—terabyte</w:t>
      </w:r>
    </w:p>
    <w:p w14:paraId="6353BC16" w14:textId="77777777" w:rsidR="0021374C" w:rsidRPr="00FD7E86" w:rsidRDefault="0021374C" w:rsidP="0021374C">
      <w:r w:rsidRPr="00FD7E86">
        <w:t>One thousand gigabytes.</w:t>
      </w:r>
    </w:p>
    <w:p w14:paraId="1E63877D" w14:textId="77777777" w:rsidR="0021374C" w:rsidRPr="00FD7E86" w:rsidRDefault="0021374C" w:rsidP="0021374C">
      <w:pPr>
        <w:spacing w:after="60"/>
        <w:rPr>
          <w:rFonts w:cs="Arial"/>
          <w:b/>
          <w:szCs w:val="20"/>
        </w:rPr>
      </w:pPr>
      <w:r w:rsidRPr="00FD7E86">
        <w:rPr>
          <w:rFonts w:cs="Arial"/>
          <w:b/>
          <w:szCs w:val="20"/>
        </w:rPr>
        <w:t>TIO scheme—Telecommunications Industry Ombudsman scheme</w:t>
      </w:r>
    </w:p>
    <w:p w14:paraId="6B5184AC" w14:textId="77777777" w:rsidR="0021374C" w:rsidRPr="00FD7E86" w:rsidRDefault="0021374C" w:rsidP="0021374C">
      <w:r w:rsidRPr="00FD7E86">
        <w:t>Industry-funded independent dispute resolution service, established in December 1993, for consumers unable to resolve complaints with their telecommunications carrier or CSP (including ISPs).</w:t>
      </w:r>
    </w:p>
    <w:p w14:paraId="315BB884" w14:textId="77777777" w:rsidR="0021374C" w:rsidRPr="00FD7E86" w:rsidRDefault="0021374C" w:rsidP="0021374C">
      <w:pPr>
        <w:spacing w:after="60"/>
        <w:rPr>
          <w:rFonts w:cs="Arial"/>
          <w:b/>
          <w:szCs w:val="20"/>
        </w:rPr>
      </w:pPr>
      <w:r w:rsidRPr="00FD7E86">
        <w:rPr>
          <w:rFonts w:cs="Arial"/>
          <w:b/>
          <w:szCs w:val="20"/>
        </w:rPr>
        <w:t xml:space="preserve">trigger event </w:t>
      </w:r>
    </w:p>
    <w:p w14:paraId="26C26783" w14:textId="77777777" w:rsidR="0021374C" w:rsidRPr="00FD7E86" w:rsidRDefault="0021374C" w:rsidP="0021374C">
      <w:r w:rsidRPr="00FD7E86">
        <w:t>Relates to commercial regional radio licences and includes a transfer of a licence, formation of a new registrable media group that includes a regional commercial radio broadcasting licence, or change of controller of a registrable media group that includes a regional commercial radio broadcasting licence.</w:t>
      </w:r>
    </w:p>
    <w:p w14:paraId="0B09D1FA" w14:textId="77777777" w:rsidR="0021374C" w:rsidRPr="00FD7E86" w:rsidRDefault="0021374C" w:rsidP="0021374C">
      <w:pPr>
        <w:spacing w:after="60"/>
        <w:rPr>
          <w:rFonts w:cs="Arial"/>
          <w:b/>
          <w:szCs w:val="20"/>
        </w:rPr>
      </w:pPr>
      <w:r w:rsidRPr="00FD7E86">
        <w:rPr>
          <w:rFonts w:cs="Arial"/>
          <w:b/>
          <w:szCs w:val="20"/>
        </w:rPr>
        <w:t>TTY—teletypewriter</w:t>
      </w:r>
    </w:p>
    <w:p w14:paraId="12C91EF1" w14:textId="77777777" w:rsidR="0021374C" w:rsidRPr="00FD7E86" w:rsidRDefault="0021374C" w:rsidP="0021374C">
      <w:r w:rsidRPr="00FD7E86">
        <w:t>Telephone typewriter that allows communication to be typed after a call is connected, enabling people with a hearing or speech impairment to use voice telecommunications. Calls can be connected to another TTY user or relayed and translated to voice by the NRS.</w:t>
      </w:r>
    </w:p>
    <w:p w14:paraId="48B4C317" w14:textId="77777777" w:rsidR="0021374C" w:rsidRPr="00FD7E86" w:rsidRDefault="0021374C" w:rsidP="0021374C">
      <w:pPr>
        <w:spacing w:after="60"/>
        <w:rPr>
          <w:rFonts w:cs="Arial"/>
          <w:b/>
          <w:szCs w:val="20"/>
        </w:rPr>
      </w:pPr>
      <w:r w:rsidRPr="00FD7E86">
        <w:rPr>
          <w:rFonts w:cs="Arial"/>
          <w:b/>
          <w:szCs w:val="20"/>
        </w:rPr>
        <w:t>URL—uniform resource locator</w:t>
      </w:r>
    </w:p>
    <w:p w14:paraId="59AD2464" w14:textId="77777777" w:rsidR="0021374C" w:rsidRPr="00FD7E86" w:rsidRDefault="0021374C" w:rsidP="0021374C">
      <w:r w:rsidRPr="00FD7E86">
        <w:t>A unique address for accessing information and services over the internet.</w:t>
      </w:r>
    </w:p>
    <w:p w14:paraId="625A04C4" w14:textId="77777777" w:rsidR="0021374C" w:rsidRPr="00FD7E86" w:rsidRDefault="0021374C" w:rsidP="0021374C">
      <w:pPr>
        <w:spacing w:after="60"/>
        <w:rPr>
          <w:rFonts w:cs="Arial"/>
          <w:b/>
          <w:szCs w:val="20"/>
        </w:rPr>
      </w:pPr>
      <w:r w:rsidRPr="00FD7E86">
        <w:rPr>
          <w:rFonts w:cs="Arial"/>
          <w:b/>
          <w:szCs w:val="20"/>
        </w:rPr>
        <w:t>USO—universal service obligation</w:t>
      </w:r>
    </w:p>
    <w:p w14:paraId="3275B762" w14:textId="77777777" w:rsidR="0021374C" w:rsidRPr="00FD7E86" w:rsidRDefault="0021374C" w:rsidP="0021374C">
      <w:r w:rsidRPr="00FD7E86">
        <w:t xml:space="preserve">Obligation under the </w:t>
      </w:r>
      <w:r w:rsidRPr="00FD7E86">
        <w:rPr>
          <w:i/>
        </w:rPr>
        <w:t>Telecommunications (Consumer Protection and Service Standards) Act 1999</w:t>
      </w:r>
      <w:r w:rsidRPr="00FD7E86">
        <w:rPr>
          <w:i/>
          <w:iCs/>
        </w:rPr>
        <w:t xml:space="preserve"> </w:t>
      </w:r>
      <w:r w:rsidRPr="00FD7E86">
        <w:t>to ensure that standard telephone services, payphones and prescribed carriage services are reasonably accessible to all people in Australia on an equitable basis, wherever they reside or carry on business.</w:t>
      </w:r>
    </w:p>
    <w:p w14:paraId="6908FED2" w14:textId="77777777" w:rsidR="0021374C" w:rsidRPr="00FD7E86" w:rsidRDefault="0021374C" w:rsidP="0021374C">
      <w:pPr>
        <w:spacing w:after="60"/>
        <w:rPr>
          <w:rFonts w:cs="Arial"/>
          <w:b/>
          <w:szCs w:val="20"/>
        </w:rPr>
      </w:pPr>
      <w:r w:rsidRPr="00FD7E86">
        <w:rPr>
          <w:rFonts w:cs="Arial"/>
          <w:b/>
          <w:szCs w:val="20"/>
        </w:rPr>
        <w:t>USP—universal service provider</w:t>
      </w:r>
    </w:p>
    <w:p w14:paraId="19249E6D" w14:textId="77777777" w:rsidR="0021374C" w:rsidRPr="00FD7E86" w:rsidRDefault="0021374C" w:rsidP="0021374C">
      <w:r w:rsidRPr="00FD7E86">
        <w:t xml:space="preserve">A nominated provider who receives government subsidies to provide a necessary service. Telstra is the primary USP and is responsible for fulfilling the universal service obligation throughout Australia. </w:t>
      </w:r>
    </w:p>
    <w:p w14:paraId="2CDE70CC" w14:textId="77777777" w:rsidR="0021374C" w:rsidRPr="00FD7E86" w:rsidRDefault="0021374C" w:rsidP="0021374C">
      <w:pPr>
        <w:spacing w:after="60"/>
        <w:rPr>
          <w:rFonts w:cs="Arial"/>
          <w:b/>
          <w:szCs w:val="20"/>
        </w:rPr>
      </w:pPr>
      <w:r w:rsidRPr="00FD7E86">
        <w:rPr>
          <w:rFonts w:cs="Arial"/>
          <w:b/>
          <w:szCs w:val="20"/>
        </w:rPr>
        <w:t>VoIP—voice over internet protocol</w:t>
      </w:r>
    </w:p>
    <w:p w14:paraId="6C9A1A99" w14:textId="77777777" w:rsidR="0021374C" w:rsidRPr="00780BD1" w:rsidRDefault="0021374C" w:rsidP="00780BD1">
      <w:r w:rsidRPr="00FD7E86">
        <w:t>The transport of voice traffic inside data packets over an IP network - used to make telephone calls using a data network (such as the internet) instead of over a fixed-line PSTN service.</w:t>
      </w:r>
    </w:p>
    <w:p w14:paraId="6EFB4D46" w14:textId="77777777" w:rsidR="0021374C" w:rsidRPr="00FD7E86" w:rsidRDefault="0021374C" w:rsidP="00780BD1">
      <w:r w:rsidRPr="00FD7E86">
        <w:rPr>
          <w:b/>
          <w:lang w:val="en-US"/>
        </w:rPr>
        <w:t>Voice Over LTE (Long Term Evolution)</w:t>
      </w:r>
      <w:r w:rsidRPr="00FD7E86">
        <w:rPr>
          <w:lang w:val="en-US"/>
        </w:rPr>
        <w:br/>
        <w:t xml:space="preserve">A standard allowing voice calls to be placed over an LTE network. In the absence of VoLTE, LTE networks generally only support a data service, with 2G or 3G networks used to support voice and other services such as SMS. </w:t>
      </w:r>
      <w:r w:rsidRPr="00FD7E86">
        <w:rPr>
          <w:bCs/>
        </w:rPr>
        <w:t>With VoLTE, voice calls</w:t>
      </w:r>
      <w:r w:rsidRPr="00FD7E86">
        <w:t xml:space="preserve"> (and SMS text messages) are integrated into the 4G LTE data stream rather than the previous arrangement of reverting back to 3G. VoLTE also allows for multitasking, with simultaneous voice calls and 4G data connections. VoLTE also supports improved voice quality (HD Voice).</w:t>
      </w:r>
    </w:p>
    <w:p w14:paraId="39D073A3" w14:textId="77777777" w:rsidR="0021374C" w:rsidRPr="00FD7E86" w:rsidRDefault="0021374C" w:rsidP="00780BD1">
      <w:pPr>
        <w:spacing w:after="60"/>
        <w:rPr>
          <w:rFonts w:cs="Arial"/>
          <w:b/>
          <w:szCs w:val="20"/>
        </w:rPr>
      </w:pPr>
      <w:r w:rsidRPr="00FD7E86">
        <w:rPr>
          <w:rFonts w:cs="Arial"/>
          <w:b/>
          <w:szCs w:val="20"/>
        </w:rPr>
        <w:lastRenderedPageBreak/>
        <w:t>WiMAX—Worldwide Interoperability for Microwave Access</w:t>
      </w:r>
    </w:p>
    <w:p w14:paraId="0CF0FBC6" w14:textId="77777777" w:rsidR="0021374C" w:rsidRPr="00FD7E86" w:rsidRDefault="0021374C" w:rsidP="00780BD1">
      <w:r w:rsidRPr="00FD7E86">
        <w:t xml:space="preserve">The IEEE 802.16 standards for broadband wireless access networks for multimedia applications with a wireless connection. </w:t>
      </w:r>
    </w:p>
    <w:p w14:paraId="13F7A051" w14:textId="77777777" w:rsidR="000317E5" w:rsidRPr="00FD7E86" w:rsidRDefault="00FF3C69" w:rsidP="000317E5">
      <w:pPr>
        <w:pStyle w:val="Heading1"/>
      </w:pPr>
      <w:bookmarkStart w:id="528" w:name="_Toc433790442"/>
      <w:r w:rsidRPr="00FD7E86">
        <w:lastRenderedPageBreak/>
        <w:t>Appendix</w:t>
      </w:r>
      <w:bookmarkEnd w:id="214"/>
      <w:r w:rsidR="00FC4F68">
        <w:t>—</w:t>
      </w:r>
      <w:r w:rsidR="007932FF" w:rsidRPr="00FD7E86">
        <w:t>Research methodology</w:t>
      </w:r>
      <w:bookmarkEnd w:id="528"/>
    </w:p>
    <w:p w14:paraId="1DCDFE8C" w14:textId="77777777" w:rsidR="001502EB" w:rsidRPr="00FD7E86" w:rsidRDefault="001502EB" w:rsidP="001502EB">
      <w:pPr>
        <w:pStyle w:val="Heading2"/>
      </w:pPr>
      <w:bookmarkStart w:id="529" w:name="_Toc413145604"/>
      <w:bookmarkStart w:id="530" w:name="_Toc414367415"/>
      <w:bookmarkStart w:id="531" w:name="_Toc414630301"/>
      <w:bookmarkStart w:id="532" w:name="_Toc415656633"/>
      <w:bookmarkStart w:id="533" w:name="_Toc417993313"/>
      <w:bookmarkStart w:id="534" w:name="_Toc419453953"/>
      <w:bookmarkStart w:id="535" w:name="_Toc421883179"/>
      <w:bookmarkStart w:id="536" w:name="_Toc433790443"/>
      <w:r w:rsidRPr="00FD7E86">
        <w:t>Data sources</w:t>
      </w:r>
      <w:bookmarkEnd w:id="529"/>
      <w:bookmarkEnd w:id="530"/>
      <w:bookmarkEnd w:id="531"/>
      <w:bookmarkEnd w:id="532"/>
      <w:bookmarkEnd w:id="533"/>
      <w:bookmarkEnd w:id="534"/>
      <w:bookmarkEnd w:id="535"/>
      <w:bookmarkEnd w:id="536"/>
    </w:p>
    <w:p w14:paraId="02AB0067" w14:textId="77777777" w:rsidR="001502EB" w:rsidRPr="00FD7E86" w:rsidRDefault="001502EB" w:rsidP="00780BD1">
      <w:pPr>
        <w:rPr>
          <w:b/>
          <w:bCs/>
          <w:iCs/>
        </w:rPr>
      </w:pPr>
      <w:r w:rsidRPr="00FD7E86">
        <w:t xml:space="preserve">The survey data contained in this report is drawn from two main data sources: </w:t>
      </w:r>
      <w:r w:rsidR="00DB59A1" w:rsidRPr="00FD7E86">
        <w:t>Surveys of the Australian population commissioned by the ACMA and Roy Morgan Research’s Single Source product.</w:t>
      </w:r>
    </w:p>
    <w:p w14:paraId="753B2417" w14:textId="77777777" w:rsidR="001502EB" w:rsidRPr="00FD7E86" w:rsidRDefault="001502EB" w:rsidP="001502EB">
      <w:pPr>
        <w:pStyle w:val="Heading3"/>
      </w:pPr>
      <w:bookmarkStart w:id="537" w:name="_Toc421883180"/>
      <w:bookmarkStart w:id="538" w:name="_Toc433790444"/>
      <w:r w:rsidRPr="00FD7E86">
        <w:t>ACMA-commissioned survey</w:t>
      </w:r>
      <w:bookmarkEnd w:id="537"/>
      <w:r w:rsidRPr="00FD7E86">
        <w:t>s</w:t>
      </w:r>
      <w:bookmarkEnd w:id="538"/>
    </w:p>
    <w:p w14:paraId="78E47ACB" w14:textId="77777777" w:rsidR="001502EB" w:rsidRPr="00FD7E86" w:rsidRDefault="001502EB" w:rsidP="00780BD1">
      <w:r w:rsidRPr="00FD7E86">
        <w:t xml:space="preserve">The 2015 ACMA-commissioned surveys of consumers </w:t>
      </w:r>
      <w:r w:rsidR="0076632E" w:rsidRPr="00FD7E86">
        <w:t xml:space="preserve">were </w:t>
      </w:r>
      <w:r w:rsidRPr="00FD7E86">
        <w:t xml:space="preserve">conducted by Newspoll Research. The samples were taken from the Australian population aged 18 and over. Survey 1 was conducted from </w:t>
      </w:r>
      <w:r w:rsidR="008A0D8B" w:rsidRPr="00FD7E86">
        <w:t>30</w:t>
      </w:r>
      <w:r w:rsidR="008A0D8B">
        <w:t> </w:t>
      </w:r>
      <w:r w:rsidRPr="00FD7E86">
        <w:t xml:space="preserve">April to 18 May 2015 (May-15 survey) with a sample of 1,810. Survey 2 was conducted </w:t>
      </w:r>
      <w:r w:rsidR="00920A3F" w:rsidRPr="00FD7E86">
        <w:t>from</w:t>
      </w:r>
      <w:r w:rsidRPr="00FD7E86">
        <w:t xml:space="preserve"> 21 May to 9 June 2015 (Jun-15 survey) with a sample of 1,505. </w:t>
      </w:r>
    </w:p>
    <w:p w14:paraId="7047B900" w14:textId="77777777" w:rsidR="001502EB" w:rsidRPr="00FD7E86" w:rsidRDefault="001502EB" w:rsidP="00780BD1">
      <w:r w:rsidRPr="00FD7E86">
        <w:t xml:space="preserve">The ACMA conducted computer-assisted telephone interviewing (CATI) to both fixed-line and mobile phone numbers. Data from the 2015 ACMA-commissioned survey is sometimes compared with data from previous ACMA-commissioned surveys. In previous </w:t>
      </w:r>
      <w:r w:rsidR="00290911" w:rsidRPr="00FD7E86">
        <w:t>years,</w:t>
      </w:r>
      <w:r w:rsidRPr="00FD7E86">
        <w:t xml:space="preserve"> only one survey was conducted in each year.</w:t>
      </w:r>
    </w:p>
    <w:p w14:paraId="0A912D90" w14:textId="1FE5499B" w:rsidR="001502EB" w:rsidRPr="00FD7E86" w:rsidRDefault="001502EB" w:rsidP="00780BD1">
      <w:r w:rsidRPr="00FD7E86">
        <w:t xml:space="preserve">The commonly used subsets for the ACMA-commissioned surveys from 2012 to 2015 are provided in Tables </w:t>
      </w:r>
      <w:r w:rsidR="00E679B8" w:rsidRPr="00CE7BFF">
        <w:t>A</w:t>
      </w:r>
      <w:r w:rsidRPr="00CE7BFF">
        <w:t xml:space="preserve">1 and </w:t>
      </w:r>
      <w:r w:rsidR="00E679B8" w:rsidRPr="00CE7BFF">
        <w:t>A</w:t>
      </w:r>
      <w:r w:rsidRPr="00CE7BFF">
        <w:t>2</w:t>
      </w:r>
      <w:r w:rsidRPr="00FD7E86">
        <w:t>, below. The bases</w:t>
      </w:r>
      <w:r w:rsidR="004C78CE" w:rsidRPr="00FD7E86">
        <w:t xml:space="preserve"> ‘Accessed the internet’ and ‘Australians aged 18 and over’</w:t>
      </w:r>
      <w:r w:rsidRPr="00FD7E86">
        <w:t xml:space="preserve"> are used in a number of tables and figures in this report.</w:t>
      </w:r>
      <w:r w:rsidR="004C78CE" w:rsidRPr="00FD7E86">
        <w:t xml:space="preserve"> ‘Accessed the internet’ refers to Australians aged 18 and over who have </w:t>
      </w:r>
      <w:r w:rsidR="00ED3C15" w:rsidRPr="00FD7E86">
        <w:t>used any of a number of devices</w:t>
      </w:r>
      <w:r w:rsidR="005E37ED" w:rsidRPr="00FD7E86">
        <w:t xml:space="preserve"> (including desktop computer, laptop com</w:t>
      </w:r>
      <w:r w:rsidR="004866B3" w:rsidRPr="00FD7E86">
        <w:t xml:space="preserve">puter, mobile phone, tablet, </w:t>
      </w:r>
      <w:r w:rsidR="00F23271" w:rsidRPr="00FD7E86">
        <w:t>smart television and other common internet access devices)</w:t>
      </w:r>
      <w:r w:rsidR="00ED3C15" w:rsidRPr="00FD7E86">
        <w:t xml:space="preserve"> to access </w:t>
      </w:r>
      <w:r w:rsidR="004C78CE" w:rsidRPr="00FD7E86">
        <w:t xml:space="preserve">the internet in the past </w:t>
      </w:r>
      <w:r w:rsidR="00E57888" w:rsidRPr="00FD7E86">
        <w:t>six months</w:t>
      </w:r>
      <w:r w:rsidR="000B1962" w:rsidRPr="00FD7E86">
        <w:t>.</w:t>
      </w:r>
      <w:r w:rsidR="00C011BD" w:rsidRPr="00FD7E86">
        <w:t xml:space="preserve"> </w:t>
      </w:r>
      <w:r w:rsidR="00DB59A1" w:rsidRPr="00FD7E86">
        <w:t>The term ‘internet users’ is also used to describe this group.</w:t>
      </w:r>
    </w:p>
    <w:p w14:paraId="7E8DAAD3" w14:textId="77777777" w:rsidR="001502EB" w:rsidRPr="00FD7E86" w:rsidRDefault="001502EB" w:rsidP="00C05F4C">
      <w:pPr>
        <w:spacing w:after="160"/>
        <w:rPr>
          <w:b/>
        </w:rPr>
      </w:pPr>
      <w:r w:rsidRPr="00FD7E86">
        <w:rPr>
          <w:b/>
        </w:rPr>
        <w:t xml:space="preserve">Table </w:t>
      </w:r>
      <w:r w:rsidR="00C16FE1">
        <w:rPr>
          <w:b/>
        </w:rPr>
        <w:t>A</w:t>
      </w:r>
      <w:r w:rsidRPr="00FD7E86">
        <w:rPr>
          <w:b/>
        </w:rPr>
        <w:t>1 Research sample subsets for ACMA-commissioned surveys May-12 to Jun-15</w:t>
      </w:r>
    </w:p>
    <w:tbl>
      <w:tblPr>
        <w:tblStyle w:val="TableGrid"/>
        <w:tblpPr w:leftFromText="180" w:rightFromText="180" w:vertAnchor="text" w:tblpY="-29"/>
        <w:tblW w:w="94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Caption w:val="Table A1 Research sample subsets for ACMA-commissioned surveys May-12 to Jun-15"/>
      </w:tblPr>
      <w:tblGrid>
        <w:gridCol w:w="2296"/>
        <w:gridCol w:w="1783"/>
        <w:gridCol w:w="1779"/>
        <w:gridCol w:w="1785"/>
        <w:gridCol w:w="1786"/>
      </w:tblGrid>
      <w:tr w:rsidR="00B7641B" w:rsidRPr="00B7641B" w14:paraId="081A70AC" w14:textId="77777777" w:rsidTr="00B7641B">
        <w:trPr>
          <w:tblHeader/>
        </w:trPr>
        <w:tc>
          <w:tcPr>
            <w:tcW w:w="2296" w:type="dxa"/>
          </w:tcPr>
          <w:p w14:paraId="1BDF65BA" w14:textId="77777777" w:rsidR="001502EB" w:rsidRPr="00B7641B" w:rsidRDefault="001502EB" w:rsidP="00B7641B">
            <w:pPr>
              <w:pStyle w:val="TableHeading"/>
              <w:spacing w:before="20" w:after="40"/>
              <w:jc w:val="right"/>
              <w:rPr>
                <w:color w:val="FFFFFF" w:themeColor="background1"/>
                <w:sz w:val="18"/>
                <w:szCs w:val="18"/>
              </w:rPr>
            </w:pPr>
          </w:p>
        </w:tc>
        <w:tc>
          <w:tcPr>
            <w:tcW w:w="1783" w:type="dxa"/>
            <w:shd w:val="clear" w:color="auto" w:fill="00ADBB" w:themeFill="accent1"/>
          </w:tcPr>
          <w:p w14:paraId="644E5AD3" w14:textId="77777777" w:rsidR="001502EB" w:rsidRPr="00B7641B" w:rsidRDefault="001502EB" w:rsidP="00B7641B">
            <w:pPr>
              <w:pStyle w:val="TableHeading"/>
              <w:spacing w:before="20" w:after="40"/>
              <w:jc w:val="right"/>
              <w:rPr>
                <w:color w:val="FFFFFF" w:themeColor="background1"/>
                <w:sz w:val="18"/>
                <w:szCs w:val="18"/>
              </w:rPr>
            </w:pPr>
            <w:r w:rsidRPr="00B7641B">
              <w:rPr>
                <w:color w:val="FFFFFF" w:themeColor="background1"/>
                <w:sz w:val="18"/>
                <w:szCs w:val="18"/>
              </w:rPr>
              <w:t>Fixed-line sample quota*</w:t>
            </w:r>
          </w:p>
        </w:tc>
        <w:tc>
          <w:tcPr>
            <w:tcW w:w="1779" w:type="dxa"/>
            <w:shd w:val="clear" w:color="auto" w:fill="00ADBB" w:themeFill="accent1"/>
          </w:tcPr>
          <w:p w14:paraId="2CFF2AB8" w14:textId="77777777" w:rsidR="001502EB" w:rsidRPr="00B7641B" w:rsidRDefault="001502EB" w:rsidP="00B7641B">
            <w:pPr>
              <w:pStyle w:val="TableHeading"/>
              <w:spacing w:before="20" w:after="40"/>
              <w:jc w:val="right"/>
              <w:rPr>
                <w:color w:val="FFFFFF" w:themeColor="background1"/>
                <w:sz w:val="18"/>
                <w:szCs w:val="18"/>
              </w:rPr>
            </w:pPr>
            <w:r w:rsidRPr="00B7641B">
              <w:rPr>
                <w:color w:val="FFFFFF" w:themeColor="background1"/>
                <w:sz w:val="18"/>
                <w:szCs w:val="18"/>
              </w:rPr>
              <w:t xml:space="preserve"> Mobile phone sample quota* </w:t>
            </w:r>
          </w:p>
        </w:tc>
        <w:tc>
          <w:tcPr>
            <w:tcW w:w="1785" w:type="dxa"/>
            <w:shd w:val="clear" w:color="auto" w:fill="00ADBB" w:themeFill="accent1"/>
          </w:tcPr>
          <w:p w14:paraId="5416950E" w14:textId="77777777" w:rsidR="001502EB" w:rsidRPr="00B7641B" w:rsidDel="007E3438" w:rsidRDefault="001502EB" w:rsidP="00B7641B">
            <w:pPr>
              <w:pStyle w:val="TableHeading"/>
              <w:spacing w:before="20" w:after="40"/>
              <w:jc w:val="right"/>
              <w:rPr>
                <w:color w:val="FFFFFF" w:themeColor="background1"/>
                <w:sz w:val="18"/>
                <w:szCs w:val="18"/>
              </w:rPr>
            </w:pPr>
            <w:r w:rsidRPr="00B7641B">
              <w:rPr>
                <w:color w:val="FFFFFF" w:themeColor="background1"/>
                <w:sz w:val="18"/>
                <w:szCs w:val="18"/>
              </w:rPr>
              <w:t>Accessed the internet</w:t>
            </w:r>
          </w:p>
        </w:tc>
        <w:tc>
          <w:tcPr>
            <w:tcW w:w="1786" w:type="dxa"/>
            <w:shd w:val="clear" w:color="auto" w:fill="00ADBB" w:themeFill="accent1"/>
          </w:tcPr>
          <w:p w14:paraId="01612D7B" w14:textId="77777777" w:rsidR="001502EB" w:rsidRPr="00B7641B" w:rsidRDefault="001502EB" w:rsidP="00B7641B">
            <w:pPr>
              <w:pStyle w:val="TableHeading"/>
              <w:spacing w:before="20" w:after="40"/>
              <w:jc w:val="right"/>
              <w:rPr>
                <w:color w:val="FFFFFF" w:themeColor="background1"/>
                <w:sz w:val="18"/>
                <w:szCs w:val="18"/>
              </w:rPr>
            </w:pPr>
            <w:r w:rsidRPr="00B7641B">
              <w:rPr>
                <w:color w:val="FFFFFF" w:themeColor="background1"/>
                <w:sz w:val="18"/>
                <w:szCs w:val="18"/>
              </w:rPr>
              <w:t>Australians aged 18</w:t>
            </w:r>
            <w:r w:rsidR="00763375" w:rsidRPr="00B7641B">
              <w:rPr>
                <w:color w:val="FFFFFF" w:themeColor="background1"/>
                <w:sz w:val="18"/>
                <w:szCs w:val="18"/>
              </w:rPr>
              <w:t xml:space="preserve"> and over</w:t>
            </w:r>
          </w:p>
        </w:tc>
      </w:tr>
      <w:tr w:rsidR="001502EB" w:rsidRPr="00FD7E86" w14:paraId="11D1E513" w14:textId="77777777" w:rsidTr="0043535E">
        <w:tc>
          <w:tcPr>
            <w:tcW w:w="2296" w:type="dxa"/>
            <w:shd w:val="clear" w:color="auto" w:fill="65CDD5" w:themeFill="accent2"/>
          </w:tcPr>
          <w:p w14:paraId="796137AC" w14:textId="77777777" w:rsidR="001502EB" w:rsidRPr="00C05F4C" w:rsidRDefault="001502EB" w:rsidP="00CE55ED">
            <w:pPr>
              <w:spacing w:after="80"/>
              <w:rPr>
                <w:sz w:val="18"/>
                <w:szCs w:val="18"/>
              </w:rPr>
            </w:pPr>
            <w:r w:rsidRPr="00C05F4C">
              <w:rPr>
                <w:sz w:val="18"/>
                <w:szCs w:val="18"/>
              </w:rPr>
              <w:t xml:space="preserve">Jun-15 </w:t>
            </w:r>
          </w:p>
        </w:tc>
        <w:tc>
          <w:tcPr>
            <w:tcW w:w="1783" w:type="dxa"/>
            <w:shd w:val="clear" w:color="auto" w:fill="E9FBFB" w:themeFill="accent3"/>
          </w:tcPr>
          <w:p w14:paraId="21A1A7E0" w14:textId="77777777" w:rsidR="001502EB" w:rsidRPr="00FD7E86" w:rsidRDefault="001502EB" w:rsidP="00CE55ED">
            <w:pPr>
              <w:spacing w:after="80"/>
              <w:jc w:val="right"/>
              <w:rPr>
                <w:sz w:val="18"/>
                <w:szCs w:val="18"/>
              </w:rPr>
            </w:pPr>
            <w:r w:rsidRPr="00FD7E86">
              <w:rPr>
                <w:sz w:val="18"/>
                <w:szCs w:val="18"/>
              </w:rPr>
              <w:t>1,130</w:t>
            </w:r>
          </w:p>
        </w:tc>
        <w:tc>
          <w:tcPr>
            <w:tcW w:w="1779" w:type="dxa"/>
            <w:shd w:val="clear" w:color="auto" w:fill="E9FBFB" w:themeFill="accent3"/>
          </w:tcPr>
          <w:p w14:paraId="51B20B46" w14:textId="77777777" w:rsidR="001502EB" w:rsidRPr="00FD7E86" w:rsidRDefault="001502EB" w:rsidP="00CE55ED">
            <w:pPr>
              <w:spacing w:after="80"/>
              <w:jc w:val="right"/>
              <w:rPr>
                <w:sz w:val="18"/>
                <w:szCs w:val="18"/>
              </w:rPr>
            </w:pPr>
            <w:r w:rsidRPr="00FD7E86">
              <w:rPr>
                <w:sz w:val="18"/>
                <w:szCs w:val="18"/>
              </w:rPr>
              <w:t>375</w:t>
            </w:r>
          </w:p>
        </w:tc>
        <w:tc>
          <w:tcPr>
            <w:tcW w:w="1785" w:type="dxa"/>
            <w:shd w:val="clear" w:color="auto" w:fill="E9FBFB" w:themeFill="accent3"/>
          </w:tcPr>
          <w:p w14:paraId="36676089" w14:textId="77777777" w:rsidR="001502EB" w:rsidRPr="00FD7E86" w:rsidRDefault="001502EB" w:rsidP="00CE55ED">
            <w:pPr>
              <w:spacing w:after="80"/>
              <w:jc w:val="right"/>
              <w:rPr>
                <w:sz w:val="18"/>
                <w:szCs w:val="18"/>
              </w:rPr>
            </w:pPr>
            <w:r w:rsidRPr="00FD7E86">
              <w:rPr>
                <w:sz w:val="18"/>
                <w:szCs w:val="18"/>
              </w:rPr>
              <w:t>n/a</w:t>
            </w:r>
          </w:p>
        </w:tc>
        <w:tc>
          <w:tcPr>
            <w:tcW w:w="1786" w:type="dxa"/>
            <w:shd w:val="clear" w:color="auto" w:fill="E9FBFB" w:themeFill="accent3"/>
          </w:tcPr>
          <w:p w14:paraId="36EF3505" w14:textId="77777777" w:rsidR="001502EB" w:rsidRPr="00FD7E86" w:rsidRDefault="001502EB" w:rsidP="00CE55ED">
            <w:pPr>
              <w:spacing w:after="80"/>
              <w:jc w:val="right"/>
              <w:rPr>
                <w:sz w:val="18"/>
                <w:szCs w:val="18"/>
              </w:rPr>
            </w:pPr>
            <w:r w:rsidRPr="00FD7E86">
              <w:rPr>
                <w:sz w:val="18"/>
                <w:szCs w:val="18"/>
              </w:rPr>
              <w:t>1,505</w:t>
            </w:r>
          </w:p>
        </w:tc>
      </w:tr>
      <w:tr w:rsidR="001502EB" w:rsidRPr="00FD7E86" w14:paraId="3886381F" w14:textId="77777777" w:rsidTr="0043535E">
        <w:tc>
          <w:tcPr>
            <w:tcW w:w="2296" w:type="dxa"/>
            <w:shd w:val="clear" w:color="auto" w:fill="65CDD5" w:themeFill="accent2"/>
          </w:tcPr>
          <w:p w14:paraId="3C4DBEBA" w14:textId="77777777" w:rsidR="001502EB" w:rsidRPr="00C05F4C" w:rsidRDefault="001502EB" w:rsidP="00CE55ED">
            <w:pPr>
              <w:spacing w:after="80"/>
              <w:rPr>
                <w:sz w:val="18"/>
                <w:szCs w:val="18"/>
              </w:rPr>
            </w:pPr>
            <w:r w:rsidRPr="00C05F4C">
              <w:rPr>
                <w:sz w:val="18"/>
                <w:szCs w:val="18"/>
              </w:rPr>
              <w:t>May-15</w:t>
            </w:r>
          </w:p>
        </w:tc>
        <w:tc>
          <w:tcPr>
            <w:tcW w:w="1783" w:type="dxa"/>
            <w:shd w:val="clear" w:color="auto" w:fill="E9FBFB" w:themeFill="accent3"/>
          </w:tcPr>
          <w:p w14:paraId="0D9AC196" w14:textId="77777777" w:rsidR="001502EB" w:rsidRPr="00FD7E86" w:rsidRDefault="001502EB" w:rsidP="00CE55ED">
            <w:pPr>
              <w:spacing w:after="80"/>
              <w:jc w:val="right"/>
              <w:rPr>
                <w:sz w:val="18"/>
                <w:szCs w:val="18"/>
              </w:rPr>
            </w:pPr>
            <w:r w:rsidRPr="00FD7E86">
              <w:rPr>
                <w:sz w:val="18"/>
                <w:szCs w:val="18"/>
              </w:rPr>
              <w:t>1,359</w:t>
            </w:r>
          </w:p>
        </w:tc>
        <w:tc>
          <w:tcPr>
            <w:tcW w:w="1779" w:type="dxa"/>
            <w:shd w:val="clear" w:color="auto" w:fill="E9FBFB" w:themeFill="accent3"/>
          </w:tcPr>
          <w:p w14:paraId="05014D12" w14:textId="77777777" w:rsidR="001502EB" w:rsidRPr="00FD7E86" w:rsidRDefault="001502EB" w:rsidP="00CE55ED">
            <w:pPr>
              <w:spacing w:after="80"/>
              <w:jc w:val="right"/>
              <w:rPr>
                <w:sz w:val="18"/>
                <w:szCs w:val="18"/>
              </w:rPr>
            </w:pPr>
            <w:r w:rsidRPr="00FD7E86">
              <w:rPr>
                <w:sz w:val="18"/>
                <w:szCs w:val="18"/>
              </w:rPr>
              <w:t>451</w:t>
            </w:r>
          </w:p>
        </w:tc>
        <w:tc>
          <w:tcPr>
            <w:tcW w:w="1785" w:type="dxa"/>
            <w:shd w:val="clear" w:color="auto" w:fill="E9FBFB" w:themeFill="accent3"/>
          </w:tcPr>
          <w:p w14:paraId="1DF65A26" w14:textId="77777777" w:rsidR="001502EB" w:rsidRPr="00FD7E86" w:rsidRDefault="001502EB" w:rsidP="00CE55ED">
            <w:pPr>
              <w:spacing w:after="80"/>
              <w:jc w:val="right"/>
              <w:rPr>
                <w:sz w:val="18"/>
                <w:szCs w:val="18"/>
              </w:rPr>
            </w:pPr>
            <w:r w:rsidRPr="00FD7E86">
              <w:rPr>
                <w:sz w:val="18"/>
                <w:szCs w:val="18"/>
              </w:rPr>
              <w:t>1,675</w:t>
            </w:r>
          </w:p>
        </w:tc>
        <w:tc>
          <w:tcPr>
            <w:tcW w:w="1786" w:type="dxa"/>
            <w:shd w:val="clear" w:color="auto" w:fill="E9FBFB" w:themeFill="accent3"/>
          </w:tcPr>
          <w:p w14:paraId="0EED1689" w14:textId="77777777" w:rsidR="001502EB" w:rsidRPr="00FD7E86" w:rsidRDefault="001502EB" w:rsidP="00CE55ED">
            <w:pPr>
              <w:spacing w:after="80"/>
              <w:jc w:val="right"/>
              <w:rPr>
                <w:sz w:val="18"/>
                <w:szCs w:val="18"/>
              </w:rPr>
            </w:pPr>
            <w:r w:rsidRPr="00FD7E86">
              <w:rPr>
                <w:sz w:val="18"/>
                <w:szCs w:val="18"/>
              </w:rPr>
              <w:t>1,810</w:t>
            </w:r>
          </w:p>
        </w:tc>
      </w:tr>
      <w:tr w:rsidR="001502EB" w:rsidRPr="00FD7E86" w14:paraId="7AF58D14" w14:textId="77777777" w:rsidTr="0043535E">
        <w:tc>
          <w:tcPr>
            <w:tcW w:w="2296" w:type="dxa"/>
            <w:shd w:val="clear" w:color="auto" w:fill="65CDD5" w:themeFill="accent2"/>
          </w:tcPr>
          <w:p w14:paraId="1023D980" w14:textId="77777777" w:rsidR="001502EB" w:rsidRPr="00C05F4C" w:rsidRDefault="001502EB" w:rsidP="00CE55ED">
            <w:pPr>
              <w:spacing w:after="80"/>
              <w:rPr>
                <w:sz w:val="18"/>
                <w:szCs w:val="18"/>
              </w:rPr>
            </w:pPr>
            <w:r w:rsidRPr="00C05F4C">
              <w:rPr>
                <w:sz w:val="18"/>
                <w:szCs w:val="18"/>
              </w:rPr>
              <w:t>May-14</w:t>
            </w:r>
          </w:p>
        </w:tc>
        <w:tc>
          <w:tcPr>
            <w:tcW w:w="1783" w:type="dxa"/>
            <w:shd w:val="clear" w:color="auto" w:fill="E9FBFB" w:themeFill="accent3"/>
          </w:tcPr>
          <w:p w14:paraId="4A5BCDFA" w14:textId="77777777" w:rsidR="001502EB" w:rsidRPr="00FD7E86" w:rsidRDefault="001502EB" w:rsidP="00CE55ED">
            <w:pPr>
              <w:spacing w:after="80"/>
              <w:jc w:val="right"/>
              <w:rPr>
                <w:sz w:val="18"/>
                <w:szCs w:val="18"/>
              </w:rPr>
            </w:pPr>
            <w:r w:rsidRPr="00FD7E86">
              <w:rPr>
                <w:sz w:val="18"/>
                <w:szCs w:val="18"/>
              </w:rPr>
              <w:t>1,323</w:t>
            </w:r>
          </w:p>
        </w:tc>
        <w:tc>
          <w:tcPr>
            <w:tcW w:w="1779" w:type="dxa"/>
            <w:shd w:val="clear" w:color="auto" w:fill="E9FBFB" w:themeFill="accent3"/>
          </w:tcPr>
          <w:p w14:paraId="3EF9DECA" w14:textId="77777777" w:rsidR="001502EB" w:rsidRPr="00FD7E86" w:rsidRDefault="001502EB" w:rsidP="00CE55ED">
            <w:pPr>
              <w:spacing w:after="80"/>
              <w:jc w:val="right"/>
              <w:rPr>
                <w:sz w:val="18"/>
                <w:szCs w:val="18"/>
              </w:rPr>
            </w:pPr>
            <w:r w:rsidRPr="00FD7E86">
              <w:rPr>
                <w:sz w:val="18"/>
                <w:szCs w:val="18"/>
              </w:rPr>
              <w:t>477</w:t>
            </w:r>
          </w:p>
        </w:tc>
        <w:tc>
          <w:tcPr>
            <w:tcW w:w="1785" w:type="dxa"/>
            <w:shd w:val="clear" w:color="auto" w:fill="E9FBFB" w:themeFill="accent3"/>
          </w:tcPr>
          <w:p w14:paraId="12E4C599" w14:textId="77777777" w:rsidR="001502EB" w:rsidRPr="00FD7E86" w:rsidRDefault="001502EB" w:rsidP="00CE55ED">
            <w:pPr>
              <w:spacing w:after="80"/>
              <w:jc w:val="right"/>
              <w:rPr>
                <w:sz w:val="18"/>
                <w:szCs w:val="18"/>
              </w:rPr>
            </w:pPr>
            <w:r w:rsidRPr="00FD7E86">
              <w:rPr>
                <w:sz w:val="18"/>
                <w:szCs w:val="18"/>
              </w:rPr>
              <w:t>1,673</w:t>
            </w:r>
          </w:p>
        </w:tc>
        <w:tc>
          <w:tcPr>
            <w:tcW w:w="1786" w:type="dxa"/>
            <w:shd w:val="clear" w:color="auto" w:fill="E9FBFB" w:themeFill="accent3"/>
          </w:tcPr>
          <w:p w14:paraId="6D7D4CBB" w14:textId="77777777" w:rsidR="001502EB" w:rsidRPr="00FD7E86" w:rsidRDefault="001502EB" w:rsidP="00CE55ED">
            <w:pPr>
              <w:spacing w:after="80"/>
              <w:jc w:val="right"/>
              <w:rPr>
                <w:sz w:val="18"/>
                <w:szCs w:val="18"/>
              </w:rPr>
            </w:pPr>
            <w:r w:rsidRPr="00FD7E86">
              <w:rPr>
                <w:sz w:val="18"/>
                <w:szCs w:val="18"/>
              </w:rPr>
              <w:t>1,800</w:t>
            </w:r>
          </w:p>
        </w:tc>
      </w:tr>
      <w:tr w:rsidR="001502EB" w:rsidRPr="00FD7E86" w14:paraId="5F61BF71" w14:textId="77777777" w:rsidTr="0043535E">
        <w:tc>
          <w:tcPr>
            <w:tcW w:w="2296" w:type="dxa"/>
            <w:shd w:val="clear" w:color="auto" w:fill="65CDD5" w:themeFill="accent2"/>
          </w:tcPr>
          <w:p w14:paraId="39322EE1" w14:textId="77777777" w:rsidR="001502EB" w:rsidRPr="00C05F4C" w:rsidRDefault="001502EB" w:rsidP="00CE55ED">
            <w:pPr>
              <w:spacing w:after="80"/>
              <w:rPr>
                <w:b/>
                <w:sz w:val="18"/>
                <w:szCs w:val="18"/>
              </w:rPr>
            </w:pPr>
            <w:r w:rsidRPr="00C05F4C">
              <w:rPr>
                <w:sz w:val="18"/>
                <w:szCs w:val="18"/>
              </w:rPr>
              <w:t>May-13</w:t>
            </w:r>
          </w:p>
        </w:tc>
        <w:tc>
          <w:tcPr>
            <w:tcW w:w="1783" w:type="dxa"/>
            <w:shd w:val="clear" w:color="auto" w:fill="E9FBFB" w:themeFill="accent3"/>
          </w:tcPr>
          <w:p w14:paraId="553D35E5" w14:textId="77777777" w:rsidR="001502EB" w:rsidRPr="00FD7E86" w:rsidRDefault="001502EB" w:rsidP="00CE55ED">
            <w:pPr>
              <w:spacing w:after="80"/>
              <w:jc w:val="right"/>
              <w:rPr>
                <w:sz w:val="18"/>
                <w:szCs w:val="18"/>
              </w:rPr>
            </w:pPr>
            <w:r w:rsidRPr="00FD7E86">
              <w:rPr>
                <w:sz w:val="18"/>
                <w:szCs w:val="18"/>
              </w:rPr>
              <w:t>2,003</w:t>
            </w:r>
          </w:p>
        </w:tc>
        <w:tc>
          <w:tcPr>
            <w:tcW w:w="1779" w:type="dxa"/>
            <w:shd w:val="clear" w:color="auto" w:fill="E9FBFB" w:themeFill="accent3"/>
          </w:tcPr>
          <w:p w14:paraId="284968F6" w14:textId="77777777" w:rsidR="001502EB" w:rsidRPr="00FD7E86" w:rsidRDefault="001502EB" w:rsidP="00CE55ED">
            <w:pPr>
              <w:spacing w:after="80"/>
              <w:jc w:val="right"/>
              <w:rPr>
                <w:sz w:val="18"/>
                <w:szCs w:val="18"/>
              </w:rPr>
            </w:pPr>
            <w:r w:rsidRPr="00FD7E86">
              <w:rPr>
                <w:sz w:val="18"/>
                <w:szCs w:val="18"/>
              </w:rPr>
              <w:t>405</w:t>
            </w:r>
          </w:p>
        </w:tc>
        <w:tc>
          <w:tcPr>
            <w:tcW w:w="1785" w:type="dxa"/>
            <w:shd w:val="clear" w:color="auto" w:fill="E9FBFB" w:themeFill="accent3"/>
          </w:tcPr>
          <w:p w14:paraId="234C65E2" w14:textId="77777777" w:rsidR="001502EB" w:rsidRPr="00FD7E86" w:rsidRDefault="001502EB" w:rsidP="00CE55ED">
            <w:pPr>
              <w:spacing w:after="80"/>
              <w:jc w:val="right"/>
              <w:rPr>
                <w:sz w:val="18"/>
                <w:szCs w:val="18"/>
              </w:rPr>
            </w:pPr>
            <w:r w:rsidRPr="00FD7E86">
              <w:rPr>
                <w:sz w:val="18"/>
                <w:szCs w:val="18"/>
              </w:rPr>
              <w:t>2,161</w:t>
            </w:r>
          </w:p>
        </w:tc>
        <w:tc>
          <w:tcPr>
            <w:tcW w:w="1786" w:type="dxa"/>
            <w:shd w:val="clear" w:color="auto" w:fill="E9FBFB" w:themeFill="accent3"/>
          </w:tcPr>
          <w:p w14:paraId="44ED51A3" w14:textId="77777777" w:rsidR="001502EB" w:rsidRPr="00FD7E86" w:rsidRDefault="001502EB" w:rsidP="00CE55ED">
            <w:pPr>
              <w:spacing w:after="80"/>
              <w:jc w:val="right"/>
              <w:rPr>
                <w:sz w:val="18"/>
                <w:szCs w:val="18"/>
              </w:rPr>
            </w:pPr>
            <w:r w:rsidRPr="00FD7E86">
              <w:rPr>
                <w:sz w:val="18"/>
                <w:szCs w:val="18"/>
              </w:rPr>
              <w:t>2408</w:t>
            </w:r>
          </w:p>
        </w:tc>
      </w:tr>
      <w:tr w:rsidR="001502EB" w:rsidRPr="00FD7E86" w14:paraId="26411518" w14:textId="77777777" w:rsidTr="0043535E">
        <w:tc>
          <w:tcPr>
            <w:tcW w:w="2296" w:type="dxa"/>
            <w:shd w:val="clear" w:color="auto" w:fill="65CDD5" w:themeFill="accent2"/>
          </w:tcPr>
          <w:p w14:paraId="43FA3B1A" w14:textId="77777777" w:rsidR="001502EB" w:rsidRPr="00C05F4C" w:rsidRDefault="001502EB" w:rsidP="00CE55ED">
            <w:pPr>
              <w:spacing w:after="80"/>
              <w:rPr>
                <w:b/>
                <w:sz w:val="18"/>
                <w:szCs w:val="18"/>
              </w:rPr>
            </w:pPr>
            <w:r w:rsidRPr="00C05F4C">
              <w:rPr>
                <w:sz w:val="18"/>
                <w:szCs w:val="18"/>
              </w:rPr>
              <w:t>May-12</w:t>
            </w:r>
          </w:p>
        </w:tc>
        <w:tc>
          <w:tcPr>
            <w:tcW w:w="1783" w:type="dxa"/>
            <w:shd w:val="clear" w:color="auto" w:fill="E9FBFB" w:themeFill="accent3"/>
          </w:tcPr>
          <w:p w14:paraId="71BA213E" w14:textId="77777777" w:rsidR="001502EB" w:rsidRPr="00FD7E86" w:rsidRDefault="001502EB" w:rsidP="00CE55ED">
            <w:pPr>
              <w:spacing w:after="80"/>
              <w:jc w:val="right"/>
              <w:rPr>
                <w:sz w:val="18"/>
                <w:szCs w:val="18"/>
              </w:rPr>
            </w:pPr>
            <w:r w:rsidRPr="00FD7E86">
              <w:rPr>
                <w:sz w:val="18"/>
                <w:szCs w:val="18"/>
              </w:rPr>
              <w:t>1,704</w:t>
            </w:r>
          </w:p>
        </w:tc>
        <w:tc>
          <w:tcPr>
            <w:tcW w:w="1779" w:type="dxa"/>
            <w:shd w:val="clear" w:color="auto" w:fill="E9FBFB" w:themeFill="accent3"/>
          </w:tcPr>
          <w:p w14:paraId="0C9A4EB3" w14:textId="77777777" w:rsidR="001502EB" w:rsidRPr="00FD7E86" w:rsidRDefault="001502EB" w:rsidP="00CE55ED">
            <w:pPr>
              <w:spacing w:after="80"/>
              <w:jc w:val="right"/>
              <w:rPr>
                <w:sz w:val="18"/>
                <w:szCs w:val="18"/>
              </w:rPr>
            </w:pPr>
            <w:r w:rsidRPr="00FD7E86">
              <w:rPr>
                <w:sz w:val="18"/>
                <w:szCs w:val="18"/>
              </w:rPr>
              <w:t>501</w:t>
            </w:r>
          </w:p>
        </w:tc>
        <w:tc>
          <w:tcPr>
            <w:tcW w:w="1785" w:type="dxa"/>
            <w:shd w:val="clear" w:color="auto" w:fill="E9FBFB" w:themeFill="accent3"/>
          </w:tcPr>
          <w:p w14:paraId="16C9D038" w14:textId="77777777" w:rsidR="001502EB" w:rsidRPr="00FD7E86" w:rsidRDefault="001502EB" w:rsidP="00CE55ED">
            <w:pPr>
              <w:spacing w:after="80"/>
              <w:jc w:val="right"/>
              <w:rPr>
                <w:sz w:val="18"/>
                <w:szCs w:val="18"/>
              </w:rPr>
            </w:pPr>
            <w:r w:rsidRPr="00FD7E86">
              <w:rPr>
                <w:sz w:val="18"/>
                <w:szCs w:val="18"/>
              </w:rPr>
              <w:t>1,859</w:t>
            </w:r>
          </w:p>
        </w:tc>
        <w:tc>
          <w:tcPr>
            <w:tcW w:w="1786" w:type="dxa"/>
            <w:shd w:val="clear" w:color="auto" w:fill="E9FBFB" w:themeFill="accent3"/>
          </w:tcPr>
          <w:p w14:paraId="5745A7BE" w14:textId="77777777" w:rsidR="001502EB" w:rsidRPr="00FD7E86" w:rsidRDefault="001502EB" w:rsidP="00CE55ED">
            <w:pPr>
              <w:spacing w:after="80"/>
              <w:jc w:val="right"/>
              <w:rPr>
                <w:sz w:val="18"/>
                <w:szCs w:val="18"/>
              </w:rPr>
            </w:pPr>
            <w:r w:rsidRPr="00FD7E86">
              <w:rPr>
                <w:sz w:val="18"/>
                <w:szCs w:val="18"/>
              </w:rPr>
              <w:t>2205</w:t>
            </w:r>
          </w:p>
        </w:tc>
      </w:tr>
    </w:tbl>
    <w:p w14:paraId="29D2F0DE" w14:textId="77777777" w:rsidR="0043535E" w:rsidRPr="00FD7E86" w:rsidRDefault="0043535E" w:rsidP="0043535E">
      <w:pPr>
        <w:pStyle w:val="ACMANotes"/>
      </w:pPr>
      <w:r w:rsidRPr="00FD7E86">
        <w:t>n/a=not applicable.</w:t>
      </w:r>
    </w:p>
    <w:p w14:paraId="1C6F4280" w14:textId="77777777" w:rsidR="001502EB" w:rsidRPr="00FD7E86" w:rsidRDefault="00D04689" w:rsidP="000664F7">
      <w:pPr>
        <w:pStyle w:val="ACMANotes"/>
      </w:pPr>
      <w:r w:rsidRPr="00FD7E86">
        <w:t>*</w:t>
      </w:r>
      <w:r w:rsidR="001502EB" w:rsidRPr="00FD7E86">
        <w:t>This sample reflects a nominated quota in the design of the survey.</w:t>
      </w:r>
    </w:p>
    <w:p w14:paraId="7356F7C5" w14:textId="77777777" w:rsidR="00E450B7" w:rsidRPr="00FD7E86" w:rsidRDefault="00E450B7" w:rsidP="00216D8C">
      <w:pPr>
        <w:pStyle w:val="ACMASpaceaftertable"/>
        <w:rPr>
          <w:i/>
          <w:sz w:val="16"/>
          <w:szCs w:val="16"/>
        </w:rPr>
      </w:pPr>
    </w:p>
    <w:p w14:paraId="6A6C4783" w14:textId="77777777" w:rsidR="001502EB" w:rsidRPr="00110E17" w:rsidRDefault="001502EB" w:rsidP="00C05F4C">
      <w:pPr>
        <w:keepNext/>
        <w:spacing w:after="160"/>
      </w:pPr>
      <w:bookmarkStart w:id="539" w:name="_Toc433790445"/>
      <w:bookmarkStart w:id="540" w:name="_Toc421883181"/>
      <w:bookmarkStart w:id="541" w:name="_Toc368645538"/>
      <w:bookmarkStart w:id="542" w:name="_Toc377481469"/>
      <w:r w:rsidRPr="00C05F4C">
        <w:rPr>
          <w:b/>
        </w:rPr>
        <w:lastRenderedPageBreak/>
        <w:t xml:space="preserve">Table </w:t>
      </w:r>
      <w:r w:rsidR="00C16FE1">
        <w:rPr>
          <w:b/>
        </w:rPr>
        <w:t>A</w:t>
      </w:r>
      <w:r w:rsidRPr="00C05F4C">
        <w:rPr>
          <w:b/>
        </w:rPr>
        <w:t>2 Research sample age subsets for ACMA-commissioned survey May-15</w:t>
      </w:r>
      <w:bookmarkEnd w:id="539"/>
      <w:r w:rsidRPr="00C05F4C">
        <w:rPr>
          <w:b/>
        </w:rPr>
        <w:t xml:space="preserve"> </w:t>
      </w:r>
    </w:p>
    <w:tbl>
      <w:tblPr>
        <w:tblStyle w:val="TableGrid"/>
        <w:tblW w:w="94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Caption w:val="Table A2 Research sample age subsets for ACMA-commissioned survey May-15 "/>
      </w:tblPr>
      <w:tblGrid>
        <w:gridCol w:w="5825"/>
        <w:gridCol w:w="1944"/>
        <w:gridCol w:w="1660"/>
      </w:tblGrid>
      <w:tr w:rsidR="00AA6D27" w:rsidRPr="00B7641B" w14:paraId="5BBC79F1" w14:textId="77777777" w:rsidTr="00B7641B">
        <w:trPr>
          <w:trHeight w:val="562"/>
          <w:tblHeader/>
        </w:trPr>
        <w:tc>
          <w:tcPr>
            <w:tcW w:w="5523" w:type="dxa"/>
          </w:tcPr>
          <w:p w14:paraId="57004BAC" w14:textId="77777777" w:rsidR="001502EB" w:rsidRPr="00B7641B" w:rsidRDefault="001502EB" w:rsidP="00B7641B">
            <w:pPr>
              <w:pStyle w:val="TableHeading"/>
              <w:keepNext/>
              <w:spacing w:before="20" w:after="40"/>
              <w:jc w:val="right"/>
              <w:rPr>
                <w:sz w:val="18"/>
                <w:szCs w:val="18"/>
              </w:rPr>
            </w:pPr>
          </w:p>
        </w:tc>
        <w:tc>
          <w:tcPr>
            <w:tcW w:w="1843" w:type="dxa"/>
            <w:shd w:val="clear" w:color="auto" w:fill="00ADBB" w:themeFill="accent1"/>
          </w:tcPr>
          <w:p w14:paraId="4163F295" w14:textId="77777777" w:rsidR="001502EB" w:rsidRPr="00B7641B" w:rsidRDefault="001502EB" w:rsidP="00B7641B">
            <w:pPr>
              <w:pStyle w:val="TableHeading"/>
              <w:keepNext/>
              <w:spacing w:before="20" w:after="40"/>
              <w:jc w:val="right"/>
              <w:rPr>
                <w:color w:val="FFFFFF" w:themeColor="background1"/>
                <w:sz w:val="18"/>
                <w:szCs w:val="18"/>
              </w:rPr>
            </w:pPr>
            <w:r w:rsidRPr="00B7641B">
              <w:rPr>
                <w:color w:val="FFFFFF" w:themeColor="background1"/>
                <w:sz w:val="18"/>
                <w:szCs w:val="18"/>
              </w:rPr>
              <w:t xml:space="preserve">Accessed the internet </w:t>
            </w:r>
          </w:p>
        </w:tc>
        <w:tc>
          <w:tcPr>
            <w:tcW w:w="1574" w:type="dxa"/>
            <w:shd w:val="clear" w:color="auto" w:fill="00ADBB" w:themeFill="accent1"/>
          </w:tcPr>
          <w:p w14:paraId="325E0397" w14:textId="77777777" w:rsidR="001502EB" w:rsidRPr="00B7641B" w:rsidRDefault="001502EB" w:rsidP="00B7641B">
            <w:pPr>
              <w:pStyle w:val="TableHeading"/>
              <w:keepNext/>
              <w:spacing w:before="20" w:after="40"/>
              <w:jc w:val="right"/>
              <w:rPr>
                <w:color w:val="FFFFFF" w:themeColor="background1"/>
                <w:sz w:val="18"/>
                <w:szCs w:val="18"/>
              </w:rPr>
            </w:pPr>
            <w:r w:rsidRPr="00B7641B">
              <w:rPr>
                <w:color w:val="FFFFFF" w:themeColor="background1"/>
                <w:sz w:val="18"/>
                <w:szCs w:val="18"/>
              </w:rPr>
              <w:t>Total</w:t>
            </w:r>
          </w:p>
        </w:tc>
      </w:tr>
      <w:tr w:rsidR="00AA6D27" w:rsidRPr="00FD7E86" w14:paraId="6DFB2F0B" w14:textId="77777777" w:rsidTr="00C9433B">
        <w:trPr>
          <w:trHeight w:val="307"/>
        </w:trPr>
        <w:tc>
          <w:tcPr>
            <w:tcW w:w="5523" w:type="dxa"/>
            <w:shd w:val="clear" w:color="auto" w:fill="65CDD5" w:themeFill="accent2"/>
          </w:tcPr>
          <w:p w14:paraId="689EF454" w14:textId="77777777" w:rsidR="001502EB" w:rsidRPr="00C05F4C" w:rsidRDefault="001502EB" w:rsidP="00780BD1">
            <w:pPr>
              <w:keepNext/>
              <w:keepLines/>
              <w:spacing w:after="80"/>
              <w:rPr>
                <w:sz w:val="18"/>
                <w:szCs w:val="18"/>
              </w:rPr>
            </w:pPr>
            <w:r w:rsidRPr="00C05F4C">
              <w:rPr>
                <w:sz w:val="18"/>
                <w:szCs w:val="18"/>
              </w:rPr>
              <w:t>18–24</w:t>
            </w:r>
          </w:p>
        </w:tc>
        <w:tc>
          <w:tcPr>
            <w:tcW w:w="1843" w:type="dxa"/>
            <w:shd w:val="clear" w:color="auto" w:fill="E9FBFB" w:themeFill="accent3"/>
            <w:vAlign w:val="bottom"/>
          </w:tcPr>
          <w:p w14:paraId="35103C4B" w14:textId="77777777" w:rsidR="001502EB" w:rsidRPr="00FD7E86" w:rsidRDefault="001502EB" w:rsidP="00780BD1">
            <w:pPr>
              <w:keepNext/>
              <w:keepLines/>
              <w:spacing w:after="80"/>
              <w:jc w:val="right"/>
              <w:rPr>
                <w:rFonts w:cs="Arial"/>
                <w:sz w:val="18"/>
                <w:szCs w:val="18"/>
              </w:rPr>
            </w:pPr>
            <w:r w:rsidRPr="00FD7E86">
              <w:rPr>
                <w:rFonts w:cs="Arial"/>
                <w:sz w:val="18"/>
                <w:szCs w:val="18"/>
              </w:rPr>
              <w:t>228</w:t>
            </w:r>
          </w:p>
        </w:tc>
        <w:tc>
          <w:tcPr>
            <w:tcW w:w="1574" w:type="dxa"/>
            <w:shd w:val="clear" w:color="auto" w:fill="E9FBFB" w:themeFill="accent3"/>
          </w:tcPr>
          <w:p w14:paraId="4AE5D3CD" w14:textId="77777777" w:rsidR="001502EB" w:rsidRPr="00FD7E86" w:rsidRDefault="001502EB" w:rsidP="00780BD1">
            <w:pPr>
              <w:keepNext/>
              <w:keepLines/>
              <w:spacing w:after="80"/>
              <w:jc w:val="right"/>
              <w:rPr>
                <w:rFonts w:cs="Arial"/>
                <w:sz w:val="18"/>
                <w:szCs w:val="18"/>
              </w:rPr>
            </w:pPr>
            <w:r w:rsidRPr="00FD7E86">
              <w:rPr>
                <w:rFonts w:cs="Arial"/>
                <w:sz w:val="18"/>
                <w:szCs w:val="18"/>
              </w:rPr>
              <w:t>230</w:t>
            </w:r>
          </w:p>
        </w:tc>
      </w:tr>
      <w:tr w:rsidR="00AA6D27" w:rsidRPr="00FD7E86" w14:paraId="32B0715A" w14:textId="77777777" w:rsidTr="00C9433B">
        <w:trPr>
          <w:trHeight w:val="307"/>
        </w:trPr>
        <w:tc>
          <w:tcPr>
            <w:tcW w:w="5523" w:type="dxa"/>
            <w:shd w:val="clear" w:color="auto" w:fill="65CDD5" w:themeFill="accent2"/>
          </w:tcPr>
          <w:p w14:paraId="5848B573" w14:textId="77777777" w:rsidR="001502EB" w:rsidRPr="00C05F4C" w:rsidRDefault="001502EB" w:rsidP="00780BD1">
            <w:pPr>
              <w:keepNext/>
              <w:keepLines/>
              <w:spacing w:after="80"/>
              <w:rPr>
                <w:sz w:val="18"/>
                <w:szCs w:val="18"/>
              </w:rPr>
            </w:pPr>
            <w:r w:rsidRPr="00C05F4C">
              <w:rPr>
                <w:sz w:val="18"/>
                <w:szCs w:val="18"/>
              </w:rPr>
              <w:t>25–34</w:t>
            </w:r>
          </w:p>
        </w:tc>
        <w:tc>
          <w:tcPr>
            <w:tcW w:w="1843" w:type="dxa"/>
            <w:shd w:val="clear" w:color="auto" w:fill="E9FBFB" w:themeFill="accent3"/>
            <w:vAlign w:val="bottom"/>
          </w:tcPr>
          <w:p w14:paraId="7865F1BD" w14:textId="77777777" w:rsidR="001502EB" w:rsidRPr="00FD7E86" w:rsidRDefault="001502EB" w:rsidP="00780BD1">
            <w:pPr>
              <w:keepNext/>
              <w:keepLines/>
              <w:spacing w:after="80"/>
              <w:jc w:val="right"/>
              <w:rPr>
                <w:rFonts w:cs="Arial"/>
                <w:sz w:val="18"/>
                <w:szCs w:val="18"/>
              </w:rPr>
            </w:pPr>
            <w:r w:rsidRPr="00FD7E86">
              <w:rPr>
                <w:rFonts w:cs="Arial"/>
                <w:sz w:val="18"/>
                <w:szCs w:val="18"/>
              </w:rPr>
              <w:t>305</w:t>
            </w:r>
          </w:p>
        </w:tc>
        <w:tc>
          <w:tcPr>
            <w:tcW w:w="1574" w:type="dxa"/>
            <w:shd w:val="clear" w:color="auto" w:fill="E9FBFB" w:themeFill="accent3"/>
          </w:tcPr>
          <w:p w14:paraId="79F7CE40" w14:textId="77777777" w:rsidR="001502EB" w:rsidRPr="00FD7E86" w:rsidRDefault="001502EB" w:rsidP="00780BD1">
            <w:pPr>
              <w:keepNext/>
              <w:keepLines/>
              <w:spacing w:after="80"/>
              <w:jc w:val="right"/>
              <w:rPr>
                <w:rFonts w:cs="Arial"/>
                <w:sz w:val="18"/>
                <w:szCs w:val="18"/>
              </w:rPr>
            </w:pPr>
            <w:r w:rsidRPr="00FD7E86">
              <w:rPr>
                <w:rFonts w:cs="Arial"/>
                <w:sz w:val="18"/>
                <w:szCs w:val="18"/>
              </w:rPr>
              <w:t>306</w:t>
            </w:r>
          </w:p>
        </w:tc>
      </w:tr>
      <w:tr w:rsidR="00AA6D27" w:rsidRPr="00FD7E86" w14:paraId="22DF65CB" w14:textId="77777777" w:rsidTr="00C9433B">
        <w:trPr>
          <w:trHeight w:val="319"/>
        </w:trPr>
        <w:tc>
          <w:tcPr>
            <w:tcW w:w="5523" w:type="dxa"/>
            <w:shd w:val="clear" w:color="auto" w:fill="65CDD5" w:themeFill="accent2"/>
          </w:tcPr>
          <w:p w14:paraId="35F9462A" w14:textId="77777777" w:rsidR="001502EB" w:rsidRPr="00C05F4C" w:rsidRDefault="001502EB" w:rsidP="00780BD1">
            <w:pPr>
              <w:keepNext/>
              <w:keepLines/>
              <w:spacing w:after="80"/>
              <w:rPr>
                <w:sz w:val="18"/>
                <w:szCs w:val="18"/>
              </w:rPr>
            </w:pPr>
            <w:r w:rsidRPr="00C05F4C">
              <w:rPr>
                <w:sz w:val="18"/>
                <w:szCs w:val="18"/>
              </w:rPr>
              <w:t>35–44</w:t>
            </w:r>
          </w:p>
        </w:tc>
        <w:tc>
          <w:tcPr>
            <w:tcW w:w="1843" w:type="dxa"/>
            <w:shd w:val="clear" w:color="auto" w:fill="E9FBFB" w:themeFill="accent3"/>
            <w:vAlign w:val="bottom"/>
          </w:tcPr>
          <w:p w14:paraId="37058323" w14:textId="77777777" w:rsidR="001502EB" w:rsidRPr="00FD7E86" w:rsidRDefault="001502EB" w:rsidP="00780BD1">
            <w:pPr>
              <w:keepNext/>
              <w:keepLines/>
              <w:spacing w:after="80"/>
              <w:jc w:val="right"/>
              <w:rPr>
                <w:rFonts w:cs="Arial"/>
                <w:sz w:val="18"/>
                <w:szCs w:val="18"/>
              </w:rPr>
            </w:pPr>
            <w:r w:rsidRPr="00FD7E86">
              <w:rPr>
                <w:rFonts w:cs="Arial"/>
                <w:sz w:val="18"/>
                <w:szCs w:val="18"/>
              </w:rPr>
              <w:t>283</w:t>
            </w:r>
          </w:p>
        </w:tc>
        <w:tc>
          <w:tcPr>
            <w:tcW w:w="1574" w:type="dxa"/>
            <w:shd w:val="clear" w:color="auto" w:fill="E9FBFB" w:themeFill="accent3"/>
          </w:tcPr>
          <w:p w14:paraId="6984B34C" w14:textId="77777777" w:rsidR="001502EB" w:rsidRPr="00FD7E86" w:rsidRDefault="001502EB" w:rsidP="00780BD1">
            <w:pPr>
              <w:keepNext/>
              <w:keepLines/>
              <w:spacing w:after="80"/>
              <w:jc w:val="right"/>
              <w:rPr>
                <w:rFonts w:cs="Arial"/>
                <w:sz w:val="18"/>
                <w:szCs w:val="18"/>
              </w:rPr>
            </w:pPr>
            <w:r w:rsidRPr="00FD7E86">
              <w:rPr>
                <w:rFonts w:cs="Arial"/>
                <w:sz w:val="18"/>
                <w:szCs w:val="18"/>
              </w:rPr>
              <w:t>290</w:t>
            </w:r>
          </w:p>
        </w:tc>
      </w:tr>
      <w:tr w:rsidR="00AA6D27" w:rsidRPr="00FD7E86" w14:paraId="02A19488" w14:textId="77777777" w:rsidTr="00C9433B">
        <w:trPr>
          <w:trHeight w:val="307"/>
        </w:trPr>
        <w:tc>
          <w:tcPr>
            <w:tcW w:w="5523" w:type="dxa"/>
            <w:shd w:val="clear" w:color="auto" w:fill="65CDD5" w:themeFill="accent2"/>
          </w:tcPr>
          <w:p w14:paraId="6F50E7E6" w14:textId="77777777" w:rsidR="001502EB" w:rsidRPr="00C05F4C" w:rsidRDefault="001502EB" w:rsidP="00780BD1">
            <w:pPr>
              <w:keepNext/>
              <w:keepLines/>
              <w:spacing w:after="80"/>
              <w:rPr>
                <w:sz w:val="18"/>
                <w:szCs w:val="18"/>
              </w:rPr>
            </w:pPr>
            <w:r w:rsidRPr="00C05F4C">
              <w:rPr>
                <w:sz w:val="18"/>
                <w:szCs w:val="18"/>
              </w:rPr>
              <w:t>45–54</w:t>
            </w:r>
          </w:p>
        </w:tc>
        <w:tc>
          <w:tcPr>
            <w:tcW w:w="1843" w:type="dxa"/>
            <w:shd w:val="clear" w:color="auto" w:fill="E9FBFB" w:themeFill="accent3"/>
            <w:vAlign w:val="bottom"/>
          </w:tcPr>
          <w:p w14:paraId="0DDD4384" w14:textId="77777777" w:rsidR="001502EB" w:rsidRPr="00FD7E86" w:rsidRDefault="001502EB" w:rsidP="00780BD1">
            <w:pPr>
              <w:keepNext/>
              <w:keepLines/>
              <w:spacing w:after="80"/>
              <w:jc w:val="right"/>
              <w:rPr>
                <w:rFonts w:cs="Arial"/>
                <w:sz w:val="18"/>
                <w:szCs w:val="18"/>
              </w:rPr>
            </w:pPr>
            <w:r w:rsidRPr="00FD7E86">
              <w:rPr>
                <w:rFonts w:cs="Arial"/>
                <w:sz w:val="18"/>
                <w:szCs w:val="18"/>
              </w:rPr>
              <w:t>304</w:t>
            </w:r>
          </w:p>
        </w:tc>
        <w:tc>
          <w:tcPr>
            <w:tcW w:w="1574" w:type="dxa"/>
            <w:shd w:val="clear" w:color="auto" w:fill="E9FBFB" w:themeFill="accent3"/>
          </w:tcPr>
          <w:p w14:paraId="7C73D439" w14:textId="77777777" w:rsidR="001502EB" w:rsidRPr="00FD7E86" w:rsidRDefault="001502EB" w:rsidP="00780BD1">
            <w:pPr>
              <w:keepNext/>
              <w:keepLines/>
              <w:spacing w:after="80"/>
              <w:jc w:val="right"/>
              <w:rPr>
                <w:rFonts w:cs="Arial"/>
                <w:sz w:val="18"/>
                <w:szCs w:val="18"/>
              </w:rPr>
            </w:pPr>
            <w:r w:rsidRPr="00FD7E86">
              <w:rPr>
                <w:rFonts w:cs="Arial"/>
                <w:sz w:val="18"/>
                <w:szCs w:val="18"/>
              </w:rPr>
              <w:t>314</w:t>
            </w:r>
          </w:p>
        </w:tc>
      </w:tr>
      <w:tr w:rsidR="00AA6D27" w:rsidRPr="00FD7E86" w14:paraId="6B838F52" w14:textId="77777777" w:rsidTr="00C9433B">
        <w:trPr>
          <w:trHeight w:val="307"/>
        </w:trPr>
        <w:tc>
          <w:tcPr>
            <w:tcW w:w="5523" w:type="dxa"/>
            <w:shd w:val="clear" w:color="auto" w:fill="65CDD5" w:themeFill="accent2"/>
          </w:tcPr>
          <w:p w14:paraId="0BCBE8C5" w14:textId="77777777" w:rsidR="001502EB" w:rsidRPr="00C05F4C" w:rsidRDefault="001502EB" w:rsidP="00780BD1">
            <w:pPr>
              <w:keepNext/>
              <w:keepLines/>
              <w:spacing w:after="80"/>
              <w:rPr>
                <w:sz w:val="18"/>
                <w:szCs w:val="18"/>
              </w:rPr>
            </w:pPr>
            <w:r w:rsidRPr="00C05F4C">
              <w:rPr>
                <w:sz w:val="18"/>
                <w:szCs w:val="18"/>
              </w:rPr>
              <w:t>55–64</w:t>
            </w:r>
          </w:p>
        </w:tc>
        <w:tc>
          <w:tcPr>
            <w:tcW w:w="1843" w:type="dxa"/>
            <w:shd w:val="clear" w:color="auto" w:fill="E9FBFB" w:themeFill="accent3"/>
            <w:vAlign w:val="bottom"/>
          </w:tcPr>
          <w:p w14:paraId="28AD8C5C" w14:textId="77777777" w:rsidR="001502EB" w:rsidRPr="00FD7E86" w:rsidRDefault="001502EB" w:rsidP="00780BD1">
            <w:pPr>
              <w:keepNext/>
              <w:keepLines/>
              <w:spacing w:after="80"/>
              <w:jc w:val="right"/>
              <w:rPr>
                <w:rFonts w:cs="Arial"/>
                <w:color w:val="000000"/>
                <w:sz w:val="18"/>
                <w:szCs w:val="18"/>
              </w:rPr>
            </w:pPr>
            <w:r w:rsidRPr="00FD7E86">
              <w:rPr>
                <w:rFonts w:cs="Arial"/>
                <w:color w:val="000000"/>
                <w:sz w:val="18"/>
                <w:szCs w:val="18"/>
              </w:rPr>
              <w:t>283</w:t>
            </w:r>
          </w:p>
        </w:tc>
        <w:tc>
          <w:tcPr>
            <w:tcW w:w="1574" w:type="dxa"/>
            <w:shd w:val="clear" w:color="auto" w:fill="E9FBFB" w:themeFill="accent3"/>
          </w:tcPr>
          <w:p w14:paraId="24EE7823" w14:textId="77777777" w:rsidR="001502EB" w:rsidRPr="00FD7E86" w:rsidRDefault="001502EB" w:rsidP="00780BD1">
            <w:pPr>
              <w:keepNext/>
              <w:keepLines/>
              <w:spacing w:after="80"/>
              <w:jc w:val="right"/>
              <w:rPr>
                <w:rFonts w:cs="Arial"/>
                <w:color w:val="000000"/>
                <w:sz w:val="18"/>
                <w:szCs w:val="18"/>
              </w:rPr>
            </w:pPr>
            <w:r w:rsidRPr="00FD7E86">
              <w:rPr>
                <w:rFonts w:cs="Arial"/>
                <w:color w:val="000000"/>
                <w:sz w:val="18"/>
                <w:szCs w:val="18"/>
              </w:rPr>
              <w:t>301</w:t>
            </w:r>
          </w:p>
        </w:tc>
      </w:tr>
      <w:tr w:rsidR="00AA6D27" w:rsidRPr="00FD7E86" w14:paraId="35651777" w14:textId="77777777" w:rsidTr="00C9433B">
        <w:trPr>
          <w:trHeight w:val="319"/>
        </w:trPr>
        <w:tc>
          <w:tcPr>
            <w:tcW w:w="5523" w:type="dxa"/>
            <w:shd w:val="clear" w:color="auto" w:fill="65CDD5" w:themeFill="accent2"/>
          </w:tcPr>
          <w:p w14:paraId="311E329D" w14:textId="77777777" w:rsidR="001502EB" w:rsidRPr="00C05F4C" w:rsidRDefault="001502EB" w:rsidP="00780BD1">
            <w:pPr>
              <w:keepNext/>
              <w:keepLines/>
              <w:spacing w:after="80"/>
              <w:rPr>
                <w:sz w:val="18"/>
                <w:szCs w:val="18"/>
              </w:rPr>
            </w:pPr>
            <w:r w:rsidRPr="00C05F4C">
              <w:rPr>
                <w:sz w:val="18"/>
                <w:szCs w:val="18"/>
              </w:rPr>
              <w:t>65+</w:t>
            </w:r>
          </w:p>
        </w:tc>
        <w:tc>
          <w:tcPr>
            <w:tcW w:w="1843" w:type="dxa"/>
            <w:shd w:val="clear" w:color="auto" w:fill="E9FBFB" w:themeFill="accent3"/>
            <w:vAlign w:val="bottom"/>
          </w:tcPr>
          <w:p w14:paraId="6E888FF7" w14:textId="77777777" w:rsidR="001502EB" w:rsidRPr="00FD7E86" w:rsidRDefault="001502EB" w:rsidP="00780BD1">
            <w:pPr>
              <w:keepNext/>
              <w:keepLines/>
              <w:spacing w:after="80"/>
              <w:jc w:val="right"/>
              <w:rPr>
                <w:rFonts w:cs="Arial"/>
                <w:color w:val="000000"/>
                <w:sz w:val="18"/>
                <w:szCs w:val="18"/>
              </w:rPr>
            </w:pPr>
            <w:r w:rsidRPr="00FD7E86">
              <w:rPr>
                <w:rFonts w:cs="Arial"/>
                <w:color w:val="000000"/>
                <w:sz w:val="18"/>
                <w:szCs w:val="18"/>
              </w:rPr>
              <w:t>267</w:t>
            </w:r>
          </w:p>
        </w:tc>
        <w:tc>
          <w:tcPr>
            <w:tcW w:w="1574" w:type="dxa"/>
            <w:shd w:val="clear" w:color="auto" w:fill="E9FBFB" w:themeFill="accent3"/>
          </w:tcPr>
          <w:p w14:paraId="0807FC42" w14:textId="77777777" w:rsidR="001502EB" w:rsidRPr="00FD7E86" w:rsidRDefault="001502EB" w:rsidP="00780BD1">
            <w:pPr>
              <w:keepNext/>
              <w:keepLines/>
              <w:spacing w:after="80"/>
              <w:jc w:val="right"/>
              <w:rPr>
                <w:rFonts w:cs="Arial"/>
                <w:color w:val="000000"/>
                <w:sz w:val="18"/>
                <w:szCs w:val="18"/>
              </w:rPr>
            </w:pPr>
            <w:r w:rsidRPr="00FD7E86">
              <w:rPr>
                <w:rFonts w:cs="Arial"/>
                <w:color w:val="000000"/>
                <w:sz w:val="18"/>
                <w:szCs w:val="18"/>
              </w:rPr>
              <w:t>364</w:t>
            </w:r>
          </w:p>
        </w:tc>
      </w:tr>
    </w:tbl>
    <w:p w14:paraId="0241FF82" w14:textId="77777777" w:rsidR="001502EB" w:rsidRPr="00FD7E86" w:rsidRDefault="001502EB" w:rsidP="00780BD1">
      <w:pPr>
        <w:pStyle w:val="ACMANotes"/>
        <w:keepNext/>
        <w:keepLines/>
      </w:pPr>
      <w:r w:rsidRPr="00FD7E86">
        <w:t xml:space="preserve">Note: </w:t>
      </w:r>
      <w:r w:rsidR="0043535E" w:rsidRPr="00FD7E86">
        <w:t>‘</w:t>
      </w:r>
      <w:r w:rsidRPr="00FD7E86">
        <w:t>Refused</w:t>
      </w:r>
      <w:r w:rsidR="0043535E" w:rsidRPr="00FD7E86">
        <w:t>’</w:t>
      </w:r>
      <w:r w:rsidRPr="00FD7E86">
        <w:t xml:space="preserve"> not included in the table (n=5).</w:t>
      </w:r>
    </w:p>
    <w:p w14:paraId="38F3D872" w14:textId="77777777" w:rsidR="00E450B7" w:rsidRPr="00FD7E86" w:rsidRDefault="00E450B7" w:rsidP="00216D8C">
      <w:pPr>
        <w:pStyle w:val="ACMASpaceaftertable"/>
        <w:rPr>
          <w:i/>
          <w:sz w:val="16"/>
          <w:szCs w:val="16"/>
        </w:rPr>
      </w:pPr>
    </w:p>
    <w:p w14:paraId="7DC36C6C" w14:textId="77777777" w:rsidR="001502EB" w:rsidRPr="00FD7E86" w:rsidRDefault="001502EB" w:rsidP="001502EB">
      <w:pPr>
        <w:pStyle w:val="BodySubHeader"/>
      </w:pPr>
      <w:r w:rsidRPr="00FD7E86">
        <w:t>Australian population</w:t>
      </w:r>
    </w:p>
    <w:p w14:paraId="4D23685D" w14:textId="77777777" w:rsidR="001502EB" w:rsidRPr="00FD7E86" w:rsidRDefault="00DB59A1" w:rsidP="000664F7">
      <w:pPr>
        <w:spacing w:after="80"/>
      </w:pPr>
      <w:r w:rsidRPr="00FD7E86">
        <w:t>For the 2015 ACMA-commissioned surveys</w:t>
      </w:r>
      <w:r w:rsidR="0076632E" w:rsidRPr="00FD7E86">
        <w:t>,</w:t>
      </w:r>
      <w:r w:rsidRPr="00FD7E86">
        <w:t xml:space="preserve"> the </w:t>
      </w:r>
      <w:r w:rsidR="00C22142" w:rsidRPr="00FD7E86">
        <w:t>t</w:t>
      </w:r>
      <w:r w:rsidR="001502EB" w:rsidRPr="00FD7E86">
        <w:t>otal population estimate for Australian adults aged 18 and over is 18,202,000</w:t>
      </w:r>
      <w:r w:rsidR="0076632E" w:rsidRPr="00FD7E86">
        <w:t>,</w:t>
      </w:r>
      <w:r w:rsidR="001502EB" w:rsidRPr="00FD7E86">
        <w:t xml:space="preserve"> based on </w:t>
      </w:r>
      <w:r w:rsidR="001502EB" w:rsidRPr="00FD7E86">
        <w:rPr>
          <w:i/>
        </w:rPr>
        <w:t>ABS data table 3101.0 Australian Demographic Statistics, March 2015</w:t>
      </w:r>
      <w:r w:rsidR="001502EB" w:rsidRPr="00FD7E86">
        <w:t>.</w:t>
      </w:r>
    </w:p>
    <w:p w14:paraId="62679ECF" w14:textId="77777777" w:rsidR="00763375" w:rsidRPr="00FD7E86" w:rsidRDefault="00763375" w:rsidP="000664F7">
      <w:pPr>
        <w:spacing w:after="80"/>
        <w:rPr>
          <w:i/>
          <w:sz w:val="16"/>
          <w:szCs w:val="16"/>
        </w:rPr>
      </w:pPr>
    </w:p>
    <w:p w14:paraId="3C446209" w14:textId="77777777" w:rsidR="001502EB" w:rsidRPr="00FD7E86" w:rsidRDefault="001502EB" w:rsidP="001502EB">
      <w:pPr>
        <w:pStyle w:val="Heading3"/>
      </w:pPr>
      <w:bookmarkStart w:id="543" w:name="_Toc433790446"/>
      <w:r w:rsidRPr="00FD7E86">
        <w:t>Roy Morgan Single Source</w:t>
      </w:r>
      <w:bookmarkEnd w:id="540"/>
      <w:bookmarkEnd w:id="543"/>
    </w:p>
    <w:p w14:paraId="2671D042" w14:textId="77777777" w:rsidR="001502EB" w:rsidRPr="00FD7E86" w:rsidRDefault="001502EB" w:rsidP="001502EB">
      <w:r w:rsidRPr="00FD7E86">
        <w:t>Roy Morgan Research data is taken from the Roy Morgan Single Source product unless otherwise specified. This data covers changes occurring from July 2014 to June 2015 unless otherwise specified.</w:t>
      </w:r>
    </w:p>
    <w:p w14:paraId="774F3769" w14:textId="19EEC58B" w:rsidR="001502EB" w:rsidRPr="00FD7E86" w:rsidRDefault="00DB59A1" w:rsidP="001502EB">
      <w:r w:rsidRPr="00FD7E86">
        <w:t xml:space="preserve">The Roy Morgan Single Source research sample sizes for the past five years are provided in Table </w:t>
      </w:r>
      <w:r w:rsidR="00E679B8" w:rsidRPr="00CE7BFF">
        <w:t>A3</w:t>
      </w:r>
      <w:r w:rsidR="001502EB" w:rsidRPr="00FD7E86">
        <w:t>.</w:t>
      </w:r>
    </w:p>
    <w:p w14:paraId="350DA344" w14:textId="77777777" w:rsidR="001502EB" w:rsidRPr="00FD7E86" w:rsidRDefault="001502EB" w:rsidP="00C05F4C">
      <w:pPr>
        <w:spacing w:after="160"/>
        <w:rPr>
          <w:b/>
        </w:rPr>
      </w:pPr>
      <w:r w:rsidRPr="00FD7E86">
        <w:rPr>
          <w:b/>
        </w:rPr>
        <w:t xml:space="preserve">Table </w:t>
      </w:r>
      <w:r w:rsidR="00A737ED">
        <w:rPr>
          <w:b/>
        </w:rPr>
        <w:t>A3</w:t>
      </w:r>
      <w:r w:rsidRPr="00FD7E86">
        <w:rPr>
          <w:b/>
        </w:rPr>
        <w:t xml:space="preserve"> Research sample subsets for Roy Morgan Single Source</w:t>
      </w:r>
    </w:p>
    <w:tbl>
      <w:tblPr>
        <w:tblStyle w:val="TableGrid"/>
        <w:tblW w:w="94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Caption w:val="Table A3 Research sample subsets for Roy Morgan Single Source"/>
      </w:tblPr>
      <w:tblGrid>
        <w:gridCol w:w="5755"/>
        <w:gridCol w:w="2040"/>
        <w:gridCol w:w="1634"/>
      </w:tblGrid>
      <w:tr w:rsidR="00E450B7" w:rsidRPr="00B7641B" w14:paraId="77D6A6AB" w14:textId="77777777" w:rsidTr="00B7641B">
        <w:trPr>
          <w:trHeight w:val="567"/>
          <w:tblHeader/>
        </w:trPr>
        <w:tc>
          <w:tcPr>
            <w:tcW w:w="5755" w:type="dxa"/>
          </w:tcPr>
          <w:p w14:paraId="673D45BC" w14:textId="77777777" w:rsidR="00E450B7" w:rsidRPr="00B7641B" w:rsidRDefault="00E450B7" w:rsidP="00B7641B">
            <w:pPr>
              <w:pStyle w:val="TableHeading"/>
              <w:spacing w:before="20" w:after="40"/>
              <w:jc w:val="right"/>
              <w:rPr>
                <w:sz w:val="18"/>
                <w:szCs w:val="18"/>
              </w:rPr>
            </w:pPr>
          </w:p>
        </w:tc>
        <w:tc>
          <w:tcPr>
            <w:tcW w:w="2040" w:type="dxa"/>
            <w:shd w:val="clear" w:color="auto" w:fill="00ADBB" w:themeFill="accent1"/>
          </w:tcPr>
          <w:p w14:paraId="34A93BED" w14:textId="77777777" w:rsidR="00E450B7" w:rsidRPr="00B7641B" w:rsidRDefault="00E450B7" w:rsidP="00B7641B">
            <w:pPr>
              <w:pStyle w:val="TableHeading"/>
              <w:spacing w:before="20" w:after="40"/>
              <w:jc w:val="right"/>
              <w:rPr>
                <w:color w:val="FFFFFF"/>
                <w:sz w:val="18"/>
                <w:szCs w:val="18"/>
              </w:rPr>
            </w:pPr>
            <w:r w:rsidRPr="00B7641B">
              <w:rPr>
                <w:color w:val="FFFFFF"/>
                <w:sz w:val="18"/>
                <w:szCs w:val="18"/>
              </w:rPr>
              <w:t xml:space="preserve"> Mobile-only phone </w:t>
            </w:r>
          </w:p>
        </w:tc>
        <w:tc>
          <w:tcPr>
            <w:tcW w:w="1634" w:type="dxa"/>
            <w:shd w:val="clear" w:color="auto" w:fill="00ADBB" w:themeFill="accent1"/>
          </w:tcPr>
          <w:p w14:paraId="5B6CCBE3" w14:textId="77777777" w:rsidR="00E450B7" w:rsidRPr="00B7641B" w:rsidRDefault="00E450B7" w:rsidP="00B7641B">
            <w:pPr>
              <w:pStyle w:val="TableHeading"/>
              <w:spacing w:before="20" w:after="40"/>
              <w:jc w:val="right"/>
              <w:rPr>
                <w:color w:val="FFFFFF"/>
                <w:sz w:val="18"/>
                <w:szCs w:val="18"/>
              </w:rPr>
            </w:pPr>
            <w:r w:rsidRPr="00B7641B">
              <w:rPr>
                <w:color w:val="FFFFFF"/>
                <w:sz w:val="18"/>
                <w:szCs w:val="18"/>
              </w:rPr>
              <w:t>Australians aged 18 and over</w:t>
            </w:r>
          </w:p>
        </w:tc>
      </w:tr>
      <w:tr w:rsidR="001502EB" w:rsidRPr="00FD7E86" w14:paraId="1B64BBE6" w14:textId="77777777" w:rsidTr="002765EE">
        <w:trPr>
          <w:trHeight w:val="337"/>
        </w:trPr>
        <w:tc>
          <w:tcPr>
            <w:tcW w:w="5755" w:type="dxa"/>
            <w:shd w:val="clear" w:color="auto" w:fill="65CDD5" w:themeFill="accent2"/>
          </w:tcPr>
          <w:p w14:paraId="00C4DAD9" w14:textId="77777777" w:rsidR="001502EB" w:rsidRPr="00C05F4C" w:rsidRDefault="001502EB" w:rsidP="00CE55ED">
            <w:pPr>
              <w:spacing w:after="80"/>
              <w:rPr>
                <w:rFonts w:cs="Arial"/>
                <w:sz w:val="18"/>
                <w:szCs w:val="18"/>
              </w:rPr>
            </w:pPr>
            <w:r w:rsidRPr="00C05F4C">
              <w:rPr>
                <w:rFonts w:cs="Arial"/>
                <w:sz w:val="18"/>
                <w:szCs w:val="18"/>
              </w:rPr>
              <w:t xml:space="preserve">Jun-15 </w:t>
            </w:r>
          </w:p>
        </w:tc>
        <w:tc>
          <w:tcPr>
            <w:tcW w:w="2040" w:type="dxa"/>
            <w:shd w:val="clear" w:color="auto" w:fill="E9FBFB" w:themeFill="accent3"/>
            <w:vAlign w:val="bottom"/>
          </w:tcPr>
          <w:p w14:paraId="1B0C5987" w14:textId="77777777" w:rsidR="001502EB" w:rsidRPr="00FD7E86" w:rsidRDefault="001502EB" w:rsidP="00CE55ED">
            <w:pPr>
              <w:spacing w:after="80"/>
              <w:jc w:val="right"/>
              <w:rPr>
                <w:rFonts w:cs="Arial"/>
                <w:sz w:val="18"/>
                <w:szCs w:val="18"/>
              </w:rPr>
            </w:pPr>
            <w:r w:rsidRPr="00FD7E86">
              <w:rPr>
                <w:rFonts w:cs="Arial"/>
                <w:color w:val="000000"/>
                <w:sz w:val="18"/>
                <w:szCs w:val="18"/>
              </w:rPr>
              <w:t>3,392</w:t>
            </w:r>
            <w:r w:rsidR="009C67F4" w:rsidRPr="00FD7E86">
              <w:rPr>
                <w:rFonts w:cs="Arial"/>
                <w:color w:val="000000"/>
                <w:sz w:val="18"/>
                <w:szCs w:val="18"/>
              </w:rPr>
              <w:t>*</w:t>
            </w:r>
          </w:p>
        </w:tc>
        <w:tc>
          <w:tcPr>
            <w:tcW w:w="1634" w:type="dxa"/>
            <w:shd w:val="clear" w:color="auto" w:fill="E9FBFB" w:themeFill="accent3"/>
            <w:vAlign w:val="center"/>
          </w:tcPr>
          <w:p w14:paraId="43D34757" w14:textId="77777777" w:rsidR="001502EB" w:rsidRPr="00FD7E86" w:rsidRDefault="001502EB" w:rsidP="00CE55ED">
            <w:pPr>
              <w:spacing w:after="80"/>
              <w:jc w:val="right"/>
              <w:rPr>
                <w:rFonts w:cs="Arial"/>
                <w:sz w:val="18"/>
                <w:szCs w:val="18"/>
              </w:rPr>
            </w:pPr>
            <w:r w:rsidRPr="00FD7E86">
              <w:rPr>
                <w:rFonts w:cs="Arial"/>
                <w:color w:val="000000"/>
                <w:sz w:val="18"/>
                <w:szCs w:val="18"/>
              </w:rPr>
              <w:t>15,998</w:t>
            </w:r>
          </w:p>
        </w:tc>
      </w:tr>
      <w:tr w:rsidR="001502EB" w:rsidRPr="00FD7E86" w14:paraId="1E63D99C" w14:textId="77777777" w:rsidTr="002765EE">
        <w:trPr>
          <w:trHeight w:val="322"/>
        </w:trPr>
        <w:tc>
          <w:tcPr>
            <w:tcW w:w="5755" w:type="dxa"/>
            <w:shd w:val="clear" w:color="auto" w:fill="65CDD5" w:themeFill="accent2"/>
          </w:tcPr>
          <w:p w14:paraId="028915EA" w14:textId="77777777" w:rsidR="001502EB" w:rsidRPr="00C05F4C" w:rsidRDefault="001502EB" w:rsidP="00CE55ED">
            <w:pPr>
              <w:spacing w:after="80"/>
              <w:rPr>
                <w:rFonts w:cs="Arial"/>
                <w:sz w:val="18"/>
                <w:szCs w:val="18"/>
              </w:rPr>
            </w:pPr>
            <w:r w:rsidRPr="00C05F4C">
              <w:rPr>
                <w:rFonts w:cs="Arial"/>
                <w:sz w:val="18"/>
                <w:szCs w:val="18"/>
              </w:rPr>
              <w:t>Jun-14</w:t>
            </w:r>
          </w:p>
        </w:tc>
        <w:tc>
          <w:tcPr>
            <w:tcW w:w="2040" w:type="dxa"/>
            <w:shd w:val="clear" w:color="auto" w:fill="E9FBFB" w:themeFill="accent3"/>
            <w:vAlign w:val="bottom"/>
          </w:tcPr>
          <w:p w14:paraId="601A5DB0" w14:textId="77777777" w:rsidR="001502EB" w:rsidRPr="00FD7E86" w:rsidRDefault="001502EB" w:rsidP="00CE55ED">
            <w:pPr>
              <w:spacing w:after="80"/>
              <w:jc w:val="right"/>
              <w:rPr>
                <w:rFonts w:cs="Arial"/>
                <w:sz w:val="18"/>
                <w:szCs w:val="18"/>
              </w:rPr>
            </w:pPr>
            <w:r w:rsidRPr="00FD7E86">
              <w:rPr>
                <w:rFonts w:cs="Arial"/>
                <w:color w:val="000000"/>
                <w:sz w:val="18"/>
                <w:szCs w:val="18"/>
              </w:rPr>
              <w:t>3,619</w:t>
            </w:r>
            <w:r w:rsidR="009C67F4" w:rsidRPr="00FD7E86">
              <w:rPr>
                <w:rFonts w:cs="Arial"/>
                <w:color w:val="000000"/>
                <w:sz w:val="18"/>
                <w:szCs w:val="18"/>
              </w:rPr>
              <w:t>*</w:t>
            </w:r>
          </w:p>
        </w:tc>
        <w:tc>
          <w:tcPr>
            <w:tcW w:w="1634" w:type="dxa"/>
            <w:shd w:val="clear" w:color="auto" w:fill="E9FBFB" w:themeFill="accent3"/>
            <w:vAlign w:val="center"/>
          </w:tcPr>
          <w:p w14:paraId="6E89252B" w14:textId="77777777" w:rsidR="001502EB" w:rsidRPr="00FD7E86" w:rsidRDefault="001502EB" w:rsidP="00CE55ED">
            <w:pPr>
              <w:spacing w:after="80"/>
              <w:jc w:val="right"/>
              <w:rPr>
                <w:rFonts w:cs="Arial"/>
                <w:sz w:val="18"/>
                <w:szCs w:val="18"/>
              </w:rPr>
            </w:pPr>
            <w:r w:rsidRPr="00FD7E86">
              <w:rPr>
                <w:rFonts w:cs="Arial"/>
                <w:color w:val="000000"/>
                <w:sz w:val="18"/>
                <w:szCs w:val="18"/>
              </w:rPr>
              <w:t>15,241</w:t>
            </w:r>
          </w:p>
        </w:tc>
      </w:tr>
      <w:tr w:rsidR="001502EB" w:rsidRPr="00FD7E86" w14:paraId="7CC1A750" w14:textId="77777777" w:rsidTr="002765EE">
        <w:trPr>
          <w:trHeight w:val="322"/>
        </w:trPr>
        <w:tc>
          <w:tcPr>
            <w:tcW w:w="5755" w:type="dxa"/>
            <w:shd w:val="clear" w:color="auto" w:fill="65CDD5" w:themeFill="accent2"/>
          </w:tcPr>
          <w:p w14:paraId="779FFA3A" w14:textId="77777777" w:rsidR="001502EB" w:rsidRPr="00C05F4C" w:rsidRDefault="001502EB" w:rsidP="00CE55ED">
            <w:pPr>
              <w:spacing w:after="80"/>
              <w:rPr>
                <w:rFonts w:cs="Arial"/>
                <w:sz w:val="18"/>
                <w:szCs w:val="18"/>
              </w:rPr>
            </w:pPr>
            <w:r w:rsidRPr="00C05F4C">
              <w:rPr>
                <w:rFonts w:cs="Arial"/>
                <w:sz w:val="18"/>
                <w:szCs w:val="18"/>
              </w:rPr>
              <w:t>Jun-13</w:t>
            </w:r>
          </w:p>
        </w:tc>
        <w:tc>
          <w:tcPr>
            <w:tcW w:w="2040" w:type="dxa"/>
            <w:shd w:val="clear" w:color="auto" w:fill="E9FBFB" w:themeFill="accent3"/>
            <w:vAlign w:val="bottom"/>
          </w:tcPr>
          <w:p w14:paraId="4F4F8AFD" w14:textId="77777777" w:rsidR="001502EB" w:rsidRPr="00FD7E86" w:rsidRDefault="001502EB" w:rsidP="00CE55ED">
            <w:pPr>
              <w:spacing w:after="80"/>
              <w:jc w:val="right"/>
              <w:rPr>
                <w:rFonts w:cs="Arial"/>
                <w:sz w:val="18"/>
                <w:szCs w:val="18"/>
              </w:rPr>
            </w:pPr>
            <w:r w:rsidRPr="00FD7E86">
              <w:rPr>
                <w:rFonts w:cs="Arial"/>
                <w:color w:val="000000"/>
                <w:sz w:val="18"/>
                <w:szCs w:val="18"/>
              </w:rPr>
              <w:t>3,783</w:t>
            </w:r>
          </w:p>
        </w:tc>
        <w:tc>
          <w:tcPr>
            <w:tcW w:w="1634" w:type="dxa"/>
            <w:shd w:val="clear" w:color="auto" w:fill="E9FBFB" w:themeFill="accent3"/>
            <w:vAlign w:val="center"/>
          </w:tcPr>
          <w:p w14:paraId="3993F8EE" w14:textId="77777777" w:rsidR="001502EB" w:rsidRPr="00FD7E86" w:rsidRDefault="001502EB" w:rsidP="00CE55ED">
            <w:pPr>
              <w:spacing w:after="80"/>
              <w:jc w:val="right"/>
              <w:rPr>
                <w:rFonts w:cs="Arial"/>
                <w:sz w:val="18"/>
                <w:szCs w:val="18"/>
              </w:rPr>
            </w:pPr>
            <w:r w:rsidRPr="00FD7E86">
              <w:rPr>
                <w:rFonts w:cs="Arial"/>
                <w:color w:val="000000"/>
                <w:sz w:val="18"/>
                <w:szCs w:val="18"/>
              </w:rPr>
              <w:t>19,365</w:t>
            </w:r>
          </w:p>
        </w:tc>
      </w:tr>
      <w:tr w:rsidR="001502EB" w:rsidRPr="00FD7E86" w14:paraId="0509F9B3" w14:textId="77777777" w:rsidTr="002765EE">
        <w:trPr>
          <w:trHeight w:val="337"/>
        </w:trPr>
        <w:tc>
          <w:tcPr>
            <w:tcW w:w="5755" w:type="dxa"/>
            <w:shd w:val="clear" w:color="auto" w:fill="65CDD5" w:themeFill="accent2"/>
          </w:tcPr>
          <w:p w14:paraId="2C3C94A3" w14:textId="77777777" w:rsidR="001502EB" w:rsidRPr="00C05F4C" w:rsidRDefault="001502EB" w:rsidP="00CE55ED">
            <w:pPr>
              <w:spacing w:after="80"/>
              <w:rPr>
                <w:rFonts w:cs="Arial"/>
                <w:b/>
                <w:sz w:val="18"/>
                <w:szCs w:val="18"/>
              </w:rPr>
            </w:pPr>
            <w:r w:rsidRPr="00C05F4C">
              <w:rPr>
                <w:rFonts w:cs="Arial"/>
                <w:sz w:val="18"/>
                <w:szCs w:val="18"/>
              </w:rPr>
              <w:t>Jun-12</w:t>
            </w:r>
          </w:p>
        </w:tc>
        <w:tc>
          <w:tcPr>
            <w:tcW w:w="2040" w:type="dxa"/>
            <w:shd w:val="clear" w:color="auto" w:fill="E9FBFB" w:themeFill="accent3"/>
            <w:vAlign w:val="bottom"/>
          </w:tcPr>
          <w:p w14:paraId="2B1EEC56" w14:textId="77777777" w:rsidR="001502EB" w:rsidRPr="00FD7E86" w:rsidRDefault="001502EB" w:rsidP="00CE55ED">
            <w:pPr>
              <w:spacing w:after="80"/>
              <w:jc w:val="right"/>
              <w:rPr>
                <w:rFonts w:cs="Arial"/>
                <w:sz w:val="18"/>
                <w:szCs w:val="18"/>
              </w:rPr>
            </w:pPr>
            <w:r w:rsidRPr="00FD7E86">
              <w:rPr>
                <w:rFonts w:cs="Arial"/>
                <w:color w:val="000000"/>
                <w:sz w:val="18"/>
                <w:szCs w:val="18"/>
              </w:rPr>
              <w:t>3,000</w:t>
            </w:r>
          </w:p>
        </w:tc>
        <w:tc>
          <w:tcPr>
            <w:tcW w:w="1634" w:type="dxa"/>
            <w:shd w:val="clear" w:color="auto" w:fill="E9FBFB" w:themeFill="accent3"/>
            <w:vAlign w:val="center"/>
          </w:tcPr>
          <w:p w14:paraId="5C5D5EC8" w14:textId="77777777" w:rsidR="001502EB" w:rsidRPr="00FD7E86" w:rsidRDefault="001502EB" w:rsidP="00CE55ED">
            <w:pPr>
              <w:spacing w:after="80"/>
              <w:jc w:val="right"/>
              <w:rPr>
                <w:rFonts w:cs="Arial"/>
                <w:sz w:val="18"/>
                <w:szCs w:val="18"/>
              </w:rPr>
            </w:pPr>
            <w:r w:rsidRPr="00FD7E86">
              <w:rPr>
                <w:rFonts w:cs="Arial"/>
                <w:color w:val="000000"/>
                <w:sz w:val="18"/>
                <w:szCs w:val="18"/>
              </w:rPr>
              <w:t>19,798</w:t>
            </w:r>
          </w:p>
        </w:tc>
      </w:tr>
      <w:tr w:rsidR="001502EB" w:rsidRPr="00FD7E86" w14:paraId="61E0BD49" w14:textId="77777777" w:rsidTr="002765EE">
        <w:trPr>
          <w:trHeight w:val="322"/>
        </w:trPr>
        <w:tc>
          <w:tcPr>
            <w:tcW w:w="5755" w:type="dxa"/>
            <w:shd w:val="clear" w:color="auto" w:fill="65CDD5" w:themeFill="accent2"/>
          </w:tcPr>
          <w:p w14:paraId="6ABCEFBD" w14:textId="77777777" w:rsidR="001502EB" w:rsidRPr="00C05F4C" w:rsidRDefault="001502EB" w:rsidP="00CE55ED">
            <w:pPr>
              <w:spacing w:after="80"/>
              <w:rPr>
                <w:rFonts w:cs="Arial"/>
                <w:b/>
                <w:sz w:val="18"/>
                <w:szCs w:val="18"/>
              </w:rPr>
            </w:pPr>
            <w:r w:rsidRPr="00C05F4C">
              <w:rPr>
                <w:rFonts w:cs="Arial"/>
                <w:sz w:val="18"/>
                <w:szCs w:val="18"/>
              </w:rPr>
              <w:t>Jun-11</w:t>
            </w:r>
          </w:p>
        </w:tc>
        <w:tc>
          <w:tcPr>
            <w:tcW w:w="2040" w:type="dxa"/>
            <w:shd w:val="clear" w:color="auto" w:fill="E9FBFB" w:themeFill="accent3"/>
            <w:vAlign w:val="bottom"/>
          </w:tcPr>
          <w:p w14:paraId="6D4609D6" w14:textId="77777777" w:rsidR="001502EB" w:rsidRPr="00FD7E86" w:rsidRDefault="001502EB" w:rsidP="00CE55ED">
            <w:pPr>
              <w:spacing w:after="80"/>
              <w:jc w:val="right"/>
              <w:rPr>
                <w:rFonts w:cs="Arial"/>
                <w:sz w:val="18"/>
                <w:szCs w:val="18"/>
              </w:rPr>
            </w:pPr>
            <w:r w:rsidRPr="00FD7E86">
              <w:rPr>
                <w:rFonts w:cs="Arial"/>
                <w:color w:val="000000"/>
                <w:sz w:val="18"/>
                <w:szCs w:val="18"/>
              </w:rPr>
              <w:t>2,100</w:t>
            </w:r>
          </w:p>
        </w:tc>
        <w:tc>
          <w:tcPr>
            <w:tcW w:w="1634" w:type="dxa"/>
            <w:shd w:val="clear" w:color="auto" w:fill="E9FBFB" w:themeFill="accent3"/>
            <w:vAlign w:val="center"/>
          </w:tcPr>
          <w:p w14:paraId="32F45153" w14:textId="77777777" w:rsidR="001502EB" w:rsidRPr="00FD7E86" w:rsidRDefault="001502EB" w:rsidP="00CE55ED">
            <w:pPr>
              <w:spacing w:after="80"/>
              <w:jc w:val="right"/>
              <w:rPr>
                <w:rFonts w:cs="Arial"/>
                <w:sz w:val="18"/>
                <w:szCs w:val="18"/>
              </w:rPr>
            </w:pPr>
            <w:r w:rsidRPr="00FD7E86">
              <w:rPr>
                <w:rFonts w:cs="Arial"/>
                <w:color w:val="000000"/>
                <w:sz w:val="18"/>
                <w:szCs w:val="18"/>
              </w:rPr>
              <w:t>17,626</w:t>
            </w:r>
          </w:p>
        </w:tc>
      </w:tr>
    </w:tbl>
    <w:p w14:paraId="05CA7516" w14:textId="77777777" w:rsidR="002765EE" w:rsidRPr="00FD7E86" w:rsidRDefault="002765EE" w:rsidP="002765EE">
      <w:pPr>
        <w:pStyle w:val="ACMANotes"/>
      </w:pPr>
      <w:r w:rsidRPr="00FD7E86">
        <w:t>*‘Don’t know/can’t say’ responses are included from June 2014 onwards due to change of survey methodology.</w:t>
      </w:r>
    </w:p>
    <w:p w14:paraId="42FA7F1F" w14:textId="77777777" w:rsidR="001502EB" w:rsidRPr="00FD7E86" w:rsidRDefault="001502EB" w:rsidP="00C9433B">
      <w:pPr>
        <w:pStyle w:val="ACMANotes"/>
      </w:pPr>
      <w:r w:rsidRPr="00FD7E86">
        <w:t>Note: 12 months to June for each year.</w:t>
      </w:r>
    </w:p>
    <w:p w14:paraId="1EEB8F99" w14:textId="77777777" w:rsidR="00E450B7" w:rsidRPr="00FD7E86" w:rsidRDefault="00E450B7" w:rsidP="00216D8C">
      <w:pPr>
        <w:pStyle w:val="ACMASpaceaftertable"/>
        <w:rPr>
          <w:i/>
          <w:sz w:val="16"/>
          <w:szCs w:val="16"/>
        </w:rPr>
      </w:pPr>
    </w:p>
    <w:p w14:paraId="4DF0910F" w14:textId="77777777" w:rsidR="001502EB" w:rsidRPr="00FD7E86" w:rsidRDefault="001502EB" w:rsidP="001502EB">
      <w:pPr>
        <w:pStyle w:val="BodySubHeader"/>
      </w:pPr>
      <w:r w:rsidRPr="00FD7E86">
        <w:t>Australian population</w:t>
      </w:r>
    </w:p>
    <w:p w14:paraId="20F9DA4C" w14:textId="77777777" w:rsidR="001502EB" w:rsidRPr="00FD7E86" w:rsidRDefault="00C22142" w:rsidP="001502EB">
      <w:pPr>
        <w:spacing w:after="80"/>
        <w:rPr>
          <w:i/>
        </w:rPr>
      </w:pPr>
      <w:r w:rsidRPr="00FD7E86">
        <w:t>For the 2015 Roy Morgan Single Source data</w:t>
      </w:r>
      <w:r w:rsidR="0076632E" w:rsidRPr="00FD7E86">
        <w:t>,</w:t>
      </w:r>
      <w:r w:rsidRPr="00FD7E86">
        <w:t xml:space="preserve"> the t</w:t>
      </w:r>
      <w:r w:rsidR="001502EB" w:rsidRPr="00FD7E86">
        <w:t>otal population estimate for Australian adults aged 18 and over is 18,290,000</w:t>
      </w:r>
      <w:r w:rsidR="0076632E" w:rsidRPr="00FD7E86">
        <w:t>,</w:t>
      </w:r>
      <w:r w:rsidR="001502EB" w:rsidRPr="00FD7E86">
        <w:t xml:space="preserve"> based on </w:t>
      </w:r>
      <w:r w:rsidR="001502EB" w:rsidRPr="00FD7E86">
        <w:rPr>
          <w:i/>
        </w:rPr>
        <w:t>ABS data table 6202.0 Labour Force, Australia.</w:t>
      </w:r>
    </w:p>
    <w:p w14:paraId="2C385407" w14:textId="77777777" w:rsidR="001502EB" w:rsidRPr="00FD7E86" w:rsidRDefault="001502EB" w:rsidP="001502EB">
      <w:pPr>
        <w:pStyle w:val="Heading2"/>
      </w:pPr>
      <w:bookmarkStart w:id="544" w:name="_Toc413145605"/>
      <w:bookmarkStart w:id="545" w:name="_Toc414367416"/>
      <w:bookmarkStart w:id="546" w:name="_Toc414630302"/>
      <w:bookmarkStart w:id="547" w:name="_Toc415656634"/>
      <w:bookmarkStart w:id="548" w:name="_Toc417993314"/>
      <w:bookmarkStart w:id="549" w:name="_Toc419453954"/>
      <w:bookmarkStart w:id="550" w:name="_Toc421883182"/>
      <w:bookmarkStart w:id="551" w:name="_Toc433790447"/>
      <w:r w:rsidRPr="00FD7E86">
        <w:t>Other sources</w:t>
      </w:r>
      <w:bookmarkEnd w:id="544"/>
      <w:bookmarkEnd w:id="545"/>
      <w:bookmarkEnd w:id="546"/>
      <w:bookmarkEnd w:id="547"/>
      <w:bookmarkEnd w:id="548"/>
      <w:bookmarkEnd w:id="549"/>
      <w:bookmarkEnd w:id="550"/>
      <w:bookmarkEnd w:id="551"/>
    </w:p>
    <w:p w14:paraId="07FC4FC9" w14:textId="77777777" w:rsidR="001502EB" w:rsidRPr="00FD7E86" w:rsidRDefault="001502EB" w:rsidP="001502EB">
      <w:r w:rsidRPr="00FD7E86">
        <w:t xml:space="preserve">The endnotes list other information sources used in this publication. </w:t>
      </w:r>
    </w:p>
    <w:p w14:paraId="758D912E" w14:textId="77777777" w:rsidR="001502EB" w:rsidRPr="00FD7E86" w:rsidRDefault="001502EB" w:rsidP="00FC4F68">
      <w:pPr>
        <w:pStyle w:val="Heading2"/>
      </w:pPr>
      <w:bookmarkStart w:id="552" w:name="_Toc383419449"/>
      <w:bookmarkStart w:id="553" w:name="_Toc413145606"/>
      <w:bookmarkStart w:id="554" w:name="_Toc414367417"/>
      <w:bookmarkStart w:id="555" w:name="_Toc414630303"/>
      <w:bookmarkStart w:id="556" w:name="_Toc415656635"/>
      <w:bookmarkStart w:id="557" w:name="_Toc417993315"/>
      <w:bookmarkStart w:id="558" w:name="_Toc419453955"/>
      <w:bookmarkStart w:id="559" w:name="_Toc421883183"/>
      <w:bookmarkStart w:id="560" w:name="_Toc433790448"/>
      <w:r w:rsidRPr="00FD7E86">
        <w:lastRenderedPageBreak/>
        <w:t>Data analysis</w:t>
      </w:r>
      <w:bookmarkEnd w:id="541"/>
      <w:bookmarkEnd w:id="542"/>
      <w:bookmarkEnd w:id="552"/>
      <w:bookmarkEnd w:id="553"/>
      <w:bookmarkEnd w:id="554"/>
      <w:bookmarkEnd w:id="555"/>
      <w:bookmarkEnd w:id="556"/>
      <w:bookmarkEnd w:id="557"/>
      <w:bookmarkEnd w:id="558"/>
      <w:bookmarkEnd w:id="559"/>
      <w:bookmarkEnd w:id="560"/>
      <w:r w:rsidRPr="00FD7E86">
        <w:t xml:space="preserve"> </w:t>
      </w:r>
    </w:p>
    <w:p w14:paraId="530796A2" w14:textId="77777777" w:rsidR="001502EB" w:rsidRPr="00FD7E86" w:rsidRDefault="001502EB" w:rsidP="00FC4F68">
      <w:pPr>
        <w:keepNext/>
        <w:rPr>
          <w:rFonts w:cs="Arial"/>
        </w:rPr>
      </w:pPr>
      <w:r w:rsidRPr="00FD7E86">
        <w:rPr>
          <w:rFonts w:cs="Arial"/>
        </w:rPr>
        <w:t>Results from both data sets were analysed using descriptive analysis techniques, and by socioeconomic and demographic factors, to identify areas with significant patterns or differences.</w:t>
      </w:r>
    </w:p>
    <w:p w14:paraId="652AA7AE" w14:textId="77777777" w:rsidR="00240CE9" w:rsidRDefault="001502EB" w:rsidP="00FC4F68">
      <w:pPr>
        <w:keepNext/>
      </w:pPr>
      <w:r w:rsidRPr="00FD7E86">
        <w:t>Data presented in tables and figures may not add to 100</w:t>
      </w:r>
      <w:r w:rsidR="00763375" w:rsidRPr="00FD7E86">
        <w:t xml:space="preserve"> per cent</w:t>
      </w:r>
      <w:r w:rsidRPr="00FD7E86">
        <w:t xml:space="preserve"> (or the appropriate total) due to rounding.</w:t>
      </w:r>
      <w:r w:rsidR="0021374C" w:rsidRPr="00FD7E86">
        <w:t xml:space="preserve"> Percentage changes </w:t>
      </w:r>
      <w:r w:rsidR="00370D5B" w:rsidRPr="00FD7E86">
        <w:t>are</w:t>
      </w:r>
      <w:r w:rsidR="0021374C" w:rsidRPr="00FD7E86">
        <w:t xml:space="preserve"> calculated on non-rounded data.</w:t>
      </w:r>
    </w:p>
    <w:p w14:paraId="306FAE74" w14:textId="77777777" w:rsidR="00F1266E" w:rsidRDefault="00F1266E" w:rsidP="00780BD1">
      <w:pPr>
        <w:sectPr w:rsidR="00F1266E" w:rsidSect="003738C3">
          <w:endnotePr>
            <w:numFmt w:val="decimal"/>
            <w:numRestart w:val="eachSect"/>
          </w:endnotePr>
          <w:pgSz w:w="11906" w:h="16838" w:code="9"/>
          <w:pgMar w:top="1985" w:right="1134" w:bottom="1134" w:left="1134" w:header="709" w:footer="119" w:gutter="284"/>
          <w:cols w:space="708"/>
          <w:docGrid w:linePitch="360"/>
        </w:sectPr>
      </w:pPr>
    </w:p>
    <w:p w14:paraId="478475BA" w14:textId="77777777" w:rsidR="004036B2" w:rsidRPr="00FD7E86" w:rsidRDefault="004036B2" w:rsidP="004036B2">
      <w:pPr>
        <w:pStyle w:val="Heading1"/>
      </w:pPr>
      <w:r>
        <w:lastRenderedPageBreak/>
        <w:t>Index</w:t>
      </w:r>
    </w:p>
    <w:p w14:paraId="3FA53564"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A</w:t>
      </w:r>
    </w:p>
    <w:p w14:paraId="3FFE087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ACE Radio Broadcasters Pty Ltd  35</w:t>
      </w:r>
    </w:p>
    <w:p w14:paraId="0F9837A5"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ACMA Communications report 2014–15</w:t>
      </w:r>
      <w:r w:rsidRPr="004E55F0">
        <w:rPr>
          <w:rFonts w:ascii="Arial" w:hAnsi="Arial" w:cs="Arial"/>
          <w:sz w:val="18"/>
          <w:szCs w:val="18"/>
        </w:rPr>
        <w:t xml:space="preserve">  2</w:t>
      </w:r>
    </w:p>
    <w:p w14:paraId="5D9B6A1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ACMA-commissioned surveys  135–6</w:t>
      </w:r>
    </w:p>
    <w:p w14:paraId="2E40DFB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acquisitions  28–9</w:t>
      </w:r>
    </w:p>
    <w:p w14:paraId="09D2A17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advertising</w:t>
      </w:r>
    </w:p>
    <w:p w14:paraId="7089C22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expenditure  4–5, 37–40</w:t>
      </w:r>
    </w:p>
    <w:p w14:paraId="6FEA1D2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4–5, 39–40</w:t>
      </w:r>
    </w:p>
    <w:p w14:paraId="036DF41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radio  38–9</w:t>
      </w:r>
    </w:p>
    <w:p w14:paraId="2C398E0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TCP code  121</w:t>
      </w:r>
    </w:p>
    <w:p w14:paraId="370AE94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television  38–9</w:t>
      </w:r>
    </w:p>
    <w:p w14:paraId="38A3315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allocation of numbers  11, 30–1</w:t>
      </w:r>
    </w:p>
    <w:p w14:paraId="67A992F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Amazon Prime  76</w:t>
      </w:r>
    </w:p>
    <w:p w14:paraId="6F77702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Amazon Web Services (AWS)  28</w:t>
      </w:r>
    </w:p>
    <w:p w14:paraId="5415ABD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antenna coverage  19</w:t>
      </w:r>
    </w:p>
    <w:p w14:paraId="5E6ED2C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anti-siphoning provisions  83</w:t>
      </w:r>
    </w:p>
    <w:p w14:paraId="5C996E3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Apple iMessage  54–5</w:t>
      </w:r>
    </w:p>
    <w:p w14:paraId="052718B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Apple TV  76</w:t>
      </w:r>
    </w:p>
    <w:p w14:paraId="47EBF64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appointments  105–6, 107–9</w:t>
      </w:r>
    </w:p>
    <w:p w14:paraId="4254CF4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apps  </w:t>
      </w:r>
      <w:r w:rsidRPr="004E55F0">
        <w:rPr>
          <w:rFonts w:ascii="Arial" w:hAnsi="Arial" w:cs="Arial"/>
          <w:i/>
          <w:iCs/>
          <w:sz w:val="18"/>
          <w:szCs w:val="18"/>
        </w:rPr>
        <w:t>see</w:t>
      </w:r>
      <w:r w:rsidRPr="004E55F0">
        <w:rPr>
          <w:rFonts w:ascii="Arial" w:hAnsi="Arial" w:cs="Arial"/>
          <w:sz w:val="18"/>
          <w:szCs w:val="18"/>
        </w:rPr>
        <w:t xml:space="preserve"> communications apps</w:t>
      </w:r>
    </w:p>
    <w:p w14:paraId="4AA182F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asymmetric digital subscriber line (ADSL)  20</w:t>
      </w:r>
    </w:p>
    <w:p w14:paraId="3129BD8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Attorney-General’s Department (AGD)  94, 96, 97</w:t>
      </w:r>
    </w:p>
    <w:p w14:paraId="2957E92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auDA (.au Domain Administration Ltd)  25</w:t>
      </w:r>
    </w:p>
    <w:p w14:paraId="2C98A7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audio content online  56, 57–8, 67</w:t>
      </w:r>
    </w:p>
    <w:p w14:paraId="776F2DB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audio interference  99</w:t>
      </w:r>
    </w:p>
    <w:p w14:paraId="7F3A115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audio streaming  67</w:t>
      </w:r>
    </w:p>
    <w:p w14:paraId="71B8D9B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Aunix  121</w:t>
      </w:r>
    </w:p>
    <w:p w14:paraId="5B849BC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Communications Exchange (ACE)  89, 92</w:t>
      </w:r>
    </w:p>
    <w:p w14:paraId="095986A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Competition and Consumer Commission (ACCC)  28, 94–5</w:t>
      </w:r>
    </w:p>
    <w:p w14:paraId="4A8F683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content on television  77–9</w:t>
      </w:r>
    </w:p>
    <w:p w14:paraId="7A9E04F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Internet Security Initiative (AISI)  6, 120</w:t>
      </w:r>
    </w:p>
    <w:p w14:paraId="1B320CD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Radio Network Pty Ltd  33, 34, 35</w:t>
      </w:r>
    </w:p>
    <w:p w14:paraId="6A227CA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Australian Tax Office  120</w:t>
      </w:r>
    </w:p>
    <w:p w14:paraId="4815CF04" w14:textId="77777777" w:rsidR="004036B2" w:rsidRDefault="004036B2" w:rsidP="004036B2">
      <w:pPr>
        <w:pStyle w:val="Main"/>
        <w:rPr>
          <w:rFonts w:ascii="Arial" w:hAnsi="Arial" w:cs="Arial"/>
          <w:sz w:val="20"/>
          <w:szCs w:val="20"/>
        </w:rPr>
      </w:pPr>
    </w:p>
    <w:p w14:paraId="07B3A1F3"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B</w:t>
      </w:r>
    </w:p>
    <w:p w14:paraId="1158A46C"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banking  56–7, 64</w:t>
      </w:r>
    </w:p>
    <w:p w14:paraId="10A87F1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BigPond movies  71</w:t>
      </w:r>
    </w:p>
    <w:p w14:paraId="2B20E74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billing and payments</w:t>
      </w:r>
    </w:p>
    <w:p w14:paraId="2856738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123</w:t>
      </w:r>
    </w:p>
    <w:p w14:paraId="179AD3D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60–1</w:t>
      </w:r>
    </w:p>
    <w:p w14:paraId="29BEAC9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Blyton, Kevin  34</w:t>
      </w:r>
    </w:p>
    <w:p w14:paraId="12F0C90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Broadband Commission for Digital Development  64</w:t>
      </w:r>
    </w:p>
    <w:p w14:paraId="3A5C915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broadband internet</w:t>
      </w:r>
    </w:p>
    <w:p w14:paraId="0C3FBBB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3, 9, 47–8</w:t>
      </w:r>
    </w:p>
    <w:p w14:paraId="0411863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home  10, 43–4, 62–3</w:t>
      </w:r>
    </w:p>
    <w:p w14:paraId="2F57D0C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64</w:t>
      </w:r>
    </w:p>
    <w:p w14:paraId="56F1AE2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wireless  7, 20, 21</w:t>
      </w:r>
    </w:p>
    <w:p w14:paraId="10B3B13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subscribers  3, 20</w:t>
      </w:r>
    </w:p>
    <w:p w14:paraId="58A16B2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 Operations Pty Ltd  33, 35</w:t>
      </w:r>
    </w:p>
    <w:p w14:paraId="4398CCE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broadcasting complaints  12, 84–5</w:t>
      </w:r>
    </w:p>
    <w:p w14:paraId="57F8841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broadcasting industry regulatory performance  6</w:t>
      </w:r>
    </w:p>
    <w:p w14:paraId="73EF601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broadcasting licences  </w:t>
      </w:r>
      <w:r w:rsidRPr="004E55F0">
        <w:rPr>
          <w:rFonts w:ascii="Arial" w:hAnsi="Arial" w:cs="Arial"/>
          <w:i/>
          <w:iCs/>
          <w:sz w:val="18"/>
          <w:szCs w:val="18"/>
        </w:rPr>
        <w:t>see</w:t>
      </w:r>
      <w:r w:rsidRPr="004E55F0">
        <w:rPr>
          <w:rFonts w:ascii="Arial" w:hAnsi="Arial" w:cs="Arial"/>
          <w:sz w:val="18"/>
          <w:szCs w:val="18"/>
        </w:rPr>
        <w:t xml:space="preserve"> licences</w:t>
      </w:r>
    </w:p>
    <w:p w14:paraId="4145F2A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broadcasting services  31–2</w:t>
      </w:r>
    </w:p>
    <w:p w14:paraId="337AAF3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commercial  31–5</w:t>
      </w:r>
    </w:p>
    <w:p w14:paraId="04A15DFA"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lastRenderedPageBreak/>
        <w:t>see also</w:t>
      </w:r>
      <w:r w:rsidRPr="004E55F0">
        <w:rPr>
          <w:rFonts w:ascii="Arial" w:hAnsi="Arial" w:cs="Arial"/>
          <w:sz w:val="18"/>
          <w:szCs w:val="18"/>
        </w:rPr>
        <w:t xml:space="preserve"> radio; television</w:t>
      </w:r>
    </w:p>
    <w:p w14:paraId="3D9EF6BE"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 xml:space="preserve">Broadcasting Services Act 1992 </w:t>
      </w:r>
      <w:r w:rsidRPr="004E55F0">
        <w:rPr>
          <w:rFonts w:ascii="Arial" w:hAnsi="Arial" w:cs="Arial"/>
          <w:sz w:val="18"/>
          <w:szCs w:val="18"/>
        </w:rPr>
        <w:t>(BSA)  33, 34, 66, 77, 79, 80, 82, 83, 84, 85</w:t>
      </w:r>
    </w:p>
    <w:p w14:paraId="166CB65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Broadcasting Services (Australian Content) Standard 2005  77, 78</w:t>
      </w:r>
    </w:p>
    <w:p w14:paraId="639BB68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Broadcasting Services (Regional Commercial Radio—Material of Local Significance) Licence Condition 2014  83</w:t>
      </w:r>
    </w:p>
    <w:p w14:paraId="67B5C56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browsing internet  56–7, 64</w:t>
      </w:r>
    </w:p>
    <w:p w14:paraId="436336B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Business Class Telecom  121</w:t>
      </w:r>
    </w:p>
    <w:p w14:paraId="5037080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buying online  5, 56–7, 58–9</w:t>
      </w:r>
    </w:p>
    <w:p w14:paraId="6A3D11C5" w14:textId="77777777" w:rsidR="004036B2" w:rsidRDefault="004036B2" w:rsidP="004036B2">
      <w:pPr>
        <w:pStyle w:val="Main"/>
        <w:rPr>
          <w:rFonts w:ascii="Arial" w:hAnsi="Arial" w:cs="Arial"/>
          <w:sz w:val="20"/>
          <w:szCs w:val="20"/>
        </w:rPr>
      </w:pPr>
    </w:p>
    <w:p w14:paraId="43DFA91A"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C</w:t>
      </w:r>
    </w:p>
    <w:p w14:paraId="766731EB"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cable internet  20</w:t>
      </w:r>
    </w:p>
    <w:p w14:paraId="6FF2FEA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cable runs  112</w:t>
      </w:r>
    </w:p>
    <w:p w14:paraId="5820374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cablers, registered  117</w:t>
      </w:r>
    </w:p>
    <w:p w14:paraId="66F5FE0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cabling compliance  117–18</w:t>
      </w:r>
    </w:p>
    <w:p w14:paraId="061E4A5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Cabling Industry Committee  121</w:t>
      </w:r>
    </w:p>
    <w:p w14:paraId="5316237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cabling regulation  117–18</w:t>
      </w:r>
    </w:p>
    <w:p w14:paraId="135ACFB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Cabling Requirements for Business Code  121</w:t>
      </w:r>
    </w:p>
    <w:p w14:paraId="1DDE75C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Call Plus Group  28, 29</w:t>
      </w:r>
    </w:p>
    <w:p w14:paraId="7A58D07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call/service costs, consumer satisfaction  60–1</w:t>
      </w:r>
    </w:p>
    <w:p w14:paraId="3C41830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captioning television  80–2</w:t>
      </w:r>
    </w:p>
    <w:p w14:paraId="384B6BE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breaches  80–1</w:t>
      </w:r>
    </w:p>
    <w:p w14:paraId="4077025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compliance  80</w:t>
      </w:r>
    </w:p>
    <w:p w14:paraId="30A093E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exemption orders  82</w:t>
      </w:r>
    </w:p>
    <w:p w14:paraId="1B56BA6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Legislation amendments  82</w:t>
      </w:r>
    </w:p>
    <w:p w14:paraId="693A68D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target reduction orders  82</w:t>
      </w:r>
    </w:p>
    <w:p w14:paraId="00D6103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carriage service providers (CSPs)  29</w:t>
      </w:r>
    </w:p>
    <w:p w14:paraId="2F39330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allocation of numbers  30–1</w:t>
      </w:r>
    </w:p>
    <w:p w14:paraId="4068331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safeguards  5</w:t>
      </w:r>
    </w:p>
    <w:p w14:paraId="787DF07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disclosures of customer information  12, 94–5</w:t>
      </w:r>
    </w:p>
    <w:p w14:paraId="127F9A7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 services  89</w:t>
      </w:r>
    </w:p>
    <w:p w14:paraId="4455A3C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suspension  96</w:t>
      </w:r>
    </w:p>
    <w:p w14:paraId="24787C8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fixed-line telephone services  14</w:t>
      </w:r>
    </w:p>
    <w:p w14:paraId="3D4F321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identity checking  97</w:t>
      </w:r>
    </w:p>
    <w:p w14:paraId="2240B84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Integrated Public Number Database (IPND)  97</w:t>
      </w:r>
    </w:p>
    <w:p w14:paraId="27E955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interception  96–7</w:t>
      </w:r>
    </w:p>
    <w:p w14:paraId="3D88B34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portability  117</w:t>
      </w:r>
    </w:p>
    <w:p w14:paraId="4053689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priority assistance  114</w:t>
      </w:r>
    </w:p>
    <w:p w14:paraId="5ADF431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Telecommunications Industry Ombudsman Scheme  122</w:t>
      </w:r>
    </w:p>
    <w:p w14:paraId="421E9177"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t>see also</w:t>
      </w:r>
      <w:r w:rsidRPr="004E55F0">
        <w:rPr>
          <w:rFonts w:ascii="Arial" w:hAnsi="Arial" w:cs="Arial"/>
          <w:sz w:val="18"/>
          <w:szCs w:val="18"/>
        </w:rPr>
        <w:t xml:space="preserve"> Customer Service Guarantee Standard</w:t>
      </w:r>
    </w:p>
    <w:p w14:paraId="29BF6B9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carrier licensing  29–30</w:t>
      </w:r>
    </w:p>
    <w:p w14:paraId="2F8EF57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carriers, licensed  8</w:t>
      </w:r>
    </w:p>
    <w:p w14:paraId="1A6AC06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CBRfree  22</w:t>
      </w:r>
    </w:p>
    <w:p w14:paraId="0C62F1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Chairman's foreword  1</w:t>
      </w:r>
    </w:p>
    <w:p w14:paraId="4AE7DCC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Chapman, Chris  1</w:t>
      </w:r>
    </w:p>
    <w:p w14:paraId="3C0D834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child sexual abuse material  85, 87</w:t>
      </w:r>
    </w:p>
    <w:p w14:paraId="6D7305F9" w14:textId="77777777" w:rsidR="004036B2" w:rsidRPr="004E55F0" w:rsidRDefault="00E96AF6" w:rsidP="004036B2">
      <w:pPr>
        <w:pStyle w:val="Main"/>
        <w:rPr>
          <w:rFonts w:ascii="Arial" w:hAnsi="Arial" w:cs="Arial"/>
          <w:sz w:val="18"/>
          <w:szCs w:val="18"/>
        </w:rPr>
      </w:pPr>
      <w:r>
        <w:rPr>
          <w:rFonts w:ascii="Arial" w:hAnsi="Arial" w:cs="Arial"/>
          <w:sz w:val="18"/>
          <w:szCs w:val="18"/>
        </w:rPr>
        <w:t>children's programs  78</w:t>
      </w:r>
      <w:r w:rsidR="004036B2" w:rsidRPr="004E55F0">
        <w:rPr>
          <w:rFonts w:ascii="Arial" w:hAnsi="Arial" w:cs="Arial"/>
          <w:sz w:val="18"/>
          <w:szCs w:val="18"/>
        </w:rPr>
        <w:t>–80</w:t>
      </w:r>
    </w:p>
    <w:p w14:paraId="70B91BF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Children’s Television Standards 2009  78</w:t>
      </w:r>
    </w:p>
    <w:p w14:paraId="0872ABF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Chromecast  76</w:t>
      </w:r>
    </w:p>
    <w:p w14:paraId="323C2FD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Cisco  28</w:t>
      </w:r>
    </w:p>
    <w:p w14:paraId="4A036640"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Classification (Publications, Films and Computer Games) Act 1995</w:t>
      </w:r>
      <w:r w:rsidRPr="004E55F0">
        <w:rPr>
          <w:rFonts w:ascii="Arial" w:hAnsi="Arial" w:cs="Arial"/>
          <w:sz w:val="18"/>
          <w:szCs w:val="18"/>
        </w:rPr>
        <w:t xml:space="preserve">  85</w:t>
      </w:r>
    </w:p>
    <w:p w14:paraId="7F7692B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cloud services  28</w:t>
      </w:r>
    </w:p>
    <w:p w14:paraId="02E7852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broadcasting services  32–5</w:t>
      </w:r>
    </w:p>
    <w:p w14:paraId="06EBB04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Economic Advisory Service of Australia (CEASA)  37, 38</w:t>
      </w:r>
    </w:p>
    <w:p w14:paraId="1AD6C42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radio broadcasting licences</w:t>
      </w:r>
    </w:p>
    <w:p w14:paraId="3C30D32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cross-media ownership  35–6</w:t>
      </w:r>
    </w:p>
    <w:p w14:paraId="3821171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local information on  83</w:t>
      </w:r>
    </w:p>
    <w:p w14:paraId="6880551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1E4DAEA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numbers  11, 31–2, 35</w:t>
      </w:r>
    </w:p>
    <w:p w14:paraId="2532C95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ownership and control  33–5</w:t>
      </w:r>
    </w:p>
    <w:p w14:paraId="2863B63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television broadcasters</w:t>
      </w:r>
    </w:p>
    <w:p w14:paraId="14518BF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Australian content  77–9</w:t>
      </w:r>
    </w:p>
    <w:p w14:paraId="17731025" w14:textId="77777777" w:rsidR="004036B2" w:rsidRPr="004E55F0" w:rsidRDefault="00E96AF6" w:rsidP="004036B2">
      <w:pPr>
        <w:pStyle w:val="Sub1"/>
        <w:rPr>
          <w:rFonts w:ascii="Arial" w:hAnsi="Arial" w:cs="Arial"/>
          <w:sz w:val="18"/>
          <w:szCs w:val="18"/>
        </w:rPr>
      </w:pPr>
      <w:r>
        <w:rPr>
          <w:rFonts w:ascii="Arial" w:hAnsi="Arial" w:cs="Arial"/>
          <w:sz w:val="18"/>
          <w:szCs w:val="18"/>
        </w:rPr>
        <w:t>children's programs  78</w:t>
      </w:r>
      <w:r w:rsidR="004036B2" w:rsidRPr="004E55F0">
        <w:rPr>
          <w:rFonts w:ascii="Arial" w:hAnsi="Arial" w:cs="Arial"/>
          <w:sz w:val="18"/>
          <w:szCs w:val="18"/>
        </w:rPr>
        <w:t>–80</w:t>
      </w:r>
    </w:p>
    <w:p w14:paraId="343F22A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television broadcasting, anti-siphoning events  83</w:t>
      </w:r>
    </w:p>
    <w:p w14:paraId="75201D0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commercial television broadcasting licences</w:t>
      </w:r>
    </w:p>
    <w:p w14:paraId="6C068BA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cross-media ownership  35–6</w:t>
      </w:r>
    </w:p>
    <w:p w14:paraId="5227838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local information on regional  83</w:t>
      </w:r>
    </w:p>
    <w:p w14:paraId="50ED4BA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3A7CF4D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11, 31–2, 33</w:t>
      </w:r>
    </w:p>
    <w:p w14:paraId="66C93FB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ownership and control  32–3</w:t>
      </w:r>
    </w:p>
    <w:p w14:paraId="519DE2A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Communications Alliance  85, 116, 117, 121</w:t>
      </w:r>
    </w:p>
    <w:p w14:paraId="310D5A6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communications apps</w:t>
      </w:r>
    </w:p>
    <w:p w14:paraId="6852795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devices used  55–6</w:t>
      </w:r>
    </w:p>
    <w:p w14:paraId="3F06AAFE" w14:textId="77777777" w:rsidR="004036B2" w:rsidRPr="004E55F0" w:rsidRDefault="00E96AF6" w:rsidP="004036B2">
      <w:pPr>
        <w:pStyle w:val="Sub1"/>
        <w:rPr>
          <w:rFonts w:ascii="Arial" w:hAnsi="Arial" w:cs="Arial"/>
          <w:sz w:val="18"/>
          <w:szCs w:val="18"/>
        </w:rPr>
      </w:pPr>
      <w:r>
        <w:rPr>
          <w:rFonts w:ascii="Arial" w:hAnsi="Arial" w:cs="Arial"/>
          <w:sz w:val="18"/>
          <w:szCs w:val="18"/>
        </w:rPr>
        <w:t>use of  53–5</w:t>
      </w:r>
    </w:p>
    <w:p w14:paraId="7DDAB3A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Communications Compliance (CommCom)  121</w:t>
      </w:r>
    </w:p>
    <w:p w14:paraId="4A2BF92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communications services</w:t>
      </w:r>
    </w:p>
    <w:p w14:paraId="1401DF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accessing  44–52</w:t>
      </w:r>
    </w:p>
    <w:p w14:paraId="26EEC48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59–61</w:t>
      </w:r>
    </w:p>
    <w:p w14:paraId="30F5DF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industry supply  13–41</w:t>
      </w:r>
    </w:p>
    <w:p w14:paraId="638D4D9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62</w:t>
      </w:r>
    </w:p>
    <w:p w14:paraId="3EE70E0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take-up  43–4</w:t>
      </w:r>
    </w:p>
    <w:p w14:paraId="4112BAE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of  5</w:t>
      </w:r>
      <w:r w:rsidR="00E96AF6">
        <w:rPr>
          <w:rFonts w:ascii="Arial" w:hAnsi="Arial" w:cs="Arial"/>
          <w:sz w:val="18"/>
          <w:szCs w:val="18"/>
        </w:rPr>
        <w:t>0</w:t>
      </w:r>
      <w:r w:rsidRPr="004E55F0">
        <w:rPr>
          <w:rFonts w:ascii="Arial" w:hAnsi="Arial" w:cs="Arial"/>
          <w:sz w:val="18"/>
          <w:szCs w:val="18"/>
        </w:rPr>
        <w:t>–9</w:t>
      </w:r>
    </w:p>
    <w:p w14:paraId="0699E46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community radio broadcasting licences  36</w:t>
      </w:r>
    </w:p>
    <w:p w14:paraId="58DBEFC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31–2, 36</w:t>
      </w:r>
    </w:p>
    <w:p w14:paraId="088A6D2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temporary  31–2, 36</w:t>
      </w:r>
    </w:p>
    <w:p w14:paraId="418A2C1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community television broadcasting licences, numbers  31–2, 36</w:t>
      </w:r>
    </w:p>
    <w:p w14:paraId="6CC932C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community television services  36–7</w:t>
      </w:r>
    </w:p>
    <w:p w14:paraId="7DAF169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transition  37</w:t>
      </w:r>
    </w:p>
    <w:p w14:paraId="4102DEE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trials  37</w:t>
      </w:r>
    </w:p>
    <w:p w14:paraId="262DE60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Compare Communications Australia Pty Ltd  122</w:t>
      </w:r>
    </w:p>
    <w:p w14:paraId="49DDCD5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compensation payments, Customer Service Guarantee Standard  109</w:t>
      </w:r>
    </w:p>
    <w:p w14:paraId="5D1C658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complaint handling  123</w:t>
      </w:r>
    </w:p>
    <w:p w14:paraId="2570498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complaints</w:t>
      </w:r>
    </w:p>
    <w:p w14:paraId="5FC1BD8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broadcasting  12, 84–5</w:t>
      </w:r>
    </w:p>
    <w:p w14:paraId="2691873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domestic systems interference (DSI)  99–100</w:t>
      </w:r>
    </w:p>
    <w:p w14:paraId="37FD1D4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e-marketing  118–19</w:t>
      </w:r>
    </w:p>
    <w:p w14:paraId="0458ED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facility installation  124, 125</w:t>
      </w:r>
    </w:p>
    <w:p w14:paraId="629D51D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interactive gambling  87</w:t>
      </w:r>
    </w:p>
    <w:p w14:paraId="4859CAB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interference  99–100</w:t>
      </w:r>
    </w:p>
    <w:p w14:paraId="37C1F8D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content  12</w:t>
      </w:r>
    </w:p>
    <w:p w14:paraId="2774125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phone base stations  125</w:t>
      </w:r>
    </w:p>
    <w:p w14:paraId="2AF0835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content  85–6</w:t>
      </w:r>
    </w:p>
    <w:p w14:paraId="67EADA5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radiocommunications interference  99–100</w:t>
      </w:r>
    </w:p>
    <w:p w14:paraId="37C66D7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spam  12, 118–19</w:t>
      </w:r>
    </w:p>
    <w:p w14:paraId="5261EA0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telemarketing  12, 118–19</w:t>
      </w:r>
    </w:p>
    <w:p w14:paraId="115C2E8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TIO complaints  5, 12, 122–3, 124</w:t>
      </w:r>
    </w:p>
    <w:p w14:paraId="1871503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Triple Zero calls  91</w:t>
      </w:r>
    </w:p>
    <w:p w14:paraId="4E1F857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compliance</w:t>
      </w:r>
    </w:p>
    <w:p w14:paraId="2A50934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cabling  117–18</w:t>
      </w:r>
    </w:p>
    <w:p w14:paraId="702FE61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captioning television  80</w:t>
      </w:r>
    </w:p>
    <w:p w14:paraId="789AB02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5, 105–10</w:t>
      </w:r>
    </w:p>
    <w:p w14:paraId="6164EA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Integrated Public Number Database (IPND)  97–8</w:t>
      </w:r>
    </w:p>
    <w:p w14:paraId="77867B4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interception capability plan  97</w:t>
      </w:r>
    </w:p>
    <w:p w14:paraId="7D34807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6231A3F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Telecommunications Consumer Protection (TCP) Code  98, 121</w:t>
      </w:r>
    </w:p>
    <w:p w14:paraId="256BCD8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Telecommunications Industry Ombudsman scheme  122</w:t>
      </w:r>
    </w:p>
    <w:p w14:paraId="33B8F15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computers</w:t>
      </w:r>
    </w:p>
    <w:p w14:paraId="590E5D2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56, 58</w:t>
      </w:r>
    </w:p>
    <w:p w14:paraId="1718B23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 45–6, 49–50</w:t>
      </w:r>
    </w:p>
    <w:p w14:paraId="297A4E1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lastRenderedPageBreak/>
        <w:t>connections  105–7, 109</w:t>
      </w:r>
    </w:p>
    <w:p w14:paraId="541274D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priority assistance  114–15</w:t>
      </w:r>
    </w:p>
    <w:p w14:paraId="631A181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consumer engagement with communications  42–64</w:t>
      </w:r>
    </w:p>
    <w:p w14:paraId="7B1A904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consumer safeguards, and quality of service  101–25</w:t>
      </w:r>
    </w:p>
    <w:p w14:paraId="451DEBE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consumer satisfaction  59–61</w:t>
      </w:r>
    </w:p>
    <w:p w14:paraId="27EFDD5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contactless tap-and-go payments  58</w:t>
      </w:r>
    </w:p>
    <w:p w14:paraId="380B96C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content regulation, Australian content  77–9</w:t>
      </w:r>
    </w:p>
    <w:p w14:paraId="2FA3CB9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copper network switch-off  26–7</w:t>
      </w:r>
    </w:p>
    <w:p w14:paraId="39C58F3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credit management, complaints  123</w:t>
      </w:r>
    </w:p>
    <w:p w14:paraId="6B14B98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Critical Information Summary requirements  121</w:t>
      </w:r>
    </w:p>
    <w:p w14:paraId="151F3E6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cross-media ownership  35–6</w:t>
      </w:r>
    </w:p>
    <w:p w14:paraId="6AA8AE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customer information disclosures  94–6</w:t>
      </w:r>
    </w:p>
    <w:p w14:paraId="644BDA4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customer service, complaints  5, 123</w:t>
      </w:r>
    </w:p>
    <w:p w14:paraId="4D02566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Customer Service Guarantee Standard  5, 104–10</w:t>
      </w:r>
    </w:p>
    <w:p w14:paraId="6DBA4BA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105–6, 107–9</w:t>
      </w:r>
    </w:p>
    <w:p w14:paraId="1EF4CDB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benchmark performance  106–7</w:t>
      </w:r>
    </w:p>
    <w:p w14:paraId="30839D3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connections  105–6</w:t>
      </w:r>
    </w:p>
    <w:p w14:paraId="4432733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exceptions  104, 110</w:t>
      </w:r>
    </w:p>
    <w:p w14:paraId="5E7AB59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105–6, 107–9</w:t>
      </w:r>
    </w:p>
    <w:p w14:paraId="2495F71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105–7, 109</w:t>
      </w:r>
    </w:p>
    <w:p w14:paraId="283509E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106–7, 109</w:t>
      </w:r>
    </w:p>
    <w:p w14:paraId="15C9562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qualifying carriage service providers (QCSPs)  105</w:t>
      </w:r>
    </w:p>
    <w:p w14:paraId="67FC013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services subject to  104–5</w:t>
      </w:r>
    </w:p>
    <w:p w14:paraId="49C6B6E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telephone services covered by  8</w:t>
      </w:r>
    </w:p>
    <w:p w14:paraId="676295C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time frames  105–6, 109</w:t>
      </w:r>
    </w:p>
    <w:p w14:paraId="4C19BEE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waivers  8, 105</w:t>
      </w:r>
    </w:p>
    <w:p w14:paraId="12BE61B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cybersecurity  5–6, 120</w:t>
      </w:r>
    </w:p>
    <w:p w14:paraId="2CB683BE" w14:textId="77777777" w:rsidR="004036B2" w:rsidRDefault="004036B2" w:rsidP="004036B2">
      <w:pPr>
        <w:pStyle w:val="Main"/>
        <w:rPr>
          <w:rFonts w:ascii="Arial" w:hAnsi="Arial" w:cs="Arial"/>
          <w:sz w:val="20"/>
          <w:szCs w:val="20"/>
        </w:rPr>
      </w:pPr>
    </w:p>
    <w:p w14:paraId="70E8CB97"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D</w:t>
      </w:r>
    </w:p>
    <w:p w14:paraId="2DD74935"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data allowances  48–9</w:t>
      </w:r>
    </w:p>
    <w:p w14:paraId="372038B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data downloaded  3, 47–8</w:t>
      </w:r>
    </w:p>
    <w:p w14:paraId="6A2CA2B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volumes  3, 4, 9</w:t>
      </w:r>
    </w:p>
    <w:p w14:paraId="4D6C19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data network service numbers  31</w:t>
      </w:r>
    </w:p>
    <w:p w14:paraId="4727CCC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data plans  47, 48–9</w:t>
      </w:r>
    </w:p>
    <w:p w14:paraId="5CE8DF2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data speeds, consumer satisfaction  60–1</w:t>
      </w:r>
    </w:p>
    <w:p w14:paraId="6CC63069" w14:textId="77777777" w:rsidR="004036B2" w:rsidRDefault="004036B2" w:rsidP="004036B2">
      <w:pPr>
        <w:pStyle w:val="Main"/>
        <w:rPr>
          <w:rFonts w:ascii="Arial" w:hAnsi="Arial" w:cs="Arial"/>
          <w:sz w:val="18"/>
          <w:szCs w:val="18"/>
        </w:rPr>
      </w:pPr>
      <w:r w:rsidRPr="004E55F0">
        <w:rPr>
          <w:rFonts w:ascii="Arial" w:hAnsi="Arial" w:cs="Arial"/>
          <w:sz w:val="18"/>
          <w:szCs w:val="18"/>
        </w:rPr>
        <w:t>Department of Communications  84, 102</w:t>
      </w:r>
    </w:p>
    <w:p w14:paraId="0A3C2A67" w14:textId="77777777" w:rsidR="00E96AF6" w:rsidRPr="004E55F0" w:rsidRDefault="00E96AF6" w:rsidP="00E96AF6">
      <w:pPr>
        <w:pStyle w:val="Main"/>
        <w:rPr>
          <w:rFonts w:ascii="Arial" w:hAnsi="Arial" w:cs="Arial"/>
          <w:sz w:val="18"/>
          <w:szCs w:val="18"/>
        </w:rPr>
      </w:pPr>
      <w:r w:rsidRPr="004E55F0">
        <w:rPr>
          <w:rFonts w:ascii="Arial" w:hAnsi="Arial" w:cs="Arial"/>
          <w:sz w:val="18"/>
          <w:szCs w:val="18"/>
        </w:rPr>
        <w:t>Depart</w:t>
      </w:r>
      <w:r>
        <w:rPr>
          <w:rFonts w:ascii="Arial" w:hAnsi="Arial" w:cs="Arial"/>
          <w:sz w:val="18"/>
          <w:szCs w:val="18"/>
        </w:rPr>
        <w:t>ment of Communications and the Arts  88, 128</w:t>
      </w:r>
    </w:p>
    <w:p w14:paraId="4133677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Department of Finance  25</w:t>
      </w:r>
    </w:p>
    <w:p w14:paraId="6C14327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desktop computers</w:t>
      </w:r>
    </w:p>
    <w:p w14:paraId="5DE0E5F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56</w:t>
      </w:r>
    </w:p>
    <w:p w14:paraId="17E2C30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45–6</w:t>
      </w:r>
    </w:p>
    <w:p w14:paraId="71614B1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activities  58</w:t>
      </w:r>
    </w:p>
    <w:p w14:paraId="3C89D5B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dial-up internet  4, 20</w:t>
      </w:r>
    </w:p>
    <w:p w14:paraId="0ED8C82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47–8</w:t>
      </w:r>
    </w:p>
    <w:p w14:paraId="2D82CDD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broadcasting  83–4</w:t>
      </w:r>
    </w:p>
    <w:p w14:paraId="0E1EA25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mobile numbers  31</w:t>
      </w:r>
    </w:p>
    <w:p w14:paraId="4847C90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radio  3, 84, 87</w:t>
      </w:r>
    </w:p>
    <w:p w14:paraId="04F7624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Radio Plus  67</w:t>
      </w:r>
    </w:p>
    <w:p w14:paraId="21818CF1"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Digital Radio Report</w:t>
      </w:r>
      <w:r w:rsidRPr="004E55F0">
        <w:rPr>
          <w:rFonts w:ascii="Arial" w:hAnsi="Arial" w:cs="Arial"/>
          <w:sz w:val="18"/>
          <w:szCs w:val="18"/>
        </w:rPr>
        <w:t xml:space="preserve">  84</w:t>
      </w:r>
    </w:p>
    <w:p w14:paraId="0208C2E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services  8–10</w:t>
      </w:r>
    </w:p>
    <w:p w14:paraId="252A117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digital television  83–4</w:t>
      </w:r>
    </w:p>
    <w:p w14:paraId="59EC5A7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interference  99</w:t>
      </w:r>
    </w:p>
    <w:p w14:paraId="5B56A6F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disclosures of customer information  12, 94–6</w:t>
      </w:r>
    </w:p>
    <w:p w14:paraId="264F8275"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Do Not Call Register Act 2006</w:t>
      </w:r>
      <w:r w:rsidRPr="004E55F0">
        <w:rPr>
          <w:rFonts w:ascii="Arial" w:hAnsi="Arial" w:cs="Arial"/>
          <w:sz w:val="18"/>
          <w:szCs w:val="18"/>
        </w:rPr>
        <w:t xml:space="preserve">  118</w:t>
      </w:r>
    </w:p>
    <w:p w14:paraId="534C959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Do Not Call Register (DNCR)  118</w:t>
      </w:r>
    </w:p>
    <w:p w14:paraId="3C13F94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added  5, 118</w:t>
      </w:r>
    </w:p>
    <w:p w14:paraId="654F0BC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submitted for checking  118</w:t>
      </w:r>
    </w:p>
    <w:p w14:paraId="2484D71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documentaries, Australian content  77–9</w:t>
      </w:r>
    </w:p>
    <w:p w14:paraId="173BA35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Dodo</w:t>
      </w:r>
    </w:p>
    <w:p w14:paraId="65F5CCE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 109</w:t>
      </w:r>
    </w:p>
    <w:p w14:paraId="21C23EF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compensation payments  109</w:t>
      </w:r>
    </w:p>
    <w:p w14:paraId="33F55D8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 107–9</w:t>
      </w:r>
    </w:p>
    <w:p w14:paraId="67128DF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fault repairs  108, 109</w:t>
      </w:r>
    </w:p>
    <w:p w14:paraId="4DDD08D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107, 109</w:t>
      </w:r>
    </w:p>
    <w:p w14:paraId="33A9A86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107, 109</w:t>
      </w:r>
    </w:p>
    <w:p w14:paraId="0EAD5D8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as qualifying carriage service providers (QCSPs)  105</w:t>
      </w:r>
    </w:p>
    <w:p w14:paraId="2BE9675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TCP code  121</w:t>
      </w:r>
    </w:p>
    <w:p w14:paraId="342E855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domain names registered  10, 25</w:t>
      </w:r>
    </w:p>
    <w:p w14:paraId="77BF3E4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domestic systems interference (DSI), complaints  99–100</w:t>
      </w:r>
    </w:p>
    <w:p w14:paraId="7EC5803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drama</w:t>
      </w:r>
    </w:p>
    <w:p w14:paraId="79D5789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Australian content  77–9</w:t>
      </w:r>
    </w:p>
    <w:p w14:paraId="0D80A11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expenditure scheme  79</w:t>
      </w:r>
    </w:p>
    <w:p w14:paraId="1AAF92B2" w14:textId="77777777" w:rsidR="004036B2" w:rsidRDefault="004036B2" w:rsidP="004036B2">
      <w:pPr>
        <w:pStyle w:val="Main"/>
        <w:rPr>
          <w:rFonts w:ascii="Arial" w:hAnsi="Arial" w:cs="Arial"/>
          <w:sz w:val="20"/>
          <w:szCs w:val="20"/>
        </w:rPr>
      </w:pPr>
    </w:p>
    <w:p w14:paraId="5C9B6CC3"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E</w:t>
      </w:r>
    </w:p>
    <w:p w14:paraId="51A85439" w14:textId="77777777" w:rsidR="004036B2" w:rsidRPr="004E55F0" w:rsidRDefault="00E96AF6" w:rsidP="004036B2">
      <w:pPr>
        <w:pStyle w:val="Main"/>
        <w:ind w:left="0" w:firstLine="0"/>
        <w:rPr>
          <w:rFonts w:ascii="Arial" w:hAnsi="Arial" w:cs="Arial"/>
          <w:sz w:val="18"/>
          <w:szCs w:val="18"/>
        </w:rPr>
      </w:pPr>
      <w:r>
        <w:rPr>
          <w:rFonts w:ascii="Arial" w:hAnsi="Arial" w:cs="Arial"/>
          <w:sz w:val="18"/>
          <w:szCs w:val="18"/>
        </w:rPr>
        <w:t>e-commerce  5, 10, 56</w:t>
      </w:r>
      <w:r w:rsidR="004036B2" w:rsidRPr="004E55F0">
        <w:rPr>
          <w:rFonts w:ascii="Arial" w:hAnsi="Arial" w:cs="Arial"/>
          <w:sz w:val="18"/>
          <w:szCs w:val="18"/>
        </w:rPr>
        <w:t>–9</w:t>
      </w:r>
    </w:p>
    <w:p w14:paraId="41B3F15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eligible drama expenditure scheme  79</w:t>
      </w:r>
    </w:p>
    <w:p w14:paraId="2F3D656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email  50–1, 56–7, 64</w:t>
      </w:r>
    </w:p>
    <w:p w14:paraId="6167E40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emergency call services  89–93</w:t>
      </w:r>
    </w:p>
    <w:p w14:paraId="69A2CE0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disclosures of customer information to  95</w:t>
      </w:r>
    </w:p>
    <w:p w14:paraId="25C7EB2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non-emergency calls  90</w:t>
      </w:r>
    </w:p>
    <w:p w14:paraId="0195A2A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of calls offered  11</w:t>
      </w:r>
    </w:p>
    <w:p w14:paraId="648E4FF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106 TTY (teletypewriter) text service  92–3</w:t>
      </w:r>
    </w:p>
    <w:p w14:paraId="429F7CE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112 emergency calls  5, 90–1</w:t>
      </w:r>
    </w:p>
    <w:p w14:paraId="7B87364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percentage of calls answered  11</w:t>
      </w:r>
    </w:p>
    <w:p w14:paraId="0D3A40E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teletypewriters (TTY)  92–3</w:t>
      </w:r>
    </w:p>
    <w:p w14:paraId="0ED7874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Triple Zero calls  5, 90–1</w:t>
      </w:r>
    </w:p>
    <w:p w14:paraId="7D6C6CB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emergency calls</w:t>
      </w:r>
    </w:p>
    <w:p w14:paraId="43940A8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answering  5, 90–1, 92–3</w:t>
      </w:r>
    </w:p>
    <w:p w14:paraId="21652A6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genuine  90–1, 92–3</w:t>
      </w:r>
    </w:p>
    <w:p w14:paraId="4119465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Global Positioning System (GPS) information  91,</w:t>
      </w:r>
      <w:r w:rsidR="00BF4AF3">
        <w:rPr>
          <w:rFonts w:ascii="Arial" w:hAnsi="Arial" w:cs="Arial"/>
          <w:sz w:val="18"/>
          <w:szCs w:val="18"/>
        </w:rPr>
        <w:t> </w:t>
      </w:r>
      <w:r w:rsidRPr="004E55F0">
        <w:rPr>
          <w:rFonts w:ascii="Arial" w:hAnsi="Arial" w:cs="Arial"/>
          <w:sz w:val="18"/>
          <w:szCs w:val="18"/>
        </w:rPr>
        <w:t>92</w:t>
      </w:r>
    </w:p>
    <w:p w14:paraId="01ACD1B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from mobile phones  5, 91, 92–3</w:t>
      </w:r>
    </w:p>
    <w:p w14:paraId="5DF676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from payphones  90</w:t>
      </w:r>
    </w:p>
    <w:p w14:paraId="5333CE3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transfers  90–1</w:t>
      </w:r>
    </w:p>
    <w:p w14:paraId="057A54F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National Relay Service (NRS)  92–3</w:t>
      </w:r>
    </w:p>
    <w:p w14:paraId="411A6AC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volumes  90–1, 92–3</w:t>
      </w:r>
    </w:p>
    <w:p w14:paraId="2D7F7FC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emergency service organisations (ESO)  89</w:t>
      </w:r>
    </w:p>
    <w:p w14:paraId="0F56D31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calls transferred to  90–1</w:t>
      </w:r>
    </w:p>
    <w:p w14:paraId="10EBBC6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emergency suspension of carriage services  96</w:t>
      </w:r>
    </w:p>
    <w:p w14:paraId="3EA72F4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Esmond, David John  121</w:t>
      </w:r>
    </w:p>
    <w:p w14:paraId="2ECDA6A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E-Tel Communications Pty Ltd  121</w:t>
      </w:r>
    </w:p>
    <w:p w14:paraId="227F828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European Commission  70</w:t>
      </w:r>
    </w:p>
    <w:p w14:paraId="10BE51E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European Union  62–3</w:t>
      </w:r>
    </w:p>
    <w:p w14:paraId="7059BA6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exceptions, Customer Service Guarantee Standard  104, 110</w:t>
      </w:r>
    </w:p>
    <w:p w14:paraId="3D4FE77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executive summary  3–6</w:t>
      </w:r>
    </w:p>
    <w:p w14:paraId="3D6EA98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EzyFlix  71</w:t>
      </w:r>
    </w:p>
    <w:p w14:paraId="596B5559" w14:textId="77777777" w:rsidR="004036B2" w:rsidRDefault="004036B2" w:rsidP="004036B2">
      <w:pPr>
        <w:pStyle w:val="Main"/>
        <w:rPr>
          <w:rFonts w:ascii="Arial" w:hAnsi="Arial" w:cs="Arial"/>
          <w:sz w:val="20"/>
          <w:szCs w:val="20"/>
        </w:rPr>
      </w:pPr>
    </w:p>
    <w:p w14:paraId="05B609FB"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F</w:t>
      </w:r>
    </w:p>
    <w:p w14:paraId="33A9A313"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Facebook  50, 120</w:t>
      </w:r>
    </w:p>
    <w:p w14:paraId="0DE1CEE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Facebook Messenger  54–5</w:t>
      </w:r>
    </w:p>
    <w:p w14:paraId="2ACBDDF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FaceTime  54–5</w:t>
      </w:r>
    </w:p>
    <w:p w14:paraId="6A10443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facility installation complaints  124, 125</w:t>
      </w:r>
    </w:p>
    <w:p w14:paraId="0D1513B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Fairfax Media Ltd  34, 35, 71</w:t>
      </w:r>
    </w:p>
    <w:p w14:paraId="7CA266B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Family Friendly Filter scheme  85</w:t>
      </w:r>
    </w:p>
    <w:p w14:paraId="7D4B516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fault repairs</w:t>
      </w:r>
    </w:p>
    <w:p w14:paraId="4D7E848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60–1</w:t>
      </w:r>
    </w:p>
    <w:p w14:paraId="09AE299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105–6, 107–9</w:t>
      </w:r>
    </w:p>
    <w:p w14:paraId="797E992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104</w:t>
      </w:r>
    </w:p>
    <w:p w14:paraId="08C6BE2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priority assistance  114–15, 116</w:t>
      </w:r>
    </w:p>
    <w:p w14:paraId="4B795BD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faults  11</w:t>
      </w:r>
      <w:r w:rsidR="00E96AF6">
        <w:rPr>
          <w:rFonts w:ascii="Arial" w:hAnsi="Arial" w:cs="Arial"/>
          <w:sz w:val="18"/>
          <w:szCs w:val="18"/>
        </w:rPr>
        <w:t>0</w:t>
      </w:r>
      <w:r w:rsidRPr="004E55F0">
        <w:rPr>
          <w:rFonts w:ascii="Arial" w:hAnsi="Arial" w:cs="Arial"/>
          <w:sz w:val="18"/>
          <w:szCs w:val="18"/>
        </w:rPr>
        <w:t>–13, 123</w:t>
      </w:r>
    </w:p>
    <w:p w14:paraId="09C5557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fax marketing  118–19</w:t>
      </w:r>
    </w:p>
    <w:p w14:paraId="726CBAE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Fax Marketing Industry Standard  118</w:t>
      </w:r>
    </w:p>
    <w:p w14:paraId="504C0A3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Fetch TV  71, 73</w:t>
      </w:r>
    </w:p>
    <w:p w14:paraId="10318E9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financial institutions  120</w:t>
      </w:r>
    </w:p>
    <w:p w14:paraId="58390FA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fixed-line broadband</w:t>
      </w:r>
    </w:p>
    <w:p w14:paraId="201B363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average download per subscriber  9</w:t>
      </w:r>
    </w:p>
    <w:p w14:paraId="4EFCAC8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3, 9, 47–8</w:t>
      </w:r>
    </w:p>
    <w:p w14:paraId="4E74C11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versus mobile handset internet  48, 62</w:t>
      </w:r>
    </w:p>
    <w:p w14:paraId="702072B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fixed-line telephone services</w:t>
      </w:r>
    </w:p>
    <w:p w14:paraId="27DD846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availability  14–17</w:t>
      </w:r>
    </w:p>
    <w:p w14:paraId="782D975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calls from  50–1</w:t>
      </w:r>
    </w:p>
    <w:p w14:paraId="0813033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5, 122–3</w:t>
      </w:r>
    </w:p>
    <w:p w14:paraId="5C6E904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59–61</w:t>
      </w:r>
    </w:p>
    <w:p w14:paraId="18A1919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Network Reliability Framework (NRF)  110–13</w:t>
      </w:r>
    </w:p>
    <w:p w14:paraId="095C191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7</w:t>
      </w:r>
    </w:p>
    <w:p w14:paraId="2D3C48A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 operation  4, 14</w:t>
      </w:r>
    </w:p>
    <w:p w14:paraId="7CBBDD5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replaced by nbn  26</w:t>
      </w:r>
    </w:p>
    <w:p w14:paraId="4E277F6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shift away from  3, 7, 14–15, 52</w:t>
      </w:r>
    </w:p>
    <w:p w14:paraId="5C4EF41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Telstra retail only  14</w:t>
      </w:r>
    </w:p>
    <w:p w14:paraId="5BF641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of  16</w:t>
      </w:r>
    </w:p>
    <w:p w14:paraId="112BCE1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users  7</w:t>
      </w:r>
    </w:p>
    <w:p w14:paraId="588D63A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fixed-line telephone services network, reliability  110–13</w:t>
      </w:r>
    </w:p>
    <w:p w14:paraId="4334D2B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4G mobile services  3–4, 19</w:t>
      </w:r>
    </w:p>
    <w:p w14:paraId="5C84702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4G networks  3–4, 19</w:t>
      </w:r>
    </w:p>
    <w:p w14:paraId="5FD042F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services in operation  8</w:t>
      </w:r>
    </w:p>
    <w:p w14:paraId="53A4F42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Voice over LTE (VoLTE)  19</w:t>
      </w:r>
    </w:p>
    <w:p w14:paraId="7A37B63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Foxtel  68, 69, 71, 73</w:t>
      </w:r>
    </w:p>
    <w:p w14:paraId="4656365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Foxtel Play  71</w:t>
      </w:r>
    </w:p>
    <w:p w14:paraId="746FAA3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freephone and local rate numbers (FLRNs)</w:t>
      </w:r>
    </w:p>
    <w:p w14:paraId="7AE17DB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allocation of numbers  30</w:t>
      </w:r>
    </w:p>
    <w:p w14:paraId="37A15E0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portability  11, 117</w:t>
      </w:r>
    </w:p>
    <w:p w14:paraId="44A200F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free-to-air television  </w:t>
      </w:r>
      <w:r w:rsidRPr="004E55F0">
        <w:rPr>
          <w:rFonts w:ascii="Arial" w:hAnsi="Arial" w:cs="Arial"/>
          <w:i/>
          <w:iCs/>
          <w:sz w:val="18"/>
          <w:szCs w:val="18"/>
        </w:rPr>
        <w:t>see</w:t>
      </w:r>
      <w:r w:rsidRPr="004E55F0">
        <w:rPr>
          <w:rFonts w:ascii="Arial" w:hAnsi="Arial" w:cs="Arial"/>
          <w:sz w:val="18"/>
          <w:szCs w:val="18"/>
        </w:rPr>
        <w:t xml:space="preserve"> television</w:t>
      </w:r>
    </w:p>
    <w:p w14:paraId="160B372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Frost and Sullivan  28</w:t>
      </w:r>
    </w:p>
    <w:p w14:paraId="474FBAF2" w14:textId="77777777" w:rsidR="004036B2" w:rsidRDefault="004036B2" w:rsidP="004036B2">
      <w:pPr>
        <w:pStyle w:val="Main"/>
        <w:rPr>
          <w:rFonts w:ascii="Arial" w:hAnsi="Arial" w:cs="Arial"/>
          <w:sz w:val="20"/>
          <w:szCs w:val="20"/>
        </w:rPr>
      </w:pPr>
    </w:p>
    <w:p w14:paraId="58C39F58"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G</w:t>
      </w:r>
    </w:p>
    <w:p w14:paraId="63C4CD1B"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gambling, interactive  87</w:t>
      </w:r>
    </w:p>
    <w:p w14:paraId="0FFD725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games consoles, internet access  46</w:t>
      </w:r>
    </w:p>
    <w:p w14:paraId="0918D5F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games online, playing  57, 64</w:t>
      </w:r>
    </w:p>
    <w:p w14:paraId="18D5347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geographic number allocations  11, 30–1</w:t>
      </w:r>
    </w:p>
    <w:p w14:paraId="464A2A2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glossary  126–33</w:t>
      </w:r>
    </w:p>
    <w:p w14:paraId="2640A04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Google Chromecast  76</w:t>
      </w:r>
    </w:p>
    <w:p w14:paraId="1851391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Google Play  73</w:t>
      </w:r>
    </w:p>
    <w:p w14:paraId="7F078F1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Google+ Hangout  54–5</w:t>
      </w:r>
    </w:p>
    <w:p w14:paraId="6008D1C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government websites, accessing  56–7, 64</w:t>
      </w:r>
    </w:p>
    <w:p w14:paraId="4D656FB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Grant Broadcasters Pty Ltd  33, 35</w:t>
      </w:r>
    </w:p>
    <w:p w14:paraId="477C0CA2" w14:textId="77777777" w:rsidR="004036B2" w:rsidRDefault="004036B2" w:rsidP="004036B2">
      <w:pPr>
        <w:pStyle w:val="Main"/>
        <w:rPr>
          <w:rFonts w:ascii="Arial" w:hAnsi="Arial" w:cs="Arial"/>
          <w:sz w:val="20"/>
          <w:szCs w:val="20"/>
        </w:rPr>
      </w:pPr>
    </w:p>
    <w:p w14:paraId="7CFD896D"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H</w:t>
      </w:r>
    </w:p>
    <w:p w14:paraId="258E0DF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Handling of Life Threatening and Unwelcome Communications industry code  98</w:t>
      </w:r>
    </w:p>
    <w:p w14:paraId="55BB724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Harbour Technology (HotNet) Pty Ltd  121</w:t>
      </w:r>
    </w:p>
    <w:p w14:paraId="131B358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home broadband connections  10, 43–4, 62–3</w:t>
      </w:r>
    </w:p>
    <w:p w14:paraId="15E156E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home internet connections  3, 10, 43–4, 62–3</w:t>
      </w:r>
    </w:p>
    <w:p w14:paraId="00D0CEF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HomeLinX Pty Ltd  121</w:t>
      </w:r>
    </w:p>
    <w:p w14:paraId="65A09FC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homespots (Wi-Fi)  22</w:t>
      </w:r>
    </w:p>
    <w:p w14:paraId="5E1EDBD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House of Representatives Standing Committee on Infrastructure and Communications  94</w:t>
      </w:r>
    </w:p>
    <w:p w14:paraId="60E52C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Hulu Plus  76</w:t>
      </w:r>
    </w:p>
    <w:p w14:paraId="52F5E422" w14:textId="77777777" w:rsidR="004036B2" w:rsidRDefault="004036B2" w:rsidP="004036B2">
      <w:pPr>
        <w:pStyle w:val="Main"/>
        <w:rPr>
          <w:rFonts w:ascii="Arial" w:hAnsi="Arial" w:cs="Arial"/>
          <w:sz w:val="20"/>
          <w:szCs w:val="20"/>
        </w:rPr>
      </w:pPr>
    </w:p>
    <w:p w14:paraId="3E3DD6C0"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I</w:t>
      </w:r>
    </w:p>
    <w:p w14:paraId="65645AE4"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IBM  28</w:t>
      </w:r>
    </w:p>
    <w:p w14:paraId="55FFC02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icode  120</w:t>
      </w:r>
    </w:p>
    <w:p w14:paraId="4F7C9F5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identity checking  97</w:t>
      </w:r>
    </w:p>
    <w:p w14:paraId="7AFAC03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iiNet</w:t>
      </w:r>
    </w:p>
    <w:p w14:paraId="00AE2EB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 109</w:t>
      </w:r>
    </w:p>
    <w:p w14:paraId="3542153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compensation payments  109</w:t>
      </w:r>
    </w:p>
    <w:p w14:paraId="4335B64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 107–10</w:t>
      </w:r>
    </w:p>
    <w:p w14:paraId="7E9F97F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exceptions  110</w:t>
      </w:r>
    </w:p>
    <w:p w14:paraId="4B95440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108, 109</w:t>
      </w:r>
    </w:p>
    <w:p w14:paraId="3860B3D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services in operation  24</w:t>
      </w:r>
    </w:p>
    <w:p w14:paraId="70DF0D8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107, 109</w:t>
      </w:r>
    </w:p>
    <w:p w14:paraId="3816BB2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mergers and acquisitions  28, 29</w:t>
      </w:r>
    </w:p>
    <w:p w14:paraId="5B16892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107, 109</w:t>
      </w:r>
    </w:p>
    <w:p w14:paraId="0A99848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as qualifying carriage service providers (QCSPs)  105</w:t>
      </w:r>
    </w:p>
    <w:p w14:paraId="3E7DE83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TCP code  121</w:t>
      </w:r>
    </w:p>
    <w:p w14:paraId="7F42502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waivers  105</w:t>
      </w:r>
    </w:p>
    <w:p w14:paraId="2E0A07F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Imparja Television Pty Ltd  32, 33</w:t>
      </w:r>
    </w:p>
    <w:p w14:paraId="51E15FA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Independent News &amp; Media PLC  34</w:t>
      </w:r>
    </w:p>
    <w:p w14:paraId="4E20903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Indigenous community television broadcasting services  36</w:t>
      </w:r>
    </w:p>
    <w:p w14:paraId="52489CE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industry codes  </w:t>
      </w:r>
      <w:r w:rsidRPr="004E55F0">
        <w:rPr>
          <w:rFonts w:ascii="Arial" w:hAnsi="Arial" w:cs="Arial"/>
          <w:i/>
          <w:iCs/>
          <w:sz w:val="18"/>
          <w:szCs w:val="18"/>
        </w:rPr>
        <w:t>see</w:t>
      </w:r>
      <w:r w:rsidRPr="004E55F0">
        <w:rPr>
          <w:rFonts w:ascii="Arial" w:hAnsi="Arial" w:cs="Arial"/>
          <w:sz w:val="18"/>
          <w:szCs w:val="18"/>
        </w:rPr>
        <w:t xml:space="preserve"> telecommunications codes</w:t>
      </w:r>
    </w:p>
    <w:p w14:paraId="46B8932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Industry Number Management Services Ltd (INMS)  117</w:t>
      </w:r>
    </w:p>
    <w:p w14:paraId="31F2FAD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infrastructure regulation  124, 125</w:t>
      </w:r>
    </w:p>
    <w:p w14:paraId="518DED9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in-place connections  105–7, 109</w:t>
      </w:r>
    </w:p>
    <w:p w14:paraId="4CE15BE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instant messaging  4, </w:t>
      </w:r>
      <w:r w:rsidR="00E96AF6" w:rsidRPr="004E55F0">
        <w:rPr>
          <w:rFonts w:ascii="Arial" w:hAnsi="Arial" w:cs="Arial"/>
          <w:sz w:val="18"/>
          <w:szCs w:val="18"/>
        </w:rPr>
        <w:t>16</w:t>
      </w:r>
      <w:r w:rsidR="00E96AF6">
        <w:rPr>
          <w:rFonts w:ascii="Arial" w:hAnsi="Arial" w:cs="Arial"/>
          <w:sz w:val="18"/>
          <w:szCs w:val="18"/>
        </w:rPr>
        <w:t xml:space="preserve">, </w:t>
      </w:r>
      <w:r w:rsidRPr="004E55F0">
        <w:rPr>
          <w:rFonts w:ascii="Arial" w:hAnsi="Arial" w:cs="Arial"/>
          <w:sz w:val="18"/>
          <w:szCs w:val="18"/>
        </w:rPr>
        <w:t>50–1</w:t>
      </w:r>
    </w:p>
    <w:p w14:paraId="7C8F8BC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Integrated Public Number Database (IPND)  97</w:t>
      </w:r>
    </w:p>
    <w:p w14:paraId="29F2297C" w14:textId="77777777" w:rsidR="004036B2" w:rsidRDefault="004036B2" w:rsidP="004036B2">
      <w:pPr>
        <w:pStyle w:val="Sub1"/>
        <w:rPr>
          <w:rFonts w:ascii="Arial" w:hAnsi="Arial" w:cs="Arial"/>
          <w:sz w:val="18"/>
          <w:szCs w:val="18"/>
        </w:rPr>
      </w:pPr>
      <w:r w:rsidRPr="004E55F0">
        <w:rPr>
          <w:rFonts w:ascii="Arial" w:hAnsi="Arial" w:cs="Arial"/>
          <w:sz w:val="18"/>
          <w:szCs w:val="18"/>
        </w:rPr>
        <w:t>compliance  97–8</w:t>
      </w:r>
    </w:p>
    <w:p w14:paraId="4A2E4BF1" w14:textId="77777777" w:rsidR="00E96AF6" w:rsidRPr="004E55F0" w:rsidRDefault="00E96AF6" w:rsidP="004036B2">
      <w:pPr>
        <w:pStyle w:val="Sub1"/>
        <w:rPr>
          <w:rFonts w:ascii="Arial" w:hAnsi="Arial" w:cs="Arial"/>
          <w:sz w:val="18"/>
          <w:szCs w:val="18"/>
        </w:rPr>
      </w:pPr>
      <w:r w:rsidRPr="004E55F0">
        <w:rPr>
          <w:rFonts w:ascii="Arial" w:hAnsi="Arial" w:cs="Arial"/>
          <w:sz w:val="18"/>
          <w:szCs w:val="18"/>
        </w:rPr>
        <w:t>industry code  98</w:t>
      </w:r>
    </w:p>
    <w:p w14:paraId="6D244AD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of connected records  97</w:t>
      </w:r>
    </w:p>
    <w:p w14:paraId="245828B2" w14:textId="77777777" w:rsidR="004036B2" w:rsidRPr="004E55F0" w:rsidRDefault="00E96AF6" w:rsidP="00E96AF6">
      <w:pPr>
        <w:pStyle w:val="Sub1"/>
        <w:rPr>
          <w:rFonts w:ascii="Arial" w:hAnsi="Arial" w:cs="Arial"/>
          <w:sz w:val="18"/>
          <w:szCs w:val="18"/>
        </w:rPr>
      </w:pPr>
      <w:r>
        <w:rPr>
          <w:rFonts w:ascii="Arial" w:hAnsi="Arial" w:cs="Arial"/>
          <w:sz w:val="18"/>
          <w:szCs w:val="18"/>
        </w:rPr>
        <w:t>role of  97</w:t>
      </w:r>
    </w:p>
    <w:p w14:paraId="651E019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interactive gambling  87</w:t>
      </w:r>
    </w:p>
    <w:p w14:paraId="4B30D2C7"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Interactive Gambling Act 2001</w:t>
      </w:r>
      <w:r w:rsidRPr="004E55F0">
        <w:rPr>
          <w:rFonts w:ascii="Arial" w:hAnsi="Arial" w:cs="Arial"/>
          <w:sz w:val="18"/>
          <w:szCs w:val="18"/>
        </w:rPr>
        <w:t xml:space="preserve">  87</w:t>
      </w:r>
    </w:p>
    <w:p w14:paraId="2B1307F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interception  96</w:t>
      </w:r>
    </w:p>
    <w:p w14:paraId="1425693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capability plan compliance  97</w:t>
      </w:r>
    </w:p>
    <w:p w14:paraId="7A43598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cost of providing assistance  96</w:t>
      </w:r>
    </w:p>
    <w:p w14:paraId="04CF2A8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interference, complaints  99–100</w:t>
      </w:r>
    </w:p>
    <w:p w14:paraId="1A9F286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International Association of Internet Hotlines (INHOPE)  87</w:t>
      </w:r>
    </w:p>
    <w:p w14:paraId="66DEBDF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international cooperation, child sexual abuse material  87</w:t>
      </w:r>
    </w:p>
    <w:p w14:paraId="0A2A2A1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international trends  62–4</w:t>
      </w:r>
    </w:p>
    <w:p w14:paraId="0E9E404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 services  62</w:t>
      </w:r>
    </w:p>
    <w:p w14:paraId="6815926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contactless tap-and-go payments  58</w:t>
      </w:r>
    </w:p>
    <w:p w14:paraId="1E9F523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fixed versus mobile internet penetration  64</w:t>
      </w:r>
    </w:p>
    <w:p w14:paraId="6122C48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62–3</w:t>
      </w:r>
    </w:p>
    <w:p w14:paraId="0DDB3FA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devices  63</w:t>
      </w:r>
    </w:p>
    <w:p w14:paraId="2F248DE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use  63–4</w:t>
      </w:r>
    </w:p>
    <w:p w14:paraId="2864BA4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video content  76–7</w:t>
      </w:r>
    </w:p>
    <w:p w14:paraId="3B4AE3B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video services  76–7</w:t>
      </w:r>
    </w:p>
    <w:p w14:paraId="430F174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w:t>
      </w:r>
    </w:p>
    <w:p w14:paraId="34FE092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content complaints  12, 85–6</w:t>
      </w:r>
    </w:p>
    <w:p w14:paraId="10B182F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domain names registered  10, 25</w:t>
      </w:r>
    </w:p>
    <w:p w14:paraId="04F941B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content  6, 85–6</w:t>
      </w:r>
    </w:p>
    <w:p w14:paraId="695B3EC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security  5–6, 120</w:t>
      </w:r>
    </w:p>
    <w:p w14:paraId="6C85548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access</w:t>
      </w:r>
    </w:p>
    <w:p w14:paraId="52099EC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home  3, 10, 43–4, 62–3</w:t>
      </w:r>
    </w:p>
    <w:p w14:paraId="561C43E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home broadband  10, 43–4, 62–3</w:t>
      </w:r>
    </w:p>
    <w:p w14:paraId="1566D7E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62–3</w:t>
      </w:r>
    </w:p>
    <w:p w14:paraId="2576907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via computers  4, 45–6, 49–50</w:t>
      </w:r>
    </w:p>
    <w:p w14:paraId="5090F84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games consoles  46</w:t>
      </w:r>
    </w:p>
    <w:p w14:paraId="649092F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mobile phones  3, 4, 10, 21, 43–4, 45–7, 49–50, 62–3</w:t>
      </w:r>
    </w:p>
    <w:p w14:paraId="196377F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mp3 players  46</w:t>
      </w:r>
    </w:p>
    <w:p w14:paraId="17FDC48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smartphones  63</w:t>
      </w:r>
    </w:p>
    <w:p w14:paraId="7D683BD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tablets  43, 45–7, 49–50</w:t>
      </w:r>
    </w:p>
    <w:p w14:paraId="22CB882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television  46</w:t>
      </w:r>
    </w:p>
    <w:p w14:paraId="7534430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Wi-Fi hotspots  22</w:t>
      </w:r>
    </w:p>
    <w:p w14:paraId="70FC0FB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access devices</w:t>
      </w:r>
    </w:p>
    <w:p w14:paraId="10F5193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allowances  48–9</w:t>
      </w:r>
    </w:p>
    <w:p w14:paraId="25D3F13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diversification  45–7</w:t>
      </w:r>
    </w:p>
    <w:p w14:paraId="4ED9E6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frequency of use  49–50</w:t>
      </w:r>
    </w:p>
    <w:p w14:paraId="18738C4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63</w:t>
      </w:r>
    </w:p>
    <w:p w14:paraId="23D995A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used  44–5</w:t>
      </w:r>
    </w:p>
    <w:p w14:paraId="6D4EE5E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activities  58</w:t>
      </w:r>
    </w:p>
    <w:p w14:paraId="06D7D97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and Mobile Content Code  85</w:t>
      </w:r>
    </w:p>
    <w:p w14:paraId="21BF7E5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commerce  5, 10, 56–7, 58–9</w:t>
      </w:r>
    </w:p>
    <w:p w14:paraId="4A5E484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Industry Spam Code of Practice  121</w:t>
      </w:r>
    </w:p>
    <w:p w14:paraId="1E0713D3" w14:textId="77777777" w:rsidR="004036B2" w:rsidRPr="004E55F0" w:rsidRDefault="0061331D" w:rsidP="004036B2">
      <w:pPr>
        <w:pStyle w:val="Main"/>
        <w:rPr>
          <w:rFonts w:ascii="Arial" w:hAnsi="Arial" w:cs="Arial"/>
          <w:sz w:val="18"/>
          <w:szCs w:val="18"/>
        </w:rPr>
      </w:pPr>
      <w:r>
        <w:rPr>
          <w:rFonts w:ascii="Arial" w:hAnsi="Arial" w:cs="Arial"/>
          <w:sz w:val="18"/>
          <w:szCs w:val="18"/>
        </w:rPr>
        <w:t>Internet of T</w:t>
      </w:r>
      <w:r w:rsidR="004036B2" w:rsidRPr="004E55F0">
        <w:rPr>
          <w:rFonts w:ascii="Arial" w:hAnsi="Arial" w:cs="Arial"/>
          <w:sz w:val="18"/>
          <w:szCs w:val="18"/>
        </w:rPr>
        <w:t>hings (IoT)  27</w:t>
      </w:r>
    </w:p>
    <w:p w14:paraId="1090453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security  5–6, 120</w:t>
      </w:r>
    </w:p>
    <w:p w14:paraId="09BB43D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service providers (ISPs)</w:t>
      </w:r>
    </w:p>
    <w:p w14:paraId="70265D2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icode  120</w:t>
      </w:r>
    </w:p>
    <w:p w14:paraId="0AD191E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8, 23–4</w:t>
      </w:r>
    </w:p>
    <w:p w14:paraId="24D6AC2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prohibited online content  85–6</w:t>
      </w:r>
    </w:p>
    <w:p w14:paraId="5A96085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services</w:t>
      </w:r>
    </w:p>
    <w:p w14:paraId="48CBAF3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availability  20–8</w:t>
      </w:r>
    </w:p>
    <w:p w14:paraId="490E1CE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122–3</w:t>
      </w:r>
    </w:p>
    <w:p w14:paraId="3D78E70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59–61</w:t>
      </w:r>
    </w:p>
    <w:p w14:paraId="6242AD3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dial-up internet  20</w:t>
      </w:r>
    </w:p>
    <w:p w14:paraId="32FCC68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 operation  23–4</w:t>
      </w:r>
    </w:p>
    <w:p w14:paraId="2658892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subscribers  7</w:t>
      </w:r>
    </w:p>
    <w:p w14:paraId="2D915B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subscribers</w:t>
      </w:r>
    </w:p>
    <w:p w14:paraId="3C8081F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by internet services in operation  23–4</w:t>
      </w:r>
    </w:p>
    <w:p w14:paraId="2907C08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handset internet  20, 21</w:t>
      </w:r>
    </w:p>
    <w:p w14:paraId="2971809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wireless internet  20, 21</w:t>
      </w:r>
    </w:p>
    <w:p w14:paraId="025EE54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3, 20</w:t>
      </w:r>
    </w:p>
    <w:p w14:paraId="0D8E355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by technology type  20</w:t>
      </w:r>
    </w:p>
    <w:p w14:paraId="23A07FE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use</w:t>
      </w:r>
    </w:p>
    <w:p w14:paraId="5F57AE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activities performed online  56–7, 58–9, 63–4</w:t>
      </w:r>
    </w:p>
    <w:p w14:paraId="41BE74C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3, 4, 9, 47–8</w:t>
      </w:r>
    </w:p>
    <w:p w14:paraId="429300F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frequency  49–50</w:t>
      </w:r>
    </w:p>
    <w:p w14:paraId="1C99A5B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63–4</w:t>
      </w:r>
    </w:p>
    <w:p w14:paraId="4D76C24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of activities  56, 63</w:t>
      </w:r>
    </w:p>
    <w:p w14:paraId="6008207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44, 63</w:t>
      </w:r>
    </w:p>
    <w:p w14:paraId="32D26D0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offline  4, 44</w:t>
      </w:r>
    </w:p>
    <w:p w14:paraId="4DAE037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internet video  70</w:t>
      </w:r>
    </w:p>
    <w:p w14:paraId="27C8604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IPTV  4, 28, 71</w:t>
      </w:r>
    </w:p>
    <w:p w14:paraId="4D22280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iTalk (Australia) Pty Ltd  121</w:t>
      </w:r>
    </w:p>
    <w:p w14:paraId="32679DF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iTunes  73</w:t>
      </w:r>
    </w:p>
    <w:p w14:paraId="4C24EB3F" w14:textId="77777777" w:rsidR="004036B2" w:rsidRDefault="004036B2" w:rsidP="004036B2">
      <w:pPr>
        <w:pStyle w:val="Main"/>
        <w:rPr>
          <w:rFonts w:ascii="Arial" w:hAnsi="Arial" w:cs="Arial"/>
          <w:sz w:val="20"/>
          <w:szCs w:val="20"/>
        </w:rPr>
      </w:pPr>
    </w:p>
    <w:p w14:paraId="3F619EC9"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K</w:t>
      </w:r>
    </w:p>
    <w:p w14:paraId="1F156920"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key highlights  3</w:t>
      </w:r>
    </w:p>
    <w:p w14:paraId="136EBDE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key indicators  7–12</w:t>
      </w:r>
    </w:p>
    <w:p w14:paraId="1A771EA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Kik  54–5</w:t>
      </w:r>
    </w:p>
    <w:p w14:paraId="66DEE1AD" w14:textId="77777777" w:rsidR="004036B2" w:rsidRDefault="004036B2" w:rsidP="004036B2">
      <w:pPr>
        <w:pStyle w:val="Main"/>
        <w:rPr>
          <w:rFonts w:ascii="Arial" w:hAnsi="Arial" w:cs="Arial"/>
          <w:sz w:val="20"/>
          <w:szCs w:val="20"/>
        </w:rPr>
      </w:pPr>
    </w:p>
    <w:p w14:paraId="0F8485DD"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L</w:t>
      </w:r>
    </w:p>
    <w:p w14:paraId="6A1024DB"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laptop computers</w:t>
      </w:r>
    </w:p>
    <w:p w14:paraId="0862E0E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56</w:t>
      </w:r>
    </w:p>
    <w:p w14:paraId="545A63E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 46</w:t>
      </w:r>
    </w:p>
    <w:p w14:paraId="2AB807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internet activities  58</w:t>
      </w:r>
    </w:p>
    <w:p w14:paraId="70F4B33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law enforcement  87, 94–6</w:t>
      </w:r>
    </w:p>
    <w:p w14:paraId="768CA8E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LED downlights, non-compliant  99</w:t>
      </w:r>
    </w:p>
    <w:p w14:paraId="0D38E1C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legislative requirements, compliance  2</w:t>
      </w:r>
    </w:p>
    <w:p w14:paraId="5A39DE1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letter of transmittal  iii</w:t>
      </w:r>
    </w:p>
    <w:p w14:paraId="7908FF0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levies  101–2</w:t>
      </w:r>
    </w:p>
    <w:p w14:paraId="692D7D7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licences</w:t>
      </w:r>
    </w:p>
    <w:p w14:paraId="1134610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broadcasting  11, 31–5</w:t>
      </w:r>
    </w:p>
    <w:p w14:paraId="217A447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cablers  117</w:t>
      </w:r>
    </w:p>
    <w:p w14:paraId="6AA1990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carriers  8, 29–30</w:t>
      </w:r>
    </w:p>
    <w:p w14:paraId="54781E1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commercial radio broadcasting  6, 11, 31–2, 33–5</w:t>
      </w:r>
    </w:p>
    <w:p w14:paraId="1F27714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commercial television broadcasting  6, 11, 31–3</w:t>
      </w:r>
    </w:p>
    <w:p w14:paraId="4731CCF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community radio broadcasting  36</w:t>
      </w:r>
    </w:p>
    <w:p w14:paraId="5C90281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community television broadcasting licences  31–2, 36</w:t>
      </w:r>
    </w:p>
    <w:p w14:paraId="215E114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cross-media ownership  35–6</w:t>
      </w:r>
    </w:p>
    <w:p w14:paraId="30CAC43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6DD6348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subscription television  11, 36</w:t>
      </w:r>
    </w:p>
    <w:p w14:paraId="4DA9912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temporary community radio broadcasting  31–2, 36</w:t>
      </w:r>
    </w:p>
    <w:p w14:paraId="7D337A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life-threatening calls  98</w:t>
      </w:r>
    </w:p>
    <w:p w14:paraId="3AFC378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Line (app)  54–5</w:t>
      </w:r>
    </w:p>
    <w:p w14:paraId="78EA796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line rental costs, consumer satisfaction  60–1</w:t>
      </w:r>
    </w:p>
    <w:p w14:paraId="5641267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local number portability  11, 116, 117</w:t>
      </w:r>
    </w:p>
    <w:p w14:paraId="1C6D4B0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Local Number Portability Code  116</w:t>
      </w:r>
    </w:p>
    <w:p w14:paraId="27E3C39A" w14:textId="77777777" w:rsidR="004036B2" w:rsidRDefault="004036B2" w:rsidP="004036B2">
      <w:pPr>
        <w:pStyle w:val="Main"/>
        <w:rPr>
          <w:rFonts w:ascii="Arial" w:hAnsi="Arial" w:cs="Arial"/>
          <w:sz w:val="20"/>
          <w:szCs w:val="20"/>
        </w:rPr>
      </w:pPr>
    </w:p>
    <w:p w14:paraId="67D3BB0B"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M</w:t>
      </w:r>
    </w:p>
    <w:p w14:paraId="40BB7581"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M and E Alchi Family Trust  121</w:t>
      </w:r>
    </w:p>
    <w:p w14:paraId="7297ADE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M2 Group</w:t>
      </w:r>
    </w:p>
    <w:p w14:paraId="3FF7612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110</w:t>
      </w:r>
    </w:p>
    <w:p w14:paraId="105777F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exceptions  110</w:t>
      </w:r>
    </w:p>
    <w:p w14:paraId="06A284F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services in operation  24</w:t>
      </w:r>
    </w:p>
    <w:p w14:paraId="23D4CF9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mergers and acquisitions  28</w:t>
      </w:r>
    </w:p>
    <w:p w14:paraId="362C294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M2M services  27</w:t>
      </w:r>
    </w:p>
    <w:p w14:paraId="57391BD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machine-to-machine (M2M) communications  3, 27</w:t>
      </w:r>
    </w:p>
    <w:p w14:paraId="44EE72D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Macquarie Radio Network Ltd  33, 34, 35</w:t>
      </w:r>
    </w:p>
    <w:p w14:paraId="0AB819C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malware  120</w:t>
      </w:r>
    </w:p>
    <w:p w14:paraId="53C22E0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Max Telecom Pty Ltd  121</w:t>
      </w:r>
    </w:p>
    <w:p w14:paraId="5B6BAB1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media ownership  35–6</w:t>
      </w:r>
    </w:p>
    <w:p w14:paraId="4C904DB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mergers and acquisitions  28–9</w:t>
      </w:r>
    </w:p>
    <w:p w14:paraId="5701C7E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messages</w:t>
      </w:r>
    </w:p>
    <w:p w14:paraId="7A5E0C9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instant  4, 16, 50–1</w:t>
      </w:r>
    </w:p>
    <w:p w14:paraId="0516788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short text (SMS)  50–1</w:t>
      </w:r>
    </w:p>
    <w:p w14:paraId="4A1B251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using communications apps  53–6</w:t>
      </w:r>
    </w:p>
    <w:p w14:paraId="0E69DC5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Microsoft  28</w:t>
      </w:r>
    </w:p>
    <w:p w14:paraId="0E369CF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Minister for Communications  102</w:t>
      </w:r>
    </w:p>
    <w:p w14:paraId="602FB14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Black Spot Programme  19</w:t>
      </w:r>
    </w:p>
    <w:p w14:paraId="20AFCD1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handset internet</w:t>
      </w:r>
    </w:p>
    <w:p w14:paraId="135B302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access  3, 4, 10, 43–4, 45–7, 49–50, 62–3</w:t>
      </w:r>
    </w:p>
    <w:p w14:paraId="2C53821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average download per subscriber  9</w:t>
      </w:r>
    </w:p>
    <w:p w14:paraId="1AB1929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allowances  48–9</w:t>
      </w:r>
    </w:p>
    <w:p w14:paraId="2952024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9, 47–8</w:t>
      </w:r>
    </w:p>
    <w:p w14:paraId="4A2E199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versus fixed-line broadband  48, 62</w:t>
      </w:r>
    </w:p>
    <w:p w14:paraId="6598676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4, 64</w:t>
      </w:r>
    </w:p>
    <w:p w14:paraId="22C2F6E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activities  58</w:t>
      </w:r>
    </w:p>
    <w:p w14:paraId="2C87407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subscribers  3, 21</w:t>
      </w:r>
    </w:p>
    <w:p w14:paraId="5BC08CF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21–2</w:t>
      </w:r>
    </w:p>
    <w:p w14:paraId="04EDA08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internet services, numbers  7</w:t>
      </w:r>
    </w:p>
    <w:p w14:paraId="2B33192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network codes  31</w:t>
      </w:r>
    </w:p>
    <w:p w14:paraId="6257DD8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Number Portability Code  117</w:t>
      </w:r>
    </w:p>
    <w:p w14:paraId="5FDA7C6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numbers</w:t>
      </w:r>
    </w:p>
    <w:p w14:paraId="5BE2642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allocation  11, 31</w:t>
      </w:r>
    </w:p>
    <w:p w14:paraId="172876D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portability  11, 117</w:t>
      </w:r>
    </w:p>
    <w:p w14:paraId="0663238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Phone Base Station Deployment Code  125</w:t>
      </w:r>
    </w:p>
    <w:p w14:paraId="2457496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lastRenderedPageBreak/>
        <w:t>mobile phone base stations  19, 125</w:t>
      </w:r>
    </w:p>
    <w:p w14:paraId="43A7362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phone services</w:t>
      </w:r>
    </w:p>
    <w:p w14:paraId="00D5522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5, 122–3</w:t>
      </w:r>
    </w:p>
    <w:p w14:paraId="12BE8AA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59–61</w:t>
      </w:r>
    </w:p>
    <w:p w14:paraId="32D9D74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identity checking for prepaid  97</w:t>
      </w:r>
    </w:p>
    <w:p w14:paraId="6A247D0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interference  99</w:t>
      </w:r>
    </w:p>
    <w:p w14:paraId="14DD102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phones</w:t>
      </w:r>
    </w:p>
    <w:p w14:paraId="7FC2915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calls from  50–1</w:t>
      </w:r>
    </w:p>
    <w:p w14:paraId="664DE41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55–6</w:t>
      </w:r>
    </w:p>
    <w:p w14:paraId="5534E09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consumer satisfaction  60–1</w:t>
      </w:r>
    </w:p>
    <w:p w14:paraId="6899A3B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coverage  19</w:t>
      </w:r>
    </w:p>
    <w:p w14:paraId="692AF55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calls from  5, 91, 92–3</w:t>
      </w:r>
    </w:p>
    <w:p w14:paraId="3013754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4G subscribers  19</w:t>
      </w:r>
    </w:p>
    <w:p w14:paraId="7587211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handsets  7</w:t>
      </w:r>
    </w:p>
    <w:p w14:paraId="5C0DA30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location for emergency service organisations  91</w:t>
      </w:r>
    </w:p>
    <w:p w14:paraId="123459E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 fixed-line telephone  3, 7, 14–15, 52</w:t>
      </w:r>
    </w:p>
    <w:p w14:paraId="7D6AA1C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OTT VoIP services  4, 16–17</w:t>
      </w:r>
    </w:p>
    <w:p w14:paraId="7ECD307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smartphones  3, 7, 21–2, 63</w:t>
      </w:r>
    </w:p>
    <w:p w14:paraId="20C9826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SMS messages from  50–1</w:t>
      </w:r>
    </w:p>
    <w:p w14:paraId="6D9D5BC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of  3, 21–2</w:t>
      </w:r>
    </w:p>
    <w:p w14:paraId="48D796E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premium services, complaints  122–3</w:t>
      </w:r>
    </w:p>
    <w:p w14:paraId="11C4BDB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Premium Services (MPS) Code  121</w:t>
      </w:r>
    </w:p>
    <w:p w14:paraId="43AEC5E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services</w:t>
      </w:r>
    </w:p>
    <w:p w14:paraId="22EA55F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availability  17–20</w:t>
      </w:r>
    </w:p>
    <w:p w14:paraId="12F140B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4G  19</w:t>
      </w:r>
    </w:p>
    <w:p w14:paraId="4C4CB81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market share  17–18</w:t>
      </w:r>
    </w:p>
    <w:p w14:paraId="363E739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location  91</w:t>
      </w:r>
    </w:p>
    <w:p w14:paraId="14E534A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 in operation  3, 17–18</w:t>
      </w:r>
    </w:p>
    <w:p w14:paraId="3821F1D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7</w:t>
      </w:r>
    </w:p>
    <w:p w14:paraId="094792A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providers  18–19</w:t>
      </w:r>
    </w:p>
    <w:p w14:paraId="19D210C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wireless broadband  7, 20, 21</w:t>
      </w:r>
    </w:p>
    <w:p w14:paraId="2ADB2CD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 wireless internet  20, 21</w:t>
      </w:r>
    </w:p>
    <w:p w14:paraId="3553051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mobile-internet services  21</w:t>
      </w:r>
    </w:p>
    <w:p w14:paraId="4CF677C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mp3 players, internet access  46</w:t>
      </w:r>
    </w:p>
    <w:p w14:paraId="265CF66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Murdoch, Lachlan  36</w:t>
      </w:r>
    </w:p>
    <w:p w14:paraId="5765148C" w14:textId="77777777" w:rsidR="004036B2" w:rsidRDefault="004036B2" w:rsidP="004036B2">
      <w:pPr>
        <w:pStyle w:val="Main"/>
        <w:rPr>
          <w:rFonts w:ascii="Arial" w:hAnsi="Arial" w:cs="Arial"/>
          <w:sz w:val="20"/>
          <w:szCs w:val="20"/>
        </w:rPr>
      </w:pPr>
    </w:p>
    <w:p w14:paraId="5BD21DDE"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N</w:t>
      </w:r>
    </w:p>
    <w:p w14:paraId="26D0B3C7" w14:textId="77777777" w:rsidR="004036B2" w:rsidRPr="004E55F0" w:rsidRDefault="00BF4AF3" w:rsidP="004036B2">
      <w:pPr>
        <w:pStyle w:val="Main"/>
        <w:ind w:left="0" w:firstLine="0"/>
        <w:rPr>
          <w:rFonts w:ascii="Arial" w:hAnsi="Arial" w:cs="Arial"/>
          <w:sz w:val="18"/>
          <w:szCs w:val="18"/>
        </w:rPr>
      </w:pPr>
      <w:r>
        <w:rPr>
          <w:rFonts w:ascii="Arial" w:hAnsi="Arial" w:cs="Arial"/>
          <w:sz w:val="18"/>
          <w:szCs w:val="18"/>
        </w:rPr>
        <w:t>national broadband n</w:t>
      </w:r>
      <w:r w:rsidR="004036B2" w:rsidRPr="004E55F0">
        <w:rPr>
          <w:rFonts w:ascii="Arial" w:hAnsi="Arial" w:cs="Arial"/>
          <w:sz w:val="18"/>
          <w:szCs w:val="18"/>
        </w:rPr>
        <w:t>etwork (</w:t>
      </w:r>
      <w:r>
        <w:rPr>
          <w:rFonts w:ascii="Arial" w:hAnsi="Arial" w:cs="Arial"/>
          <w:sz w:val="18"/>
          <w:szCs w:val="18"/>
        </w:rPr>
        <w:t>nbn</w:t>
      </w:r>
      <w:r w:rsidR="004036B2" w:rsidRPr="004E55F0">
        <w:rPr>
          <w:rFonts w:ascii="Arial" w:hAnsi="Arial" w:cs="Arial"/>
          <w:sz w:val="18"/>
          <w:szCs w:val="18"/>
        </w:rPr>
        <w:t>)  4, 25–6</w:t>
      </w:r>
    </w:p>
    <w:p w14:paraId="2F8DA2E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premises activated  4, 9, 25–6</w:t>
      </w:r>
    </w:p>
    <w:p w14:paraId="67AE2D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premises serviceable  4, 9, 25–6</w:t>
      </w:r>
    </w:p>
    <w:p w14:paraId="20048A4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switch-off  26–7</w:t>
      </w:r>
    </w:p>
    <w:p w14:paraId="693A4F4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Classification Board  85</w:t>
      </w:r>
    </w:p>
    <w:p w14:paraId="7CFFAC6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Classification Scheme  85</w:t>
      </w:r>
    </w:p>
    <w:p w14:paraId="77850CC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interest issues  5, 11–12, 89–100</w:t>
      </w:r>
    </w:p>
    <w:p w14:paraId="4648452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Relay Service (NRS)  92–3</w:t>
      </w:r>
    </w:p>
    <w:p w14:paraId="5D90A8D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 services  92</w:t>
      </w:r>
    </w:p>
    <w:p w14:paraId="11A99C7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levies and payments  101–2</w:t>
      </w:r>
    </w:p>
    <w:p w14:paraId="32E3633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106 TTY (teletypewriter) text service  92–3</w:t>
      </w:r>
    </w:p>
    <w:p w14:paraId="5861BF0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security  94–6</w:t>
      </w:r>
    </w:p>
    <w:p w14:paraId="38EA09B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National Site Archive  125</w:t>
      </w:r>
    </w:p>
    <w:p w14:paraId="0582B43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NBN Co Limited  4, 25</w:t>
      </w:r>
    </w:p>
    <w:p w14:paraId="0247EDC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NBN Ltd  83</w:t>
      </w:r>
    </w:p>
    <w:p w14:paraId="1C78EE2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Netbay Internet Pty Ltd  121</w:t>
      </w:r>
    </w:p>
    <w:p w14:paraId="66558E0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Netfast Communications Pty Ltd  122</w:t>
      </w:r>
    </w:p>
    <w:p w14:paraId="7B37CD4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Netflix  3, 71, 72–3, 76</w:t>
      </w:r>
    </w:p>
    <w:p w14:paraId="26CA47D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Network Reliability Framework (NRF)  110–13</w:t>
      </w:r>
    </w:p>
    <w:p w14:paraId="3932446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new service connections  106–7, 109</w:t>
      </w:r>
    </w:p>
    <w:p w14:paraId="587688E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News Corporation  36</w:t>
      </w:r>
    </w:p>
    <w:p w14:paraId="566E877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news sites, accessed  10</w:t>
      </w:r>
    </w:p>
    <w:p w14:paraId="6950BF7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newspapers</w:t>
      </w:r>
    </w:p>
    <w:p w14:paraId="59CF32F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cross-media ownership  35–6</w:t>
      </w:r>
    </w:p>
    <w:p w14:paraId="7CE41B8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5601016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Newspoll Research  135</w:t>
      </w:r>
    </w:p>
    <w:p w14:paraId="7F9FB3E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lastRenderedPageBreak/>
        <w:t>Nielsen  76, 77</w:t>
      </w:r>
    </w:p>
    <w:p w14:paraId="2CC52C1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Nine Entertainment Co Holdings Ltd  33, 71</w:t>
      </w:r>
    </w:p>
    <w:p w14:paraId="233A18C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Nine Network  32–3, 71, 78, 79–80</w:t>
      </w:r>
    </w:p>
    <w:p w14:paraId="06D60FC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nominated carrier declarations (NCDs)  29–30</w:t>
      </w:r>
    </w:p>
    <w:p w14:paraId="5D28B5B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non-protection zone permits (NPZ permit)  98–9</w:t>
      </w:r>
    </w:p>
    <w:p w14:paraId="7DD0E91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notification of changes of control  82</w:t>
      </w:r>
    </w:p>
    <w:p w14:paraId="528A80C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Nova Entertainment Pty Ltd  33, 35, 36</w:t>
      </w:r>
    </w:p>
    <w:p w14:paraId="267C1EE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number allocations  11, 30–1</w:t>
      </w:r>
    </w:p>
    <w:p w14:paraId="02BA430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number portability  11, 116–17</w:t>
      </w:r>
    </w:p>
    <w:p w14:paraId="3EA97B5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freephone and local-rate number (FLRN)  117</w:t>
      </w:r>
    </w:p>
    <w:p w14:paraId="06ECB93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local numbers  11, 116, 117</w:t>
      </w:r>
    </w:p>
    <w:p w14:paraId="428ADF0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numbers  11, 117</w:t>
      </w:r>
    </w:p>
    <w:p w14:paraId="649A09A5" w14:textId="77777777" w:rsidR="004036B2" w:rsidRDefault="004036B2" w:rsidP="004036B2">
      <w:pPr>
        <w:pStyle w:val="Main"/>
        <w:rPr>
          <w:rFonts w:ascii="Arial" w:hAnsi="Arial" w:cs="Arial"/>
          <w:sz w:val="20"/>
          <w:szCs w:val="20"/>
        </w:rPr>
      </w:pPr>
    </w:p>
    <w:p w14:paraId="0470E872"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O</w:t>
      </w:r>
    </w:p>
    <w:p w14:paraId="7A92074C"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O’Brien, Denis  34</w:t>
      </w:r>
    </w:p>
    <w:p w14:paraId="4F2EDD0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Office of the Children’s eSafety Commissioner  85</w:t>
      </w:r>
    </w:p>
    <w:p w14:paraId="53E3320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offline Australians  4, 44</w:t>
      </w:r>
    </w:p>
    <w:p w14:paraId="4E0355D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106 TTY (teletypewriter) text service  92–3</w:t>
      </w:r>
    </w:p>
    <w:p w14:paraId="7100F96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112 emergency calls  5, 11, 90–1</w:t>
      </w:r>
    </w:p>
    <w:p w14:paraId="4D6C347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123 Group Pty Ltd  122</w:t>
      </w:r>
    </w:p>
    <w:p w14:paraId="4B25897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activities  56–7, 58–9, 63–4</w:t>
      </w:r>
    </w:p>
    <w:p w14:paraId="7A17FBC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devices used  58</w:t>
      </w:r>
    </w:p>
    <w:p w14:paraId="05225E0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audio  56, 57–8, 67</w:t>
      </w:r>
    </w:p>
    <w:p w14:paraId="127D111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buying  5, 58–9</w:t>
      </w:r>
    </w:p>
    <w:p w14:paraId="6304CF0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content</w:t>
      </w:r>
    </w:p>
    <w:p w14:paraId="4A874A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12, 85–6</w:t>
      </w:r>
    </w:p>
    <w:p w14:paraId="4343417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prohibited  6, 85</w:t>
      </w:r>
    </w:p>
    <w:p w14:paraId="06322D1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Content Scheme  85</w:t>
      </w:r>
    </w:p>
    <w:p w14:paraId="4DF8CF8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news services  10, 77</w:t>
      </w:r>
    </w:p>
    <w:p w14:paraId="5D3E57C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radio content  67</w:t>
      </w:r>
    </w:p>
    <w:p w14:paraId="3BB9DF5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selling  5, 58–9</w:t>
      </w:r>
    </w:p>
    <w:p w14:paraId="64BA882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shopping  5, 56–7, 58–9</w:t>
      </w:r>
    </w:p>
    <w:p w14:paraId="63059E0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online usage  </w:t>
      </w:r>
      <w:r w:rsidRPr="004E55F0">
        <w:rPr>
          <w:rFonts w:ascii="Arial" w:hAnsi="Arial" w:cs="Arial"/>
          <w:i/>
          <w:iCs/>
          <w:sz w:val="18"/>
          <w:szCs w:val="18"/>
        </w:rPr>
        <w:t>see</w:t>
      </w:r>
      <w:r w:rsidRPr="004E55F0">
        <w:rPr>
          <w:rFonts w:ascii="Arial" w:hAnsi="Arial" w:cs="Arial"/>
          <w:sz w:val="18"/>
          <w:szCs w:val="18"/>
        </w:rPr>
        <w:t xml:space="preserve"> internet use</w:t>
      </w:r>
    </w:p>
    <w:p w14:paraId="698B466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video content  67</w:t>
      </w:r>
    </w:p>
    <w:p w14:paraId="1F19E16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access  56, 57–8</w:t>
      </w:r>
    </w:p>
    <w:p w14:paraId="3EE8CE10" w14:textId="77777777" w:rsidR="004036B2" w:rsidRPr="004E55F0" w:rsidRDefault="00E96AF6" w:rsidP="004036B2">
      <w:pPr>
        <w:pStyle w:val="Sub1"/>
        <w:rPr>
          <w:rFonts w:ascii="Arial" w:hAnsi="Arial" w:cs="Arial"/>
          <w:sz w:val="18"/>
          <w:szCs w:val="18"/>
        </w:rPr>
      </w:pPr>
      <w:r>
        <w:rPr>
          <w:rFonts w:ascii="Arial" w:hAnsi="Arial" w:cs="Arial"/>
          <w:sz w:val="18"/>
          <w:szCs w:val="18"/>
        </w:rPr>
        <w:t>accessed professionally-</w:t>
      </w:r>
      <w:r w:rsidR="004036B2" w:rsidRPr="004E55F0">
        <w:rPr>
          <w:rFonts w:ascii="Arial" w:hAnsi="Arial" w:cs="Arial"/>
          <w:sz w:val="18"/>
          <w:szCs w:val="18"/>
        </w:rPr>
        <w:t>produced  10</w:t>
      </w:r>
    </w:p>
    <w:p w14:paraId="043604A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benefits  73–4</w:t>
      </w:r>
    </w:p>
    <w:p w14:paraId="275CF6B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76–7</w:t>
      </w:r>
    </w:p>
    <w:p w14:paraId="3470F2D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technical experience  74–5</w:t>
      </w:r>
    </w:p>
    <w:p w14:paraId="6C2001D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viewing  3, 4, 5, 69–71, 72–3, 76</w:t>
      </w:r>
    </w:p>
    <w:p w14:paraId="22F3344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video services  67</w:t>
      </w:r>
    </w:p>
    <w:p w14:paraId="672950D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benefits  73–4</w:t>
      </w:r>
    </w:p>
    <w:p w14:paraId="370F727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76–7</w:t>
      </w:r>
    </w:p>
    <w:p w14:paraId="66A8278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technical experience  74–5</w:t>
      </w:r>
    </w:p>
    <w:p w14:paraId="5C02865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viewing  72–3, 76</w:t>
      </w:r>
    </w:p>
    <w:p w14:paraId="67E8BF4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online video viewing devices  71, 76</w:t>
      </w:r>
    </w:p>
    <w:p w14:paraId="66FFC4F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Optus  71</w:t>
      </w:r>
    </w:p>
    <w:p w14:paraId="7D330E7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 109</w:t>
      </w:r>
    </w:p>
    <w:p w14:paraId="2ABEDEE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cloud services  28</w:t>
      </w:r>
    </w:p>
    <w:p w14:paraId="777AC89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compensation payments  109</w:t>
      </w:r>
    </w:p>
    <w:p w14:paraId="3C6E464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 107–10</w:t>
      </w:r>
    </w:p>
    <w:p w14:paraId="6D8B3B0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dial-up internet  20</w:t>
      </w:r>
    </w:p>
    <w:p w14:paraId="11656E7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exceptions  110</w:t>
      </w:r>
    </w:p>
    <w:p w14:paraId="7B4A9D5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108, 109</w:t>
      </w:r>
    </w:p>
    <w:p w14:paraId="78823C6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4G networks  4, 8, 19</w:t>
      </w:r>
    </w:p>
    <w:p w14:paraId="3755730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services in operation  24</w:t>
      </w:r>
    </w:p>
    <w:p w14:paraId="642A7B0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M2M services  27</w:t>
      </w:r>
    </w:p>
    <w:p w14:paraId="4CBEB12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phone base stations  125</w:t>
      </w:r>
    </w:p>
    <w:p w14:paraId="4AA0124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services  4, 18–19</w:t>
      </w:r>
    </w:p>
    <w:p w14:paraId="79EAA64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107, 109</w:t>
      </w:r>
    </w:p>
    <w:p w14:paraId="39F8F1B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as qualifying carriage service providers (QCSPs)  105</w:t>
      </w:r>
    </w:p>
    <w:p w14:paraId="1E5ECF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2G networks  19</w:t>
      </w:r>
    </w:p>
    <w:p w14:paraId="36520EE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Voice over LTE (VoLTE)  19</w:t>
      </w:r>
    </w:p>
    <w:p w14:paraId="0512220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Wi-Fi calling  20</w:t>
      </w:r>
    </w:p>
    <w:p w14:paraId="23AF971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over-the-top (OTT) VoIP services  4, 15</w:t>
      </w:r>
    </w:p>
    <w:p w14:paraId="2245456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devices used  16–17</w:t>
      </w:r>
    </w:p>
    <w:p w14:paraId="56850CC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of  15–16, 50–1</w:t>
      </w:r>
    </w:p>
    <w:p w14:paraId="4949537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Oz Talk Communications Pty Ltd  121</w:t>
      </w:r>
    </w:p>
    <w:p w14:paraId="1D13D626" w14:textId="77777777" w:rsidR="004036B2" w:rsidRDefault="004036B2" w:rsidP="004036B2">
      <w:pPr>
        <w:pStyle w:val="Main"/>
        <w:rPr>
          <w:rFonts w:ascii="Arial" w:hAnsi="Arial" w:cs="Arial"/>
          <w:sz w:val="20"/>
          <w:szCs w:val="20"/>
        </w:rPr>
      </w:pPr>
    </w:p>
    <w:p w14:paraId="1D0B2216"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P</w:t>
      </w:r>
    </w:p>
    <w:p w14:paraId="4F2754E6"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Pacnet  28, 29</w:t>
      </w:r>
    </w:p>
    <w:p w14:paraId="32F0CA2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pay TV  </w:t>
      </w:r>
      <w:r w:rsidRPr="004E55F0">
        <w:rPr>
          <w:rFonts w:ascii="Arial" w:hAnsi="Arial" w:cs="Arial"/>
          <w:i/>
          <w:iCs/>
          <w:sz w:val="18"/>
          <w:szCs w:val="18"/>
        </w:rPr>
        <w:t>see</w:t>
      </w:r>
      <w:r w:rsidRPr="004E55F0">
        <w:rPr>
          <w:rFonts w:ascii="Arial" w:hAnsi="Arial" w:cs="Arial"/>
          <w:sz w:val="18"/>
          <w:szCs w:val="18"/>
        </w:rPr>
        <w:t xml:space="preserve"> subscription television</w:t>
      </w:r>
    </w:p>
    <w:p w14:paraId="5A8828C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payphones  5, 8, 102–4</w:t>
      </w:r>
    </w:p>
    <w:p w14:paraId="34909E9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calls from  90</w:t>
      </w:r>
    </w:p>
    <w:p w14:paraId="2B20502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104</w:t>
      </w:r>
    </w:p>
    <w:p w14:paraId="11AFF7C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103</w:t>
      </w:r>
    </w:p>
    <w:p w14:paraId="26C27B8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for people with disability  104</w:t>
      </w:r>
    </w:p>
    <w:p w14:paraId="0E0A57F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removals  103</w:t>
      </w:r>
    </w:p>
    <w:p w14:paraId="3DDC873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sites  103</w:t>
      </w:r>
    </w:p>
    <w:p w14:paraId="503C8B4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teletypewriters  104</w:t>
      </w:r>
    </w:p>
    <w:p w14:paraId="3DB7AF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use of  51</w:t>
      </w:r>
    </w:p>
    <w:p w14:paraId="4ADB895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as Wi-Fi hotspots  22</w:t>
      </w:r>
    </w:p>
    <w:p w14:paraId="6330B45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people with disability, payphones for  104</w:t>
      </w:r>
    </w:p>
    <w:p w14:paraId="5E83FA8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performance, Network Reliability Framework (NRF)  110–13</w:t>
      </w:r>
    </w:p>
    <w:p w14:paraId="082EBD0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phishing  120</w:t>
      </w:r>
    </w:p>
    <w:p w14:paraId="0415661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phishing reports  120</w:t>
      </w:r>
    </w:p>
    <w:p w14:paraId="43F9757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Pivit Pty Ltd  121</w:t>
      </w:r>
    </w:p>
    <w:p w14:paraId="541B2CA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Planet ISP Pty Ltd  122</w:t>
      </w:r>
    </w:p>
    <w:p w14:paraId="318D73F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playing games  57, 64</w:t>
      </w:r>
    </w:p>
    <w:p w14:paraId="1AA5938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podcasts  67</w:t>
      </w:r>
    </w:p>
    <w:p w14:paraId="5D199DF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police  96</w:t>
      </w:r>
    </w:p>
    <w:p w14:paraId="3ACE43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prepaid mobile carriage services  97</w:t>
      </w:r>
    </w:p>
    <w:p w14:paraId="1610DF9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Presto Movies  71</w:t>
      </w:r>
    </w:p>
    <w:p w14:paraId="205DC34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Presto TV  71, 73</w:t>
      </w:r>
    </w:p>
    <w:p w14:paraId="4819291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Prime Media Group Ltd  32, 33</w:t>
      </w:r>
    </w:p>
    <w:p w14:paraId="084A87A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Prime Television  83</w:t>
      </w:r>
    </w:p>
    <w:p w14:paraId="2E43479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Primus  105, 109, 114–16</w:t>
      </w:r>
    </w:p>
    <w:p w14:paraId="661E6CF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priority assistance  114–16</w:t>
      </w:r>
    </w:p>
    <w:p w14:paraId="3846CB9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Priority Assistance for Life Threatening Medical Conditions  114</w:t>
      </w:r>
    </w:p>
    <w:p w14:paraId="0EFC6E5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prohibited online content  6, 85</w:t>
      </w:r>
    </w:p>
    <w:p w14:paraId="0521D25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protection zone installation permits (PZ permit)  98–9</w:t>
      </w:r>
    </w:p>
    <w:p w14:paraId="7D8EA85E" w14:textId="77777777" w:rsidR="004036B2" w:rsidRDefault="004036B2" w:rsidP="004036B2">
      <w:pPr>
        <w:pStyle w:val="Main"/>
        <w:rPr>
          <w:rFonts w:ascii="Arial" w:hAnsi="Arial" w:cs="Arial"/>
          <w:sz w:val="20"/>
          <w:szCs w:val="20"/>
        </w:rPr>
      </w:pPr>
    </w:p>
    <w:p w14:paraId="64DE25C4"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Q</w:t>
      </w:r>
    </w:p>
    <w:p w14:paraId="395BC7B7"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Quickflix  71, 73</w:t>
      </w:r>
    </w:p>
    <w:p w14:paraId="11098675" w14:textId="77777777" w:rsidR="004036B2" w:rsidRDefault="004036B2" w:rsidP="004036B2">
      <w:pPr>
        <w:pStyle w:val="Main"/>
        <w:rPr>
          <w:rFonts w:ascii="Arial" w:hAnsi="Arial" w:cs="Arial"/>
          <w:sz w:val="20"/>
          <w:szCs w:val="20"/>
        </w:rPr>
      </w:pPr>
    </w:p>
    <w:p w14:paraId="3577FB37"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R</w:t>
      </w:r>
    </w:p>
    <w:p w14:paraId="56ED361C"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radio</w:t>
      </w:r>
    </w:p>
    <w:p w14:paraId="6541B4C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advertising  38–9</w:t>
      </w:r>
    </w:p>
    <w:p w14:paraId="24C1F42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digital  3, 84</w:t>
      </w:r>
    </w:p>
    <w:p w14:paraId="3FBFD07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listening to  3, 5, 67</w:t>
      </w:r>
    </w:p>
    <w:p w14:paraId="3CAE02D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local information on regional  83</w:t>
      </w:r>
    </w:p>
    <w:p w14:paraId="7AB0754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usage  67</w:t>
      </w:r>
    </w:p>
    <w:p w14:paraId="5E90304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ownership and control of commercial  33–5</w:t>
      </w:r>
    </w:p>
    <w:p w14:paraId="5C9A28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Radio Gippsland Pty Ltd  34</w:t>
      </w:r>
    </w:p>
    <w:p w14:paraId="2121115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radio licences</w:t>
      </w:r>
    </w:p>
    <w:p w14:paraId="0CA24EF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commercial broadcasting  6, 11, 31–2, 33–5, 83</w:t>
      </w:r>
    </w:p>
    <w:p w14:paraId="49BCC50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community broadcasting  31–2, 36</w:t>
      </w:r>
    </w:p>
    <w:p w14:paraId="69DE9EB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1C7AB24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temporary community broadcasting  31–2, 36</w:t>
      </w:r>
    </w:p>
    <w:p w14:paraId="2A166706"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Radiocommunications Act 1992</w:t>
      </w:r>
      <w:r w:rsidRPr="004E55F0">
        <w:rPr>
          <w:rFonts w:ascii="Arial" w:hAnsi="Arial" w:cs="Arial"/>
          <w:sz w:val="18"/>
          <w:szCs w:val="18"/>
        </w:rPr>
        <w:t xml:space="preserve">  99</w:t>
      </w:r>
    </w:p>
    <w:p w14:paraId="387B161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radiocommunications compliance program  99</w:t>
      </w:r>
    </w:p>
    <w:p w14:paraId="650C349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radiocommunications interference  99–100</w:t>
      </w:r>
    </w:p>
    <w:p w14:paraId="20499D4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radiocommunications transmitters  99</w:t>
      </w:r>
    </w:p>
    <w:p w14:paraId="4324922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Redwave Media Ltd  35</w:t>
      </w:r>
    </w:p>
    <w:p w14:paraId="6D06B8D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Reeds Internet &amp; Telecom Pty Ltd  121</w:t>
      </w:r>
    </w:p>
    <w:p w14:paraId="35ED89B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regional radio, local information on  83</w:t>
      </w:r>
    </w:p>
    <w:p w14:paraId="74C9E0B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regional television, local information on  83</w:t>
      </w:r>
    </w:p>
    <w:p w14:paraId="7FBEAA2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registered cablers  117</w:t>
      </w:r>
    </w:p>
    <w:p w14:paraId="5092030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reliability, fixed-line telephone services network  110–13</w:t>
      </w:r>
    </w:p>
    <w:p w14:paraId="0C8A858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remote areas</w:t>
      </w:r>
    </w:p>
    <w:p w14:paraId="3930393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w:t>
      </w:r>
    </w:p>
    <w:p w14:paraId="0A0F07C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105–6, 107</w:t>
      </w:r>
    </w:p>
    <w:p w14:paraId="7DA97A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104, 106, 108</w:t>
      </w:r>
    </w:p>
    <w:p w14:paraId="69BD8B4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106</w:t>
      </w:r>
    </w:p>
    <w:p w14:paraId="2796568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Black Spot Programme  19</w:t>
      </w:r>
    </w:p>
    <w:p w14:paraId="4D814F8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106, 107</w:t>
      </w:r>
    </w:p>
    <w:p w14:paraId="74D5D95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104</w:t>
      </w:r>
    </w:p>
    <w:p w14:paraId="4B00E2B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priority assistance  114–16</w:t>
      </w:r>
    </w:p>
    <w:p w14:paraId="7C071C3C" w14:textId="77777777" w:rsidR="004036B2" w:rsidRDefault="004036B2" w:rsidP="004036B2">
      <w:pPr>
        <w:pStyle w:val="Main"/>
        <w:rPr>
          <w:rFonts w:ascii="Arial" w:hAnsi="Arial" w:cs="Arial"/>
          <w:sz w:val="18"/>
          <w:szCs w:val="18"/>
        </w:rPr>
      </w:pPr>
      <w:r w:rsidRPr="004E55F0">
        <w:rPr>
          <w:rFonts w:ascii="Arial" w:hAnsi="Arial" w:cs="Arial"/>
          <w:sz w:val="18"/>
          <w:szCs w:val="18"/>
        </w:rPr>
        <w:t>research methodology  135–7</w:t>
      </w:r>
    </w:p>
    <w:p w14:paraId="37D3371D" w14:textId="77777777" w:rsidR="00FC4F68" w:rsidRPr="004E55F0" w:rsidRDefault="00FC4F68" w:rsidP="00FC4F68">
      <w:pPr>
        <w:pStyle w:val="Sub1"/>
        <w:rPr>
          <w:rFonts w:ascii="Arial" w:hAnsi="Arial" w:cs="Arial"/>
          <w:sz w:val="18"/>
          <w:szCs w:val="18"/>
        </w:rPr>
      </w:pPr>
      <w:r>
        <w:rPr>
          <w:rFonts w:ascii="Arial" w:hAnsi="Arial" w:cs="Arial"/>
          <w:sz w:val="18"/>
          <w:szCs w:val="18"/>
        </w:rPr>
        <w:t>data analysis  137</w:t>
      </w:r>
    </w:p>
    <w:p w14:paraId="3CF61D3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Resonate Broadcasting Pty Ltd  34</w:t>
      </w:r>
    </w:p>
    <w:p w14:paraId="48CAA97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Roku  71, 76</w:t>
      </w:r>
    </w:p>
    <w:p w14:paraId="21D4B4D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Roy Morgan Research  71, 135, 136</w:t>
      </w:r>
    </w:p>
    <w:p w14:paraId="782B72A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rural areas</w:t>
      </w:r>
    </w:p>
    <w:p w14:paraId="35DB425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w:t>
      </w:r>
    </w:p>
    <w:p w14:paraId="378E032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105–6, 107</w:t>
      </w:r>
    </w:p>
    <w:p w14:paraId="5E1C352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104, 106, 108</w:t>
      </w:r>
    </w:p>
    <w:p w14:paraId="7B2F08C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106</w:t>
      </w:r>
    </w:p>
    <w:p w14:paraId="5670B9A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106, 107</w:t>
      </w:r>
    </w:p>
    <w:p w14:paraId="3D8FCD3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104</w:t>
      </w:r>
    </w:p>
    <w:p w14:paraId="50C130C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priority assistance  114–16</w:t>
      </w:r>
    </w:p>
    <w:p w14:paraId="1E79A5DA" w14:textId="77777777" w:rsidR="004036B2" w:rsidRDefault="004036B2" w:rsidP="004036B2">
      <w:pPr>
        <w:pStyle w:val="Main"/>
        <w:rPr>
          <w:rFonts w:ascii="Arial" w:hAnsi="Arial" w:cs="Arial"/>
          <w:sz w:val="20"/>
          <w:szCs w:val="20"/>
        </w:rPr>
      </w:pPr>
    </w:p>
    <w:p w14:paraId="3BDC6853"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S</w:t>
      </w:r>
    </w:p>
    <w:p w14:paraId="119B009C"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satellite internet  20</w:t>
      </w:r>
    </w:p>
    <w:p w14:paraId="02732CF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selling online  5, 58–9</w:t>
      </w:r>
    </w:p>
    <w:p w14:paraId="17903CA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service reliability, consumer satisfaction  60–1</w:t>
      </w:r>
    </w:p>
    <w:p w14:paraId="1374568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Seven Group Holdings Ltd  33, 35</w:t>
      </w:r>
    </w:p>
    <w:p w14:paraId="71281A7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Seven Network  32–3, 71, 78, 79–80</w:t>
      </w:r>
    </w:p>
    <w:p w14:paraId="2A8BFB2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Seven Qld  83</w:t>
      </w:r>
    </w:p>
    <w:p w14:paraId="572F02B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Seven West Media  71</w:t>
      </w:r>
    </w:p>
    <w:p w14:paraId="4188613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shopping online  5, 56–7, 58–9</w:t>
      </w:r>
    </w:p>
    <w:p w14:paraId="2805D43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Skype  54–5</w:t>
      </w:r>
    </w:p>
    <w:p w14:paraId="02AC2BE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smart TVs  68, 76</w:t>
      </w:r>
    </w:p>
    <w:p w14:paraId="221C636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56</w:t>
      </w:r>
    </w:p>
    <w:p w14:paraId="361D57C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46</w:t>
      </w:r>
    </w:p>
    <w:p w14:paraId="1EBC7DF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smartnumbers  30</w:t>
      </w:r>
    </w:p>
    <w:p w14:paraId="4038B04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smartphones  3, 7, 21–2, 63</w:t>
      </w:r>
    </w:p>
    <w:p w14:paraId="59CEE42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SMS messages  50–1</w:t>
      </w:r>
    </w:p>
    <w:p w14:paraId="7112FE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Snapchat  54–5</w:t>
      </w:r>
    </w:p>
    <w:p w14:paraId="00C735B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social networking  4, 50–1, 52–3, 56–7, 64</w:t>
      </w:r>
    </w:p>
    <w:p w14:paraId="75640BD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SoleNet Pty Ltd  121</w:t>
      </w:r>
    </w:p>
    <w:p w14:paraId="1A26FB9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Sony  76</w:t>
      </w:r>
    </w:p>
    <w:p w14:paraId="648EB5F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Southern Cross Media Group Ltd  32, 33, 35, 83</w:t>
      </w:r>
    </w:p>
    <w:p w14:paraId="51E84E2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Southern Phone Company (SPC)  97–8</w:t>
      </w:r>
    </w:p>
    <w:p w14:paraId="580A09B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spam  12, 118–19</w:t>
      </w:r>
    </w:p>
    <w:p w14:paraId="1422FD5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Spinktel  121</w:t>
      </w:r>
    </w:p>
    <w:p w14:paraId="1D5D6F8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lastRenderedPageBreak/>
        <w:t>Stan  71, 73</w:t>
      </w:r>
    </w:p>
    <w:p w14:paraId="248CA37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State Emergency Service number  90</w:t>
      </w:r>
    </w:p>
    <w:p w14:paraId="426753F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streaming music services  67</w:t>
      </w:r>
    </w:p>
    <w:p w14:paraId="110CCE6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streaming video content  </w:t>
      </w:r>
      <w:r w:rsidRPr="004E55F0">
        <w:rPr>
          <w:rFonts w:ascii="Arial" w:hAnsi="Arial" w:cs="Arial"/>
          <w:i/>
          <w:iCs/>
          <w:sz w:val="18"/>
          <w:szCs w:val="18"/>
        </w:rPr>
        <w:t>see</w:t>
      </w:r>
      <w:r w:rsidRPr="004E55F0">
        <w:rPr>
          <w:rFonts w:ascii="Arial" w:hAnsi="Arial" w:cs="Arial"/>
          <w:sz w:val="18"/>
          <w:szCs w:val="18"/>
        </w:rPr>
        <w:t xml:space="preserve"> online video content</w:t>
      </w:r>
    </w:p>
    <w:p w14:paraId="3356E43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submarine cable protection  98–9</w:t>
      </w:r>
    </w:p>
    <w:p w14:paraId="277DDE8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subscription television  36</w:t>
      </w:r>
    </w:p>
    <w:p w14:paraId="22CFDFD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captioning  80–2</w:t>
      </w:r>
    </w:p>
    <w:p w14:paraId="1BCB881D"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drama expenditure scheme  79</w:t>
      </w:r>
    </w:p>
    <w:p w14:paraId="6A3172C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subscription television licences, numbers  11, 31–2</w:t>
      </w:r>
    </w:p>
    <w:p w14:paraId="060E6AD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subscription video on demand (SVOD)  3, 71–2</w:t>
      </w:r>
    </w:p>
    <w:p w14:paraId="72253BF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Sure Telecom Pty Ltd  121</w:t>
      </w:r>
    </w:p>
    <w:p w14:paraId="197AD46B" w14:textId="77777777" w:rsidR="004036B2" w:rsidRPr="00F1266E" w:rsidRDefault="004036B2" w:rsidP="004036B2">
      <w:pPr>
        <w:pStyle w:val="Main"/>
        <w:rPr>
          <w:rFonts w:ascii="Arial" w:hAnsi="Arial" w:cs="Arial"/>
          <w:sz w:val="20"/>
          <w:szCs w:val="20"/>
        </w:rPr>
      </w:pPr>
      <w:r w:rsidRPr="005C3F15">
        <w:rPr>
          <w:rFonts w:ascii="Arial" w:hAnsi="Arial" w:cs="Arial"/>
          <w:sz w:val="18"/>
          <w:szCs w:val="18"/>
        </w:rPr>
        <w:t>surveys, ACMA-commissioned  135–6</w:t>
      </w:r>
    </w:p>
    <w:p w14:paraId="1833C43F" w14:textId="77777777" w:rsidR="004036B2" w:rsidRDefault="004036B2" w:rsidP="004036B2">
      <w:pPr>
        <w:pStyle w:val="Main"/>
        <w:rPr>
          <w:rFonts w:ascii="Arial" w:hAnsi="Arial" w:cs="Arial"/>
          <w:sz w:val="20"/>
          <w:szCs w:val="20"/>
        </w:rPr>
      </w:pPr>
    </w:p>
    <w:p w14:paraId="14FC6148"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T</w:t>
      </w:r>
    </w:p>
    <w:p w14:paraId="312CCA12"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tablets</w:t>
      </w:r>
    </w:p>
    <w:p w14:paraId="1E50CFE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communications apps  55–6</w:t>
      </w:r>
    </w:p>
    <w:p w14:paraId="1D43E58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allowances  48–9</w:t>
      </w:r>
    </w:p>
    <w:p w14:paraId="50C9FA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international trends  63</w:t>
      </w:r>
    </w:p>
    <w:p w14:paraId="6F9D28F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43, 45–7, 49–50</w:t>
      </w:r>
    </w:p>
    <w:p w14:paraId="7B398BB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activities  58</w:t>
      </w:r>
    </w:p>
    <w:p w14:paraId="69B181E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OTT VoIP services  16–17</w:t>
      </w:r>
    </w:p>
    <w:p w14:paraId="59D0A0E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ownership  63</w:t>
      </w:r>
    </w:p>
    <w:p w14:paraId="33BA9E8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Tango  55</w:t>
      </w:r>
    </w:p>
    <w:p w14:paraId="1960999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T-Box  71</w:t>
      </w:r>
    </w:p>
    <w:p w14:paraId="29F18CC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technical support, consumer satisfaction  60–1</w:t>
      </w:r>
    </w:p>
    <w:p w14:paraId="32B1797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 services  7–8</w:t>
      </w:r>
    </w:p>
    <w:p w14:paraId="5D8EA52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numbers  7</w:t>
      </w:r>
    </w:p>
    <w:p w14:paraId="44627C7E"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Telecommunications (Consumer Protection and Service Standards) Act 1999</w:t>
      </w:r>
      <w:r w:rsidRPr="004E55F0">
        <w:rPr>
          <w:rFonts w:ascii="Arial" w:hAnsi="Arial" w:cs="Arial"/>
          <w:sz w:val="18"/>
          <w:szCs w:val="18"/>
        </w:rPr>
        <w:t xml:space="preserve">  102, 122</w:t>
      </w:r>
    </w:p>
    <w:p w14:paraId="114ED7E0"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(Customer Service Guarantee) Standard 2011  5, 14</w:t>
      </w:r>
    </w:p>
    <w:p w14:paraId="18BC67A5"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t>see also</w:t>
      </w:r>
      <w:r w:rsidRPr="004E55F0">
        <w:rPr>
          <w:rFonts w:ascii="Arial" w:hAnsi="Arial" w:cs="Arial"/>
          <w:sz w:val="18"/>
          <w:szCs w:val="18"/>
        </w:rPr>
        <w:t xml:space="preserve"> Customer Service Guarantee Standard</w:t>
      </w:r>
    </w:p>
    <w:p w14:paraId="0EE0F26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(Customer Service Guarantee–Retail Performance Benchmarks) Instrument (No. 1) 2011  105</w:t>
      </w:r>
    </w:p>
    <w:p w14:paraId="66C0C5A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(Emergency Call Persons) Determination 1999  92</w:t>
      </w:r>
    </w:p>
    <w:p w14:paraId="0C6BFFF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(Emergency Call Service) Determination 2009  89, 91, 92</w:t>
      </w:r>
    </w:p>
    <w:p w14:paraId="2646C40D"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Telecommunications (Interception and Access) Act 1979</w:t>
      </w:r>
      <w:r w:rsidRPr="004E55F0">
        <w:rPr>
          <w:rFonts w:ascii="Arial" w:hAnsi="Arial" w:cs="Arial"/>
          <w:sz w:val="18"/>
          <w:szCs w:val="18"/>
        </w:rPr>
        <w:t xml:space="preserve">  94, 95, 96, 97</w:t>
      </w:r>
    </w:p>
    <w:p w14:paraId="03DBF81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(Low-impact Facilities) Determination 1997  124</w:t>
      </w:r>
    </w:p>
    <w:p w14:paraId="28C9949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(Service Provider—Identity Checks for Prepaid Mobile Carriage Services) Determination 2013  97</w:t>
      </w:r>
    </w:p>
    <w:p w14:paraId="5856904A" w14:textId="77777777" w:rsidR="004036B2" w:rsidRPr="004E55F0" w:rsidRDefault="004036B2" w:rsidP="004036B2">
      <w:pPr>
        <w:pStyle w:val="Main"/>
        <w:rPr>
          <w:rFonts w:ascii="Arial" w:hAnsi="Arial" w:cs="Arial"/>
          <w:sz w:val="18"/>
          <w:szCs w:val="18"/>
        </w:rPr>
      </w:pPr>
      <w:r w:rsidRPr="004E55F0">
        <w:rPr>
          <w:rFonts w:ascii="Arial" w:hAnsi="Arial" w:cs="Arial"/>
          <w:i/>
          <w:iCs/>
          <w:sz w:val="18"/>
          <w:szCs w:val="18"/>
        </w:rPr>
        <w:t>Telecommunications Act 1997</w:t>
      </w:r>
      <w:r w:rsidRPr="004E55F0">
        <w:rPr>
          <w:rFonts w:ascii="Arial" w:hAnsi="Arial" w:cs="Arial"/>
          <w:sz w:val="18"/>
          <w:szCs w:val="18"/>
        </w:rPr>
        <w:t xml:space="preserve">  2, 89, 93, 94, 95, 96, 98, 118, 121, 124, 125</w:t>
      </w:r>
    </w:p>
    <w:p w14:paraId="0BEA578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Cabling Provider Rules 2000  118</w:t>
      </w:r>
    </w:p>
    <w:p w14:paraId="382BA39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Code of Practice 1997  124</w:t>
      </w:r>
    </w:p>
    <w:p w14:paraId="7D2EB1E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codes</w:t>
      </w:r>
    </w:p>
    <w:p w14:paraId="036B44D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development and review  121</w:t>
      </w:r>
    </w:p>
    <w:p w14:paraId="453D54E8"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t>see also</w:t>
      </w:r>
      <w:r w:rsidRPr="004E55F0">
        <w:rPr>
          <w:rFonts w:ascii="Arial" w:hAnsi="Arial" w:cs="Arial"/>
          <w:sz w:val="18"/>
          <w:szCs w:val="18"/>
        </w:rPr>
        <w:t xml:space="preserve"> </w:t>
      </w:r>
      <w:r w:rsidRPr="004E55F0">
        <w:rPr>
          <w:rFonts w:ascii="Arial" w:hAnsi="Arial" w:cs="Arial"/>
          <w:i/>
          <w:iCs/>
          <w:sz w:val="18"/>
          <w:szCs w:val="18"/>
        </w:rPr>
        <w:t>specific codes such as Local Number Portability Code</w:t>
      </w:r>
    </w:p>
    <w:p w14:paraId="5CEF2F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Consumer Protection (TCP) Code</w:t>
      </w:r>
    </w:p>
    <w:p w14:paraId="5F0AD94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advertising  121</w:t>
      </w:r>
    </w:p>
    <w:p w14:paraId="3E3DEC3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compliance  98, 121</w:t>
      </w:r>
    </w:p>
    <w:p w14:paraId="689B734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industry compliance  121</w:t>
      </w:r>
    </w:p>
    <w:p w14:paraId="2EA397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review  121</w:t>
      </w:r>
    </w:p>
    <w:p w14:paraId="54F9239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industry levy (TIL)  101–2</w:t>
      </w:r>
    </w:p>
    <w:p w14:paraId="74D6E98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Industry Ombudsman</w:t>
      </w:r>
    </w:p>
    <w:p w14:paraId="73CA27E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complaints to  5, 12, 122–3, 124</w:t>
      </w:r>
    </w:p>
    <w:p w14:paraId="2D68A70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disclosures of customer information to  94–5</w:t>
      </w:r>
    </w:p>
    <w:p w14:paraId="22DB70C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facility installation  124</w:t>
      </w:r>
    </w:p>
    <w:p w14:paraId="5781A06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handling of life-threatening and unwelcome calls  98</w:t>
      </w:r>
    </w:p>
    <w:p w14:paraId="22F4B9F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Industry Ombudsman scheme</w:t>
      </w:r>
    </w:p>
    <w:p w14:paraId="218FD57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compliance  122</w:t>
      </w:r>
    </w:p>
    <w:p w14:paraId="25FCCC5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members  8, 29, 122</w:t>
      </w:r>
    </w:p>
    <w:p w14:paraId="6E37C91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licences, cablers  117</w:t>
      </w:r>
    </w:p>
    <w:p w14:paraId="6D2B87D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telecommunications services  </w:t>
      </w:r>
      <w:r w:rsidRPr="004E55F0">
        <w:rPr>
          <w:rFonts w:ascii="Arial" w:hAnsi="Arial" w:cs="Arial"/>
          <w:i/>
          <w:iCs/>
          <w:sz w:val="18"/>
          <w:szCs w:val="18"/>
        </w:rPr>
        <w:t>see</w:t>
      </w:r>
      <w:r w:rsidRPr="004E55F0">
        <w:rPr>
          <w:rFonts w:ascii="Arial" w:hAnsi="Arial" w:cs="Arial"/>
          <w:sz w:val="18"/>
          <w:szCs w:val="18"/>
        </w:rPr>
        <w:t xml:space="preserve"> communications services</w:t>
      </w:r>
    </w:p>
    <w:p w14:paraId="3A0764B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Universal Service Management Authority (TUSMA)  94–5, 102</w:t>
      </w:r>
    </w:p>
    <w:p w14:paraId="48B005C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Telecommunications Universal Service Obligation (Payphone Performance Benchmarks) Instrument (No. 1) 2011  104</w:t>
      </w:r>
    </w:p>
    <w:p w14:paraId="23DA1402"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telemarketing, complaints  12, 118–19</w:t>
      </w:r>
    </w:p>
    <w:p w14:paraId="003E687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Telemarketing and Research Industry Standard  118</w:t>
      </w:r>
    </w:p>
    <w:p w14:paraId="753A91F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telephone number allocations  11, 30–1</w:t>
      </w:r>
    </w:p>
    <w:p w14:paraId="62FEB0C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Tele-Talk Pty Ltd  121</w:t>
      </w:r>
    </w:p>
    <w:p w14:paraId="5FD0E13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teletypewriters (TTY)</w:t>
      </w:r>
    </w:p>
    <w:p w14:paraId="6B5CDEC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 service numbers  92–3</w:t>
      </w:r>
    </w:p>
    <w:p w14:paraId="64DB9CC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104</w:t>
      </w:r>
    </w:p>
    <w:p w14:paraId="5819B34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television</w:t>
      </w:r>
    </w:p>
    <w:p w14:paraId="6CFFFE8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advertising  38–9</w:t>
      </w:r>
    </w:p>
    <w:p w14:paraId="33D4DA1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anti-siphoning events  83</w:t>
      </w:r>
    </w:p>
    <w:p w14:paraId="07C0464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Australian content on  77–9</w:t>
      </w:r>
    </w:p>
    <w:p w14:paraId="7653FC8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captioning  80–2</w:t>
      </w:r>
    </w:p>
    <w:p w14:paraId="0F0BF43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catch-up services  68–9</w:t>
      </w:r>
    </w:p>
    <w:p w14:paraId="58A4400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digital  83–4, 99</w:t>
      </w:r>
    </w:p>
    <w:p w14:paraId="30398E9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free-to-air viewing  5, 68</w:t>
      </w:r>
    </w:p>
    <w:p w14:paraId="2B20BB6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access  46</w:t>
      </w:r>
    </w:p>
    <w:p w14:paraId="21C167B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video  70</w:t>
      </w:r>
    </w:p>
    <w:p w14:paraId="13B5559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IPTV  4, 28, 71</w:t>
      </w:r>
    </w:p>
    <w:p w14:paraId="2EA04CF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local information on regional  83</w:t>
      </w:r>
    </w:p>
    <w:p w14:paraId="56B6009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usage  68–9</w:t>
      </w:r>
    </w:p>
    <w:p w14:paraId="1F417EA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online video services  72–6</w:t>
      </w:r>
    </w:p>
    <w:p w14:paraId="2EA5297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subscription  31–2, 36</w:t>
      </w:r>
    </w:p>
    <w:p w14:paraId="113538D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subscription video on demand (SVOD)  3, 71–2</w:t>
      </w:r>
    </w:p>
    <w:p w14:paraId="41D24BD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viewing  68–73</w:t>
      </w:r>
    </w:p>
    <w:p w14:paraId="3BB3AE93"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t>see also</w:t>
      </w:r>
      <w:r w:rsidRPr="004E55F0">
        <w:rPr>
          <w:rFonts w:ascii="Arial" w:hAnsi="Arial" w:cs="Arial"/>
          <w:sz w:val="18"/>
          <w:szCs w:val="18"/>
        </w:rPr>
        <w:t xml:space="preserve"> online video content; smart TVs</w:t>
      </w:r>
    </w:p>
    <w:p w14:paraId="773D1D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television licences</w:t>
      </w:r>
    </w:p>
    <w:p w14:paraId="7EAE6BD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commercial broadcasting  6, 11, 32–3, 35–6</w:t>
      </w:r>
    </w:p>
    <w:p w14:paraId="046AF91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community broadcasting  31–2, 36</w:t>
      </w:r>
    </w:p>
    <w:p w14:paraId="16E2717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notification of changes of control  82</w:t>
      </w:r>
    </w:p>
    <w:p w14:paraId="0827F67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subscription  36</w:t>
      </w:r>
    </w:p>
    <w:p w14:paraId="00260B7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television sets  68</w:t>
      </w:r>
    </w:p>
    <w:p w14:paraId="4E92B9D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Telstra</w:t>
      </w:r>
    </w:p>
    <w:p w14:paraId="6DF005E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 109</w:t>
      </w:r>
    </w:p>
    <w:p w14:paraId="2C1F823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cable runs  112</w:t>
      </w:r>
    </w:p>
    <w:p w14:paraId="4FD3C91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cloud services  28</w:t>
      </w:r>
    </w:p>
    <w:p w14:paraId="0AD6E914"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compensation payments  109</w:t>
      </w:r>
    </w:p>
    <w:p w14:paraId="71B856B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 107–10</w:t>
      </w:r>
    </w:p>
    <w:p w14:paraId="47E2A78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dial-up internet  20</w:t>
      </w:r>
    </w:p>
    <w:p w14:paraId="5D40EC9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 services  89</w:t>
      </w:r>
    </w:p>
    <w:p w14:paraId="1EC0FF7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emergency calls  5, 90–1</w:t>
      </w:r>
    </w:p>
    <w:p w14:paraId="6D159BA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exceptions  110</w:t>
      </w:r>
    </w:p>
    <w:p w14:paraId="71010F3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108, 109</w:t>
      </w:r>
    </w:p>
    <w:p w14:paraId="50B177A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faults  111–13</w:t>
      </w:r>
    </w:p>
    <w:p w14:paraId="43478D2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fixed-line telephone services  14</w:t>
      </w:r>
    </w:p>
    <w:p w14:paraId="2AFE919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fixed-voice product revenue  14</w:t>
      </w:r>
    </w:p>
    <w:p w14:paraId="032537B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4G networks  3–4, 8, 19</w:t>
      </w:r>
    </w:p>
    <w:p w14:paraId="45D613E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Integrated Public Number Database (IPND)  97</w:t>
      </w:r>
    </w:p>
    <w:p w14:paraId="40C5A0B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services in operation  24</w:t>
      </w:r>
    </w:p>
    <w:p w14:paraId="78B4691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107, 109</w:t>
      </w:r>
    </w:p>
    <w:p w14:paraId="3C31AAC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lastRenderedPageBreak/>
        <w:t>M2M services  27</w:t>
      </w:r>
    </w:p>
    <w:p w14:paraId="58711F9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mergers and acquisitions  28, 29</w:t>
      </w:r>
    </w:p>
    <w:p w14:paraId="06D6679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Black Spot Programme  19</w:t>
      </w:r>
    </w:p>
    <w:p w14:paraId="6A4FA22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phone base stations  125</w:t>
      </w:r>
    </w:p>
    <w:p w14:paraId="0C0C9DC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services  3–4, 18–19</w:t>
      </w:r>
    </w:p>
    <w:p w14:paraId="5B0D3BB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Network Reliability Framework (NRF)  110–13</w:t>
      </w:r>
    </w:p>
    <w:p w14:paraId="25B9FC89"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107, 109</w:t>
      </w:r>
    </w:p>
    <w:p w14:paraId="6B19C7B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102–4</w:t>
      </w:r>
    </w:p>
    <w:p w14:paraId="570ECCC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phishing reports  120</w:t>
      </w:r>
    </w:p>
    <w:p w14:paraId="6DD2FB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priority assistance  114–16</w:t>
      </w:r>
    </w:p>
    <w:p w14:paraId="520E390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as qualifying carriage service providers (QCSPs)  105</w:t>
      </w:r>
    </w:p>
    <w:p w14:paraId="06AF5E8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subscription video on demand (SVOD)  71, 76</w:t>
      </w:r>
    </w:p>
    <w:p w14:paraId="10C8FF8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2G networks  19</w:t>
      </w:r>
    </w:p>
    <w:p w14:paraId="09FF021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Voice over LTE (VoLTE)  19</w:t>
      </w:r>
    </w:p>
    <w:p w14:paraId="1700A48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Wi-Fi hotspots  22</w:t>
      </w:r>
    </w:p>
    <w:p w14:paraId="0EB44C9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Telstra Air  22</w:t>
      </w:r>
    </w:p>
    <w:p w14:paraId="35EA571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temporary community radio broadcasting licences  31–2, 36</w:t>
      </w:r>
    </w:p>
    <w:p w14:paraId="7A1C670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Ten Network  32–3, 78, 79–80</w:t>
      </w:r>
    </w:p>
    <w:p w14:paraId="2EA91E3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Ten Network Holdings Ltd  33</w:t>
      </w:r>
    </w:p>
    <w:p w14:paraId="28F8A69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text messages (SMS)  50–1</w:t>
      </w:r>
    </w:p>
    <w:p w14:paraId="661C497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time frames  105–6, 109</w:t>
      </w:r>
    </w:p>
    <w:p w14:paraId="663C680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TIO  </w:t>
      </w:r>
      <w:r w:rsidRPr="004E55F0">
        <w:rPr>
          <w:rFonts w:ascii="Arial" w:hAnsi="Arial" w:cs="Arial"/>
          <w:i/>
          <w:iCs/>
          <w:sz w:val="18"/>
          <w:szCs w:val="18"/>
        </w:rPr>
        <w:t>see</w:t>
      </w:r>
      <w:r w:rsidRPr="004E55F0">
        <w:rPr>
          <w:rFonts w:ascii="Arial" w:hAnsi="Arial" w:cs="Arial"/>
          <w:sz w:val="18"/>
          <w:szCs w:val="18"/>
        </w:rPr>
        <w:t xml:space="preserve"> Telecommunications Industry Ombudsman</w:t>
      </w:r>
    </w:p>
    <w:p w14:paraId="366F94A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TPG Telecom</w:t>
      </w:r>
    </w:p>
    <w:p w14:paraId="71A7C3A1"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dial-up internet  20</w:t>
      </w:r>
    </w:p>
    <w:p w14:paraId="4C08F15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internet services in operation  24</w:t>
      </w:r>
    </w:p>
    <w:p w14:paraId="0E1EBE1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mergers and acquisitions  28, 29</w:t>
      </w:r>
    </w:p>
    <w:p w14:paraId="4C704AE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waivers  105</w:t>
      </w:r>
    </w:p>
    <w:p w14:paraId="0AF58C9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Triple Zero calls  5, 11, 90–1</w:t>
      </w:r>
    </w:p>
    <w:p w14:paraId="091FDB3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complaints  91</w:t>
      </w:r>
    </w:p>
    <w:p w14:paraId="262AB78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via National Relay Service (NRS)  92–3</w:t>
      </w:r>
    </w:p>
    <w:p w14:paraId="4FD0C137"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Tru Telecom Pty Ltd  122</w:t>
      </w:r>
    </w:p>
    <w:p w14:paraId="169133C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Twitter  50</w:t>
      </w:r>
    </w:p>
    <w:p w14:paraId="5B7BEFC5"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2G networks, decommissioned  4, 19</w:t>
      </w:r>
    </w:p>
    <w:p w14:paraId="3CAA454A" w14:textId="77777777" w:rsidR="004036B2" w:rsidRDefault="004036B2" w:rsidP="004036B2">
      <w:pPr>
        <w:pStyle w:val="Main"/>
        <w:rPr>
          <w:rFonts w:ascii="Arial" w:hAnsi="Arial" w:cs="Arial"/>
          <w:sz w:val="20"/>
          <w:szCs w:val="20"/>
        </w:rPr>
      </w:pPr>
    </w:p>
    <w:p w14:paraId="6B30F0DC"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U</w:t>
      </w:r>
    </w:p>
    <w:p w14:paraId="4F9524F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unacceptable media diversity situation (UMDS)  34</w:t>
      </w:r>
    </w:p>
    <w:p w14:paraId="27B86AC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United Kingdom  62–4</w:t>
      </w:r>
    </w:p>
    <w:p w14:paraId="68E62E7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United States, internet access  62–3</w:t>
      </w:r>
    </w:p>
    <w:p w14:paraId="6191459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universal service obligation (USO), levies and payments  101–2</w:t>
      </w:r>
    </w:p>
    <w:p w14:paraId="1D27EB8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unsolicited communications  118–19</w:t>
      </w:r>
    </w:p>
    <w:p w14:paraId="1F8377EE"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unwelcome calls  98</w:t>
      </w:r>
    </w:p>
    <w:p w14:paraId="119CAFC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urban areas</w:t>
      </w:r>
    </w:p>
    <w:p w14:paraId="4310B96A"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appointments  108</w:t>
      </w:r>
    </w:p>
    <w:p w14:paraId="73A5F9F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Customer Service Guarantee Standard  105–6, 107</w:t>
      </w:r>
    </w:p>
    <w:p w14:paraId="4173462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fault repairs  104, 106, 108</w:t>
      </w:r>
    </w:p>
    <w:p w14:paraId="7E56524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in-place connections  106</w:t>
      </w:r>
    </w:p>
    <w:p w14:paraId="509E618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new service connections  106, 107</w:t>
      </w:r>
    </w:p>
    <w:p w14:paraId="671050A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payphones  104</w:t>
      </w:r>
    </w:p>
    <w:p w14:paraId="77F41ED7" w14:textId="77777777" w:rsidR="004036B2" w:rsidRPr="00F1266E" w:rsidRDefault="004036B2" w:rsidP="004036B2">
      <w:pPr>
        <w:pStyle w:val="Sub1"/>
        <w:rPr>
          <w:rFonts w:ascii="Arial" w:hAnsi="Arial" w:cs="Arial"/>
          <w:sz w:val="20"/>
          <w:szCs w:val="20"/>
        </w:rPr>
      </w:pPr>
      <w:r w:rsidRPr="004E55F0">
        <w:rPr>
          <w:rFonts w:ascii="Arial" w:hAnsi="Arial" w:cs="Arial"/>
          <w:sz w:val="18"/>
          <w:szCs w:val="18"/>
        </w:rPr>
        <w:t>priority assistance  114–16</w:t>
      </w:r>
    </w:p>
    <w:p w14:paraId="6B501311" w14:textId="77777777" w:rsidR="004036B2" w:rsidRDefault="004036B2" w:rsidP="004036B2">
      <w:pPr>
        <w:pStyle w:val="Main"/>
        <w:rPr>
          <w:rFonts w:ascii="Arial" w:hAnsi="Arial" w:cs="Arial"/>
          <w:sz w:val="20"/>
          <w:szCs w:val="20"/>
        </w:rPr>
      </w:pPr>
    </w:p>
    <w:p w14:paraId="79F861D7"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V</w:t>
      </w:r>
    </w:p>
    <w:p w14:paraId="48CE803F" w14:textId="77777777" w:rsidR="004036B2" w:rsidRPr="004E55F0" w:rsidRDefault="004036B2" w:rsidP="004036B2">
      <w:pPr>
        <w:pStyle w:val="Main"/>
        <w:ind w:left="0" w:firstLine="0"/>
        <w:rPr>
          <w:rFonts w:ascii="Arial" w:hAnsi="Arial" w:cs="Arial"/>
          <w:sz w:val="18"/>
          <w:szCs w:val="18"/>
        </w:rPr>
      </w:pPr>
      <w:r w:rsidRPr="004E55F0">
        <w:rPr>
          <w:rFonts w:ascii="Arial" w:hAnsi="Arial" w:cs="Arial"/>
          <w:sz w:val="18"/>
          <w:szCs w:val="18"/>
        </w:rPr>
        <w:t>Viber  54–5</w:t>
      </w:r>
    </w:p>
    <w:p w14:paraId="351AD69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video calls</w:t>
      </w:r>
    </w:p>
    <w:p w14:paraId="61A63EC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using communications apps  53–6</w:t>
      </w:r>
    </w:p>
    <w:p w14:paraId="41C465A3"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using OTT VoIP services  16</w:t>
      </w:r>
    </w:p>
    <w:p w14:paraId="267C0146"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using Voice over LTE (VoLTE)  19</w:t>
      </w:r>
    </w:p>
    <w:p w14:paraId="7E4992D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lastRenderedPageBreak/>
        <w:t>video content  67–77</w:t>
      </w:r>
    </w:p>
    <w:p w14:paraId="6793866A" w14:textId="77777777" w:rsidR="004036B2" w:rsidRPr="004E55F0" w:rsidRDefault="004036B2" w:rsidP="004036B2">
      <w:pPr>
        <w:pStyle w:val="Sub1"/>
        <w:rPr>
          <w:rFonts w:ascii="Arial" w:hAnsi="Arial" w:cs="Arial"/>
          <w:sz w:val="18"/>
          <w:szCs w:val="18"/>
        </w:rPr>
      </w:pPr>
      <w:r w:rsidRPr="004E55F0">
        <w:rPr>
          <w:rFonts w:ascii="Arial" w:hAnsi="Arial" w:cs="Arial"/>
          <w:i/>
          <w:iCs/>
          <w:sz w:val="18"/>
          <w:szCs w:val="18"/>
        </w:rPr>
        <w:t>see also</w:t>
      </w:r>
      <w:r w:rsidRPr="004E55F0">
        <w:rPr>
          <w:rFonts w:ascii="Arial" w:hAnsi="Arial" w:cs="Arial"/>
          <w:sz w:val="18"/>
          <w:szCs w:val="18"/>
        </w:rPr>
        <w:t xml:space="preserve"> online video content</w:t>
      </w:r>
    </w:p>
    <w:p w14:paraId="21988CD1"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 xml:space="preserve">video on demand  </w:t>
      </w:r>
      <w:r w:rsidRPr="004E55F0">
        <w:rPr>
          <w:rFonts w:ascii="Arial" w:hAnsi="Arial" w:cs="Arial"/>
          <w:i/>
          <w:iCs/>
          <w:sz w:val="18"/>
          <w:szCs w:val="18"/>
        </w:rPr>
        <w:t>see</w:t>
      </w:r>
      <w:r w:rsidRPr="004E55F0">
        <w:rPr>
          <w:rFonts w:ascii="Arial" w:hAnsi="Arial" w:cs="Arial"/>
          <w:sz w:val="18"/>
          <w:szCs w:val="18"/>
        </w:rPr>
        <w:t xml:space="preserve"> subscription video on demand (SVOD)</w:t>
      </w:r>
    </w:p>
    <w:p w14:paraId="745EEE83"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VMware  28</w:t>
      </w:r>
    </w:p>
    <w:p w14:paraId="78F1077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Vocaltone Networks Australia Pty Ltd  121</w:t>
      </w:r>
    </w:p>
    <w:p w14:paraId="51B7F4A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Vodafone Hutchison Australia (VHA)</w:t>
      </w:r>
    </w:p>
    <w:p w14:paraId="1932CE0B"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cloud services  28</w:t>
      </w:r>
    </w:p>
    <w:p w14:paraId="4D17481F"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4G networks  4, 8, 19</w:t>
      </w:r>
    </w:p>
    <w:p w14:paraId="1136BC1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M2M services  27</w:t>
      </w:r>
    </w:p>
    <w:p w14:paraId="7BDA3DE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Black Spot Programme  19</w:t>
      </w:r>
    </w:p>
    <w:p w14:paraId="7E85C3AC"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phone base stations  125</w:t>
      </w:r>
    </w:p>
    <w:p w14:paraId="6CB087F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services  4, 18–19</w:t>
      </w:r>
    </w:p>
    <w:p w14:paraId="4B5CA03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Voice over LTE (VoLTE)  19</w:t>
      </w:r>
    </w:p>
    <w:p w14:paraId="3B7A37B7"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Wi-Fi calling  20</w:t>
      </w:r>
    </w:p>
    <w:p w14:paraId="5AB83EF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voice calls, using communications apps  53–6</w:t>
      </w:r>
    </w:p>
    <w:p w14:paraId="69559C7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Voice over LTE (VoLTE)  19</w:t>
      </w:r>
    </w:p>
    <w:p w14:paraId="14608DA6"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Voice over Wi-Fi  19–20</w:t>
      </w:r>
    </w:p>
    <w:p w14:paraId="5726DBEA"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VoIP services</w:t>
      </w:r>
    </w:p>
    <w:p w14:paraId="08CF8C35"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managed  15–16</w:t>
      </w:r>
    </w:p>
    <w:p w14:paraId="1D428BD2"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over-the-top (OTT)  4, 15–17, 50–1</w:t>
      </w:r>
    </w:p>
    <w:p w14:paraId="1CFAC47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take-up  15</w:t>
      </w:r>
    </w:p>
    <w:p w14:paraId="5B4FE684" w14:textId="77777777" w:rsidR="004036B2" w:rsidRDefault="004036B2" w:rsidP="004036B2">
      <w:pPr>
        <w:pStyle w:val="Main"/>
        <w:rPr>
          <w:rFonts w:ascii="Arial" w:hAnsi="Arial" w:cs="Arial"/>
          <w:sz w:val="20"/>
          <w:szCs w:val="20"/>
        </w:rPr>
      </w:pPr>
    </w:p>
    <w:p w14:paraId="234B3544"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W</w:t>
      </w:r>
    </w:p>
    <w:p w14:paraId="174726F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waivers, Customer Service Guarantee Standard  8, 105</w:t>
      </w:r>
    </w:p>
    <w:p w14:paraId="1FAF2448"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We Chat  55</w:t>
      </w:r>
    </w:p>
    <w:p w14:paraId="1D0FA15F"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WhatsApp  54–5</w:t>
      </w:r>
    </w:p>
    <w:p w14:paraId="7BAE6A5D"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Wi-Fi calling services  19–20</w:t>
      </w:r>
    </w:p>
    <w:p w14:paraId="6D335C1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Wi-Fi hotspots  22</w:t>
      </w:r>
    </w:p>
    <w:p w14:paraId="66616E6B"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WIN Corporation Pty Ltd  32, 33, 36</w:t>
      </w:r>
    </w:p>
    <w:p w14:paraId="42D5ED64"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WIN TV  83</w:t>
      </w:r>
    </w:p>
    <w:p w14:paraId="2400EC19"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wireless broadband</w:t>
      </w:r>
    </w:p>
    <w:p w14:paraId="526E3B98"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data downloaded  9, 47–8</w:t>
      </w:r>
    </w:p>
    <w:p w14:paraId="69F11F1E"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mobile  7, 20, 21</w:t>
      </w:r>
    </w:p>
    <w:p w14:paraId="6243A720" w14:textId="77777777" w:rsidR="004036B2" w:rsidRPr="004E55F0" w:rsidRDefault="004036B2" w:rsidP="004036B2">
      <w:pPr>
        <w:pStyle w:val="Sub1"/>
        <w:rPr>
          <w:rFonts w:ascii="Arial" w:hAnsi="Arial" w:cs="Arial"/>
          <w:sz w:val="18"/>
          <w:szCs w:val="18"/>
        </w:rPr>
      </w:pPr>
      <w:r w:rsidRPr="004E55F0">
        <w:rPr>
          <w:rFonts w:ascii="Arial" w:hAnsi="Arial" w:cs="Arial"/>
          <w:sz w:val="18"/>
          <w:szCs w:val="18"/>
        </w:rPr>
        <w:t>subscribers  20</w:t>
      </w:r>
    </w:p>
    <w:p w14:paraId="586F5FAC" w14:textId="77777777" w:rsidR="004036B2" w:rsidRPr="004E55F0" w:rsidRDefault="004036B2" w:rsidP="004036B2">
      <w:pPr>
        <w:pStyle w:val="Main"/>
        <w:rPr>
          <w:rFonts w:ascii="Arial" w:hAnsi="Arial" w:cs="Arial"/>
          <w:sz w:val="18"/>
          <w:szCs w:val="18"/>
        </w:rPr>
      </w:pPr>
      <w:r w:rsidRPr="004E55F0">
        <w:rPr>
          <w:rFonts w:ascii="Arial" w:hAnsi="Arial" w:cs="Arial"/>
          <w:sz w:val="18"/>
          <w:szCs w:val="18"/>
        </w:rPr>
        <w:t>wireless internet, publicly accessible  22</w:t>
      </w:r>
    </w:p>
    <w:p w14:paraId="43B63CA6" w14:textId="77777777" w:rsidR="004036B2" w:rsidRPr="00F1266E" w:rsidRDefault="004036B2" w:rsidP="004036B2">
      <w:pPr>
        <w:pStyle w:val="Main"/>
        <w:rPr>
          <w:rFonts w:ascii="Arial" w:hAnsi="Arial" w:cs="Arial"/>
          <w:sz w:val="20"/>
          <w:szCs w:val="20"/>
        </w:rPr>
      </w:pPr>
      <w:r w:rsidRPr="004E55F0">
        <w:rPr>
          <w:rFonts w:ascii="Arial" w:hAnsi="Arial" w:cs="Arial"/>
          <w:sz w:val="18"/>
          <w:szCs w:val="18"/>
        </w:rPr>
        <w:t>working from home  56–7</w:t>
      </w:r>
    </w:p>
    <w:p w14:paraId="41418D1D" w14:textId="77777777" w:rsidR="004036B2" w:rsidRDefault="004036B2" w:rsidP="004036B2">
      <w:pPr>
        <w:pStyle w:val="Main"/>
        <w:rPr>
          <w:rFonts w:ascii="Arial" w:hAnsi="Arial" w:cs="Arial"/>
          <w:sz w:val="20"/>
          <w:szCs w:val="20"/>
        </w:rPr>
      </w:pPr>
    </w:p>
    <w:p w14:paraId="0ACF5F17" w14:textId="77777777" w:rsidR="004036B2" w:rsidRPr="00F1266E" w:rsidRDefault="004036B2" w:rsidP="004036B2">
      <w:pPr>
        <w:keepNext/>
        <w:keepLines/>
        <w:pBdr>
          <w:bottom w:val="single" w:sz="4" w:space="1" w:color="auto"/>
        </w:pBdr>
        <w:rPr>
          <w:b/>
          <w:color w:val="00ADBB" w:themeColor="accent1"/>
          <w:sz w:val="48"/>
          <w:szCs w:val="48"/>
        </w:rPr>
      </w:pPr>
      <w:r>
        <w:rPr>
          <w:b/>
          <w:color w:val="00ADBB" w:themeColor="accent1"/>
          <w:sz w:val="48"/>
          <w:szCs w:val="48"/>
        </w:rPr>
        <w:t>Y</w:t>
      </w:r>
    </w:p>
    <w:p w14:paraId="507FA8C1" w14:textId="77777777" w:rsidR="004036B2" w:rsidRPr="004E55F0" w:rsidRDefault="004036B2" w:rsidP="004036B2">
      <w:pPr>
        <w:rPr>
          <w:rFonts w:cs="Arial"/>
          <w:sz w:val="18"/>
          <w:szCs w:val="18"/>
        </w:rPr>
      </w:pPr>
      <w:r w:rsidRPr="004E55F0">
        <w:rPr>
          <w:rFonts w:cs="Arial"/>
          <w:sz w:val="18"/>
          <w:szCs w:val="18"/>
        </w:rPr>
        <w:t>YouTube  72–3</w:t>
      </w:r>
    </w:p>
    <w:sectPr w:rsidR="004036B2" w:rsidRPr="004E55F0" w:rsidSect="00F1266E">
      <w:endnotePr>
        <w:numFmt w:val="decimal"/>
        <w:numRestart w:val="eachSect"/>
      </w:endnotePr>
      <w:pgSz w:w="11906" w:h="16838" w:code="9"/>
      <w:pgMar w:top="1985" w:right="1134" w:bottom="1134" w:left="1134" w:header="709" w:footer="119" w:gutter="284"/>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311CA6" w14:textId="77777777" w:rsidR="00C82DEF" w:rsidRDefault="00C82DEF">
      <w:r>
        <w:separator/>
      </w:r>
    </w:p>
  </w:endnote>
  <w:endnote w:type="continuationSeparator" w:id="0">
    <w:p w14:paraId="07195A0C" w14:textId="77777777" w:rsidR="00C82DEF" w:rsidRDefault="00C82DEF">
      <w:r>
        <w:continuationSeparator/>
      </w:r>
    </w:p>
  </w:endnote>
  <w:endnote w:type="continuationNotice" w:id="1">
    <w:p w14:paraId="058AFD18" w14:textId="77777777" w:rsidR="00C82DEF" w:rsidRDefault="00C82DEF">
      <w:pPr>
        <w:spacing w:after="0" w:line="240" w:lineRule="auto"/>
      </w:pPr>
    </w:p>
  </w:endnote>
  <w:endnote w:id="2">
    <w:p w14:paraId="25F82F27" w14:textId="77777777" w:rsidR="00C82DEF" w:rsidRPr="00A34B9D" w:rsidRDefault="00C82DEF" w:rsidP="00A34B9D">
      <w:pPr>
        <w:spacing w:after="80"/>
        <w:rPr>
          <w:b/>
        </w:rPr>
      </w:pPr>
      <w:r w:rsidRPr="001B5D0B">
        <w:rPr>
          <w:b/>
        </w:rPr>
        <w:t>Endnotes</w:t>
      </w:r>
    </w:p>
    <w:p w14:paraId="3D359F2B"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Telstra, ‘</w:t>
      </w:r>
      <w:hyperlink r:id="rId1" w:history="1">
        <w:r w:rsidRPr="00E60641">
          <w:rPr>
            <w:rStyle w:val="Hyperlink"/>
            <w:rFonts w:cs="Arial"/>
            <w:color w:val="auto"/>
            <w:szCs w:val="16"/>
            <w:u w:val="none"/>
          </w:rPr>
          <w:t>Full Year 2015 Financial Results—CEO/CFO Analyst briefing presentation’</w:t>
        </w:r>
      </w:hyperlink>
      <w:r w:rsidRPr="000317E5">
        <w:rPr>
          <w:rFonts w:cs="Arial"/>
          <w:szCs w:val="16"/>
        </w:rPr>
        <w:t>, 13 August 2015.</w:t>
      </w:r>
    </w:p>
  </w:endnote>
  <w:endnote w:id="3">
    <w:p w14:paraId="4D2810B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Ovum, Consumer OTT VoIP O</w:t>
      </w:r>
      <w:r>
        <w:rPr>
          <w:rFonts w:cs="Arial"/>
          <w:szCs w:val="16"/>
        </w:rPr>
        <w:t xml:space="preserve">utlook 2013–18, November 2013. </w:t>
      </w:r>
    </w:p>
  </w:endnote>
  <w:endnote w:id="4">
    <w:p w14:paraId="1515D2AA"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Managed VoIP is a service that is bought through a service provider that typically provides hardware (such as a VoIP handset or adapter), issues a phone number and may set quality of service expectations. Users of managed services are able to contact, and be contacted by, all other end users connected to a public telecommunications network.</w:t>
      </w:r>
    </w:p>
  </w:endnote>
  <w:endnote w:id="5">
    <w:p w14:paraId="013F6E3F"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r>
        <w:rPr>
          <w:rFonts w:cs="Arial"/>
          <w:szCs w:val="16"/>
        </w:rPr>
        <w:t>For example,</w:t>
      </w:r>
      <w:r w:rsidRPr="000317E5">
        <w:rPr>
          <w:rFonts w:cs="Arial"/>
          <w:szCs w:val="16"/>
        </w:rPr>
        <w:t xml:space="preserve"> at June 2015 Telstra reported a 22.7 per cent increase in M2M services from the previous year.</w:t>
      </w:r>
    </w:p>
  </w:endnote>
  <w:endnote w:id="6">
    <w:p w14:paraId="797519FC"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Hutchison Telecommunications (Australia)</w:t>
      </w:r>
      <w:r>
        <w:rPr>
          <w:rFonts w:cs="Arial"/>
          <w:szCs w:val="16"/>
        </w:rPr>
        <w:t xml:space="preserve"> Limited</w:t>
      </w:r>
      <w:r w:rsidRPr="000317E5">
        <w:rPr>
          <w:rFonts w:cs="Arial"/>
          <w:szCs w:val="16"/>
        </w:rPr>
        <w:t>, ‘</w:t>
      </w:r>
      <w:hyperlink r:id="rId2" w:anchor="!/HTA" w:history="1">
        <w:r w:rsidRPr="000317E5">
          <w:rPr>
            <w:rStyle w:val="Hyperlink"/>
            <w:rFonts w:cs="Arial"/>
            <w:color w:val="auto"/>
            <w:szCs w:val="16"/>
            <w:u w:val="none"/>
          </w:rPr>
          <w:t>ASX</w:t>
        </w:r>
        <w:r w:rsidRPr="00E60641">
          <w:rPr>
            <w:rStyle w:val="Hyperlink"/>
            <w:rFonts w:cs="Arial"/>
            <w:color w:val="auto"/>
            <w:szCs w:val="16"/>
            <w:u w:val="none"/>
          </w:rPr>
          <w:t xml:space="preserve"> </w:t>
        </w:r>
        <w:r w:rsidRPr="000317E5">
          <w:rPr>
            <w:rStyle w:val="Hyperlink"/>
            <w:rFonts w:cs="Arial"/>
            <w:color w:val="auto"/>
            <w:szCs w:val="16"/>
            <w:u w:val="none"/>
          </w:rPr>
          <w:t>Half Year Results 30 June 2015</w:t>
        </w:r>
      </w:hyperlink>
      <w:r w:rsidRPr="000317E5">
        <w:rPr>
          <w:rStyle w:val="Hyperlink"/>
          <w:rFonts w:cs="Arial"/>
          <w:color w:val="auto"/>
          <w:szCs w:val="16"/>
          <w:u w:val="none"/>
        </w:rPr>
        <w:t>’</w:t>
      </w:r>
      <w:r w:rsidRPr="000317E5">
        <w:rPr>
          <w:rFonts w:cs="Arial"/>
          <w:szCs w:val="16"/>
        </w:rPr>
        <w:t>, 21 July 2015</w:t>
      </w:r>
      <w:r>
        <w:rPr>
          <w:rFonts w:cs="Arial"/>
          <w:szCs w:val="16"/>
        </w:rPr>
        <w:t>.</w:t>
      </w:r>
    </w:p>
  </w:endnote>
  <w:endnote w:id="7">
    <w:p w14:paraId="1C72D41B"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r>
        <w:rPr>
          <w:rFonts w:cs="Arial"/>
          <w:szCs w:val="16"/>
        </w:rPr>
        <w:t>ibid.</w:t>
      </w:r>
      <w:r w:rsidRPr="000317E5">
        <w:rPr>
          <w:rFonts w:cs="Arial"/>
          <w:szCs w:val="16"/>
        </w:rPr>
        <w:t xml:space="preserve"> </w:t>
      </w:r>
    </w:p>
  </w:endnote>
  <w:endnote w:id="8">
    <w:p w14:paraId="7C3FE30D"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Telstra, ‘</w:t>
      </w:r>
      <w:hyperlink r:id="rId3" w:history="1">
        <w:r w:rsidRPr="00E60641">
          <w:rPr>
            <w:rStyle w:val="Hyperlink"/>
            <w:rFonts w:cs="Arial"/>
            <w:color w:val="auto"/>
            <w:szCs w:val="16"/>
            <w:u w:val="none"/>
          </w:rPr>
          <w:t>Full Year 2015 Financial Results—CEO/CFO Analyst briefing presentation’</w:t>
        </w:r>
      </w:hyperlink>
      <w:r w:rsidRPr="000317E5">
        <w:rPr>
          <w:rFonts w:cs="Arial"/>
          <w:szCs w:val="16"/>
        </w:rPr>
        <w:t>, 13 August 2015.</w:t>
      </w:r>
    </w:p>
  </w:endnote>
  <w:endnote w:id="9">
    <w:p w14:paraId="39F6625C"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Singtel, Singapore Telecommunications Limited and Subsidiary Companies, </w:t>
      </w:r>
      <w:hyperlink r:id="rId4" w:history="1">
        <w:r>
          <w:rPr>
            <w:rStyle w:val="Hyperlink"/>
            <w:rFonts w:cs="Arial"/>
            <w:color w:val="auto"/>
            <w:szCs w:val="16"/>
            <w:u w:val="none"/>
          </w:rPr>
          <w:t>‘</w:t>
        </w:r>
        <w:r w:rsidRPr="000317E5">
          <w:rPr>
            <w:rStyle w:val="Hyperlink"/>
            <w:rFonts w:cs="Arial"/>
            <w:color w:val="auto"/>
            <w:szCs w:val="16"/>
            <w:u w:val="none"/>
          </w:rPr>
          <w:t xml:space="preserve">Management discussion and analysis of </w:t>
        </w:r>
        <w:r>
          <w:rPr>
            <w:rStyle w:val="Hyperlink"/>
            <w:rFonts w:cs="Arial"/>
            <w:color w:val="auto"/>
            <w:szCs w:val="16"/>
            <w:u w:val="none"/>
          </w:rPr>
          <w:t>f</w:t>
        </w:r>
        <w:r w:rsidRPr="000317E5">
          <w:rPr>
            <w:rStyle w:val="Hyperlink"/>
            <w:rFonts w:cs="Arial"/>
            <w:color w:val="auto"/>
            <w:szCs w:val="16"/>
            <w:u w:val="none"/>
          </w:rPr>
          <w:t>inancial condition, results of operations and cash flows for the first quarter ended 30 June 2015</w:t>
        </w:r>
      </w:hyperlink>
      <w:r>
        <w:rPr>
          <w:rStyle w:val="Hyperlink"/>
          <w:rFonts w:cs="Arial"/>
          <w:color w:val="auto"/>
          <w:szCs w:val="16"/>
          <w:u w:val="none"/>
        </w:rPr>
        <w:t>’</w:t>
      </w:r>
      <w:r w:rsidRPr="000317E5">
        <w:rPr>
          <w:rFonts w:cs="Arial"/>
          <w:szCs w:val="16"/>
        </w:rPr>
        <w:t>, 13 August 2015.</w:t>
      </w:r>
    </w:p>
  </w:endnote>
  <w:endnote w:id="10">
    <w:p w14:paraId="3C2827FB"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Hutchison Telecommunications (Australia) Limited, </w:t>
      </w:r>
      <w:hyperlink r:id="rId5" w:anchor="!/HTA" w:history="1">
        <w:r>
          <w:rPr>
            <w:rStyle w:val="Hyperlink"/>
            <w:rFonts w:cs="Arial"/>
            <w:color w:val="auto"/>
            <w:szCs w:val="16"/>
            <w:u w:val="none"/>
          </w:rPr>
          <w:t>‘</w:t>
        </w:r>
        <w:r w:rsidRPr="000317E5">
          <w:rPr>
            <w:rStyle w:val="Hyperlink"/>
            <w:rFonts w:cs="Arial"/>
            <w:color w:val="auto"/>
            <w:szCs w:val="16"/>
            <w:u w:val="none"/>
          </w:rPr>
          <w:t>ASX half year information 30 June 2015</w:t>
        </w:r>
      </w:hyperlink>
      <w:r>
        <w:rPr>
          <w:rStyle w:val="Hyperlink"/>
          <w:rFonts w:cs="Arial"/>
          <w:color w:val="auto"/>
          <w:szCs w:val="16"/>
          <w:u w:val="none"/>
        </w:rPr>
        <w:t>’</w:t>
      </w:r>
      <w:r w:rsidRPr="000317E5">
        <w:rPr>
          <w:rFonts w:cs="Arial"/>
          <w:szCs w:val="16"/>
        </w:rPr>
        <w:t>, 21 July 2015.</w:t>
      </w:r>
    </w:p>
  </w:endnote>
  <w:endnote w:id="11">
    <w:p w14:paraId="6B92A9BD"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Singtel, </w:t>
      </w:r>
      <w:hyperlink r:id="rId6" w:history="1">
        <w:r>
          <w:rPr>
            <w:rStyle w:val="Hyperlink"/>
            <w:rFonts w:cs="Arial"/>
            <w:color w:val="auto"/>
            <w:szCs w:val="16"/>
            <w:u w:val="none"/>
          </w:rPr>
          <w:t>‘</w:t>
        </w:r>
        <w:r w:rsidRPr="00E60641">
          <w:rPr>
            <w:rStyle w:val="Hyperlink"/>
            <w:rFonts w:cs="Arial"/>
            <w:color w:val="auto"/>
            <w:szCs w:val="16"/>
            <w:u w:val="none"/>
          </w:rPr>
          <w:t xml:space="preserve">Singapore telecommunications limited and subsidiary companies, Management discussion and analysis of </w:t>
        </w:r>
        <w:r>
          <w:rPr>
            <w:rStyle w:val="Hyperlink"/>
            <w:rFonts w:cs="Arial"/>
            <w:color w:val="auto"/>
            <w:szCs w:val="16"/>
            <w:u w:val="none"/>
          </w:rPr>
          <w:t>f</w:t>
        </w:r>
        <w:r w:rsidRPr="00E60641">
          <w:rPr>
            <w:rStyle w:val="Hyperlink"/>
            <w:rFonts w:cs="Arial"/>
            <w:color w:val="auto"/>
            <w:szCs w:val="16"/>
            <w:u w:val="none"/>
          </w:rPr>
          <w:t>inancial condition, results of operations and cash flows for the first quarter ended 30 June 2014</w:t>
        </w:r>
      </w:hyperlink>
      <w:r>
        <w:rPr>
          <w:rStyle w:val="Hyperlink"/>
          <w:rFonts w:cs="Arial"/>
          <w:color w:val="auto"/>
          <w:szCs w:val="16"/>
          <w:u w:val="none"/>
        </w:rPr>
        <w:t>’</w:t>
      </w:r>
      <w:r w:rsidRPr="000317E5">
        <w:rPr>
          <w:rFonts w:cs="Arial"/>
          <w:szCs w:val="16"/>
        </w:rPr>
        <w:t>, 14 August 2014.</w:t>
      </w:r>
    </w:p>
  </w:endnote>
  <w:endnote w:id="12">
    <w:p w14:paraId="7486A487"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Telstra, </w:t>
      </w:r>
      <w:hyperlink r:id="rId7" w:history="1">
        <w:r>
          <w:rPr>
            <w:rStyle w:val="Hyperlink"/>
            <w:rFonts w:cs="Arial"/>
            <w:color w:val="auto"/>
            <w:szCs w:val="16"/>
            <w:u w:val="none"/>
          </w:rPr>
          <w:t>‘</w:t>
        </w:r>
        <w:r w:rsidRPr="00E60641">
          <w:rPr>
            <w:rStyle w:val="Hyperlink"/>
            <w:rFonts w:cs="Arial"/>
            <w:color w:val="auto"/>
            <w:szCs w:val="16"/>
            <w:u w:val="none"/>
          </w:rPr>
          <w:t>Decommissioning our 2G (GSM) 900MHz network</w:t>
        </w:r>
      </w:hyperlink>
      <w:r>
        <w:rPr>
          <w:rStyle w:val="Hyperlink"/>
          <w:rFonts w:cs="Arial"/>
          <w:color w:val="auto"/>
          <w:szCs w:val="16"/>
          <w:u w:val="none"/>
        </w:rPr>
        <w:t>’</w:t>
      </w:r>
      <w:r w:rsidRPr="000317E5">
        <w:rPr>
          <w:rFonts w:cs="Arial"/>
          <w:szCs w:val="16"/>
        </w:rPr>
        <w:t>, 8 April 2015.</w:t>
      </w:r>
    </w:p>
  </w:endnote>
  <w:endnote w:id="13">
    <w:p w14:paraId="6C62CC6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Optus, </w:t>
      </w:r>
      <w:hyperlink r:id="rId8" w:history="1">
        <w:r>
          <w:rPr>
            <w:rStyle w:val="Hyperlink"/>
            <w:rFonts w:cs="Arial"/>
            <w:color w:val="auto"/>
            <w:szCs w:val="16"/>
            <w:u w:val="none"/>
          </w:rPr>
          <w:t>‘</w:t>
        </w:r>
        <w:r w:rsidRPr="00E60641">
          <w:rPr>
            <w:rStyle w:val="Hyperlink"/>
            <w:rFonts w:cs="Arial"/>
            <w:color w:val="auto"/>
            <w:szCs w:val="16"/>
            <w:u w:val="none"/>
          </w:rPr>
          <w:t>Optus to cease 2G services from April 2017</w:t>
        </w:r>
      </w:hyperlink>
      <w:r>
        <w:rPr>
          <w:rStyle w:val="Hyperlink"/>
          <w:rFonts w:cs="Arial"/>
          <w:color w:val="auto"/>
          <w:szCs w:val="16"/>
          <w:u w:val="none"/>
        </w:rPr>
        <w:t>’</w:t>
      </w:r>
      <w:r w:rsidRPr="000317E5">
        <w:rPr>
          <w:rFonts w:cs="Arial"/>
          <w:szCs w:val="16"/>
        </w:rPr>
        <w:t>, 5 August 2015.</w:t>
      </w:r>
    </w:p>
  </w:endnote>
  <w:endnote w:id="14">
    <w:p w14:paraId="25483A8D" w14:textId="77777777" w:rsidR="00C82DEF" w:rsidRPr="000317E5" w:rsidRDefault="00C82DEF" w:rsidP="000317E5">
      <w:pPr>
        <w:pStyle w:val="EndnoteText"/>
        <w:rPr>
          <w:rFonts w:cs="Arial"/>
          <w:szCs w:val="16"/>
        </w:rPr>
      </w:pPr>
      <w:r w:rsidRPr="002C3191">
        <w:rPr>
          <w:rStyle w:val="EndnoteReference"/>
        </w:rPr>
        <w:endnoteRef/>
      </w:r>
      <w:r>
        <w:rPr>
          <w:rFonts w:cs="Arial"/>
          <w:szCs w:val="16"/>
        </w:rPr>
        <w:t xml:space="preserve"> </w:t>
      </w:r>
      <w:r w:rsidRPr="000317E5">
        <w:rPr>
          <w:rFonts w:cs="Arial"/>
          <w:szCs w:val="16"/>
        </w:rPr>
        <w:t xml:space="preserve">P. Fletcher, </w:t>
      </w:r>
      <w:hyperlink r:id="rId9" w:anchor=".VZDOYPN-9dU" w:history="1">
        <w:r>
          <w:rPr>
            <w:rStyle w:val="Hyperlink"/>
            <w:rFonts w:cs="Arial"/>
            <w:color w:val="auto"/>
            <w:szCs w:val="16"/>
            <w:u w:val="none"/>
          </w:rPr>
          <w:t>‘</w:t>
        </w:r>
        <w:r w:rsidRPr="00E60641">
          <w:rPr>
            <w:rStyle w:val="Hyperlink"/>
            <w:rFonts w:cs="Arial"/>
            <w:color w:val="auto"/>
            <w:szCs w:val="16"/>
            <w:u w:val="none"/>
          </w:rPr>
          <w:t>Mobile Black Spot Programme to deliver almost 500 new or upgraded base stations with total investment of $385 million</w:t>
        </w:r>
      </w:hyperlink>
      <w:r>
        <w:rPr>
          <w:rStyle w:val="Hyperlink"/>
          <w:rFonts w:cs="Arial"/>
          <w:color w:val="auto"/>
          <w:szCs w:val="16"/>
          <w:u w:val="none"/>
        </w:rPr>
        <w:t>’ ,</w:t>
      </w:r>
      <w:r w:rsidRPr="000317E5">
        <w:rPr>
          <w:rFonts w:cs="Arial"/>
          <w:szCs w:val="16"/>
        </w:rPr>
        <w:t xml:space="preserve"> 25 June 2015.</w:t>
      </w:r>
    </w:p>
  </w:endnote>
  <w:endnote w:id="15">
    <w:p w14:paraId="5EFAF070"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Of the 499 towers, 429 are owned by Telstra, 70 by Vodafone.</w:t>
      </w:r>
    </w:p>
  </w:endnote>
  <w:endnote w:id="16">
    <w:p w14:paraId="5BE6E1E3"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More details regarding VoLTE technology in Australia are available in the ACMA’s recent report </w:t>
      </w:r>
      <w:hyperlink r:id="rId10" w:history="1">
        <w:r>
          <w:rPr>
            <w:rStyle w:val="Hyperlink"/>
            <w:rFonts w:cs="Arial"/>
            <w:color w:val="auto"/>
            <w:szCs w:val="16"/>
            <w:u w:val="none"/>
          </w:rPr>
          <w:t>‘</w:t>
        </w:r>
        <w:r w:rsidRPr="000317E5">
          <w:rPr>
            <w:rStyle w:val="Hyperlink"/>
            <w:rFonts w:cs="Arial"/>
            <w:color w:val="auto"/>
            <w:szCs w:val="16"/>
            <w:u w:val="none"/>
          </w:rPr>
          <w:t>The Evolution of VoIP in Australia</w:t>
        </w:r>
      </w:hyperlink>
      <w:r>
        <w:rPr>
          <w:rStyle w:val="Hyperlink"/>
          <w:rFonts w:cs="Arial"/>
          <w:color w:val="auto"/>
          <w:szCs w:val="16"/>
          <w:u w:val="none"/>
        </w:rPr>
        <w:t>’</w:t>
      </w:r>
      <w:r w:rsidRPr="000317E5">
        <w:rPr>
          <w:rStyle w:val="Hyperlink"/>
          <w:rFonts w:cs="Arial"/>
          <w:color w:val="auto"/>
          <w:szCs w:val="16"/>
          <w:u w:val="none"/>
        </w:rPr>
        <w:t>,</w:t>
      </w:r>
      <w:r w:rsidRPr="000317E5">
        <w:rPr>
          <w:rFonts w:cs="Arial"/>
          <w:szCs w:val="16"/>
        </w:rPr>
        <w:t xml:space="preserve"> 17 June 2015.</w:t>
      </w:r>
    </w:p>
  </w:endnote>
  <w:endnote w:id="17">
    <w:p w14:paraId="43749C34"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r>
        <w:rPr>
          <w:rFonts w:cs="Arial"/>
          <w:szCs w:val="16"/>
        </w:rPr>
        <w:t>Communications Day</w:t>
      </w:r>
      <w:r w:rsidRPr="000317E5">
        <w:rPr>
          <w:rFonts w:cs="Arial"/>
          <w:szCs w:val="16"/>
        </w:rPr>
        <w:t>, ‘Telstra to wholesale 4G mobile in 2016’, 17 March 2015.</w:t>
      </w:r>
    </w:p>
  </w:endnote>
  <w:endnote w:id="18">
    <w:p w14:paraId="6B994F74"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VHA, </w:t>
      </w:r>
      <w:hyperlink r:id="rId11" w:history="1">
        <w:r>
          <w:rPr>
            <w:rStyle w:val="Hyperlink"/>
            <w:rFonts w:cs="Arial"/>
            <w:color w:val="auto"/>
            <w:szCs w:val="16"/>
            <w:u w:val="none"/>
          </w:rPr>
          <w:t>‘</w:t>
        </w:r>
        <w:r w:rsidRPr="000317E5">
          <w:rPr>
            <w:rStyle w:val="Hyperlink"/>
            <w:rFonts w:cs="Arial"/>
            <w:color w:val="auto"/>
            <w:szCs w:val="16"/>
            <w:u w:val="none"/>
          </w:rPr>
          <w:t>Vodafone 4G calling: Successful start to VoLTE trials</w:t>
        </w:r>
      </w:hyperlink>
      <w:r>
        <w:rPr>
          <w:rStyle w:val="Hyperlink"/>
          <w:rFonts w:cs="Arial"/>
          <w:color w:val="auto"/>
          <w:szCs w:val="16"/>
          <w:u w:val="none"/>
        </w:rPr>
        <w:t>’</w:t>
      </w:r>
      <w:r w:rsidRPr="000317E5">
        <w:rPr>
          <w:rFonts w:cs="Arial"/>
          <w:szCs w:val="16"/>
        </w:rPr>
        <w:t>, media release, 6 February 2015.</w:t>
      </w:r>
    </w:p>
  </w:endnote>
  <w:endnote w:id="19">
    <w:p w14:paraId="738A09CD"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ZDNet </w:t>
      </w:r>
      <w:hyperlink r:id="rId12" w:history="1">
        <w:r>
          <w:rPr>
            <w:rStyle w:val="Hyperlink"/>
            <w:rFonts w:cs="Arial"/>
            <w:color w:val="auto"/>
            <w:szCs w:val="16"/>
            <w:u w:val="none"/>
          </w:rPr>
          <w:t>‘</w:t>
        </w:r>
        <w:r w:rsidRPr="000317E5">
          <w:rPr>
            <w:rStyle w:val="Hyperlink"/>
            <w:rFonts w:cs="Arial"/>
            <w:color w:val="auto"/>
            <w:szCs w:val="16"/>
            <w:u w:val="none"/>
          </w:rPr>
          <w:t>Optus joins Voice over LTE race</w:t>
        </w:r>
      </w:hyperlink>
      <w:r>
        <w:rPr>
          <w:rStyle w:val="Hyperlink"/>
          <w:rFonts w:cs="Arial"/>
          <w:color w:val="auto"/>
          <w:szCs w:val="16"/>
          <w:u w:val="none"/>
        </w:rPr>
        <w:t>’</w:t>
      </w:r>
      <w:r w:rsidRPr="000317E5">
        <w:rPr>
          <w:rFonts w:cs="Arial"/>
          <w:szCs w:val="16"/>
        </w:rPr>
        <w:t>, 25 November 2013.</w:t>
      </w:r>
    </w:p>
  </w:endnote>
  <w:endnote w:id="20">
    <w:p w14:paraId="11A6F6A3"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Taylor, J., </w:t>
      </w:r>
      <w:hyperlink r:id="rId13" w:history="1">
        <w:r>
          <w:rPr>
            <w:rStyle w:val="Hyperlink"/>
            <w:rFonts w:cs="Arial"/>
            <w:color w:val="auto"/>
            <w:szCs w:val="16"/>
            <w:u w:val="none"/>
          </w:rPr>
          <w:t>‘</w:t>
        </w:r>
        <w:r w:rsidRPr="00C74194">
          <w:rPr>
            <w:rStyle w:val="Hyperlink"/>
            <w:rFonts w:cs="Arial"/>
            <w:color w:val="auto"/>
            <w:szCs w:val="16"/>
            <w:u w:val="none"/>
          </w:rPr>
          <w:t>Optus customers to get Wi-Fi calling on iOS and Android</w:t>
        </w:r>
      </w:hyperlink>
      <w:r>
        <w:rPr>
          <w:rStyle w:val="Hyperlink"/>
          <w:rFonts w:cs="Arial"/>
          <w:color w:val="auto"/>
          <w:szCs w:val="16"/>
          <w:u w:val="none"/>
        </w:rPr>
        <w:t>’</w:t>
      </w:r>
      <w:r w:rsidRPr="000317E5">
        <w:rPr>
          <w:rFonts w:cs="Arial"/>
          <w:szCs w:val="16"/>
        </w:rPr>
        <w:t xml:space="preserve">, ZDNet, 7 May 2015. </w:t>
      </w:r>
    </w:p>
  </w:endnote>
  <w:endnote w:id="21">
    <w:p w14:paraId="4D5073C0"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Sadauskas, A., ‘</w:t>
      </w:r>
      <w:hyperlink r:id="rId14" w:history="1">
        <w:r w:rsidRPr="00C74194">
          <w:rPr>
            <w:rStyle w:val="Hyperlink"/>
            <w:rFonts w:cs="Arial"/>
            <w:color w:val="auto"/>
            <w:szCs w:val="16"/>
            <w:u w:val="none"/>
          </w:rPr>
          <w:t>Telstra to kill off dial-up’</w:t>
        </w:r>
      </w:hyperlink>
      <w:r w:rsidRPr="000317E5">
        <w:rPr>
          <w:rFonts w:cs="Arial"/>
          <w:szCs w:val="16"/>
        </w:rPr>
        <w:t>, IT News, 19 June 2015.</w:t>
      </w:r>
    </w:p>
  </w:endnote>
  <w:endnote w:id="22">
    <w:p w14:paraId="227570DB"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Mobile-internet subscribers provided by the ABS as a proportion of the total mobile voice and data subscribers provided by the ACMA.</w:t>
      </w:r>
    </w:p>
  </w:endnote>
  <w:endnote w:id="23">
    <w:p w14:paraId="0E774ED0"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ACMA, </w:t>
      </w:r>
      <w:hyperlink r:id="rId15" w:history="1">
        <w:r>
          <w:rPr>
            <w:rStyle w:val="Hyperlink"/>
            <w:rFonts w:cs="Arial"/>
            <w:color w:val="auto"/>
            <w:szCs w:val="16"/>
            <w:u w:val="none"/>
          </w:rPr>
          <w:t>‘</w:t>
        </w:r>
        <w:r w:rsidRPr="000317E5">
          <w:rPr>
            <w:rStyle w:val="Hyperlink"/>
            <w:rFonts w:cs="Arial"/>
            <w:color w:val="auto"/>
            <w:szCs w:val="16"/>
            <w:u w:val="none"/>
          </w:rPr>
          <w:t>Strong signals: growing use of publish Wi-Fi hotspots</w:t>
        </w:r>
      </w:hyperlink>
      <w:r>
        <w:rPr>
          <w:rStyle w:val="Hyperlink"/>
          <w:rFonts w:cs="Arial"/>
          <w:color w:val="auto"/>
          <w:szCs w:val="16"/>
          <w:u w:val="none"/>
        </w:rPr>
        <w:t>’</w:t>
      </w:r>
      <w:r w:rsidRPr="000317E5">
        <w:rPr>
          <w:rFonts w:cs="Arial"/>
          <w:szCs w:val="16"/>
        </w:rPr>
        <w:t xml:space="preserve">, 26 November 2014. </w:t>
      </w:r>
    </w:p>
  </w:endnote>
  <w:endnote w:id="24">
    <w:p w14:paraId="12173F7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r>
        <w:rPr>
          <w:rFonts w:cs="Arial"/>
          <w:szCs w:val="16"/>
        </w:rPr>
        <w:t>Communications Day</w:t>
      </w:r>
      <w:r w:rsidRPr="000317E5">
        <w:rPr>
          <w:rFonts w:cs="Arial"/>
          <w:szCs w:val="16"/>
        </w:rPr>
        <w:t xml:space="preserve">, </w:t>
      </w:r>
      <w:hyperlink r:id="rId16" w:history="1">
        <w:r>
          <w:rPr>
            <w:rStyle w:val="Hyperlink"/>
            <w:rFonts w:cs="Arial"/>
            <w:color w:val="auto"/>
            <w:szCs w:val="16"/>
            <w:u w:val="none"/>
          </w:rPr>
          <w:t>‘</w:t>
        </w:r>
        <w:r w:rsidRPr="00C74194">
          <w:rPr>
            <w:rStyle w:val="Hyperlink"/>
            <w:rFonts w:cs="Arial"/>
            <w:color w:val="auto"/>
            <w:szCs w:val="16"/>
            <w:u w:val="none"/>
          </w:rPr>
          <w:t>Telstra targets regions in Wi-Fi double-down</w:t>
        </w:r>
      </w:hyperlink>
      <w:r>
        <w:rPr>
          <w:rStyle w:val="Hyperlink"/>
          <w:rFonts w:cs="Arial"/>
          <w:color w:val="auto"/>
          <w:szCs w:val="16"/>
          <w:u w:val="none"/>
        </w:rPr>
        <w:t>’</w:t>
      </w:r>
      <w:r w:rsidRPr="000317E5">
        <w:rPr>
          <w:rStyle w:val="Hyperlink"/>
          <w:rFonts w:cs="Arial"/>
          <w:color w:val="auto"/>
          <w:szCs w:val="16"/>
          <w:u w:val="none"/>
        </w:rPr>
        <w:t xml:space="preserve">, </w:t>
      </w:r>
      <w:r w:rsidRPr="000317E5">
        <w:rPr>
          <w:rFonts w:cs="Arial"/>
          <w:szCs w:val="16"/>
        </w:rPr>
        <w:t>15 April 2015.</w:t>
      </w:r>
    </w:p>
  </w:endnote>
  <w:endnote w:id="25">
    <w:p w14:paraId="20EA205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A. Coyne, 12 June 2015, </w:t>
      </w:r>
      <w:hyperlink r:id="rId17" w:history="1">
        <w:r>
          <w:rPr>
            <w:rStyle w:val="Hyperlink"/>
            <w:rFonts w:cs="Arial"/>
            <w:color w:val="auto"/>
            <w:szCs w:val="16"/>
            <w:u w:val="none"/>
          </w:rPr>
          <w:t>‘</w:t>
        </w:r>
        <w:r w:rsidRPr="000317E5">
          <w:rPr>
            <w:rStyle w:val="Hyperlink"/>
            <w:rFonts w:cs="Arial"/>
            <w:color w:val="auto"/>
            <w:szCs w:val="16"/>
            <w:u w:val="none"/>
          </w:rPr>
          <w:t xml:space="preserve">Telstra to switch off free </w:t>
        </w:r>
        <w:r w:rsidRPr="00E04A41">
          <w:rPr>
            <w:rStyle w:val="Hyperlink"/>
            <w:rFonts w:cs="Arial"/>
            <w:color w:val="auto"/>
            <w:szCs w:val="16"/>
            <w:u w:val="none"/>
          </w:rPr>
          <w:t>wi-fi</w:t>
        </w:r>
        <w:r w:rsidRPr="000317E5">
          <w:rPr>
            <w:rStyle w:val="Hyperlink"/>
            <w:rFonts w:cs="Arial"/>
            <w:color w:val="auto"/>
            <w:szCs w:val="16"/>
            <w:u w:val="none"/>
          </w:rPr>
          <w:t xml:space="preserve"> hotspots from Sunday</w:t>
        </w:r>
      </w:hyperlink>
      <w:r>
        <w:rPr>
          <w:rStyle w:val="Hyperlink"/>
          <w:rFonts w:cs="Arial"/>
          <w:color w:val="auto"/>
          <w:szCs w:val="16"/>
          <w:u w:val="none"/>
        </w:rPr>
        <w:t>’,</w:t>
      </w:r>
      <w:r w:rsidRPr="000317E5">
        <w:rPr>
          <w:rFonts w:cs="Arial"/>
          <w:szCs w:val="16"/>
        </w:rPr>
        <w:t xml:space="preserve"> IT News.</w:t>
      </w:r>
    </w:p>
  </w:endnote>
  <w:endnote w:id="26">
    <w:p w14:paraId="50E71287"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CBRfree website. http://digitalcanberra.com.au/projects/canberra-public-wi-fi-strategy-2/#.VdbP5_N-9dU</w:t>
      </w:r>
    </w:p>
  </w:endnote>
  <w:endnote w:id="27">
    <w:p w14:paraId="4BBEA0FB"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ABS, </w:t>
      </w:r>
      <w:hyperlink r:id="rId18" w:history="1">
        <w:r>
          <w:rPr>
            <w:rStyle w:val="Hyperlink"/>
            <w:rFonts w:cs="Arial"/>
            <w:color w:val="auto"/>
            <w:szCs w:val="16"/>
            <w:u w:val="none"/>
          </w:rPr>
          <w:t>‘</w:t>
        </w:r>
        <w:r w:rsidRPr="00C74194">
          <w:rPr>
            <w:rStyle w:val="Hyperlink"/>
            <w:rFonts w:cs="Arial"/>
            <w:color w:val="auto"/>
            <w:szCs w:val="16"/>
            <w:u w:val="none"/>
          </w:rPr>
          <w:t>8153.0—Internet activity</w:t>
        </w:r>
      </w:hyperlink>
      <w:r>
        <w:rPr>
          <w:rStyle w:val="Hyperlink"/>
          <w:rFonts w:cs="Arial"/>
          <w:color w:val="auto"/>
          <w:szCs w:val="16"/>
          <w:u w:val="none"/>
        </w:rPr>
        <w:t>’</w:t>
      </w:r>
      <w:r w:rsidRPr="000317E5">
        <w:rPr>
          <w:rFonts w:cs="Arial"/>
          <w:szCs w:val="16"/>
        </w:rPr>
        <w:t>, Australia, June 201</w:t>
      </w:r>
      <w:r>
        <w:rPr>
          <w:rFonts w:cs="Arial"/>
          <w:szCs w:val="16"/>
        </w:rPr>
        <w:t>5</w:t>
      </w:r>
      <w:r w:rsidRPr="000317E5">
        <w:rPr>
          <w:rFonts w:cs="Arial"/>
          <w:szCs w:val="16"/>
        </w:rPr>
        <w:t xml:space="preserve">. </w:t>
      </w:r>
    </w:p>
  </w:endnote>
  <w:endnote w:id="28">
    <w:p w14:paraId="6B329226"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On 1 July 2015, the responsibility for </w:t>
      </w:r>
      <w:r>
        <w:rPr>
          <w:rFonts w:cs="Arial"/>
          <w:szCs w:val="16"/>
        </w:rPr>
        <w:t xml:space="preserve">the </w:t>
      </w:r>
      <w:r w:rsidRPr="000317E5">
        <w:rPr>
          <w:rFonts w:cs="Arial"/>
          <w:szCs w:val="16"/>
        </w:rPr>
        <w:t xml:space="preserve">gov.au </w:t>
      </w:r>
      <w:r w:rsidRPr="00E41B62">
        <w:rPr>
          <w:rFonts w:cs="Arial"/>
          <w:szCs w:val="16"/>
        </w:rPr>
        <w:t>d</w:t>
      </w:r>
      <w:r w:rsidRPr="00117A76">
        <w:rPr>
          <w:rFonts w:cs="Arial"/>
          <w:szCs w:val="16"/>
        </w:rPr>
        <w:t xml:space="preserve">omain </w:t>
      </w:r>
      <w:r w:rsidRPr="00E41B62">
        <w:rPr>
          <w:rFonts w:cs="Arial"/>
          <w:szCs w:val="16"/>
        </w:rPr>
        <w:t>n</w:t>
      </w:r>
      <w:r w:rsidRPr="00117A76">
        <w:rPr>
          <w:rFonts w:cs="Arial"/>
          <w:szCs w:val="16"/>
        </w:rPr>
        <w:t xml:space="preserve">ame </w:t>
      </w:r>
      <w:r w:rsidRPr="00E41B62">
        <w:rPr>
          <w:rFonts w:cs="Arial"/>
          <w:szCs w:val="16"/>
        </w:rPr>
        <w:t>a</w:t>
      </w:r>
      <w:r w:rsidRPr="00117A76">
        <w:rPr>
          <w:rFonts w:cs="Arial"/>
          <w:szCs w:val="16"/>
        </w:rPr>
        <w:t>dministration</w:t>
      </w:r>
      <w:r w:rsidRPr="000317E5">
        <w:rPr>
          <w:rFonts w:cs="Arial"/>
          <w:szCs w:val="16"/>
        </w:rPr>
        <w:t xml:space="preserve"> function was transferred to the Digital Transformation Office. </w:t>
      </w:r>
    </w:p>
  </w:endnote>
  <w:endnote w:id="29">
    <w:p w14:paraId="0E1DBB43"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NBN Co</w:t>
      </w:r>
      <w:r w:rsidRPr="00117A76">
        <w:rPr>
          <w:rFonts w:cs="Arial"/>
          <w:szCs w:val="16"/>
        </w:rPr>
        <w:t xml:space="preserve">, </w:t>
      </w:r>
      <w:r w:rsidRPr="00E41B62">
        <w:rPr>
          <w:rFonts w:cs="Arial"/>
          <w:szCs w:val="16"/>
        </w:rPr>
        <w:t>media r</w:t>
      </w:r>
      <w:r w:rsidRPr="00117A76">
        <w:rPr>
          <w:rFonts w:cs="Arial"/>
          <w:szCs w:val="16"/>
        </w:rPr>
        <w:t>elease</w:t>
      </w:r>
      <w:r w:rsidRPr="000317E5">
        <w:rPr>
          <w:rFonts w:cs="Arial"/>
          <w:szCs w:val="16"/>
        </w:rPr>
        <w:t>, ‘</w:t>
      </w:r>
      <w:hyperlink r:id="rId19" w:history="1">
        <w:r w:rsidRPr="00C74194">
          <w:rPr>
            <w:rStyle w:val="Hyperlink"/>
            <w:rFonts w:cs="Arial"/>
            <w:color w:val="auto"/>
            <w:szCs w:val="16"/>
            <w:u w:val="none"/>
          </w:rPr>
          <w:t>Deal to accelerate nbn rollout comes into effect</w:t>
        </w:r>
      </w:hyperlink>
      <w:r w:rsidRPr="000317E5">
        <w:rPr>
          <w:rFonts w:cs="Arial"/>
          <w:szCs w:val="16"/>
        </w:rPr>
        <w:t>’, 26 June 2015.</w:t>
      </w:r>
    </w:p>
  </w:endnote>
  <w:endnote w:id="30">
    <w:p w14:paraId="25A5ABC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hyperlink r:id="rId20" w:history="1">
        <w:r w:rsidRPr="00290911">
          <w:rPr>
            <w:rStyle w:val="Hyperlink"/>
            <w:rFonts w:cs="Arial"/>
            <w:szCs w:val="16"/>
          </w:rPr>
          <w:t>http://www.nbnco.com.au/develop-or-plan-with-the-nbn/check-rollout-map.html</w:t>
        </w:r>
      </w:hyperlink>
      <w:r w:rsidRPr="000317E5">
        <w:rPr>
          <w:rFonts w:cs="Arial"/>
          <w:szCs w:val="16"/>
        </w:rPr>
        <w:t xml:space="preserve"> </w:t>
      </w:r>
    </w:p>
  </w:endnote>
  <w:endnote w:id="31">
    <w:p w14:paraId="5FBB6168" w14:textId="77777777" w:rsidR="00C82DEF" w:rsidRDefault="00C82DEF">
      <w:pPr>
        <w:pStyle w:val="EndnoteText"/>
      </w:pPr>
      <w:r>
        <w:rPr>
          <w:rStyle w:val="EndnoteReference"/>
        </w:rPr>
        <w:endnoteRef/>
      </w:r>
      <w:r>
        <w:t xml:space="preserve"> </w:t>
      </w:r>
      <w:r w:rsidRPr="00485701">
        <w:rPr>
          <w:rFonts w:cs="Arial"/>
          <w:szCs w:val="16"/>
        </w:rPr>
        <w:t>OECD, Committee on Digital Economy Policy, Digital Economy Outlook, Chapter 5 Emerging Issues; The Internet of Things, p.</w:t>
      </w:r>
      <w:r>
        <w:rPr>
          <w:rFonts w:cs="Arial"/>
          <w:szCs w:val="16"/>
        </w:rPr>
        <w:t xml:space="preserve"> </w:t>
      </w:r>
      <w:r w:rsidRPr="00485701">
        <w:rPr>
          <w:rFonts w:cs="Arial"/>
          <w:szCs w:val="16"/>
        </w:rPr>
        <w:t>4</w:t>
      </w:r>
      <w:r>
        <w:rPr>
          <w:rFonts w:cs="Arial"/>
          <w:szCs w:val="16"/>
        </w:rPr>
        <w:t>.</w:t>
      </w:r>
    </w:p>
  </w:endnote>
  <w:endnote w:id="32">
    <w:p w14:paraId="3294BF81" w14:textId="77777777" w:rsidR="00C82DEF" w:rsidRDefault="00C82DEF">
      <w:pPr>
        <w:pStyle w:val="EndnoteText"/>
      </w:pPr>
      <w:r>
        <w:rPr>
          <w:rStyle w:val="EndnoteReference"/>
        </w:rPr>
        <w:endnoteRef/>
      </w:r>
      <w:r>
        <w:t xml:space="preserve"> </w:t>
      </w:r>
      <w:r w:rsidRPr="00E51A6B">
        <w:rPr>
          <w:rFonts w:cs="Arial"/>
          <w:szCs w:val="16"/>
        </w:rPr>
        <w:t xml:space="preserve">eMarketer, </w:t>
      </w:r>
      <w:hyperlink r:id="rId21" w:history="1">
        <w:r w:rsidRPr="00E51A6B">
          <w:rPr>
            <w:rStyle w:val="Hyperlink"/>
            <w:rFonts w:cs="Arial"/>
            <w:szCs w:val="16"/>
          </w:rPr>
          <w:t>The Internet of Things: Tracking the ‘Cross-Everywhere’ Consumer</w:t>
        </w:r>
      </w:hyperlink>
      <w:r w:rsidRPr="00E51A6B">
        <w:rPr>
          <w:rFonts w:cs="Arial"/>
          <w:szCs w:val="16"/>
        </w:rPr>
        <w:t>, 23 June 2015</w:t>
      </w:r>
      <w:r>
        <w:rPr>
          <w:rFonts w:cs="Arial"/>
          <w:szCs w:val="16"/>
        </w:rPr>
        <w:t>.</w:t>
      </w:r>
    </w:p>
  </w:endnote>
  <w:endnote w:id="33">
    <w:p w14:paraId="0F8380D9" w14:textId="77777777" w:rsidR="00C82DEF" w:rsidRDefault="00C82DEF">
      <w:pPr>
        <w:pStyle w:val="EndnoteText"/>
      </w:pPr>
      <w:r>
        <w:rPr>
          <w:rStyle w:val="EndnoteReference"/>
        </w:rPr>
        <w:endnoteRef/>
      </w:r>
      <w:r>
        <w:t xml:space="preserve"> </w:t>
      </w:r>
      <w:r w:rsidRPr="00E51A6B">
        <w:rPr>
          <w:rFonts w:cs="Arial"/>
          <w:i/>
          <w:szCs w:val="16"/>
        </w:rPr>
        <w:t>Commswire</w:t>
      </w:r>
      <w:r w:rsidRPr="00E51A6B">
        <w:rPr>
          <w:rFonts w:cs="Arial"/>
          <w:szCs w:val="16"/>
        </w:rPr>
        <w:t>, 21 January 2015</w:t>
      </w:r>
    </w:p>
  </w:endnote>
  <w:endnote w:id="34">
    <w:p w14:paraId="42F2B529" w14:textId="77777777" w:rsidR="00C82DEF" w:rsidRPr="00E41B62" w:rsidRDefault="00C82DEF">
      <w:pPr>
        <w:pStyle w:val="EndnoteText"/>
      </w:pPr>
      <w:r>
        <w:rPr>
          <w:rStyle w:val="EndnoteReference"/>
        </w:rPr>
        <w:endnoteRef/>
      </w:r>
      <w:r>
        <w:t xml:space="preserve"> </w:t>
      </w:r>
      <w:r w:rsidRPr="00E51A6B">
        <w:rPr>
          <w:rFonts w:cs="Arial"/>
          <w:szCs w:val="16"/>
        </w:rPr>
        <w:t xml:space="preserve">Telstra, </w:t>
      </w:r>
      <w:r w:rsidRPr="00E41B62">
        <w:rPr>
          <w:rFonts w:cs="Arial"/>
          <w:szCs w:val="16"/>
        </w:rPr>
        <w:t>Telstra Annual Report 2015, 13 August 2015, p. 23</w:t>
      </w:r>
    </w:p>
  </w:endnote>
  <w:endnote w:id="35">
    <w:p w14:paraId="741CC5CD" w14:textId="77777777" w:rsidR="00C82DEF" w:rsidRPr="000317E5" w:rsidRDefault="00C82DEF" w:rsidP="000317E5">
      <w:pPr>
        <w:pStyle w:val="EndnoteText"/>
        <w:rPr>
          <w:rFonts w:cs="Arial"/>
          <w:szCs w:val="16"/>
        </w:rPr>
      </w:pPr>
      <w:r w:rsidRPr="00E41B62">
        <w:rPr>
          <w:rStyle w:val="EndnoteReference"/>
        </w:rPr>
        <w:endnoteRef/>
      </w:r>
      <w:r w:rsidRPr="00E41B62">
        <w:rPr>
          <w:rFonts w:cs="Arial"/>
          <w:szCs w:val="16"/>
        </w:rPr>
        <w:t xml:space="preserve"> </w:t>
      </w:r>
      <w:r>
        <w:rPr>
          <w:rFonts w:cs="Arial"/>
          <w:szCs w:val="16"/>
        </w:rPr>
        <w:t>ibid.</w:t>
      </w:r>
      <w:r w:rsidRPr="000317E5">
        <w:rPr>
          <w:rFonts w:cs="Arial"/>
          <w:szCs w:val="16"/>
        </w:rPr>
        <w:t>, p</w:t>
      </w:r>
      <w:r>
        <w:rPr>
          <w:rFonts w:cs="Arial"/>
          <w:szCs w:val="16"/>
        </w:rPr>
        <w:t xml:space="preserve">. </w:t>
      </w:r>
      <w:r w:rsidRPr="000317E5">
        <w:rPr>
          <w:rFonts w:cs="Arial"/>
          <w:szCs w:val="16"/>
        </w:rPr>
        <w:t>14</w:t>
      </w:r>
    </w:p>
  </w:endnote>
  <w:endnote w:id="36">
    <w:p w14:paraId="0EDD367F"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w:t>
      </w:r>
      <w:r w:rsidRPr="00117A76">
        <w:rPr>
          <w:rFonts w:cs="Arial"/>
          <w:szCs w:val="16"/>
        </w:rPr>
        <w:t>Long, G</w:t>
      </w:r>
      <w:r w:rsidRPr="00E41B62">
        <w:rPr>
          <w:rFonts w:cs="Arial"/>
          <w:szCs w:val="16"/>
        </w:rPr>
        <w:t>.</w:t>
      </w:r>
      <w:r w:rsidRPr="00117A76">
        <w:rPr>
          <w:rFonts w:cs="Arial"/>
          <w:szCs w:val="16"/>
        </w:rPr>
        <w:t>,</w:t>
      </w:r>
      <w:r w:rsidRPr="000317E5">
        <w:rPr>
          <w:rFonts w:cs="Arial"/>
          <w:szCs w:val="16"/>
        </w:rPr>
        <w:t xml:space="preserve"> </w:t>
      </w:r>
      <w:r>
        <w:rPr>
          <w:rFonts w:cs="Arial"/>
          <w:szCs w:val="16"/>
        </w:rPr>
        <w:t>Communications Day</w:t>
      </w:r>
      <w:r w:rsidRPr="000317E5">
        <w:rPr>
          <w:rFonts w:cs="Arial"/>
          <w:szCs w:val="16"/>
        </w:rPr>
        <w:t>, ‘Australian datacentre service market tipped for double-digit growth: Frost and Sullivan’, 3 September 2015.</w:t>
      </w:r>
    </w:p>
  </w:endnote>
  <w:endnote w:id="37">
    <w:p w14:paraId="578064B3"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M2, ‘M2 to a</w:t>
      </w:r>
      <w:r>
        <w:rPr>
          <w:rFonts w:cs="Arial"/>
          <w:szCs w:val="16"/>
        </w:rPr>
        <w:t>cquire Call Plus Group &amp; 2 Talk</w:t>
      </w:r>
      <w:r w:rsidRPr="000317E5">
        <w:rPr>
          <w:rFonts w:cs="Arial"/>
          <w:szCs w:val="16"/>
        </w:rPr>
        <w:t>’</w:t>
      </w:r>
      <w:r>
        <w:rPr>
          <w:rFonts w:cs="Arial"/>
          <w:szCs w:val="16"/>
        </w:rPr>
        <w:t>,</w:t>
      </w:r>
      <w:r w:rsidRPr="000317E5">
        <w:rPr>
          <w:rFonts w:cs="Arial"/>
          <w:szCs w:val="16"/>
        </w:rPr>
        <w:t xml:space="preserve"> http://m2.com.au/GetPdf.axd?id=641595.</w:t>
      </w:r>
    </w:p>
  </w:endnote>
  <w:endnote w:id="38">
    <w:p w14:paraId="73A41A90"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Sadauskas, A., </w:t>
      </w:r>
      <w:hyperlink r:id="rId22" w:history="1">
        <w:r>
          <w:rPr>
            <w:rStyle w:val="Hyperlink"/>
            <w:rFonts w:cs="Arial"/>
            <w:color w:val="auto"/>
            <w:szCs w:val="16"/>
            <w:u w:val="none"/>
          </w:rPr>
          <w:t>‘TPG’s iiNet takeover is “bittersweet”</w:t>
        </w:r>
        <w:r w:rsidRPr="000317E5">
          <w:rPr>
            <w:rStyle w:val="Hyperlink"/>
            <w:rFonts w:cs="Arial"/>
            <w:color w:val="auto"/>
            <w:szCs w:val="16"/>
            <w:u w:val="none"/>
          </w:rPr>
          <w:t xml:space="preserve"> for Michael Malone’</w:t>
        </w:r>
      </w:hyperlink>
      <w:r w:rsidRPr="000317E5">
        <w:rPr>
          <w:rFonts w:cs="Arial"/>
          <w:szCs w:val="16"/>
        </w:rPr>
        <w:t>, ITNews, 21 August 2015.</w:t>
      </w:r>
    </w:p>
  </w:endnote>
  <w:endnote w:id="39">
    <w:p w14:paraId="799C09F5"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A nominated carrier declaration permits the owner(s) of one or more network units to nominate a carrier to supply carriage services over those units to the public, subject to the carrier satisfying the ACMA that it would be in a position to comply with carrier-related obligations in respect of those network units.</w:t>
      </w:r>
    </w:p>
  </w:endnote>
  <w:endnote w:id="40">
    <w:p w14:paraId="723701C0"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A trial certificate permits the owner of one or more network units to trial new network units and services without the need for a carrier licence. A trial certificate may be issued for a period up to six months.</w:t>
      </w:r>
    </w:p>
  </w:endnote>
  <w:endnote w:id="41">
    <w:p w14:paraId="434B056E"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Imparja Television Pty Ltd and Southern Cross Media Group Ltd jointly control digital-only television licences, one in each of the remote central and eastern Australian television licence areas and the Mt Isa television licence area.</w:t>
      </w:r>
    </w:p>
  </w:endnote>
  <w:endnote w:id="42">
    <w:p w14:paraId="301C2F58" w14:textId="77777777" w:rsidR="00C82DEF" w:rsidRPr="000317E5" w:rsidRDefault="00C82DEF" w:rsidP="000317E5">
      <w:pPr>
        <w:pStyle w:val="EndnoteText"/>
        <w:rPr>
          <w:rFonts w:cs="Arial"/>
          <w:szCs w:val="16"/>
        </w:rPr>
      </w:pPr>
      <w:r w:rsidRPr="002C3191">
        <w:rPr>
          <w:rStyle w:val="EndnoteReference"/>
        </w:rPr>
        <w:endnoteRef/>
      </w:r>
      <w:r w:rsidRPr="000317E5">
        <w:rPr>
          <w:rFonts w:cs="Arial"/>
          <w:szCs w:val="16"/>
        </w:rPr>
        <w:t xml:space="preserve"> The ACMA accepted an enforceable undertaking and granted prior approval of the temporary breach of the limit on a person being in a position to control more than two radio licences in a licence area, requiring one commercial radio licence in Sydney is to be divested by 30 March 2016.</w:t>
      </w:r>
    </w:p>
  </w:endnote>
  <w:endnote w:id="43">
    <w:p w14:paraId="44510967" w14:textId="77777777" w:rsidR="00C82DEF" w:rsidRPr="004B3CB6" w:rsidRDefault="00C82DEF" w:rsidP="000317E5">
      <w:pPr>
        <w:pStyle w:val="EndnoteText"/>
        <w:rPr>
          <w:rFonts w:cs="Arial"/>
          <w:szCs w:val="16"/>
        </w:rPr>
      </w:pPr>
      <w:r w:rsidRPr="002C3191">
        <w:rPr>
          <w:rStyle w:val="EndnoteReference"/>
        </w:rPr>
        <w:endnoteRef/>
      </w:r>
      <w:r w:rsidRPr="000317E5">
        <w:rPr>
          <w:rFonts w:cs="Arial"/>
          <w:szCs w:val="16"/>
        </w:rPr>
        <w:t xml:space="preserve"> Commercial Economic Advisory Service of Australia (CEASA), Advertising expenditure in main media: Year ended 31st December 2014. April 2015, p.</w:t>
      </w:r>
      <w:r>
        <w:rPr>
          <w:rFonts w:cs="Arial"/>
          <w:szCs w:val="16"/>
        </w:rPr>
        <w:t xml:space="preserve"> </w:t>
      </w:r>
      <w:r w:rsidRPr="000317E5">
        <w:rPr>
          <w:rFonts w:cs="Arial"/>
          <w:szCs w:val="16"/>
        </w:rPr>
        <w:t>1.</w:t>
      </w:r>
    </w:p>
  </w:endnote>
  <w:endnote w:id="44">
    <w:p w14:paraId="73E2845D" w14:textId="77777777" w:rsidR="00C82DEF" w:rsidRPr="00A34B9D" w:rsidRDefault="00C82DEF" w:rsidP="00A34B9D">
      <w:pPr>
        <w:pStyle w:val="EndnoteText"/>
        <w:spacing w:after="80"/>
        <w:rPr>
          <w:b/>
          <w:sz w:val="20"/>
        </w:rPr>
      </w:pPr>
      <w:r w:rsidRPr="00A34B9D">
        <w:rPr>
          <w:b/>
          <w:sz w:val="20"/>
        </w:rPr>
        <w:t>Endnotes</w:t>
      </w:r>
    </w:p>
    <w:p w14:paraId="53FCDCB8"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ACMA-commissioned survey, May 2015</w:t>
      </w:r>
      <w:r>
        <w:rPr>
          <w:rFonts w:cs="Arial"/>
          <w:szCs w:val="16"/>
        </w:rPr>
        <w:t>.</w:t>
      </w:r>
    </w:p>
  </w:endnote>
  <w:endnote w:id="45">
    <w:p w14:paraId="26AC5F47"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w:t>
      </w:r>
      <w:r>
        <w:rPr>
          <w:rFonts w:cs="Arial"/>
          <w:szCs w:val="16"/>
        </w:rPr>
        <w:t>ibid.</w:t>
      </w:r>
    </w:p>
  </w:endnote>
  <w:endnote w:id="46">
    <w:p w14:paraId="3DCFF7DE" w14:textId="77777777" w:rsidR="00C82DEF" w:rsidRPr="00D02C7B" w:rsidRDefault="00C82DEF" w:rsidP="000E3AEA">
      <w:pPr>
        <w:pStyle w:val="EndnoteText"/>
        <w:rPr>
          <w:rFonts w:cs="Arial"/>
          <w:szCs w:val="16"/>
        </w:rPr>
      </w:pPr>
      <w:r w:rsidRPr="00D02C7B">
        <w:rPr>
          <w:rStyle w:val="EndnoteReference"/>
          <w:rFonts w:cs="Arial"/>
          <w:szCs w:val="16"/>
        </w:rPr>
        <w:endnoteRef/>
      </w:r>
      <w:r w:rsidRPr="00D02C7B">
        <w:rPr>
          <w:rFonts w:cs="Arial"/>
          <w:szCs w:val="16"/>
        </w:rPr>
        <w:t xml:space="preserve"> Roy Morgan Single Source, June 2015</w:t>
      </w:r>
      <w:r>
        <w:rPr>
          <w:rFonts w:cs="Arial"/>
          <w:szCs w:val="16"/>
        </w:rPr>
        <w:t>.</w:t>
      </w:r>
    </w:p>
  </w:endnote>
  <w:endnote w:id="47">
    <w:p w14:paraId="6E64C7A7" w14:textId="77777777" w:rsidR="00C82DEF" w:rsidRDefault="00C82DEF">
      <w:pPr>
        <w:pStyle w:val="EndnoteText"/>
      </w:pPr>
      <w:r>
        <w:rPr>
          <w:rStyle w:val="EndnoteReference"/>
        </w:rPr>
        <w:endnoteRef/>
      </w:r>
      <w:r>
        <w:t xml:space="preserve"> </w:t>
      </w:r>
      <w:r w:rsidRPr="00D02C7B">
        <w:rPr>
          <w:rFonts w:cs="Arial"/>
          <w:szCs w:val="16"/>
        </w:rPr>
        <w:t>ACMA-commissioned survey, May 2015</w:t>
      </w:r>
      <w:r>
        <w:rPr>
          <w:rFonts w:cs="Arial"/>
          <w:szCs w:val="16"/>
        </w:rPr>
        <w:t>.</w:t>
      </w:r>
    </w:p>
  </w:endnote>
  <w:endnote w:id="48">
    <w:p w14:paraId="2B4C40DD"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w:t>
      </w:r>
      <w:r>
        <w:rPr>
          <w:rFonts w:cs="Arial"/>
          <w:szCs w:val="16"/>
        </w:rPr>
        <w:t>ibid.</w:t>
      </w:r>
    </w:p>
  </w:endnote>
  <w:endnote w:id="49">
    <w:p w14:paraId="2761270B"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Roy Morgan Single Source, June 2015</w:t>
      </w:r>
      <w:r>
        <w:rPr>
          <w:rFonts w:cs="Arial"/>
          <w:szCs w:val="16"/>
        </w:rPr>
        <w:t>.</w:t>
      </w:r>
    </w:p>
  </w:endnote>
  <w:endnote w:id="50">
    <w:p w14:paraId="552392C8" w14:textId="77777777" w:rsidR="00C82DEF" w:rsidRPr="00D02C7B" w:rsidRDefault="00C82DEF" w:rsidP="000317E5">
      <w:pPr>
        <w:pStyle w:val="EndnoteText"/>
        <w:rPr>
          <w:rFonts w:cs="Arial"/>
          <w:szCs w:val="16"/>
          <w:lang w:val="en-US"/>
        </w:rPr>
      </w:pPr>
      <w:r w:rsidRPr="00D02C7B">
        <w:rPr>
          <w:rStyle w:val="EndnoteReference"/>
          <w:rFonts w:cs="Arial"/>
          <w:szCs w:val="16"/>
        </w:rPr>
        <w:endnoteRef/>
      </w:r>
      <w:r w:rsidRPr="00D02C7B">
        <w:rPr>
          <w:rFonts w:cs="Arial"/>
          <w:szCs w:val="16"/>
        </w:rPr>
        <w:t xml:space="preserve"> ABS, </w:t>
      </w:r>
      <w:hyperlink r:id="rId23" w:history="1">
        <w:r w:rsidRPr="00D02C7B">
          <w:rPr>
            <w:rStyle w:val="Hyperlink"/>
            <w:rFonts w:cs="Arial"/>
            <w:szCs w:val="16"/>
          </w:rPr>
          <w:t>8166.0 – Summary of IT use and innovation in Australian Business</w:t>
        </w:r>
      </w:hyperlink>
      <w:r w:rsidRPr="00D02C7B">
        <w:rPr>
          <w:rFonts w:cs="Arial"/>
          <w:szCs w:val="16"/>
        </w:rPr>
        <w:t>, 2013–14, 18 June 2015.</w:t>
      </w:r>
    </w:p>
  </w:endnote>
  <w:endnote w:id="51">
    <w:p w14:paraId="50C2EEED"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ACMA-commissioned survey, May 2015</w:t>
      </w:r>
      <w:r>
        <w:rPr>
          <w:rFonts w:cs="Arial"/>
          <w:szCs w:val="16"/>
        </w:rPr>
        <w:t>.</w:t>
      </w:r>
    </w:p>
  </w:endnote>
  <w:endnote w:id="52">
    <w:p w14:paraId="6154E5FE"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News.com.au, Contactless tap-and-go payment gains popularity with Australian shoppers, 28 September 2014</w:t>
      </w:r>
      <w:r>
        <w:rPr>
          <w:rFonts w:cs="Arial"/>
          <w:szCs w:val="16"/>
        </w:rPr>
        <w:t>,</w:t>
      </w:r>
      <w:r w:rsidRPr="00D02C7B">
        <w:rPr>
          <w:rFonts w:cs="Arial"/>
          <w:szCs w:val="16"/>
        </w:rPr>
        <w:t xml:space="preserve"> </w:t>
      </w:r>
      <w:hyperlink r:id="rId24" w:history="1">
        <w:r w:rsidRPr="00D02C7B">
          <w:rPr>
            <w:rStyle w:val="Hyperlink"/>
            <w:rFonts w:cs="Arial"/>
            <w:szCs w:val="16"/>
          </w:rPr>
          <w:t>http://www.news.com.au/finance/money/contactless-tapandgo-payment-gains-popularity-with-australian-shoppers/story-e6frfmci-1227073203032</w:t>
        </w:r>
      </w:hyperlink>
      <w:r>
        <w:rPr>
          <w:rStyle w:val="Hyperlink"/>
          <w:rFonts w:cs="Arial"/>
          <w:szCs w:val="16"/>
        </w:rPr>
        <w:t>,</w:t>
      </w:r>
      <w:r w:rsidRPr="00D02C7B">
        <w:rPr>
          <w:rFonts w:cs="Arial"/>
          <w:szCs w:val="16"/>
        </w:rPr>
        <w:t xml:space="preserve"> viewed 16 September 2015</w:t>
      </w:r>
      <w:r>
        <w:rPr>
          <w:rFonts w:cs="Arial"/>
          <w:szCs w:val="16"/>
        </w:rPr>
        <w:t>.</w:t>
      </w:r>
    </w:p>
  </w:endnote>
  <w:endnote w:id="53">
    <w:p w14:paraId="110830B2" w14:textId="77777777" w:rsidR="00C82DEF" w:rsidRPr="00D02C7B" w:rsidRDefault="00C82DEF" w:rsidP="00D35B71">
      <w:pPr>
        <w:pStyle w:val="EndnoteText"/>
        <w:rPr>
          <w:rFonts w:cs="Arial"/>
          <w:szCs w:val="16"/>
        </w:rPr>
      </w:pPr>
      <w:r w:rsidRPr="00D02C7B">
        <w:rPr>
          <w:rStyle w:val="EndnoteReference"/>
          <w:rFonts w:cs="Arial"/>
          <w:szCs w:val="16"/>
        </w:rPr>
        <w:endnoteRef/>
      </w:r>
      <w:r w:rsidRPr="00D02C7B">
        <w:rPr>
          <w:rFonts w:cs="Arial"/>
          <w:szCs w:val="16"/>
        </w:rPr>
        <w:t xml:space="preserve"> NFC World+, Australia leads the way for contactless ownership and usage, 13 May 2015</w:t>
      </w:r>
      <w:r>
        <w:rPr>
          <w:rFonts w:cs="Arial"/>
          <w:szCs w:val="16"/>
        </w:rPr>
        <w:t>,</w:t>
      </w:r>
      <w:r w:rsidRPr="00D02C7B">
        <w:rPr>
          <w:rFonts w:cs="Arial"/>
          <w:szCs w:val="16"/>
        </w:rPr>
        <w:t xml:space="preserve"> </w:t>
      </w:r>
      <w:hyperlink r:id="rId25" w:history="1">
        <w:r w:rsidRPr="00D02C7B">
          <w:rPr>
            <w:rStyle w:val="Hyperlink"/>
            <w:rFonts w:cs="Arial"/>
            <w:szCs w:val="16"/>
          </w:rPr>
          <w:t>http://www.nfcworld.com/2015/05/13/335191/australia-leads-the-way-for-contactless-ownership-and-usage/</w:t>
        </w:r>
      </w:hyperlink>
      <w:r w:rsidRPr="00D02C7B">
        <w:rPr>
          <w:rFonts w:cs="Arial"/>
          <w:szCs w:val="16"/>
        </w:rPr>
        <w:t>, viewed 16 September 2015</w:t>
      </w:r>
      <w:r>
        <w:rPr>
          <w:rFonts w:cs="Arial"/>
          <w:szCs w:val="16"/>
        </w:rPr>
        <w:t xml:space="preserve">. </w:t>
      </w:r>
    </w:p>
  </w:endnote>
  <w:endnote w:id="54">
    <w:p w14:paraId="0240D3F7" w14:textId="77777777" w:rsidR="00C82DEF" w:rsidRDefault="00C82DEF">
      <w:pPr>
        <w:pStyle w:val="EndnoteText"/>
      </w:pPr>
      <w:r>
        <w:rPr>
          <w:rStyle w:val="EndnoteReference"/>
        </w:rPr>
        <w:endnoteRef/>
      </w:r>
      <w:r>
        <w:t xml:space="preserve"> Roy Morgan Single Source, June 2015.</w:t>
      </w:r>
    </w:p>
  </w:endnote>
  <w:endnote w:id="55">
    <w:p w14:paraId="0C106028"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OfCom, The Consumer Experience of 2014, 28 January 2015</w:t>
      </w:r>
      <w:r>
        <w:rPr>
          <w:rFonts w:cs="Arial"/>
          <w:szCs w:val="16"/>
        </w:rPr>
        <w:t>,</w:t>
      </w:r>
      <w:r w:rsidRPr="00D02C7B">
        <w:rPr>
          <w:rFonts w:cs="Arial"/>
          <w:szCs w:val="16"/>
        </w:rPr>
        <w:t xml:space="preserve"> </w:t>
      </w:r>
      <w:hyperlink r:id="rId26" w:history="1">
        <w:r w:rsidRPr="00D02C7B">
          <w:rPr>
            <w:rStyle w:val="Hyperlink"/>
            <w:rFonts w:cs="Arial"/>
            <w:szCs w:val="16"/>
          </w:rPr>
          <w:t>http://stakeholders.ofcom.org.uk/binaries/research/consumer-experience/tce-14/TCE14_research_report.pdf</w:t>
        </w:r>
      </w:hyperlink>
      <w:r>
        <w:rPr>
          <w:rFonts w:cs="Arial"/>
          <w:szCs w:val="16"/>
        </w:rPr>
        <w:t>.</w:t>
      </w:r>
    </w:p>
  </w:endnote>
  <w:endnote w:id="56">
    <w:p w14:paraId="6B45A590"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w:t>
      </w:r>
      <w:r>
        <w:rPr>
          <w:rFonts w:cs="Arial"/>
          <w:szCs w:val="16"/>
        </w:rPr>
        <w:t>ibid.</w:t>
      </w:r>
    </w:p>
  </w:endnote>
  <w:endnote w:id="57">
    <w:p w14:paraId="69ED7DA3"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National Health Interview Survey, Wireless Substitution: Early Release of Estimates From the National Health Interview Survey, January–June 2014, December 2014</w:t>
      </w:r>
      <w:r>
        <w:rPr>
          <w:rFonts w:cs="Arial"/>
          <w:szCs w:val="16"/>
        </w:rPr>
        <w:t>,</w:t>
      </w:r>
      <w:r w:rsidRPr="00D02C7B">
        <w:rPr>
          <w:rFonts w:cs="Arial"/>
          <w:szCs w:val="16"/>
        </w:rPr>
        <w:t xml:space="preserve"> </w:t>
      </w:r>
      <w:hyperlink r:id="rId27" w:history="1">
        <w:r w:rsidRPr="00D02C7B">
          <w:rPr>
            <w:rStyle w:val="Hyperlink"/>
            <w:rFonts w:cs="Arial"/>
            <w:szCs w:val="16"/>
          </w:rPr>
          <w:t>http://www.cdc.gov/nchs/data/nhis/earlyrelease/wireless201412.pdf</w:t>
        </w:r>
      </w:hyperlink>
      <w:r>
        <w:rPr>
          <w:rFonts w:cs="Arial"/>
          <w:szCs w:val="16"/>
        </w:rPr>
        <w:t>.</w:t>
      </w:r>
      <w:r w:rsidRPr="00D02C7B">
        <w:rPr>
          <w:rFonts w:cs="Arial"/>
          <w:szCs w:val="16"/>
        </w:rPr>
        <w:t xml:space="preserve"> </w:t>
      </w:r>
    </w:p>
  </w:endnote>
  <w:endnote w:id="58">
    <w:p w14:paraId="56F9BC57" w14:textId="77777777" w:rsidR="00C82DEF" w:rsidRDefault="00C82DEF">
      <w:pPr>
        <w:pStyle w:val="EndnoteText"/>
      </w:pPr>
      <w:r>
        <w:rPr>
          <w:rStyle w:val="EndnoteReference"/>
        </w:rPr>
        <w:endnoteRef/>
      </w:r>
      <w:r>
        <w:t xml:space="preserve"> Eurpoean Commission, ‘Special Barometer 414’, March 2014, </w:t>
      </w:r>
      <w:hyperlink r:id="rId28" w:history="1">
        <w:r w:rsidRPr="00F9676E">
          <w:rPr>
            <w:rStyle w:val="Hyperlink"/>
          </w:rPr>
          <w:t>http://ec.europa.eu/public_opinion/archives/ebs/ebs_414_en.pdf</w:t>
        </w:r>
      </w:hyperlink>
      <w:r>
        <w:t>.</w:t>
      </w:r>
    </w:p>
  </w:endnote>
  <w:endnote w:id="59">
    <w:p w14:paraId="45BB458C"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Pew Research Center, Broadband technology fact sheet, </w:t>
      </w:r>
      <w:hyperlink r:id="rId29" w:history="1">
        <w:r w:rsidRPr="00D02C7B">
          <w:rPr>
            <w:rStyle w:val="Hyperlink"/>
            <w:rFonts w:cs="Arial"/>
            <w:szCs w:val="16"/>
          </w:rPr>
          <w:t>http://www.pewinternet.org/fact-sheets/broadband-technology-fact-sheet/</w:t>
        </w:r>
      </w:hyperlink>
      <w:r w:rsidRPr="00D02C7B">
        <w:rPr>
          <w:rFonts w:cs="Arial"/>
          <w:szCs w:val="16"/>
        </w:rPr>
        <w:t>, viewed 23 September 2015</w:t>
      </w:r>
      <w:r>
        <w:rPr>
          <w:rFonts w:cs="Arial"/>
          <w:szCs w:val="16"/>
        </w:rPr>
        <w:t>.</w:t>
      </w:r>
      <w:r w:rsidRPr="00D02C7B">
        <w:rPr>
          <w:rFonts w:cs="Arial"/>
          <w:szCs w:val="16"/>
        </w:rPr>
        <w:t xml:space="preserve"> </w:t>
      </w:r>
    </w:p>
  </w:endnote>
  <w:endnote w:id="60">
    <w:p w14:paraId="3C67F3EF"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Pew Research Center, A</w:t>
      </w:r>
      <w:r>
        <w:rPr>
          <w:rFonts w:cs="Arial"/>
          <w:szCs w:val="16"/>
        </w:rPr>
        <w:t>mericans’ Internet Access: 2000–</w:t>
      </w:r>
      <w:r w:rsidRPr="00D02C7B">
        <w:rPr>
          <w:rFonts w:cs="Arial"/>
          <w:szCs w:val="16"/>
        </w:rPr>
        <w:t>2015, 26 June 2015</w:t>
      </w:r>
      <w:r>
        <w:rPr>
          <w:rFonts w:cs="Arial"/>
          <w:szCs w:val="16"/>
        </w:rPr>
        <w:t>,</w:t>
      </w:r>
    </w:p>
    <w:p w14:paraId="7B05FD20" w14:textId="77777777" w:rsidR="00C82DEF" w:rsidRPr="00D02C7B" w:rsidRDefault="005301FC" w:rsidP="000317E5">
      <w:pPr>
        <w:pStyle w:val="EndnoteText"/>
        <w:rPr>
          <w:rFonts w:cs="Arial"/>
          <w:szCs w:val="16"/>
        </w:rPr>
      </w:pPr>
      <w:hyperlink r:id="rId30" w:history="1">
        <w:r w:rsidR="00C82DEF" w:rsidRPr="00D02C7B">
          <w:rPr>
            <w:rStyle w:val="Hyperlink"/>
            <w:rFonts w:cs="Arial"/>
            <w:szCs w:val="16"/>
          </w:rPr>
          <w:t>http://www.pewinternet.org/2015/06/26/americans-internet-access-2000-2015/</w:t>
        </w:r>
      </w:hyperlink>
      <w:r w:rsidR="00C82DEF">
        <w:rPr>
          <w:rFonts w:cs="Arial"/>
          <w:szCs w:val="16"/>
        </w:rPr>
        <w:t>, v</w:t>
      </w:r>
      <w:r w:rsidR="00C82DEF" w:rsidRPr="00D02C7B">
        <w:rPr>
          <w:rFonts w:cs="Arial"/>
          <w:szCs w:val="16"/>
        </w:rPr>
        <w:t>iewed 23 July 2015</w:t>
      </w:r>
      <w:r w:rsidR="00C82DEF">
        <w:rPr>
          <w:rFonts w:cs="Arial"/>
          <w:szCs w:val="16"/>
        </w:rPr>
        <w:t>.</w:t>
      </w:r>
    </w:p>
  </w:endnote>
  <w:endnote w:id="61">
    <w:p w14:paraId="2FCCA4A5" w14:textId="77777777" w:rsidR="00C82DEF" w:rsidRPr="0039675C"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OfCom, </w:t>
      </w:r>
      <w:r w:rsidRPr="0039675C">
        <w:rPr>
          <w:rFonts w:cs="Arial"/>
          <w:szCs w:val="16"/>
        </w:rPr>
        <w:t xml:space="preserve">The Communications Market Report, 6 August 2015, </w:t>
      </w:r>
      <w:hyperlink r:id="rId31" w:history="1">
        <w:r w:rsidRPr="0039675C">
          <w:rPr>
            <w:rStyle w:val="Hyperlink"/>
            <w:rFonts w:cs="Arial"/>
            <w:szCs w:val="16"/>
          </w:rPr>
          <w:t>http://stakeholders.ofcom.org.uk/market-data-research/market-data/communications-market-reports/</w:t>
        </w:r>
      </w:hyperlink>
      <w:r>
        <w:rPr>
          <w:rFonts w:cs="Arial"/>
          <w:szCs w:val="16"/>
        </w:rPr>
        <w:t>.</w:t>
      </w:r>
    </w:p>
  </w:endnote>
  <w:endnote w:id="62">
    <w:p w14:paraId="58D516B2" w14:textId="77777777" w:rsidR="00C82DEF" w:rsidRPr="0039675C" w:rsidRDefault="00C82DEF" w:rsidP="000317E5">
      <w:pPr>
        <w:pStyle w:val="EndnoteText"/>
        <w:rPr>
          <w:rFonts w:cs="Arial"/>
          <w:szCs w:val="16"/>
        </w:rPr>
      </w:pPr>
      <w:r w:rsidRPr="0039675C">
        <w:rPr>
          <w:rStyle w:val="EndnoteReference"/>
          <w:rFonts w:cs="Arial"/>
          <w:szCs w:val="16"/>
        </w:rPr>
        <w:endnoteRef/>
      </w:r>
      <w:r w:rsidRPr="0039675C">
        <w:rPr>
          <w:rFonts w:cs="Arial"/>
          <w:szCs w:val="16"/>
        </w:rPr>
        <w:t xml:space="preserve"> Pew Research Center, U.S. Smartphone Use in 2015, 1 April 2015, </w:t>
      </w:r>
      <w:hyperlink r:id="rId32" w:history="1">
        <w:r w:rsidRPr="0039675C">
          <w:rPr>
            <w:rStyle w:val="Hyperlink"/>
            <w:rFonts w:cs="Arial"/>
            <w:szCs w:val="16"/>
          </w:rPr>
          <w:t>http://www.pewinternet.org/files/2015/03/PI_Smartphones_0401151.pdf</w:t>
        </w:r>
      </w:hyperlink>
      <w:r>
        <w:rPr>
          <w:rFonts w:cs="Arial"/>
          <w:szCs w:val="16"/>
        </w:rPr>
        <w:t>.</w:t>
      </w:r>
    </w:p>
  </w:endnote>
  <w:endnote w:id="63">
    <w:p w14:paraId="01D492D2" w14:textId="77777777" w:rsidR="00C82DEF" w:rsidRPr="0039675C" w:rsidRDefault="00C82DEF" w:rsidP="000317E5">
      <w:pPr>
        <w:pStyle w:val="EndnoteText"/>
        <w:rPr>
          <w:rFonts w:cs="Arial"/>
          <w:szCs w:val="16"/>
        </w:rPr>
      </w:pPr>
      <w:r w:rsidRPr="0039675C">
        <w:rPr>
          <w:rStyle w:val="EndnoteReference"/>
          <w:rFonts w:cs="Arial"/>
          <w:szCs w:val="16"/>
        </w:rPr>
        <w:endnoteRef/>
      </w:r>
      <w:r w:rsidRPr="0039675C">
        <w:rPr>
          <w:rFonts w:cs="Arial"/>
          <w:szCs w:val="16"/>
        </w:rPr>
        <w:t xml:space="preserve"> </w:t>
      </w:r>
      <w:r>
        <w:rPr>
          <w:rFonts w:cs="Arial"/>
          <w:szCs w:val="16"/>
        </w:rPr>
        <w:t>ibid.</w:t>
      </w:r>
      <w:r w:rsidRPr="0039675C">
        <w:rPr>
          <w:rFonts w:cs="Arial"/>
          <w:szCs w:val="16"/>
        </w:rPr>
        <w:t xml:space="preserve"> </w:t>
      </w:r>
    </w:p>
  </w:endnote>
  <w:endnote w:id="64">
    <w:p w14:paraId="531121D5" w14:textId="77777777" w:rsidR="00C82DEF" w:rsidRPr="0039675C" w:rsidRDefault="00C82DEF" w:rsidP="000317E5">
      <w:pPr>
        <w:pStyle w:val="EndnoteText"/>
        <w:rPr>
          <w:rFonts w:cs="Arial"/>
          <w:szCs w:val="16"/>
        </w:rPr>
      </w:pPr>
      <w:r w:rsidRPr="0039675C">
        <w:rPr>
          <w:rStyle w:val="EndnoteReference"/>
          <w:rFonts w:cs="Arial"/>
          <w:szCs w:val="16"/>
        </w:rPr>
        <w:endnoteRef/>
      </w:r>
      <w:r w:rsidRPr="0039675C">
        <w:rPr>
          <w:rFonts w:cs="Arial"/>
          <w:szCs w:val="16"/>
        </w:rPr>
        <w:t xml:space="preserve"> OfCom, Adults’ media use and attitudes report 2015, May 2015, </w:t>
      </w:r>
      <w:hyperlink r:id="rId33" w:history="1">
        <w:r w:rsidRPr="0039675C">
          <w:rPr>
            <w:rStyle w:val="Hyperlink"/>
            <w:rFonts w:cs="Arial"/>
            <w:szCs w:val="16"/>
          </w:rPr>
          <w:t>http://stakeholders.ofcom.org.uk/market-data-research/other/research-publications/adults/media-lit-10years/</w:t>
        </w:r>
      </w:hyperlink>
      <w:r>
        <w:rPr>
          <w:rFonts w:cs="Arial"/>
          <w:szCs w:val="16"/>
        </w:rPr>
        <w:t>.</w:t>
      </w:r>
    </w:p>
  </w:endnote>
  <w:endnote w:id="65">
    <w:p w14:paraId="534BD447" w14:textId="77777777" w:rsidR="00C82DEF" w:rsidRPr="00D02C7B" w:rsidRDefault="00C82DEF" w:rsidP="000317E5">
      <w:pPr>
        <w:pStyle w:val="EndnoteText"/>
        <w:rPr>
          <w:rFonts w:cs="Arial"/>
          <w:szCs w:val="16"/>
        </w:rPr>
      </w:pPr>
      <w:r w:rsidRPr="0039675C">
        <w:rPr>
          <w:rStyle w:val="EndnoteReference"/>
          <w:rFonts w:cs="Arial"/>
          <w:szCs w:val="16"/>
        </w:rPr>
        <w:endnoteRef/>
      </w:r>
      <w:r w:rsidRPr="0039675C">
        <w:rPr>
          <w:rFonts w:cs="Arial"/>
          <w:szCs w:val="16"/>
        </w:rPr>
        <w:t xml:space="preserve"> OfCom, Communications Market </w:t>
      </w:r>
      <w:r w:rsidRPr="00E41B62">
        <w:rPr>
          <w:rFonts w:cs="Arial"/>
          <w:szCs w:val="16"/>
        </w:rPr>
        <w:t>R</w:t>
      </w:r>
      <w:r w:rsidRPr="0039675C">
        <w:rPr>
          <w:rFonts w:cs="Arial"/>
          <w:szCs w:val="16"/>
        </w:rPr>
        <w:t>eport, 6 August</w:t>
      </w:r>
      <w:r w:rsidRPr="00D02C7B">
        <w:rPr>
          <w:rFonts w:cs="Arial"/>
          <w:szCs w:val="16"/>
        </w:rPr>
        <w:t xml:space="preserve"> 2015</w:t>
      </w:r>
      <w:r>
        <w:rPr>
          <w:rFonts w:cs="Arial"/>
          <w:szCs w:val="16"/>
        </w:rPr>
        <w:t>,</w:t>
      </w:r>
      <w:r w:rsidRPr="00D02C7B">
        <w:rPr>
          <w:rFonts w:cs="Arial"/>
          <w:szCs w:val="16"/>
        </w:rPr>
        <w:t xml:space="preserve"> </w:t>
      </w:r>
      <w:hyperlink r:id="rId34" w:history="1">
        <w:r w:rsidRPr="00D02C7B">
          <w:rPr>
            <w:rStyle w:val="Hyperlink"/>
            <w:rFonts w:cs="Arial"/>
            <w:szCs w:val="16"/>
          </w:rPr>
          <w:t>http://stakeholders.ofcom.org.uk/market-data-research/market-data/communications-market-reports/</w:t>
        </w:r>
      </w:hyperlink>
      <w:r>
        <w:rPr>
          <w:rFonts w:cs="Arial"/>
          <w:szCs w:val="16"/>
        </w:rPr>
        <w:t>.</w:t>
      </w:r>
      <w:r w:rsidRPr="00D02C7B">
        <w:rPr>
          <w:rFonts w:cs="Arial"/>
          <w:szCs w:val="16"/>
        </w:rPr>
        <w:t xml:space="preserve"> </w:t>
      </w:r>
    </w:p>
  </w:endnote>
  <w:endnote w:id="66">
    <w:p w14:paraId="1F1B87DA" w14:textId="77777777" w:rsidR="00C82DEF" w:rsidRPr="00D02C7B" w:rsidRDefault="00C82DEF" w:rsidP="000317E5">
      <w:pPr>
        <w:pStyle w:val="EndnoteText"/>
        <w:rPr>
          <w:rFonts w:cs="Arial"/>
          <w:szCs w:val="16"/>
        </w:rPr>
      </w:pPr>
      <w:r w:rsidRPr="00D02C7B">
        <w:rPr>
          <w:rStyle w:val="EndnoteReference"/>
          <w:rFonts w:cs="Arial"/>
          <w:szCs w:val="16"/>
        </w:rPr>
        <w:endnoteRef/>
      </w:r>
      <w:r w:rsidRPr="00D02C7B">
        <w:rPr>
          <w:rFonts w:cs="Arial"/>
          <w:szCs w:val="16"/>
        </w:rPr>
        <w:t xml:space="preserve"> OfCom, Adults’ media use and attitudes </w:t>
      </w:r>
      <w:r>
        <w:rPr>
          <w:rFonts w:cs="Arial"/>
          <w:szCs w:val="16"/>
        </w:rPr>
        <w:t>R</w:t>
      </w:r>
      <w:r w:rsidRPr="00D02C7B">
        <w:rPr>
          <w:rFonts w:cs="Arial"/>
          <w:szCs w:val="16"/>
        </w:rPr>
        <w:t>eport 2015, May 2015</w:t>
      </w:r>
      <w:r>
        <w:rPr>
          <w:rFonts w:cs="Arial"/>
          <w:szCs w:val="16"/>
        </w:rPr>
        <w:t>,</w:t>
      </w:r>
      <w:r w:rsidRPr="00D02C7B">
        <w:rPr>
          <w:rFonts w:cs="Arial"/>
          <w:szCs w:val="16"/>
        </w:rPr>
        <w:t xml:space="preserve"> </w:t>
      </w:r>
      <w:hyperlink r:id="rId35" w:history="1">
        <w:r w:rsidRPr="00D02C7B">
          <w:rPr>
            <w:rStyle w:val="Hyperlink"/>
            <w:rFonts w:cs="Arial"/>
            <w:szCs w:val="16"/>
          </w:rPr>
          <w:t>http://stakeholders.ofcom.org.uk/market-data-research/other/research-publications/adults/media-lit-10years/</w:t>
        </w:r>
      </w:hyperlink>
      <w:r>
        <w:rPr>
          <w:rFonts w:cs="Arial"/>
          <w:szCs w:val="16"/>
        </w:rPr>
        <w:t>.</w:t>
      </w:r>
      <w:r w:rsidRPr="00D02C7B">
        <w:rPr>
          <w:rFonts w:cs="Arial"/>
          <w:szCs w:val="16"/>
        </w:rPr>
        <w:t xml:space="preserve"> </w:t>
      </w:r>
    </w:p>
  </w:endnote>
  <w:endnote w:id="67">
    <w:p w14:paraId="7E378AC9" w14:textId="77777777" w:rsidR="00C82DEF" w:rsidRPr="00D02C7B" w:rsidRDefault="00C82DEF" w:rsidP="00DA497A">
      <w:pPr>
        <w:pStyle w:val="EndnoteText"/>
        <w:rPr>
          <w:rFonts w:cs="Arial"/>
          <w:szCs w:val="16"/>
        </w:rPr>
      </w:pPr>
      <w:r w:rsidRPr="00D02C7B">
        <w:rPr>
          <w:rStyle w:val="EndnoteReference"/>
          <w:rFonts w:cs="Arial"/>
          <w:szCs w:val="16"/>
        </w:rPr>
        <w:endnoteRef/>
      </w:r>
      <w:r w:rsidRPr="00D02C7B">
        <w:rPr>
          <w:rFonts w:cs="Arial"/>
          <w:szCs w:val="16"/>
        </w:rPr>
        <w:t xml:space="preserve"> </w:t>
      </w:r>
      <w:r>
        <w:rPr>
          <w:rFonts w:cs="Arial"/>
          <w:szCs w:val="16"/>
        </w:rPr>
        <w:t>ibid.</w:t>
      </w:r>
    </w:p>
  </w:endnote>
  <w:endnote w:id="68">
    <w:p w14:paraId="33D443FF" w14:textId="77777777" w:rsidR="00C82DEF" w:rsidRDefault="00C82DEF" w:rsidP="000317E5">
      <w:pPr>
        <w:pStyle w:val="EndnoteText"/>
      </w:pPr>
      <w:r w:rsidRPr="00D02C7B">
        <w:rPr>
          <w:rStyle w:val="EndnoteReference"/>
          <w:rFonts w:cs="Arial"/>
          <w:szCs w:val="16"/>
        </w:rPr>
        <w:endnoteRef/>
      </w:r>
      <w:r w:rsidRPr="00D02C7B">
        <w:rPr>
          <w:rFonts w:cs="Arial"/>
          <w:szCs w:val="16"/>
        </w:rPr>
        <w:t xml:space="preserve"> The Broadband Commission for Digital Development, The State of Broadband 2015: Broadband as a foundation for sustainable development, September 2015</w:t>
      </w:r>
      <w:r>
        <w:rPr>
          <w:rFonts w:cs="Arial"/>
          <w:szCs w:val="16"/>
        </w:rPr>
        <w:t>,</w:t>
      </w:r>
      <w:r w:rsidRPr="00D02C7B">
        <w:rPr>
          <w:rFonts w:cs="Arial"/>
          <w:szCs w:val="16"/>
        </w:rPr>
        <w:t xml:space="preserve"> </w:t>
      </w:r>
      <w:hyperlink r:id="rId36" w:history="1">
        <w:r w:rsidRPr="00D02C7B">
          <w:rPr>
            <w:rStyle w:val="Hyperlink"/>
            <w:rFonts w:cs="Arial"/>
            <w:szCs w:val="16"/>
          </w:rPr>
          <w:t>http://www.broadbandcommission.org/publications/Pages/SOB-2015.aspx</w:t>
        </w:r>
      </w:hyperlink>
      <w:r>
        <w:rPr>
          <w:rFonts w:cs="Arial"/>
          <w:szCs w:val="16"/>
        </w:rPr>
        <w:t>.</w:t>
      </w:r>
    </w:p>
  </w:endnote>
  <w:endnote w:id="69">
    <w:p w14:paraId="71415497" w14:textId="77777777" w:rsidR="00C82DEF" w:rsidRPr="00A34B9D" w:rsidRDefault="00C82DEF" w:rsidP="007B7086">
      <w:pPr>
        <w:pStyle w:val="EndnoteText"/>
        <w:spacing w:after="80"/>
        <w:rPr>
          <w:b/>
          <w:sz w:val="20"/>
        </w:rPr>
      </w:pPr>
      <w:r w:rsidRPr="00A34B9D">
        <w:rPr>
          <w:b/>
          <w:sz w:val="20"/>
        </w:rPr>
        <w:t>Endnotes</w:t>
      </w:r>
    </w:p>
    <w:p w14:paraId="72572594"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w:t>
      </w:r>
      <w:r w:rsidRPr="006A5428">
        <w:rPr>
          <w:rFonts w:cs="Arial"/>
          <w:szCs w:val="16"/>
        </w:rPr>
        <w:t>Reg</w:t>
      </w:r>
      <w:r w:rsidRPr="00FD7E86">
        <w:rPr>
          <w:rFonts w:cs="Arial"/>
          <w:szCs w:val="16"/>
        </w:rPr>
        <w:t>ional</w:t>
      </w:r>
      <w:r w:rsidRPr="006A5428">
        <w:rPr>
          <w:rFonts w:cs="Arial"/>
          <w:szCs w:val="16"/>
        </w:rPr>
        <w:t xml:space="preserve"> T</w:t>
      </w:r>
      <w:r w:rsidRPr="00CF02AF">
        <w:rPr>
          <w:rFonts w:cs="Arial"/>
          <w:szCs w:val="16"/>
        </w:rPr>
        <w:t>AM Pty Limited, 2015 and OzTAM Pty Limited, 2015</w:t>
      </w:r>
      <w:r>
        <w:rPr>
          <w:rFonts w:cs="Arial"/>
          <w:szCs w:val="16"/>
        </w:rPr>
        <w:t>.</w:t>
      </w:r>
    </w:p>
  </w:endnote>
  <w:endnote w:id="70">
    <w:p w14:paraId="1449A15E"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ACMA-commissioned survey, June 2015</w:t>
      </w:r>
      <w:r>
        <w:rPr>
          <w:rFonts w:cs="Arial"/>
          <w:szCs w:val="16"/>
        </w:rPr>
        <w:t>.</w:t>
      </w:r>
    </w:p>
  </w:endnote>
  <w:endnote w:id="71">
    <w:p w14:paraId="67C05DB3"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w:t>
      </w:r>
      <w:r>
        <w:rPr>
          <w:rFonts w:cs="Arial"/>
          <w:szCs w:val="16"/>
        </w:rPr>
        <w:t>ibid.</w:t>
      </w:r>
    </w:p>
  </w:endnote>
  <w:endnote w:id="72">
    <w:p w14:paraId="59D791F7"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w:t>
      </w:r>
      <w:hyperlink r:id="rId37" w:history="1">
        <w:r w:rsidRPr="00CF02AF">
          <w:rPr>
            <w:rStyle w:val="Hyperlink"/>
            <w:rFonts w:cs="Arial"/>
            <w:szCs w:val="16"/>
          </w:rPr>
          <w:t>Digital Radio Plus: Latest News Item</w:t>
        </w:r>
      </w:hyperlink>
      <w:r w:rsidRPr="00CF02AF">
        <w:rPr>
          <w:rFonts w:cs="Arial"/>
          <w:szCs w:val="16"/>
        </w:rPr>
        <w:t>, 12 August 2015</w:t>
      </w:r>
      <w:r>
        <w:rPr>
          <w:rFonts w:cs="Arial"/>
          <w:szCs w:val="16"/>
        </w:rPr>
        <w:t>.</w:t>
      </w:r>
    </w:p>
  </w:endnote>
  <w:endnote w:id="73">
    <w:p w14:paraId="3E0786D3" w14:textId="77777777" w:rsidR="00C82DEF" w:rsidRPr="00CF02AF" w:rsidRDefault="00C82DEF" w:rsidP="003864DA">
      <w:pPr>
        <w:pStyle w:val="EndnoteText"/>
        <w:rPr>
          <w:rFonts w:cs="Arial"/>
          <w:szCs w:val="16"/>
        </w:rPr>
      </w:pPr>
      <w:r w:rsidRPr="00CF02AF">
        <w:rPr>
          <w:rStyle w:val="EndnoteReference"/>
          <w:rFonts w:cs="Arial"/>
          <w:szCs w:val="16"/>
        </w:rPr>
        <w:endnoteRef/>
      </w:r>
      <w:r w:rsidRPr="00CF02AF">
        <w:rPr>
          <w:rFonts w:cs="Arial"/>
          <w:szCs w:val="16"/>
        </w:rPr>
        <w:t xml:space="preserve"> The Conversation, Foxtel’s bundle of pain could come sooner than it thinks, 10 August 2015, </w:t>
      </w:r>
      <w:hyperlink r:id="rId38" w:history="1">
        <w:r w:rsidRPr="00CF02AF">
          <w:rPr>
            <w:rStyle w:val="Hyperlink"/>
            <w:rFonts w:cs="Arial"/>
            <w:szCs w:val="16"/>
          </w:rPr>
          <w:t>https://theconversation.com/foxtels-bundle-of-pain-could-come-sooner-than-it-thinks-45834</w:t>
        </w:r>
      </w:hyperlink>
      <w:r w:rsidRPr="00995600">
        <w:rPr>
          <w:rFonts w:cs="Arial"/>
          <w:szCs w:val="16"/>
        </w:rPr>
        <w:t>.</w:t>
      </w:r>
      <w:r w:rsidRPr="00CF02AF">
        <w:rPr>
          <w:rFonts w:cs="Arial"/>
          <w:szCs w:val="16"/>
        </w:rPr>
        <w:t xml:space="preserve"> See also Figure</w:t>
      </w:r>
      <w:r>
        <w:rPr>
          <w:rFonts w:cs="Arial"/>
          <w:szCs w:val="16"/>
        </w:rPr>
        <w:t xml:space="preserve"> </w:t>
      </w:r>
      <w:r w:rsidRPr="00CF02AF">
        <w:rPr>
          <w:rFonts w:cs="Arial"/>
          <w:szCs w:val="16"/>
        </w:rPr>
        <w:t>5.</w:t>
      </w:r>
    </w:p>
  </w:endnote>
  <w:endnote w:id="74">
    <w:p w14:paraId="41CC1B2D" w14:textId="77777777" w:rsidR="00C82DEF" w:rsidRPr="004104DD" w:rsidRDefault="00C82DEF" w:rsidP="003864DA">
      <w:pPr>
        <w:pStyle w:val="EndnoteText"/>
      </w:pPr>
      <w:r>
        <w:rPr>
          <w:rStyle w:val="EndnoteReference"/>
        </w:rPr>
        <w:endnoteRef/>
      </w:r>
      <w:r>
        <w:t xml:space="preserve"> </w:t>
      </w:r>
      <w:r w:rsidRPr="004104DD">
        <w:rPr>
          <w:bCs/>
          <w:szCs w:val="16"/>
        </w:rPr>
        <w:t xml:space="preserve">The Conversation, </w:t>
      </w:r>
      <w:r w:rsidRPr="00E41B62">
        <w:rPr>
          <w:szCs w:val="16"/>
        </w:rPr>
        <w:t>Netflix arrival will be a ti</w:t>
      </w:r>
      <w:r w:rsidRPr="004104DD">
        <w:rPr>
          <w:szCs w:val="16"/>
        </w:rPr>
        <w:t>pping point for TV in</w:t>
      </w:r>
      <w:r>
        <w:rPr>
          <w:szCs w:val="16"/>
        </w:rPr>
        <w:t xml:space="preserve"> </w:t>
      </w:r>
      <w:r w:rsidRPr="004104DD">
        <w:rPr>
          <w:szCs w:val="16"/>
        </w:rPr>
        <w:t>Australia,</w:t>
      </w:r>
      <w:r>
        <w:rPr>
          <w:szCs w:val="16"/>
        </w:rPr>
        <w:t xml:space="preserve"> </w:t>
      </w:r>
      <w:r w:rsidRPr="00E41B62">
        <w:rPr>
          <w:rFonts w:cs="Arial"/>
          <w:szCs w:val="16"/>
        </w:rPr>
        <w:t>March 12,</w:t>
      </w:r>
      <w:r w:rsidRPr="00E41B62">
        <w:rPr>
          <w:szCs w:val="16"/>
        </w:rPr>
        <w:t xml:space="preserve"> 2015,</w:t>
      </w:r>
      <w:r>
        <w:rPr>
          <w:lang w:val="en"/>
        </w:rPr>
        <w:t xml:space="preserve"> </w:t>
      </w:r>
      <w:hyperlink r:id="rId39" w:history="1">
        <w:r w:rsidRPr="00E41B62">
          <w:rPr>
            <w:rStyle w:val="Hyperlink"/>
            <w:rFonts w:cs="Arial"/>
            <w:szCs w:val="16"/>
          </w:rPr>
          <w:t>https://theconversation.com/netflix-arrival-will-be-a-tipping-point-for-tv-in-australia-38386</w:t>
        </w:r>
      </w:hyperlink>
      <w:r w:rsidRPr="00995600">
        <w:rPr>
          <w:rFonts w:cs="Arial"/>
          <w:szCs w:val="16"/>
        </w:rPr>
        <w:t>.</w:t>
      </w:r>
    </w:p>
  </w:endnote>
  <w:endnote w:id="75">
    <w:p w14:paraId="4E3B74F9" w14:textId="77777777" w:rsidR="00C82DEF" w:rsidRDefault="00C82DEF" w:rsidP="00E41B62">
      <w:pPr>
        <w:pStyle w:val="EndnoteText"/>
      </w:pPr>
      <w:r>
        <w:rPr>
          <w:rStyle w:val="EndnoteReference"/>
        </w:rPr>
        <w:endnoteRef/>
      </w:r>
      <w:r>
        <w:t xml:space="preserve"> </w:t>
      </w:r>
      <w:r w:rsidRPr="00572017">
        <w:t xml:space="preserve">Variety, </w:t>
      </w:r>
      <w:r w:rsidRPr="00E41B62">
        <w:t>The OTT View-niverse: A Map of the New Video Ecosystem, 29 April 2015</w:t>
      </w:r>
      <w:r>
        <w:t xml:space="preserve">, </w:t>
      </w:r>
      <w:hyperlink r:id="rId40" w:history="1">
        <w:r w:rsidRPr="00E41B62">
          <w:rPr>
            <w:rStyle w:val="Hyperlink"/>
            <w:rFonts w:cs="Arial"/>
            <w:szCs w:val="16"/>
          </w:rPr>
          <w:t>http://variety.com/2015/digital/news/ott-map-video-ecosystem-1201480930/</w:t>
        </w:r>
      </w:hyperlink>
      <w:r w:rsidRPr="00995600">
        <w:rPr>
          <w:rFonts w:cs="Arial"/>
          <w:szCs w:val="16"/>
        </w:rPr>
        <w:t>.</w:t>
      </w:r>
    </w:p>
  </w:endnote>
  <w:endnote w:id="76">
    <w:p w14:paraId="5A035650" w14:textId="77777777" w:rsidR="00C82DEF" w:rsidRDefault="00C82DEF" w:rsidP="003864DA">
      <w:pPr>
        <w:pStyle w:val="EndnoteText"/>
      </w:pPr>
      <w:r>
        <w:rPr>
          <w:rStyle w:val="EndnoteReference"/>
        </w:rPr>
        <w:endnoteRef/>
      </w:r>
      <w:r>
        <w:t xml:space="preserve"> See also ACMA, </w:t>
      </w:r>
      <w:r w:rsidRPr="002A4B09">
        <w:t>Subscription Video on Demand in Australia 2015</w:t>
      </w:r>
      <w:r>
        <w:t>, November 2015.</w:t>
      </w:r>
    </w:p>
  </w:endnote>
  <w:endnote w:id="77">
    <w:p w14:paraId="4D131D71"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ACMA-commissioned survey, June 2015</w:t>
      </w:r>
      <w:r>
        <w:rPr>
          <w:rFonts w:cs="Arial"/>
          <w:szCs w:val="16"/>
        </w:rPr>
        <w:t>.</w:t>
      </w:r>
    </w:p>
  </w:endnote>
  <w:endnote w:id="78">
    <w:p w14:paraId="715D64D8"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OzTAM Pty Limited, 2015, Average weekly cumulative reach (five minutes consecutive) for people aged 18 and over in the five mainland metropolitan markets (Sydney, Melbourne, Brisbane, Adelaide and Perth)</w:t>
      </w:r>
      <w:r>
        <w:rPr>
          <w:rFonts w:cs="Arial"/>
          <w:szCs w:val="16"/>
        </w:rPr>
        <w:t>.</w:t>
      </w:r>
    </w:p>
  </w:endnote>
  <w:endnote w:id="79">
    <w:p w14:paraId="26F2A8C8" w14:textId="77777777" w:rsidR="00C82DEF" w:rsidRDefault="00C82DEF">
      <w:pPr>
        <w:pStyle w:val="EndnoteText"/>
      </w:pPr>
      <w:r>
        <w:rPr>
          <w:rStyle w:val="EndnoteReference"/>
        </w:rPr>
        <w:endnoteRef/>
      </w:r>
      <w:r>
        <w:t xml:space="preserve"> Telstra, transcript from ‘Telstra Full Year Results Presentation—Analyst Briefing’, 14 August 2015.</w:t>
      </w:r>
    </w:p>
  </w:endnote>
  <w:endnote w:id="80">
    <w:p w14:paraId="4641D34D" w14:textId="77777777" w:rsidR="00C82DEF" w:rsidRDefault="00C82DEF">
      <w:pPr>
        <w:pStyle w:val="EndnoteText"/>
      </w:pPr>
      <w:r>
        <w:rPr>
          <w:rStyle w:val="EndnoteReference"/>
        </w:rPr>
        <w:endnoteRef/>
      </w:r>
      <w:r>
        <w:t xml:space="preserve"> mUmbrella, ‘</w:t>
      </w:r>
      <w:r w:rsidRPr="00132C21">
        <w:t>Foxtel admits subscriber figures include Presto users but claims cable still biggest growth driver</w:t>
      </w:r>
      <w:r>
        <w:t xml:space="preserve">’ 13 August 2015, </w:t>
      </w:r>
      <w:r w:rsidRPr="00132C21">
        <w:t>http://mumbrella.com.au/foxtel-admits-subscriber-figures-include-presto-users-but-claims-cable-still-biggest-growth-driver-311968</w:t>
      </w:r>
      <w:r>
        <w:t>.</w:t>
      </w:r>
    </w:p>
  </w:endnote>
  <w:endnote w:id="81">
    <w:p w14:paraId="66541839"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Knox, D., ‘The view from iView’, </w:t>
      </w:r>
      <w:r w:rsidRPr="00CF02AF">
        <w:rPr>
          <w:rFonts w:cs="Arial"/>
          <w:i/>
          <w:szCs w:val="16"/>
        </w:rPr>
        <w:t>TV Tonight</w:t>
      </w:r>
      <w:r w:rsidRPr="00CF02AF">
        <w:rPr>
          <w:rFonts w:cs="Arial"/>
          <w:szCs w:val="16"/>
        </w:rPr>
        <w:t>, 29 July 2015</w:t>
      </w:r>
      <w:r>
        <w:rPr>
          <w:rFonts w:cs="Arial"/>
          <w:szCs w:val="16"/>
        </w:rPr>
        <w:t>,</w:t>
      </w:r>
      <w:r w:rsidRPr="00CF02AF">
        <w:rPr>
          <w:rFonts w:cs="Arial"/>
          <w:szCs w:val="16"/>
        </w:rPr>
        <w:t xml:space="preserve"> </w:t>
      </w:r>
      <w:hyperlink r:id="rId41" w:history="1">
        <w:r w:rsidRPr="00CF02AF">
          <w:rPr>
            <w:rStyle w:val="Hyperlink"/>
            <w:rFonts w:cs="Arial"/>
            <w:szCs w:val="16"/>
          </w:rPr>
          <w:t>http://www.tvtonight.com.au/2015/07/the-view-from-iview.html</w:t>
        </w:r>
      </w:hyperlink>
      <w:r>
        <w:rPr>
          <w:rFonts w:cs="Arial"/>
          <w:szCs w:val="16"/>
        </w:rPr>
        <w:t xml:space="preserve">, </w:t>
      </w:r>
      <w:r w:rsidRPr="00CF02AF">
        <w:rPr>
          <w:rFonts w:cs="Arial"/>
          <w:szCs w:val="16"/>
        </w:rPr>
        <w:t>accessed 26 August 2015</w:t>
      </w:r>
      <w:r>
        <w:rPr>
          <w:rFonts w:cs="Arial"/>
          <w:szCs w:val="16"/>
        </w:rPr>
        <w:t>.</w:t>
      </w:r>
    </w:p>
  </w:endnote>
  <w:endnote w:id="82">
    <w:p w14:paraId="43322816"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Mason, M., ‘HFC Network will cope with rise of Netflix, says NBN’ </w:t>
      </w:r>
      <w:r w:rsidRPr="00CF02AF">
        <w:rPr>
          <w:rFonts w:cs="Arial"/>
          <w:i/>
          <w:szCs w:val="16"/>
        </w:rPr>
        <w:t>The Australian Financial Review</w:t>
      </w:r>
      <w:r w:rsidRPr="00CF02AF">
        <w:rPr>
          <w:rFonts w:cs="Arial"/>
          <w:szCs w:val="16"/>
        </w:rPr>
        <w:t xml:space="preserve">, 21 April 2015, </w:t>
      </w:r>
      <w:hyperlink r:id="rId42" w:history="1">
        <w:r w:rsidRPr="00995600">
          <w:rPr>
            <w:rStyle w:val="Hyperlink"/>
            <w:rFonts w:cs="Arial"/>
            <w:szCs w:val="16"/>
          </w:rPr>
          <w:t>http://www.afr.com/technology/hfc-network-will-cope-with-rise-of-netflix-says-nbn-20150421-1mpp51</w:t>
        </w:r>
      </w:hyperlink>
      <w:r>
        <w:rPr>
          <w:rFonts w:cs="Arial"/>
          <w:szCs w:val="16"/>
        </w:rPr>
        <w:t>.</w:t>
      </w:r>
    </w:p>
  </w:endnote>
  <w:endnote w:id="83">
    <w:p w14:paraId="7638A49D"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Barr, T., ‘Whither Netflix?’ </w:t>
      </w:r>
      <w:r w:rsidRPr="00E41B62">
        <w:rPr>
          <w:rFonts w:cs="Arial"/>
          <w:szCs w:val="16"/>
        </w:rPr>
        <w:t>Australian Journal of Telecommunications and the Digital Economy</w:t>
      </w:r>
      <w:r w:rsidRPr="008F64D7">
        <w:rPr>
          <w:rFonts w:cs="Arial"/>
          <w:szCs w:val="16"/>
        </w:rPr>
        <w:t>,</w:t>
      </w:r>
      <w:r w:rsidRPr="00CF02AF">
        <w:rPr>
          <w:rFonts w:cs="Arial"/>
          <w:szCs w:val="16"/>
        </w:rPr>
        <w:t xml:space="preserve"> June 2015</w:t>
      </w:r>
      <w:r>
        <w:rPr>
          <w:rFonts w:cs="Arial"/>
          <w:szCs w:val="16"/>
        </w:rPr>
        <w:t>.</w:t>
      </w:r>
    </w:p>
  </w:endnote>
  <w:endnote w:id="84">
    <w:p w14:paraId="761005F4"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Commission seeks views on Europe's audiovisual media rules, </w:t>
      </w:r>
      <w:hyperlink r:id="rId43" w:history="1">
        <w:r w:rsidRPr="00CF02AF">
          <w:rPr>
            <w:rStyle w:val="Hyperlink"/>
            <w:rFonts w:cs="Arial"/>
            <w:szCs w:val="16"/>
          </w:rPr>
          <w:t>https://ec.europa.eu/digital-agenda/en/news/commission-seeks-views-europes-audiovisual-media-rules</w:t>
        </w:r>
      </w:hyperlink>
      <w:r>
        <w:rPr>
          <w:rFonts w:cs="Arial"/>
          <w:szCs w:val="16"/>
        </w:rPr>
        <w:t>.</w:t>
      </w:r>
    </w:p>
  </w:endnote>
  <w:endnote w:id="85">
    <w:p w14:paraId="5FC169A2" w14:textId="77777777" w:rsidR="00C82DEF" w:rsidRDefault="00C82DEF" w:rsidP="006A5428">
      <w:pPr>
        <w:pStyle w:val="EndnoteText"/>
      </w:pPr>
      <w:r>
        <w:rPr>
          <w:rStyle w:val="EndnoteReference"/>
        </w:rPr>
        <w:endnoteRef/>
      </w:r>
      <w:r>
        <w:t xml:space="preserve"> The Australian, ‘More Netflix pirates on board,’ 3 March 2014, </w:t>
      </w:r>
      <w:hyperlink r:id="rId44" w:history="1">
        <w:r w:rsidRPr="008F1EC1">
          <w:rPr>
            <w:rStyle w:val="Hyperlink"/>
          </w:rPr>
          <w:t>http://www.theaustralian.com.au/business/media/more-netflix-pirates-on-board/story-fna045gd-1226842998214</w:t>
        </w:r>
      </w:hyperlink>
      <w:r>
        <w:t xml:space="preserve">. </w:t>
      </w:r>
    </w:p>
  </w:endnote>
  <w:endnote w:id="86">
    <w:p w14:paraId="19FE5FC5" w14:textId="77777777" w:rsidR="00C82DEF" w:rsidRPr="00CF02AF" w:rsidRDefault="00C82DEF" w:rsidP="006A5428">
      <w:pPr>
        <w:pStyle w:val="EndnoteText"/>
        <w:rPr>
          <w:rFonts w:cs="Arial"/>
          <w:szCs w:val="16"/>
        </w:rPr>
      </w:pPr>
      <w:r w:rsidRPr="00CF02AF">
        <w:rPr>
          <w:rStyle w:val="EndnoteReference"/>
          <w:rFonts w:cs="Arial"/>
          <w:szCs w:val="16"/>
        </w:rPr>
        <w:endnoteRef/>
      </w:r>
      <w:r w:rsidRPr="00CF02AF">
        <w:rPr>
          <w:rFonts w:cs="Arial"/>
          <w:szCs w:val="16"/>
        </w:rPr>
        <w:t xml:space="preserve"> Lifehacker Australia, ‘How Many People Use Netflix In Australia?’, 14 July 2014, </w:t>
      </w:r>
      <w:hyperlink r:id="rId45" w:history="1">
        <w:r w:rsidRPr="00CF02AF">
          <w:rPr>
            <w:rStyle w:val="Hyperlink"/>
            <w:rFonts w:cs="Arial"/>
            <w:szCs w:val="16"/>
          </w:rPr>
          <w:t>http://www.lifehacker.com.au/2014/07/how-many-people-use-netflix-in-australia/</w:t>
        </w:r>
      </w:hyperlink>
      <w:r>
        <w:rPr>
          <w:rFonts w:cs="Arial"/>
          <w:szCs w:val="16"/>
        </w:rPr>
        <w:t>.</w:t>
      </w:r>
    </w:p>
  </w:endnote>
  <w:endnote w:id="87">
    <w:p w14:paraId="4EACBBF7" w14:textId="77777777" w:rsidR="00C82DEF" w:rsidRDefault="00C82DEF" w:rsidP="006A5428">
      <w:pPr>
        <w:pStyle w:val="EndnoteText"/>
      </w:pPr>
      <w:r>
        <w:rPr>
          <w:rStyle w:val="EndnoteReference"/>
        </w:rPr>
        <w:endnoteRef/>
      </w:r>
      <w:r>
        <w:t xml:space="preserve"> The Australian Financial Review, ‘Netflix fights itself in Australia’, 25 November 2014, </w:t>
      </w:r>
      <w:hyperlink r:id="rId46" w:history="1">
        <w:r w:rsidRPr="00A16F08">
          <w:rPr>
            <w:rStyle w:val="Hyperlink"/>
          </w:rPr>
          <w:t>http://www.afr.com/business/media-and-marketing/tv/netflix-fights-itself-in-australia-20141124-11t1xt</w:t>
        </w:r>
      </w:hyperlink>
      <w:r>
        <w:t xml:space="preserve">. </w:t>
      </w:r>
    </w:p>
  </w:endnote>
  <w:endnote w:id="88">
    <w:p w14:paraId="53B3E3CC" w14:textId="77777777" w:rsidR="00C82DEF" w:rsidRDefault="00C82DEF" w:rsidP="006A5428">
      <w:pPr>
        <w:pStyle w:val="EndnoteText"/>
      </w:pPr>
      <w:r>
        <w:rPr>
          <w:rStyle w:val="EndnoteReference"/>
        </w:rPr>
        <w:endnoteRef/>
      </w:r>
      <w:r>
        <w:t xml:space="preserve"> Choice, ‘TV on the cheap,’ 24 November 2014, </w:t>
      </w:r>
      <w:hyperlink r:id="rId47" w:history="1">
        <w:r w:rsidRPr="00A16F08">
          <w:rPr>
            <w:rStyle w:val="Hyperlink"/>
          </w:rPr>
          <w:t>https://www.choice.com.au/electronics-and-technology/home-entertainment/home-entertainment-networks/articles/how-many-australians-watch-netflix-241114</w:t>
        </w:r>
      </w:hyperlink>
      <w:r>
        <w:t xml:space="preserve">. </w:t>
      </w:r>
    </w:p>
  </w:endnote>
  <w:endnote w:id="89">
    <w:p w14:paraId="3736E69F"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Roy Morgan, Finding No. 6389, Netflix reaches 1.89 million Australians, 11 August 2015, </w:t>
      </w:r>
      <w:hyperlink r:id="rId48" w:history="1">
        <w:r w:rsidRPr="00CF02AF">
          <w:rPr>
            <w:rStyle w:val="Hyperlink"/>
            <w:rFonts w:cs="Arial"/>
            <w:szCs w:val="16"/>
          </w:rPr>
          <w:t>http://www.roymorgan.com/findings/6389-netflix-expands-market-foxtel-steady-australia-pay-tv-svod-july-2015-201508102349</w:t>
        </w:r>
      </w:hyperlink>
    </w:p>
  </w:endnote>
  <w:endnote w:id="90">
    <w:p w14:paraId="503A2F9D" w14:textId="77777777" w:rsidR="00C82DEF" w:rsidRPr="00CF02AF" w:rsidRDefault="00C82DEF" w:rsidP="00CF02AF">
      <w:pPr>
        <w:pStyle w:val="CommentText"/>
        <w:spacing w:after="0"/>
        <w:rPr>
          <w:rStyle w:val="Hyperlink"/>
          <w:rFonts w:cs="Arial"/>
          <w:sz w:val="16"/>
          <w:szCs w:val="16"/>
        </w:rPr>
      </w:pPr>
      <w:r w:rsidRPr="00CF02AF">
        <w:rPr>
          <w:rStyle w:val="EndnoteReference"/>
          <w:rFonts w:cs="Arial"/>
          <w:szCs w:val="16"/>
        </w:rPr>
        <w:endnoteRef/>
      </w:r>
      <w:r>
        <w:rPr>
          <w:rStyle w:val="Hyperlink"/>
          <w:rFonts w:cs="Arial"/>
          <w:sz w:val="16"/>
          <w:szCs w:val="16"/>
          <w:u w:val="none"/>
        </w:rPr>
        <w:t xml:space="preserve"> </w:t>
      </w:r>
      <w:hyperlink r:id="rId49" w:history="1">
        <w:r w:rsidRPr="00995600">
          <w:rPr>
            <w:rStyle w:val="Hyperlink"/>
            <w:rFonts w:cs="Arial"/>
            <w:sz w:val="16"/>
            <w:szCs w:val="16"/>
          </w:rPr>
          <w:t>http://netflixaustralia.netflixable.com/</w:t>
        </w:r>
      </w:hyperlink>
      <w:r>
        <w:rPr>
          <w:rStyle w:val="Hyperlink"/>
          <w:rFonts w:cs="Arial"/>
          <w:sz w:val="16"/>
          <w:szCs w:val="16"/>
        </w:rPr>
        <w:t xml:space="preserve"> </w:t>
      </w:r>
    </w:p>
  </w:endnote>
  <w:endnote w:id="91">
    <w:p w14:paraId="6341694F" w14:textId="77777777" w:rsidR="00C82DEF" w:rsidRDefault="00C82DEF">
      <w:pPr>
        <w:pStyle w:val="EndnoteText"/>
      </w:pPr>
      <w:r>
        <w:rPr>
          <w:rStyle w:val="EndnoteReference"/>
        </w:rPr>
        <w:endnoteRef/>
      </w:r>
      <w:r>
        <w:t xml:space="preserve"> Conviva, VXR Viewer Experience Report, Mid-year update, 2015.</w:t>
      </w:r>
    </w:p>
  </w:endnote>
  <w:endnote w:id="92">
    <w:p w14:paraId="5F71DC48"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Accenture, Digital Video and the Connected Consumer, 2015, </w:t>
      </w:r>
      <w:hyperlink r:id="rId50" w:history="1">
        <w:r w:rsidRPr="00CF02AF">
          <w:rPr>
            <w:rStyle w:val="Hyperlink"/>
            <w:rFonts w:cs="Arial"/>
            <w:szCs w:val="16"/>
          </w:rPr>
          <w:t>https://www.accenture.com/t20150523T021027__w__/us-en/_acnmedia/Accenture/Conversion-Assets/Microsites/Documents17/Accenture-Digital-Video-Connected-Consumer.pdf</w:t>
        </w:r>
      </w:hyperlink>
      <w:r>
        <w:rPr>
          <w:rStyle w:val="Hyperlink"/>
          <w:rFonts w:cs="Arial"/>
          <w:szCs w:val="16"/>
        </w:rPr>
        <w:t>.</w:t>
      </w:r>
    </w:p>
  </w:endnote>
  <w:endnote w:id="93">
    <w:p w14:paraId="2E1C952B"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Davies, J., ‘Amazon hires BT TV chief Alex Green to head up Instant Video’, Digiday 30 July 2015</w:t>
      </w:r>
      <w:r>
        <w:rPr>
          <w:rFonts w:cs="Arial"/>
          <w:szCs w:val="16"/>
        </w:rPr>
        <w:t>,</w:t>
      </w:r>
      <w:r w:rsidRPr="00CF02AF">
        <w:rPr>
          <w:rFonts w:cs="Arial"/>
          <w:szCs w:val="16"/>
        </w:rPr>
        <w:t xml:space="preserve"> </w:t>
      </w:r>
      <w:hyperlink r:id="rId51" w:history="1">
        <w:r w:rsidRPr="00CF02AF">
          <w:rPr>
            <w:rStyle w:val="Hyperlink"/>
            <w:rFonts w:cs="Arial"/>
            <w:szCs w:val="16"/>
          </w:rPr>
          <w:t>http://digiday.com/platforms/amazon-hires-bt-tv-chief-alex-green-head-instant-video/</w:t>
        </w:r>
      </w:hyperlink>
      <w:r>
        <w:t>.</w:t>
      </w:r>
    </w:p>
  </w:endnote>
  <w:endnote w:id="94">
    <w:p w14:paraId="19935263"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Turner, A., ‘Who wants a Roku streaming video box from Telstra?’, </w:t>
      </w:r>
      <w:r w:rsidRPr="00CF02AF">
        <w:rPr>
          <w:rFonts w:cs="Arial"/>
          <w:i/>
          <w:szCs w:val="16"/>
        </w:rPr>
        <w:t>Sydney Morning Herald</w:t>
      </w:r>
      <w:r w:rsidRPr="00CF02AF">
        <w:rPr>
          <w:rFonts w:cs="Arial"/>
          <w:szCs w:val="16"/>
        </w:rPr>
        <w:t>, 29 July 2015</w:t>
      </w:r>
      <w:r>
        <w:rPr>
          <w:rFonts w:cs="Arial"/>
          <w:szCs w:val="16"/>
        </w:rPr>
        <w:t xml:space="preserve">, </w:t>
      </w:r>
      <w:hyperlink r:id="rId52" w:history="1">
        <w:r w:rsidRPr="00CF02AF">
          <w:rPr>
            <w:rStyle w:val="Hyperlink"/>
            <w:rFonts w:cs="Arial"/>
            <w:szCs w:val="16"/>
          </w:rPr>
          <w:t>http://www.smh.com.au/digital-life/computers/gadgets-on-the-go/who-wants-a-roku-streaming-video-box-from-telstra-20150729-gimvbx.html</w:t>
        </w:r>
      </w:hyperlink>
      <w:r>
        <w:t>.</w:t>
      </w:r>
    </w:p>
  </w:endnote>
  <w:endnote w:id="95">
    <w:p w14:paraId="43CC698B"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Turner, A., ‘Hands on review: Sony Android TV’, </w:t>
      </w:r>
      <w:r w:rsidRPr="00CF02AF">
        <w:rPr>
          <w:rFonts w:cs="Arial"/>
          <w:i/>
          <w:szCs w:val="16"/>
        </w:rPr>
        <w:t>Sydney Morning Herald</w:t>
      </w:r>
      <w:r w:rsidRPr="00CF02AF">
        <w:rPr>
          <w:rFonts w:cs="Arial"/>
          <w:szCs w:val="16"/>
        </w:rPr>
        <w:t>, 15 July 2015</w:t>
      </w:r>
      <w:r>
        <w:rPr>
          <w:rFonts w:cs="Arial"/>
          <w:szCs w:val="16"/>
        </w:rPr>
        <w:t>,</w:t>
      </w:r>
      <w:r w:rsidRPr="00CF02AF">
        <w:rPr>
          <w:rFonts w:cs="Arial"/>
          <w:szCs w:val="16"/>
        </w:rPr>
        <w:t xml:space="preserve"> </w:t>
      </w:r>
      <w:hyperlink r:id="rId53" w:anchor="ixzz3g12mXpIV" w:history="1">
        <w:r w:rsidRPr="00CF02AF">
          <w:rPr>
            <w:rStyle w:val="Hyperlink"/>
            <w:rFonts w:cs="Arial"/>
            <w:szCs w:val="16"/>
          </w:rPr>
          <w:t>http://www.smh.com.au/digital-life/computers/gadgets-on-the-go/hands-on-review-sony-android-tv-201507 15-gicrh1.html#ixzz3g12mXpIV</w:t>
        </w:r>
      </w:hyperlink>
      <w:r>
        <w:t>.</w:t>
      </w:r>
    </w:p>
  </w:endnote>
  <w:endnote w:id="96">
    <w:p w14:paraId="13F9E193"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Nielsen (2015) Home entertainment consumer trends: digital transition tracker report, May 2015</w:t>
      </w:r>
      <w:r>
        <w:rPr>
          <w:rFonts w:cs="Arial"/>
          <w:szCs w:val="16"/>
        </w:rPr>
        <w:t>,</w:t>
      </w:r>
      <w:r w:rsidRPr="00CF02AF">
        <w:rPr>
          <w:rFonts w:cs="Arial"/>
          <w:szCs w:val="16"/>
        </w:rPr>
        <w:t xml:space="preserve"> </w:t>
      </w:r>
      <w:hyperlink r:id="rId54" w:history="1">
        <w:r w:rsidRPr="00CF02AF">
          <w:rPr>
            <w:rStyle w:val="Hyperlink"/>
            <w:rFonts w:cs="Arial"/>
            <w:szCs w:val="16"/>
          </w:rPr>
          <w:t>http://www.nielsen.com/us/en/insights/reports/2015/home-entertainment-consumer-trends-digital-transition-tracker-report-may-2015.html</w:t>
        </w:r>
      </w:hyperlink>
      <w:r>
        <w:t>.</w:t>
      </w:r>
    </w:p>
  </w:endnote>
  <w:endnote w:id="97">
    <w:p w14:paraId="744F8357" w14:textId="77777777" w:rsidR="00C82DEF" w:rsidRPr="00CF02AF" w:rsidRDefault="00C82DEF" w:rsidP="007B5E50">
      <w:pPr>
        <w:pStyle w:val="EndnoteText"/>
        <w:rPr>
          <w:rFonts w:cs="Arial"/>
          <w:szCs w:val="16"/>
        </w:rPr>
      </w:pPr>
      <w:r w:rsidRPr="00CF02AF">
        <w:rPr>
          <w:rStyle w:val="EndnoteReference"/>
          <w:rFonts w:cs="Arial"/>
          <w:szCs w:val="16"/>
        </w:rPr>
        <w:endnoteRef/>
      </w:r>
      <w:r w:rsidRPr="00CF02AF">
        <w:rPr>
          <w:rFonts w:cs="Arial"/>
          <w:szCs w:val="16"/>
        </w:rPr>
        <w:t xml:space="preserve"> </w:t>
      </w:r>
      <w:r w:rsidRPr="008F64D7">
        <w:rPr>
          <w:rFonts w:cs="Arial"/>
          <w:szCs w:val="16"/>
        </w:rPr>
        <w:t>Australian Communications and Media Authority, Emerging media and communications trends, 12 June 2015,</w:t>
      </w:r>
      <w:r w:rsidRPr="00CF02AF">
        <w:rPr>
          <w:rFonts w:cs="Arial"/>
          <w:szCs w:val="16"/>
        </w:rPr>
        <w:t xml:space="preserve"> </w:t>
      </w:r>
      <w:hyperlink r:id="rId55" w:history="1">
        <w:r w:rsidRPr="00CF02AF">
          <w:rPr>
            <w:rStyle w:val="Hyperlink"/>
            <w:rFonts w:cs="Arial"/>
            <w:szCs w:val="16"/>
          </w:rPr>
          <w:t>http://intranet/working-at-the-acma/news-and-views/acma-news/news-of-the-week/emerging-media-and-communications-trends</w:t>
        </w:r>
      </w:hyperlink>
      <w:r>
        <w:t>.</w:t>
      </w:r>
    </w:p>
  </w:endnote>
  <w:endnote w:id="98">
    <w:p w14:paraId="296E90A0" w14:textId="77777777" w:rsidR="00C82DEF" w:rsidRPr="00CF02AF" w:rsidRDefault="00C82DEF" w:rsidP="007B5E50">
      <w:pPr>
        <w:pStyle w:val="EndnoteText"/>
        <w:rPr>
          <w:rFonts w:cs="Arial"/>
          <w:szCs w:val="16"/>
        </w:rPr>
      </w:pPr>
      <w:r w:rsidRPr="00CF02AF">
        <w:rPr>
          <w:rStyle w:val="EndnoteReference"/>
          <w:rFonts w:cs="Arial"/>
          <w:szCs w:val="16"/>
        </w:rPr>
        <w:endnoteRef/>
      </w:r>
      <w:r w:rsidRPr="00CF02AF">
        <w:rPr>
          <w:rFonts w:cs="Arial"/>
          <w:szCs w:val="16"/>
        </w:rPr>
        <w:t xml:space="preserve"> Nielsen, Australian Connected Consumers, evolving patterns of media consumption in the digital age, February 2015</w:t>
      </w:r>
      <w:r>
        <w:rPr>
          <w:rFonts w:cs="Arial"/>
          <w:szCs w:val="16"/>
        </w:rPr>
        <w:t>.</w:t>
      </w:r>
    </w:p>
  </w:endnote>
  <w:endnote w:id="99">
    <w:p w14:paraId="11AF12E2" w14:textId="77777777" w:rsidR="00C82DEF" w:rsidRPr="00CF02AF" w:rsidRDefault="00C82DEF" w:rsidP="007B5E50">
      <w:pPr>
        <w:pStyle w:val="EndnoteText"/>
        <w:rPr>
          <w:rFonts w:cs="Arial"/>
          <w:szCs w:val="16"/>
        </w:rPr>
      </w:pPr>
      <w:r w:rsidRPr="00CF02AF">
        <w:rPr>
          <w:rStyle w:val="EndnoteReference"/>
          <w:rFonts w:cs="Arial"/>
          <w:szCs w:val="16"/>
        </w:rPr>
        <w:endnoteRef/>
      </w:r>
      <w:r w:rsidRPr="00CF02AF">
        <w:rPr>
          <w:rFonts w:cs="Arial"/>
          <w:szCs w:val="16"/>
        </w:rPr>
        <w:t xml:space="preserve"> Deloitte, Media Consumer Survey 2014—Australian media and digital preferences, 3</w:t>
      </w:r>
      <w:r w:rsidRPr="00CF02AF">
        <w:rPr>
          <w:rFonts w:cs="Arial"/>
          <w:szCs w:val="16"/>
          <w:vertAlign w:val="superscript"/>
        </w:rPr>
        <w:t>rd</w:t>
      </w:r>
      <w:r w:rsidRPr="00CF02AF">
        <w:rPr>
          <w:rFonts w:cs="Arial"/>
          <w:szCs w:val="16"/>
        </w:rPr>
        <w:t xml:space="preserve"> edition</w:t>
      </w:r>
      <w:r>
        <w:rPr>
          <w:rFonts w:cs="Arial"/>
          <w:szCs w:val="16"/>
        </w:rPr>
        <w:t>.</w:t>
      </w:r>
    </w:p>
  </w:endnote>
  <w:endnote w:id="100">
    <w:p w14:paraId="047429E4" w14:textId="77777777" w:rsidR="00C82DEF" w:rsidRPr="00CF02AF" w:rsidRDefault="00C82DEF" w:rsidP="007B5E50">
      <w:pPr>
        <w:pStyle w:val="EndnoteText"/>
        <w:rPr>
          <w:rFonts w:cs="Arial"/>
          <w:szCs w:val="16"/>
        </w:rPr>
      </w:pPr>
      <w:r w:rsidRPr="00CF02AF">
        <w:rPr>
          <w:rStyle w:val="EndnoteReference"/>
          <w:rFonts w:cs="Arial"/>
          <w:szCs w:val="16"/>
        </w:rPr>
        <w:endnoteRef/>
      </w:r>
      <w:r w:rsidRPr="00CF02AF">
        <w:rPr>
          <w:rFonts w:cs="Arial"/>
          <w:szCs w:val="16"/>
        </w:rPr>
        <w:t xml:space="preserve"> ACMA-commissioned surveys, May 2014 and May 2015.</w:t>
      </w:r>
    </w:p>
  </w:endnote>
  <w:endnote w:id="101">
    <w:p w14:paraId="7777D5BC"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ACMA-commissioned survey, June 2015</w:t>
      </w:r>
      <w:r>
        <w:rPr>
          <w:rFonts w:cs="Arial"/>
          <w:szCs w:val="16"/>
        </w:rPr>
        <w:t>.</w:t>
      </w:r>
    </w:p>
  </w:endnote>
  <w:endnote w:id="102">
    <w:p w14:paraId="4B4F7931"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Roy Morgan Single Source.</w:t>
      </w:r>
    </w:p>
  </w:endnote>
  <w:endnote w:id="103">
    <w:p w14:paraId="42E93C38" w14:textId="77777777" w:rsidR="00C82DEF" w:rsidRPr="00CF02AF" w:rsidRDefault="00C82DEF" w:rsidP="00CF02AF">
      <w:pPr>
        <w:pStyle w:val="EndnoteText"/>
        <w:keepNext/>
        <w:keepLines/>
        <w:rPr>
          <w:rFonts w:cs="Arial"/>
          <w:szCs w:val="16"/>
          <w:lang w:val="en-US"/>
        </w:rPr>
      </w:pPr>
      <w:r w:rsidRPr="00CF02AF">
        <w:rPr>
          <w:rStyle w:val="EndnoteReference"/>
          <w:rFonts w:cs="Arial"/>
          <w:szCs w:val="16"/>
        </w:rPr>
        <w:endnoteRef/>
      </w:r>
      <w:r w:rsidRPr="00CF02AF">
        <w:rPr>
          <w:rFonts w:cs="Arial"/>
          <w:szCs w:val="16"/>
          <w:lang w:val="en-US"/>
        </w:rPr>
        <w:t xml:space="preserve"> The scheme imposes a spending obligation on subscription television broadcasting licensees and channel providers on Australian and New Zealand programs, but there is no requirement to broadcast such programs</w:t>
      </w:r>
      <w:r>
        <w:rPr>
          <w:rFonts w:cs="Arial"/>
          <w:szCs w:val="16"/>
          <w:lang w:val="en-US"/>
        </w:rPr>
        <w:t>.</w:t>
      </w:r>
    </w:p>
  </w:endnote>
  <w:endnote w:id="104">
    <w:p w14:paraId="08B80E02" w14:textId="77777777" w:rsidR="00C82DEF" w:rsidRPr="00CF02AF" w:rsidRDefault="00C82DEF" w:rsidP="00CF02AF">
      <w:pPr>
        <w:pStyle w:val="EndnoteText"/>
        <w:keepNext/>
        <w:keepLines/>
        <w:rPr>
          <w:rFonts w:cs="Arial"/>
          <w:szCs w:val="16"/>
          <w:lang w:val="en-US"/>
        </w:rPr>
      </w:pPr>
      <w:r w:rsidRPr="00CF02AF">
        <w:rPr>
          <w:rStyle w:val="EndnoteReference"/>
          <w:rFonts w:cs="Arial"/>
          <w:szCs w:val="16"/>
        </w:rPr>
        <w:endnoteRef/>
      </w:r>
      <w:r w:rsidRPr="00CF02AF">
        <w:rPr>
          <w:rFonts w:cs="Arial"/>
          <w:szCs w:val="16"/>
          <w:lang w:val="en-US"/>
        </w:rPr>
        <w:t xml:space="preserve"> This is the most recent available data at time of publication</w:t>
      </w:r>
      <w:r>
        <w:rPr>
          <w:rFonts w:cs="Arial"/>
          <w:szCs w:val="16"/>
          <w:lang w:val="en-US"/>
        </w:rPr>
        <w:t>.</w:t>
      </w:r>
    </w:p>
  </w:endnote>
  <w:endnote w:id="105">
    <w:p w14:paraId="17FE1827" w14:textId="77777777" w:rsidR="00C82DEF" w:rsidRPr="00CF02AF" w:rsidRDefault="00C82DEF" w:rsidP="00CF02AF">
      <w:pPr>
        <w:pStyle w:val="EndnoteText"/>
        <w:rPr>
          <w:rFonts w:cs="Arial"/>
          <w:szCs w:val="16"/>
          <w:lang w:val="en-US"/>
        </w:rPr>
      </w:pPr>
      <w:r w:rsidRPr="00CF02AF">
        <w:rPr>
          <w:rStyle w:val="EndnoteReference"/>
          <w:rFonts w:cs="Arial"/>
          <w:szCs w:val="16"/>
        </w:rPr>
        <w:endnoteRef/>
      </w:r>
      <w:r w:rsidRPr="00CF02AF">
        <w:rPr>
          <w:rFonts w:cs="Arial"/>
          <w:szCs w:val="16"/>
          <w:lang w:val="en-US"/>
        </w:rPr>
        <w:t xml:space="preserve"> </w:t>
      </w:r>
      <w:r>
        <w:rPr>
          <w:rFonts w:cs="Arial"/>
          <w:szCs w:val="16"/>
          <w:lang w:val="en-US"/>
        </w:rPr>
        <w:t>ibid.</w:t>
      </w:r>
    </w:p>
  </w:endnote>
  <w:endnote w:id="106">
    <w:p w14:paraId="09F15734" w14:textId="77777777" w:rsidR="00C82DEF" w:rsidRPr="00C05F4C" w:rsidRDefault="00C82DEF">
      <w:pPr>
        <w:pStyle w:val="EndnoteText"/>
      </w:pPr>
      <w:r>
        <w:rPr>
          <w:rStyle w:val="EndnoteReference"/>
        </w:rPr>
        <w:endnoteRef/>
      </w:r>
      <w:r>
        <w:t xml:space="preserve"> </w:t>
      </w:r>
      <w:r w:rsidRPr="00C05F4C">
        <w:t xml:space="preserve">Captioning provisions in the </w:t>
      </w:r>
      <w:r w:rsidRPr="00C05F4C">
        <w:rPr>
          <w:i/>
        </w:rPr>
        <w:t>Broadcasting Services Act 1992</w:t>
      </w:r>
      <w:r w:rsidRPr="00C05F4C">
        <w:t xml:space="preserve"> (BSA) were amended by the </w:t>
      </w:r>
      <w:r w:rsidRPr="00C05F4C">
        <w:rPr>
          <w:i/>
        </w:rPr>
        <w:t>Broadcasting and Other Legislation Amendment (Deregulation) Act 2015</w:t>
      </w:r>
      <w:r w:rsidRPr="00C05F4C">
        <w:t>.</w:t>
      </w:r>
    </w:p>
  </w:endnote>
  <w:endnote w:id="107">
    <w:p w14:paraId="0AAB20DD" w14:textId="77777777" w:rsidR="00C82DEF" w:rsidRPr="00995600" w:rsidRDefault="00C82DEF">
      <w:pPr>
        <w:pStyle w:val="EndnoteText"/>
      </w:pPr>
      <w:r w:rsidRPr="00995600">
        <w:rPr>
          <w:rStyle w:val="EndnoteReference"/>
        </w:rPr>
        <w:endnoteRef/>
      </w:r>
      <w:r w:rsidRPr="00995600">
        <w:t xml:space="preserve"> The annual notification requirement under section 62 of the BSA has now been removed.</w:t>
      </w:r>
    </w:p>
  </w:endnote>
  <w:endnote w:id="108">
    <w:p w14:paraId="62186FE3" w14:textId="77777777" w:rsidR="00C82DEF" w:rsidRPr="00CF02AF" w:rsidRDefault="00C82DEF" w:rsidP="00CF02AF">
      <w:pPr>
        <w:pStyle w:val="EndnoteText"/>
        <w:rPr>
          <w:rFonts w:cs="Arial"/>
          <w:szCs w:val="16"/>
        </w:rPr>
      </w:pPr>
      <w:r w:rsidRPr="00C05F4C">
        <w:rPr>
          <w:rStyle w:val="EndnoteReference"/>
          <w:rFonts w:cs="Arial"/>
          <w:szCs w:val="16"/>
        </w:rPr>
        <w:endnoteRef/>
      </w:r>
      <w:r w:rsidRPr="00C05F4C">
        <w:rPr>
          <w:rFonts w:cs="Arial"/>
          <w:szCs w:val="16"/>
        </w:rPr>
        <w:t xml:space="preserve"> This number excludes regional</w:t>
      </w:r>
      <w:r w:rsidRPr="00CF02AF">
        <w:rPr>
          <w:rFonts w:cs="Arial"/>
          <w:szCs w:val="16"/>
        </w:rPr>
        <w:t xml:space="preserve"> commercial radio broadcasting services licensed under section 40 of the </w:t>
      </w:r>
      <w:r w:rsidRPr="008F64D7">
        <w:rPr>
          <w:rFonts w:cs="Arial"/>
          <w:szCs w:val="16"/>
        </w:rPr>
        <w:t>BSA,</w:t>
      </w:r>
      <w:r w:rsidRPr="00CF02AF">
        <w:rPr>
          <w:rFonts w:cs="Arial"/>
          <w:szCs w:val="16"/>
        </w:rPr>
        <w:t xml:space="preserve"> regional racing services, or remote licences as these services are exempt from the local content licence condition</w:t>
      </w:r>
      <w:r>
        <w:rPr>
          <w:rFonts w:cs="Arial"/>
          <w:szCs w:val="16"/>
        </w:rPr>
        <w:t>.</w:t>
      </w:r>
    </w:p>
  </w:endnote>
  <w:endnote w:id="109">
    <w:p w14:paraId="5E893ABE" w14:textId="77777777" w:rsidR="00C82DEF" w:rsidRPr="00CF02AF" w:rsidRDefault="00C82DEF" w:rsidP="00CF02AF">
      <w:pPr>
        <w:pStyle w:val="EndnoteText"/>
        <w:rPr>
          <w:rFonts w:cs="Arial"/>
          <w:szCs w:val="16"/>
          <w:lang w:val="en-US"/>
        </w:rPr>
      </w:pPr>
      <w:r w:rsidRPr="00CF02AF">
        <w:rPr>
          <w:rStyle w:val="EndnoteReference"/>
          <w:rFonts w:cs="Arial"/>
          <w:szCs w:val="16"/>
        </w:rPr>
        <w:endnoteRef/>
      </w:r>
      <w:r w:rsidRPr="00CF02AF">
        <w:rPr>
          <w:rFonts w:cs="Arial"/>
          <w:szCs w:val="16"/>
          <w:lang w:val="en-US"/>
        </w:rPr>
        <w:t xml:space="preserve"> This is the most recent available data at time of publication</w:t>
      </w:r>
      <w:r>
        <w:rPr>
          <w:rFonts w:cs="Arial"/>
          <w:szCs w:val="16"/>
          <w:lang w:val="en-US"/>
        </w:rPr>
        <w:t>.</w:t>
      </w:r>
    </w:p>
  </w:endnote>
  <w:endnote w:id="110">
    <w:p w14:paraId="519F7EB6" w14:textId="77777777" w:rsidR="00C82DEF" w:rsidRPr="00CF02AF" w:rsidRDefault="00C82DEF" w:rsidP="00CF02AF">
      <w:pPr>
        <w:pStyle w:val="EndnoteText"/>
        <w:rPr>
          <w:rFonts w:cs="Arial"/>
          <w:szCs w:val="16"/>
          <w:lang w:val="en-US"/>
        </w:rPr>
      </w:pPr>
      <w:r w:rsidRPr="00CF02AF">
        <w:rPr>
          <w:rStyle w:val="EndnoteReference"/>
          <w:rFonts w:cs="Arial"/>
          <w:szCs w:val="16"/>
        </w:rPr>
        <w:endnoteRef/>
      </w:r>
      <w:r w:rsidRPr="00CF02AF">
        <w:rPr>
          <w:rFonts w:cs="Arial"/>
          <w:szCs w:val="16"/>
        </w:rPr>
        <w:t xml:space="preserve"> Except regional commercial radio broadcasting services licensed under section 40 of the BSA, regional racing services, or remote licences that are exempt from the minimum service standards and local presence obligations that apply following a trigger </w:t>
      </w:r>
      <w:r w:rsidRPr="00CF02AF">
        <w:rPr>
          <w:rFonts w:cs="Arial"/>
          <w:szCs w:val="16"/>
          <w:lang w:val="en-US"/>
        </w:rPr>
        <w:t>event</w:t>
      </w:r>
      <w:r>
        <w:rPr>
          <w:rFonts w:cs="Arial"/>
          <w:szCs w:val="16"/>
          <w:lang w:val="en-US"/>
        </w:rPr>
        <w:t>.</w:t>
      </w:r>
    </w:p>
  </w:endnote>
  <w:endnote w:id="111">
    <w:p w14:paraId="6ECCF756" w14:textId="77777777" w:rsidR="00C82DEF" w:rsidRDefault="00C82DEF">
      <w:pPr>
        <w:pStyle w:val="EndnoteText"/>
      </w:pPr>
      <w:r>
        <w:rPr>
          <w:rStyle w:val="EndnoteReference"/>
        </w:rPr>
        <w:endnoteRef/>
      </w:r>
      <w:r>
        <w:t xml:space="preserve"> The Department of Communications became the Department of Communications and the Arts on 21 September </w:t>
      </w:r>
      <w:r w:rsidRPr="008B3B3F">
        <w:t>2015.</w:t>
      </w:r>
    </w:p>
  </w:endnote>
  <w:endnote w:id="112">
    <w:p w14:paraId="48399BAC" w14:textId="77777777" w:rsidR="00C82DEF" w:rsidRDefault="00C82DEF">
      <w:pPr>
        <w:pStyle w:val="EndnoteText"/>
      </w:pPr>
      <w:r>
        <w:rPr>
          <w:rStyle w:val="EndnoteReference"/>
        </w:rPr>
        <w:endnoteRef/>
      </w:r>
      <w:r>
        <w:t xml:space="preserve"> Department of Communications, Digital Radio Report, July 2015, </w:t>
      </w:r>
      <w:hyperlink r:id="rId56" w:history="1">
        <w:r w:rsidRPr="00995600">
          <w:rPr>
            <w:rStyle w:val="Hyperlink"/>
          </w:rPr>
          <w:t>https://www.communications.gov.au/publications/digital-radio-report</w:t>
        </w:r>
      </w:hyperlink>
      <w:r>
        <w:t>.</w:t>
      </w:r>
    </w:p>
  </w:endnote>
  <w:endnote w:id="113">
    <w:p w14:paraId="6515F205" w14:textId="77777777" w:rsidR="00C82DEF" w:rsidRPr="00CF02AF" w:rsidRDefault="00C82DEF" w:rsidP="00CF02AF">
      <w:pPr>
        <w:pStyle w:val="EndnoteText"/>
        <w:rPr>
          <w:rFonts w:cs="Arial"/>
          <w:szCs w:val="16"/>
        </w:rPr>
      </w:pPr>
      <w:r w:rsidRPr="00CF02AF">
        <w:rPr>
          <w:rStyle w:val="EndnoteReference"/>
          <w:rFonts w:cs="Arial"/>
          <w:szCs w:val="16"/>
        </w:rPr>
        <w:endnoteRef/>
      </w:r>
      <w:r w:rsidRPr="00CF02AF">
        <w:rPr>
          <w:rFonts w:cs="Arial"/>
          <w:szCs w:val="16"/>
        </w:rPr>
        <w:t xml:space="preserve"> Potential prohibited content is defined at clause 21 of Schedule 7 of the BSA</w:t>
      </w:r>
      <w:r>
        <w:rPr>
          <w:rFonts w:cs="Arial"/>
          <w:szCs w:val="16"/>
        </w:rPr>
        <w:t>.</w:t>
      </w:r>
    </w:p>
  </w:endnote>
  <w:endnote w:id="114">
    <w:p w14:paraId="15F2902C" w14:textId="77777777" w:rsidR="00C82DEF" w:rsidRDefault="00C82DEF" w:rsidP="00CF02AF">
      <w:pPr>
        <w:spacing w:after="80"/>
        <w:rPr>
          <w:b/>
        </w:rPr>
      </w:pPr>
      <w:r w:rsidRPr="001B5D0B">
        <w:rPr>
          <w:b/>
        </w:rPr>
        <w:t>Endnotes</w:t>
      </w:r>
    </w:p>
    <w:p w14:paraId="1591A01C" w14:textId="77777777" w:rsidR="00C82DEF" w:rsidRPr="001B5D0B" w:rsidRDefault="00C82DEF" w:rsidP="00CF02AF">
      <w:pPr>
        <w:pStyle w:val="EndnoteText"/>
        <w:rPr>
          <w:rFonts w:cs="Arial"/>
          <w:szCs w:val="16"/>
        </w:rPr>
      </w:pPr>
      <w:r w:rsidRPr="001B5D0B">
        <w:rPr>
          <w:rStyle w:val="EndnoteReference"/>
          <w:rFonts w:cs="Arial"/>
          <w:szCs w:val="16"/>
        </w:rPr>
        <w:endnoteRef/>
      </w:r>
      <w:r w:rsidRPr="001B5D0B">
        <w:rPr>
          <w:rFonts w:cs="Arial"/>
          <w:szCs w:val="16"/>
        </w:rPr>
        <w:t xml:space="preserve"> The definition of a carrier under section 5 of the TIA Act includes CSPs for these provisions.</w:t>
      </w:r>
    </w:p>
  </w:endnote>
  <w:endnote w:id="115">
    <w:p w14:paraId="0EB80786" w14:textId="77777777" w:rsidR="00C82DEF" w:rsidRPr="00FF5649" w:rsidRDefault="00C82DEF" w:rsidP="00CF02AF">
      <w:pPr>
        <w:pStyle w:val="EndnoteText"/>
        <w:rPr>
          <w:rFonts w:cs="Arial"/>
          <w:b/>
          <w:szCs w:val="16"/>
        </w:rPr>
      </w:pPr>
      <w:r w:rsidRPr="001B5D0B">
        <w:rPr>
          <w:rStyle w:val="EndnoteReference"/>
          <w:rFonts w:cs="Arial"/>
          <w:szCs w:val="16"/>
        </w:rPr>
        <w:endnoteRef/>
      </w:r>
      <w:r w:rsidRPr="001B5D0B">
        <w:rPr>
          <w:rFonts w:cs="Arial"/>
          <w:szCs w:val="16"/>
        </w:rPr>
        <w:t xml:space="preserve"> Nominated CSPs </w:t>
      </w:r>
      <w:r>
        <w:rPr>
          <w:rFonts w:cs="Arial"/>
          <w:szCs w:val="16"/>
        </w:rPr>
        <w:t>are CSPs</w:t>
      </w:r>
      <w:r w:rsidRPr="001B5D0B">
        <w:rPr>
          <w:rFonts w:cs="Arial"/>
          <w:szCs w:val="16"/>
        </w:rPr>
        <w:t xml:space="preserve"> covered by a declaration in force under </w:t>
      </w:r>
      <w:r>
        <w:rPr>
          <w:rFonts w:cs="Arial"/>
          <w:szCs w:val="16"/>
        </w:rPr>
        <w:t>sub</w:t>
      </w:r>
      <w:r w:rsidRPr="001B5D0B">
        <w:rPr>
          <w:rFonts w:cs="Arial"/>
          <w:szCs w:val="16"/>
        </w:rPr>
        <w:t>section 197</w:t>
      </w:r>
      <w:r>
        <w:rPr>
          <w:rFonts w:cs="Arial"/>
          <w:szCs w:val="16"/>
        </w:rPr>
        <w:t>(4)</w:t>
      </w:r>
      <w:r w:rsidRPr="001B5D0B">
        <w:rPr>
          <w:rFonts w:cs="Arial"/>
          <w:szCs w:val="16"/>
        </w:rPr>
        <w:t xml:space="preserve"> of the TIA Act.</w:t>
      </w:r>
    </w:p>
  </w:endnote>
  <w:endnote w:id="116">
    <w:p w14:paraId="45055FBE" w14:textId="77777777" w:rsidR="00C82DEF" w:rsidRDefault="00C82DEF" w:rsidP="00763375">
      <w:pPr>
        <w:spacing w:after="80"/>
        <w:rPr>
          <w:b/>
        </w:rPr>
      </w:pPr>
      <w:r w:rsidRPr="001B5D0B">
        <w:rPr>
          <w:b/>
        </w:rPr>
        <w:t>Endnotes</w:t>
      </w:r>
    </w:p>
    <w:p w14:paraId="7A36E179" w14:textId="77777777" w:rsidR="00C82DEF" w:rsidRDefault="00C82DEF">
      <w:pPr>
        <w:pStyle w:val="EndnoteText"/>
      </w:pPr>
      <w:r>
        <w:rPr>
          <w:rStyle w:val="EndnoteReference"/>
        </w:rPr>
        <w:endnoteRef/>
      </w:r>
      <w:r>
        <w:t xml:space="preserve"> The Department of Communications became the Department of Communications and the Arts on 21 September </w:t>
      </w:r>
      <w:r w:rsidRPr="008B3B3F">
        <w:t>2015.</w:t>
      </w:r>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imes Regular">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Malgun Gothic">
    <w:panose1 w:val="020B0503020000020004"/>
    <w:charset w:val="81"/>
    <w:family w:val="swiss"/>
    <w:pitch w:val="variable"/>
    <w:sig w:usb0="900002AF" w:usb1="09D77CFB" w:usb2="00000012" w:usb3="00000000" w:csb0="00080001"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AD692E" w14:textId="77777777" w:rsidR="00C82DEF" w:rsidRDefault="00C82DE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91A34B" w14:textId="77777777" w:rsidR="00C82DEF" w:rsidRPr="00A5474E" w:rsidRDefault="00C82DEF" w:rsidP="00A5474E">
    <w:pPr>
      <w:pStyle w:val="Footer"/>
    </w:pPr>
    <w:r>
      <w:rPr>
        <w:noProof/>
      </w:rPr>
      <w:drawing>
        <wp:inline distT="0" distB="0" distL="0" distR="0" wp14:anchorId="6B61CEF9" wp14:editId="224E03E5">
          <wp:extent cx="3483864" cy="249613"/>
          <wp:effectExtent l="0" t="0" r="0" b="0"/>
          <wp:docPr id="25" name="Picture 2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arto="http://schemas.microsoft.com/office/word/2006/arto"/>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9F5E66" w14:textId="77777777" w:rsidR="00C82DEF" w:rsidRDefault="00C82DE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5312A4" w14:textId="77777777" w:rsidR="00C82DEF" w:rsidRDefault="00C82DEF">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A42365" w14:textId="77777777" w:rsidR="00C82DEF" w:rsidRDefault="00C82DE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5D43BA" w14:textId="77777777" w:rsidR="00C82DEF" w:rsidRPr="00622A3B" w:rsidRDefault="00C82DEF"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301FC">
      <w:rPr>
        <w:noProof/>
        <w:color w:val="505050"/>
      </w:rPr>
      <w:t>x</w:t>
    </w:r>
    <w:r w:rsidRPr="002E4DDC">
      <w:rPr>
        <w:color w:val="505050"/>
      </w:rPr>
      <w:fldChar w:fldCharType="end"/>
    </w:r>
  </w:p>
  <w:p w14:paraId="29FC015A" w14:textId="77777777" w:rsidR="00C82DEF" w:rsidRPr="00A5474E" w:rsidRDefault="00C82DEF"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E8D04B" w14:textId="77777777" w:rsidR="00C82DEF" w:rsidRPr="00622A3B" w:rsidRDefault="00C82DEF" w:rsidP="008F5B03">
    <w:pPr>
      <w:pStyle w:val="Footer"/>
      <w:framePr w:w="2865" w:h="357" w:hRule="exact" w:vSpace="425" w:wrap="around" w:vAnchor="page" w:hAnchor="page" w:x="7335" w:y="16166"/>
      <w:pBdr>
        <w:top w:val="single" w:sz="4" w:space="1" w:color="auto"/>
      </w:pBdr>
      <w:tabs>
        <w:tab w:val="clear" w:pos="113"/>
        <w:tab w:val="left" w:pos="284"/>
      </w:tabs>
      <w:ind w:left="1560"/>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301FC">
      <w:rPr>
        <w:noProof/>
        <w:color w:val="505050"/>
      </w:rPr>
      <w:t>ix</w:t>
    </w:r>
    <w:r w:rsidRPr="002E4DDC">
      <w:rPr>
        <w:color w:val="505050"/>
      </w:rPr>
      <w:fldChar w:fldCharType="end"/>
    </w:r>
  </w:p>
  <w:p w14:paraId="708B9CE4" w14:textId="77777777" w:rsidR="00C82DEF" w:rsidRPr="00A5474E" w:rsidRDefault="00C82DEF"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D7BA2B" w14:textId="77777777" w:rsidR="00C82DEF" w:rsidRPr="00622A3B" w:rsidRDefault="00C82DEF" w:rsidP="008F5B03">
    <w:pPr>
      <w:pStyle w:val="Footer"/>
      <w:framePr w:w="2865" w:h="357" w:hRule="exact" w:vSpace="425" w:wrap="around" w:vAnchor="page" w:hAnchor="page" w:x="7335" w:y="16166"/>
      <w:pBdr>
        <w:top w:val="single" w:sz="4" w:space="1" w:color="auto"/>
      </w:pBdr>
      <w:tabs>
        <w:tab w:val="clear" w:pos="113"/>
        <w:tab w:val="left" w:pos="284"/>
      </w:tabs>
      <w:ind w:left="1560"/>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301FC">
      <w:rPr>
        <w:noProof/>
        <w:color w:val="505050"/>
      </w:rPr>
      <w:t>v</w:t>
    </w:r>
    <w:r w:rsidRPr="002E4DDC">
      <w:rPr>
        <w:color w:val="505050"/>
      </w:rPr>
      <w:fldChar w:fldCharType="end"/>
    </w:r>
  </w:p>
  <w:p w14:paraId="220DD332" w14:textId="77777777" w:rsidR="00C82DEF" w:rsidRPr="00A5474E" w:rsidRDefault="00C82DEF"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50B3AE" w14:textId="77777777" w:rsidR="00C82DEF" w:rsidRPr="00622A3B" w:rsidRDefault="00C82DEF"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5301FC">
      <w:rPr>
        <w:noProof/>
      </w:rPr>
      <w:t>10</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14:paraId="620A177D" w14:textId="77777777" w:rsidR="00C82DEF" w:rsidRPr="00A5474E" w:rsidRDefault="00C82DEF"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9F6A5D" w14:textId="77777777" w:rsidR="00C82DEF" w:rsidRPr="00622A3B" w:rsidRDefault="00C82DEF" w:rsidP="008F5B03">
    <w:pPr>
      <w:pStyle w:val="Footer"/>
      <w:framePr w:w="2865" w:h="357" w:hRule="exact" w:vSpace="425" w:wrap="around" w:vAnchor="page" w:hAnchor="page" w:x="7335" w:y="16166"/>
      <w:pBdr>
        <w:top w:val="single" w:sz="4" w:space="1" w:color="auto"/>
      </w:pBdr>
      <w:tabs>
        <w:tab w:val="clear" w:pos="113"/>
        <w:tab w:val="left" w:pos="397"/>
      </w:tabs>
      <w:ind w:left="1560"/>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5301FC">
      <w:rPr>
        <w:noProof/>
        <w:color w:val="505050"/>
      </w:rPr>
      <w:t>9</w:t>
    </w:r>
    <w:r w:rsidRPr="00575AC5">
      <w:rPr>
        <w:color w:val="505050"/>
      </w:rPr>
      <w:fldChar w:fldCharType="end"/>
    </w:r>
  </w:p>
  <w:p w14:paraId="61C057C3" w14:textId="77777777" w:rsidR="00C82DEF" w:rsidRPr="00A5474E" w:rsidRDefault="00C82DEF"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9843CA" w14:textId="77777777" w:rsidR="00C82DEF" w:rsidRDefault="00C82DEF">
      <w:r>
        <w:separator/>
      </w:r>
    </w:p>
  </w:footnote>
  <w:footnote w:type="continuationSeparator" w:id="0">
    <w:p w14:paraId="69E65A9E" w14:textId="77777777" w:rsidR="00C82DEF" w:rsidRDefault="00C82DEF">
      <w:r>
        <w:continuationSeparator/>
      </w:r>
    </w:p>
  </w:footnote>
  <w:footnote w:type="continuationNotice" w:id="1">
    <w:p w14:paraId="459E86AD" w14:textId="77777777" w:rsidR="00C82DEF" w:rsidRDefault="00C82DEF">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E855F1" w14:textId="77777777" w:rsidR="00C82DEF" w:rsidRDefault="00C82D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68B0E9" w14:textId="77777777" w:rsidR="00C82DEF" w:rsidRPr="00A5474E" w:rsidRDefault="00C82DEF" w:rsidP="00A5474E">
    <w:pPr>
      <w:pStyle w:val="Header"/>
    </w:pPr>
    <w:r>
      <w:rPr>
        <w:noProof/>
      </w:rPr>
      <w:drawing>
        <wp:inline distT="0" distB="0" distL="0" distR="0" wp14:anchorId="652E7692" wp14:editId="4287B61A">
          <wp:extent cx="6388100" cy="520700"/>
          <wp:effectExtent l="0" t="0" r="0" b="12700"/>
          <wp:docPr id="13" name="Picture 13"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751B80" w14:textId="77777777" w:rsidR="00C82DEF" w:rsidRPr="00A5474E" w:rsidRDefault="00C82DEF"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7B7394" w14:textId="77777777" w:rsidR="00C82DEF" w:rsidRDefault="00C82DE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31E830" w14:textId="77777777" w:rsidR="00C82DEF" w:rsidRDefault="00C82DEF">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C82DEF" w14:paraId="79ADE5EA" w14:textId="77777777" w:rsidTr="00244C97">
      <w:trPr>
        <w:trHeight w:hRule="exact" w:val="988"/>
      </w:trPr>
      <w:tc>
        <w:tcPr>
          <w:tcW w:w="7678" w:type="dxa"/>
          <w:shd w:val="clear" w:color="auto" w:fill="auto"/>
        </w:tcPr>
        <w:p w14:paraId="27300EA0" w14:textId="77777777" w:rsidR="00C82DEF" w:rsidRDefault="00C82DEF" w:rsidP="0078252F">
          <w:pPr>
            <w:pStyle w:val="Header"/>
          </w:pPr>
        </w:p>
      </w:tc>
    </w:tr>
    <w:tr w:rsidR="00C82DEF" w14:paraId="648B44B6" w14:textId="77777777" w:rsidTr="00244C97">
      <w:tc>
        <w:tcPr>
          <w:tcW w:w="7678" w:type="dxa"/>
          <w:shd w:val="clear" w:color="auto" w:fill="auto"/>
        </w:tcPr>
        <w:p w14:paraId="1F5A4163" w14:textId="77777777" w:rsidR="00C82DEF" w:rsidRDefault="00C82DEF" w:rsidP="0078252F">
          <w:pPr>
            <w:pStyle w:val="GridTable31"/>
          </w:pPr>
          <w:r>
            <w:t xml:space="preserve">Contents </w:t>
          </w:r>
          <w:r w:rsidRPr="00915B1C">
            <w:rPr>
              <w:b w:val="0"/>
              <w:spacing w:val="0"/>
              <w:sz w:val="28"/>
              <w:szCs w:val="28"/>
            </w:rPr>
            <w:t>(Continued)</w:t>
          </w:r>
        </w:p>
      </w:tc>
    </w:tr>
    <w:tr w:rsidR="00C82DEF" w14:paraId="6CE5446C" w14:textId="77777777" w:rsidTr="00244C97">
      <w:trPr>
        <w:trHeight w:val="1220"/>
      </w:trPr>
      <w:tc>
        <w:tcPr>
          <w:tcW w:w="7678" w:type="dxa"/>
          <w:shd w:val="clear" w:color="auto" w:fill="auto"/>
        </w:tcPr>
        <w:p w14:paraId="4DD7DA79" w14:textId="77777777" w:rsidR="00C82DEF" w:rsidRDefault="00C82DEF" w:rsidP="0078252F"/>
      </w:tc>
    </w:tr>
  </w:tbl>
  <w:p w14:paraId="327ED5BA" w14:textId="77777777" w:rsidR="00C82DEF" w:rsidRPr="00A5474E" w:rsidRDefault="00C82DEF"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C82DEF" w14:paraId="4E19D7AE" w14:textId="77777777" w:rsidTr="00244C97">
      <w:trPr>
        <w:trHeight w:hRule="exact" w:val="988"/>
      </w:trPr>
      <w:tc>
        <w:tcPr>
          <w:tcW w:w="7678" w:type="dxa"/>
          <w:shd w:val="clear" w:color="auto" w:fill="auto"/>
        </w:tcPr>
        <w:p w14:paraId="35991DD2" w14:textId="77777777" w:rsidR="00C82DEF" w:rsidRDefault="00C82DEF" w:rsidP="0078252F">
          <w:pPr>
            <w:pStyle w:val="Header"/>
          </w:pPr>
        </w:p>
      </w:tc>
    </w:tr>
    <w:tr w:rsidR="00C82DEF" w14:paraId="10E0EFD1" w14:textId="77777777" w:rsidTr="00244C97">
      <w:tc>
        <w:tcPr>
          <w:tcW w:w="7678" w:type="dxa"/>
          <w:shd w:val="clear" w:color="auto" w:fill="auto"/>
        </w:tcPr>
        <w:p w14:paraId="5074189C" w14:textId="77777777" w:rsidR="00C82DEF" w:rsidRDefault="00C82DEF" w:rsidP="0078252F">
          <w:pPr>
            <w:pStyle w:val="GridTable31"/>
          </w:pPr>
          <w:r>
            <w:t xml:space="preserve">Contents </w:t>
          </w:r>
          <w:r w:rsidRPr="00915B1C">
            <w:rPr>
              <w:b w:val="0"/>
              <w:spacing w:val="0"/>
              <w:sz w:val="28"/>
              <w:szCs w:val="28"/>
            </w:rPr>
            <w:t>(Continued)</w:t>
          </w:r>
        </w:p>
      </w:tc>
    </w:tr>
    <w:tr w:rsidR="00C82DEF" w14:paraId="2653C8AB" w14:textId="77777777" w:rsidTr="00244C97">
      <w:trPr>
        <w:trHeight w:val="1220"/>
      </w:trPr>
      <w:tc>
        <w:tcPr>
          <w:tcW w:w="7678" w:type="dxa"/>
          <w:shd w:val="clear" w:color="auto" w:fill="auto"/>
        </w:tcPr>
        <w:p w14:paraId="205CE1EB" w14:textId="77777777" w:rsidR="00C82DEF" w:rsidRDefault="00C82DEF" w:rsidP="0078252F"/>
      </w:tc>
    </w:tr>
  </w:tbl>
  <w:p w14:paraId="774608DB" w14:textId="77777777" w:rsidR="00C82DEF" w:rsidRPr="00A5474E" w:rsidRDefault="00C82DEF"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92E180" w14:textId="77777777" w:rsidR="00C82DEF" w:rsidRDefault="00C82DEF">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6D547B" w14:textId="77777777" w:rsidR="00C82DEF" w:rsidRDefault="00C82DEF" w:rsidP="00970C00">
    <w:pPr>
      <w:pStyle w:val="Header"/>
      <w:tabs>
        <w:tab w:val="clear" w:pos="4153"/>
        <w:tab w:val="clear" w:pos="8306"/>
        <w:tab w:val="left" w:pos="3465"/>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8D3CD994"/>
    <w:lvl w:ilvl="0">
      <w:start w:val="1"/>
      <w:numFmt w:val="decimal"/>
      <w:lvlText w:val="%1."/>
      <w:lvlJc w:val="left"/>
      <w:pPr>
        <w:tabs>
          <w:tab w:val="num" w:pos="1492"/>
        </w:tabs>
        <w:ind w:left="1492" w:hanging="360"/>
      </w:pPr>
    </w:lvl>
  </w:abstractNum>
  <w:abstractNum w:abstractNumId="1">
    <w:nsid w:val="FFFFFF7D"/>
    <w:multiLevelType w:val="singleLevel"/>
    <w:tmpl w:val="F6F6CCD4"/>
    <w:lvl w:ilvl="0">
      <w:start w:val="1"/>
      <w:numFmt w:val="decimal"/>
      <w:lvlText w:val="%1."/>
      <w:lvlJc w:val="left"/>
      <w:pPr>
        <w:tabs>
          <w:tab w:val="num" w:pos="1209"/>
        </w:tabs>
        <w:ind w:left="1209" w:hanging="360"/>
      </w:pPr>
    </w:lvl>
  </w:abstractNum>
  <w:abstractNum w:abstractNumId="2">
    <w:nsid w:val="FFFFFF7E"/>
    <w:multiLevelType w:val="singleLevel"/>
    <w:tmpl w:val="6CE4FA64"/>
    <w:lvl w:ilvl="0">
      <w:start w:val="1"/>
      <w:numFmt w:val="decimal"/>
      <w:lvlText w:val="%1."/>
      <w:lvlJc w:val="left"/>
      <w:pPr>
        <w:tabs>
          <w:tab w:val="num" w:pos="926"/>
        </w:tabs>
        <w:ind w:left="926" w:hanging="360"/>
      </w:pPr>
    </w:lvl>
  </w:abstractNum>
  <w:abstractNum w:abstractNumId="3">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4">
    <w:nsid w:val="FFFFFF80"/>
    <w:multiLevelType w:val="singleLevel"/>
    <w:tmpl w:val="192C0A5A"/>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904A31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FC6A0D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1DACB0F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1F65CEC"/>
    <w:multiLevelType w:val="multilevel"/>
    <w:tmpl w:val="069256AE"/>
    <w:lvl w:ilvl="0">
      <w:start w:val="1"/>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1">
    <w:nsid w:val="068D11FE"/>
    <w:multiLevelType w:val="hybridMultilevel"/>
    <w:tmpl w:val="1F72B50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643"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nsid w:val="55AA21F0"/>
    <w:multiLevelType w:val="hybridMultilevel"/>
    <w:tmpl w:val="1A021FE2"/>
    <w:lvl w:ilvl="0" w:tplc="3AFC284A">
      <w:start w:val="1"/>
      <w:numFmt w:val="decimal"/>
      <w:pStyle w:val="ACMATableHeader"/>
      <w:lvlText w:val="Table 1.%1"/>
      <w:lvlJc w:val="left"/>
      <w:pPr>
        <w:tabs>
          <w:tab w:val="num" w:pos="1532"/>
        </w:tabs>
        <w:ind w:left="1532"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5BD426BD"/>
    <w:multiLevelType w:val="hybridMultilevel"/>
    <w:tmpl w:val="C672B630"/>
    <w:lvl w:ilvl="0" w:tplc="CFBCF618">
      <w:start w:val="1"/>
      <w:numFmt w:val="bullet"/>
      <w:pStyle w:val="Bulletedlis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17">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D327938"/>
    <w:multiLevelType w:val="hybridMultilevel"/>
    <w:tmpl w:val="5136FBB6"/>
    <w:lvl w:ilvl="0" w:tplc="C7686166">
      <w:start w:val="1"/>
      <w:numFmt w:val="bullet"/>
      <w:lvlText w:val="&gt;"/>
      <w:lvlJc w:val="left"/>
      <w:pPr>
        <w:ind w:left="417" w:hanging="360"/>
      </w:pPr>
      <w:rPr>
        <w:rFonts w:ascii="Calibri" w:hAnsi="Calibri" w:hint="default"/>
        <w:b w:val="0"/>
        <w:i w:val="0"/>
      </w:rPr>
    </w:lvl>
    <w:lvl w:ilvl="1" w:tplc="0C090003">
      <w:start w:val="1"/>
      <w:numFmt w:val="bullet"/>
      <w:lvlText w:val="o"/>
      <w:lvlJc w:val="left"/>
      <w:pPr>
        <w:ind w:left="1137" w:hanging="360"/>
      </w:pPr>
      <w:rPr>
        <w:rFonts w:ascii="Courier New" w:hAnsi="Courier New" w:cs="Courier New" w:hint="default"/>
      </w:rPr>
    </w:lvl>
    <w:lvl w:ilvl="2" w:tplc="0C090005" w:tentative="1">
      <w:start w:val="1"/>
      <w:numFmt w:val="bullet"/>
      <w:lvlText w:val=""/>
      <w:lvlJc w:val="left"/>
      <w:pPr>
        <w:ind w:left="1857" w:hanging="360"/>
      </w:pPr>
      <w:rPr>
        <w:rFonts w:ascii="Wingdings" w:hAnsi="Wingdings" w:hint="default"/>
      </w:rPr>
    </w:lvl>
    <w:lvl w:ilvl="3" w:tplc="0C090001" w:tentative="1">
      <w:start w:val="1"/>
      <w:numFmt w:val="bullet"/>
      <w:lvlText w:val=""/>
      <w:lvlJc w:val="left"/>
      <w:pPr>
        <w:ind w:left="2577" w:hanging="360"/>
      </w:pPr>
      <w:rPr>
        <w:rFonts w:ascii="Symbol" w:hAnsi="Symbol" w:hint="default"/>
      </w:rPr>
    </w:lvl>
    <w:lvl w:ilvl="4" w:tplc="0C090003" w:tentative="1">
      <w:start w:val="1"/>
      <w:numFmt w:val="bullet"/>
      <w:lvlText w:val="o"/>
      <w:lvlJc w:val="left"/>
      <w:pPr>
        <w:ind w:left="3297" w:hanging="360"/>
      </w:pPr>
      <w:rPr>
        <w:rFonts w:ascii="Courier New" w:hAnsi="Courier New" w:cs="Courier New" w:hint="default"/>
      </w:rPr>
    </w:lvl>
    <w:lvl w:ilvl="5" w:tplc="0C090005" w:tentative="1">
      <w:start w:val="1"/>
      <w:numFmt w:val="bullet"/>
      <w:lvlText w:val=""/>
      <w:lvlJc w:val="left"/>
      <w:pPr>
        <w:ind w:left="4017" w:hanging="360"/>
      </w:pPr>
      <w:rPr>
        <w:rFonts w:ascii="Wingdings" w:hAnsi="Wingdings" w:hint="default"/>
      </w:rPr>
    </w:lvl>
    <w:lvl w:ilvl="6" w:tplc="0C090001" w:tentative="1">
      <w:start w:val="1"/>
      <w:numFmt w:val="bullet"/>
      <w:lvlText w:val=""/>
      <w:lvlJc w:val="left"/>
      <w:pPr>
        <w:ind w:left="4737" w:hanging="360"/>
      </w:pPr>
      <w:rPr>
        <w:rFonts w:ascii="Symbol" w:hAnsi="Symbol" w:hint="default"/>
      </w:rPr>
    </w:lvl>
    <w:lvl w:ilvl="7" w:tplc="0C090003" w:tentative="1">
      <w:start w:val="1"/>
      <w:numFmt w:val="bullet"/>
      <w:lvlText w:val="o"/>
      <w:lvlJc w:val="left"/>
      <w:pPr>
        <w:ind w:left="5457" w:hanging="360"/>
      </w:pPr>
      <w:rPr>
        <w:rFonts w:ascii="Courier New" w:hAnsi="Courier New" w:cs="Courier New" w:hint="default"/>
      </w:rPr>
    </w:lvl>
    <w:lvl w:ilvl="8" w:tplc="0C090005" w:tentative="1">
      <w:start w:val="1"/>
      <w:numFmt w:val="bullet"/>
      <w:lvlText w:val=""/>
      <w:lvlJc w:val="left"/>
      <w:pPr>
        <w:ind w:left="6177" w:hanging="360"/>
      </w:pPr>
      <w:rPr>
        <w:rFonts w:ascii="Wingdings" w:hAnsi="Wingdings" w:hint="default"/>
      </w:rPr>
    </w:lvl>
  </w:abstractNum>
  <w:abstractNum w:abstractNumId="2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72305ADE"/>
    <w:multiLevelType w:val="hybridMultilevel"/>
    <w:tmpl w:val="B19C52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751C1502"/>
    <w:multiLevelType w:val="hybridMultilevel"/>
    <w:tmpl w:val="0FDCEFC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785"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7"/>
  </w:num>
  <w:num w:numId="3">
    <w:abstractNumId w:val="8"/>
  </w:num>
  <w:num w:numId="4">
    <w:abstractNumId w:val="3"/>
  </w:num>
  <w:num w:numId="5">
    <w:abstractNumId w:val="13"/>
  </w:num>
  <w:num w:numId="6">
    <w:abstractNumId w:val="18"/>
  </w:num>
  <w:num w:numId="7">
    <w:abstractNumId w:val="15"/>
  </w:num>
  <w:num w:numId="8">
    <w:abstractNumId w:val="17"/>
  </w:num>
  <w:num w:numId="9">
    <w:abstractNumId w:val="20"/>
  </w:num>
  <w:num w:numId="10">
    <w:abstractNumId w:val="14"/>
  </w:num>
  <w:num w:numId="11">
    <w:abstractNumId w:val="12"/>
  </w:num>
  <w:num w:numId="12">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9"/>
  </w:num>
  <w:num w:numId="14">
    <w:abstractNumId w:val="0"/>
  </w:num>
  <w:num w:numId="15">
    <w:abstractNumId w:val="22"/>
  </w:num>
  <w:num w:numId="16">
    <w:abstractNumId w:val="21"/>
  </w:num>
  <w:num w:numId="17">
    <w:abstractNumId w:val="11"/>
  </w:num>
  <w:num w:numId="18">
    <w:abstractNumId w:val="9"/>
  </w:num>
  <w:num w:numId="19">
    <w:abstractNumId w:val="6"/>
  </w:num>
  <w:num w:numId="20">
    <w:abstractNumId w:val="5"/>
  </w:num>
  <w:num w:numId="21">
    <w:abstractNumId w:val="4"/>
  </w:num>
  <w:num w:numId="22">
    <w:abstractNumId w:val="2"/>
  </w:num>
  <w:num w:numId="23">
    <w:abstractNumId w:val="1"/>
  </w:num>
  <w:num w:numId="24">
    <w:abstractNumId w:val="10"/>
  </w:num>
  <w:num w:numId="25">
    <w:abstractNumId w:val="18"/>
  </w:num>
  <w:num w:numId="26">
    <w:abstractNumId w:val="15"/>
  </w:num>
  <w:num w:numId="27">
    <w:abstractNumId w:val="15"/>
  </w:num>
  <w:num w:numId="28">
    <w:abstractNumId w:val="15"/>
  </w:num>
  <w:num w:numId="29">
    <w:abstractNumId w:val="15"/>
  </w:num>
  <w:num w:numId="30">
    <w:abstractNumId w:val="18"/>
  </w:num>
  <w:num w:numId="31">
    <w:abstractNumId w:val="18"/>
  </w:num>
  <w:num w:numId="32">
    <w:abstractNumId w:val="18"/>
  </w:num>
  <w:num w:numId="33">
    <w:abstractNumId w:val="18"/>
  </w:num>
  <w:num w:numId="34">
    <w:abstractNumId w:val="18"/>
  </w:num>
  <w:num w:numId="35">
    <w:abstractNumId w:val="18"/>
  </w:num>
  <w:num w:numId="36">
    <w:abstractNumId w:val="20"/>
  </w:num>
  <w:num w:numId="37">
    <w:abstractNumId w:val="1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12"/>
  <w:removePersonalInformation/>
  <w:removeDateAndTime/>
  <w:mirrorMargins/>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efaultTabStop w:val="284"/>
  <w:defaultTableStyle w:val="Commsreport2014-15TABLE"/>
  <w:evenAndOddHeaders/>
  <w:drawingGridHorizontalSpacing w:val="100"/>
  <w:displayHorizontalDrawingGridEvery w:val="2"/>
  <w:characterSpacingControl w:val="doNotCompress"/>
  <w:hdrShapeDefaults>
    <o:shapedefaults v:ext="edit" spidmax="67585">
      <o:colormru v:ext="edit" colors="red,#4d4d4f"/>
    </o:shapedefaults>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253D"/>
    <w:rsid w:val="00003199"/>
    <w:rsid w:val="00004DBE"/>
    <w:rsid w:val="00005A09"/>
    <w:rsid w:val="00006977"/>
    <w:rsid w:val="00010667"/>
    <w:rsid w:val="000123DF"/>
    <w:rsid w:val="000129D5"/>
    <w:rsid w:val="00012BBA"/>
    <w:rsid w:val="00012E30"/>
    <w:rsid w:val="00012F52"/>
    <w:rsid w:val="00014B4D"/>
    <w:rsid w:val="00014E67"/>
    <w:rsid w:val="00015AE7"/>
    <w:rsid w:val="00015B71"/>
    <w:rsid w:val="00015F09"/>
    <w:rsid w:val="00016AC7"/>
    <w:rsid w:val="00016B6B"/>
    <w:rsid w:val="00016C1D"/>
    <w:rsid w:val="00016E21"/>
    <w:rsid w:val="0001719C"/>
    <w:rsid w:val="00020C15"/>
    <w:rsid w:val="000216D5"/>
    <w:rsid w:val="0002374E"/>
    <w:rsid w:val="000247F5"/>
    <w:rsid w:val="00024AF1"/>
    <w:rsid w:val="00025557"/>
    <w:rsid w:val="00026641"/>
    <w:rsid w:val="000268B5"/>
    <w:rsid w:val="00026F91"/>
    <w:rsid w:val="000300B9"/>
    <w:rsid w:val="000309CE"/>
    <w:rsid w:val="000317E5"/>
    <w:rsid w:val="00031959"/>
    <w:rsid w:val="00033422"/>
    <w:rsid w:val="0004185D"/>
    <w:rsid w:val="00044B4B"/>
    <w:rsid w:val="000456C5"/>
    <w:rsid w:val="00045BDA"/>
    <w:rsid w:val="00046044"/>
    <w:rsid w:val="00046C50"/>
    <w:rsid w:val="0005011A"/>
    <w:rsid w:val="000503E8"/>
    <w:rsid w:val="0005045A"/>
    <w:rsid w:val="00051C1E"/>
    <w:rsid w:val="00052A5F"/>
    <w:rsid w:val="00053979"/>
    <w:rsid w:val="000539F9"/>
    <w:rsid w:val="000545C8"/>
    <w:rsid w:val="00054C27"/>
    <w:rsid w:val="00054D26"/>
    <w:rsid w:val="000550FE"/>
    <w:rsid w:val="00055EC3"/>
    <w:rsid w:val="00055FD3"/>
    <w:rsid w:val="000563CE"/>
    <w:rsid w:val="00057E19"/>
    <w:rsid w:val="00060DF3"/>
    <w:rsid w:val="0006141E"/>
    <w:rsid w:val="00062DAF"/>
    <w:rsid w:val="000659B6"/>
    <w:rsid w:val="000664F7"/>
    <w:rsid w:val="0006669E"/>
    <w:rsid w:val="00066D7F"/>
    <w:rsid w:val="0006722A"/>
    <w:rsid w:val="00070361"/>
    <w:rsid w:val="00070923"/>
    <w:rsid w:val="00071CE6"/>
    <w:rsid w:val="000732CF"/>
    <w:rsid w:val="0007421E"/>
    <w:rsid w:val="00074231"/>
    <w:rsid w:val="00075B96"/>
    <w:rsid w:val="00076857"/>
    <w:rsid w:val="00076D36"/>
    <w:rsid w:val="0007750D"/>
    <w:rsid w:val="000812D2"/>
    <w:rsid w:val="00081625"/>
    <w:rsid w:val="0008196A"/>
    <w:rsid w:val="00081EDC"/>
    <w:rsid w:val="000824C1"/>
    <w:rsid w:val="000827E9"/>
    <w:rsid w:val="00085760"/>
    <w:rsid w:val="00085A84"/>
    <w:rsid w:val="0008600E"/>
    <w:rsid w:val="0008669F"/>
    <w:rsid w:val="00087D06"/>
    <w:rsid w:val="00087D74"/>
    <w:rsid w:val="000915ED"/>
    <w:rsid w:val="00091E76"/>
    <w:rsid w:val="0009204A"/>
    <w:rsid w:val="0009209D"/>
    <w:rsid w:val="000936AE"/>
    <w:rsid w:val="00093D83"/>
    <w:rsid w:val="000949D4"/>
    <w:rsid w:val="000969BD"/>
    <w:rsid w:val="000969BF"/>
    <w:rsid w:val="00096AA1"/>
    <w:rsid w:val="000977BB"/>
    <w:rsid w:val="000A0399"/>
    <w:rsid w:val="000A0C22"/>
    <w:rsid w:val="000A2898"/>
    <w:rsid w:val="000A3C43"/>
    <w:rsid w:val="000A4A51"/>
    <w:rsid w:val="000A5D2B"/>
    <w:rsid w:val="000A7842"/>
    <w:rsid w:val="000A7AE7"/>
    <w:rsid w:val="000A7CDF"/>
    <w:rsid w:val="000B1962"/>
    <w:rsid w:val="000B2BBA"/>
    <w:rsid w:val="000B3AFF"/>
    <w:rsid w:val="000B57C9"/>
    <w:rsid w:val="000B5DE3"/>
    <w:rsid w:val="000B7653"/>
    <w:rsid w:val="000C0A57"/>
    <w:rsid w:val="000C230C"/>
    <w:rsid w:val="000C297D"/>
    <w:rsid w:val="000C3DBE"/>
    <w:rsid w:val="000C4870"/>
    <w:rsid w:val="000C5657"/>
    <w:rsid w:val="000D0BC6"/>
    <w:rsid w:val="000D1C6F"/>
    <w:rsid w:val="000D71D9"/>
    <w:rsid w:val="000D76E0"/>
    <w:rsid w:val="000D7E8B"/>
    <w:rsid w:val="000E02E0"/>
    <w:rsid w:val="000E0B8D"/>
    <w:rsid w:val="000E120C"/>
    <w:rsid w:val="000E2EE8"/>
    <w:rsid w:val="000E37CF"/>
    <w:rsid w:val="000E39B8"/>
    <w:rsid w:val="000E3AEA"/>
    <w:rsid w:val="000E424B"/>
    <w:rsid w:val="000E4449"/>
    <w:rsid w:val="000E46C9"/>
    <w:rsid w:val="000E4F20"/>
    <w:rsid w:val="000E5162"/>
    <w:rsid w:val="000E6097"/>
    <w:rsid w:val="000F0832"/>
    <w:rsid w:val="000F09AC"/>
    <w:rsid w:val="000F1A43"/>
    <w:rsid w:val="000F5736"/>
    <w:rsid w:val="000F748F"/>
    <w:rsid w:val="0010217F"/>
    <w:rsid w:val="0010318A"/>
    <w:rsid w:val="00103829"/>
    <w:rsid w:val="00104698"/>
    <w:rsid w:val="0010556B"/>
    <w:rsid w:val="00110E17"/>
    <w:rsid w:val="00111FCE"/>
    <w:rsid w:val="00113255"/>
    <w:rsid w:val="0011426C"/>
    <w:rsid w:val="001158DF"/>
    <w:rsid w:val="00115E24"/>
    <w:rsid w:val="001175F6"/>
    <w:rsid w:val="00117A76"/>
    <w:rsid w:val="00120C79"/>
    <w:rsid w:val="001229A5"/>
    <w:rsid w:val="00122AB4"/>
    <w:rsid w:val="001231DC"/>
    <w:rsid w:val="00123586"/>
    <w:rsid w:val="0012387E"/>
    <w:rsid w:val="00123B33"/>
    <w:rsid w:val="0012489B"/>
    <w:rsid w:val="001276AF"/>
    <w:rsid w:val="00130017"/>
    <w:rsid w:val="00130F91"/>
    <w:rsid w:val="00131B6E"/>
    <w:rsid w:val="00131B91"/>
    <w:rsid w:val="00132332"/>
    <w:rsid w:val="0013238F"/>
    <w:rsid w:val="00133157"/>
    <w:rsid w:val="0013625C"/>
    <w:rsid w:val="001364CE"/>
    <w:rsid w:val="00137424"/>
    <w:rsid w:val="00140318"/>
    <w:rsid w:val="001415A8"/>
    <w:rsid w:val="00141AD9"/>
    <w:rsid w:val="00142F3C"/>
    <w:rsid w:val="0014452B"/>
    <w:rsid w:val="00144D96"/>
    <w:rsid w:val="00146452"/>
    <w:rsid w:val="00146CE6"/>
    <w:rsid w:val="001502EB"/>
    <w:rsid w:val="001515F0"/>
    <w:rsid w:val="00151649"/>
    <w:rsid w:val="00152903"/>
    <w:rsid w:val="00152E98"/>
    <w:rsid w:val="00152EB4"/>
    <w:rsid w:val="00154DCD"/>
    <w:rsid w:val="00154F86"/>
    <w:rsid w:val="00155612"/>
    <w:rsid w:val="0015614F"/>
    <w:rsid w:val="001577C2"/>
    <w:rsid w:val="00157C97"/>
    <w:rsid w:val="001629D6"/>
    <w:rsid w:val="001633C4"/>
    <w:rsid w:val="0016371D"/>
    <w:rsid w:val="001657EE"/>
    <w:rsid w:val="00165805"/>
    <w:rsid w:val="0016710A"/>
    <w:rsid w:val="0016792F"/>
    <w:rsid w:val="00171591"/>
    <w:rsid w:val="00173981"/>
    <w:rsid w:val="0017542A"/>
    <w:rsid w:val="00175C11"/>
    <w:rsid w:val="00175F03"/>
    <w:rsid w:val="0017681E"/>
    <w:rsid w:val="0017719D"/>
    <w:rsid w:val="001821F9"/>
    <w:rsid w:val="00185464"/>
    <w:rsid w:val="00185CAB"/>
    <w:rsid w:val="001875B7"/>
    <w:rsid w:val="00187CB3"/>
    <w:rsid w:val="00190316"/>
    <w:rsid w:val="0019050A"/>
    <w:rsid w:val="001910D4"/>
    <w:rsid w:val="001916BC"/>
    <w:rsid w:val="00192039"/>
    <w:rsid w:val="00192CA2"/>
    <w:rsid w:val="0019393B"/>
    <w:rsid w:val="0019508A"/>
    <w:rsid w:val="001950FE"/>
    <w:rsid w:val="001952CF"/>
    <w:rsid w:val="00195313"/>
    <w:rsid w:val="001976E3"/>
    <w:rsid w:val="001A0A4A"/>
    <w:rsid w:val="001A2A07"/>
    <w:rsid w:val="001A38CC"/>
    <w:rsid w:val="001A3E85"/>
    <w:rsid w:val="001A44EC"/>
    <w:rsid w:val="001A72FF"/>
    <w:rsid w:val="001A7E20"/>
    <w:rsid w:val="001B105C"/>
    <w:rsid w:val="001B44B8"/>
    <w:rsid w:val="001B58AA"/>
    <w:rsid w:val="001B5F6F"/>
    <w:rsid w:val="001B7E48"/>
    <w:rsid w:val="001C17CE"/>
    <w:rsid w:val="001C1805"/>
    <w:rsid w:val="001C1D0F"/>
    <w:rsid w:val="001C2DB0"/>
    <w:rsid w:val="001C36CA"/>
    <w:rsid w:val="001C3E7C"/>
    <w:rsid w:val="001C4427"/>
    <w:rsid w:val="001C44D1"/>
    <w:rsid w:val="001C6AEE"/>
    <w:rsid w:val="001C7450"/>
    <w:rsid w:val="001C7630"/>
    <w:rsid w:val="001C7C3C"/>
    <w:rsid w:val="001C7D2A"/>
    <w:rsid w:val="001D2F67"/>
    <w:rsid w:val="001D4E81"/>
    <w:rsid w:val="001D52E8"/>
    <w:rsid w:val="001D6D15"/>
    <w:rsid w:val="001E6A89"/>
    <w:rsid w:val="001E7514"/>
    <w:rsid w:val="001F0646"/>
    <w:rsid w:val="001F2AC5"/>
    <w:rsid w:val="001F4CED"/>
    <w:rsid w:val="001F6BFE"/>
    <w:rsid w:val="001F7558"/>
    <w:rsid w:val="002006FB"/>
    <w:rsid w:val="00200D4F"/>
    <w:rsid w:val="002034B4"/>
    <w:rsid w:val="00205B57"/>
    <w:rsid w:val="002060CC"/>
    <w:rsid w:val="0020744B"/>
    <w:rsid w:val="002100BD"/>
    <w:rsid w:val="0021038D"/>
    <w:rsid w:val="002109E3"/>
    <w:rsid w:val="00210CC8"/>
    <w:rsid w:val="0021106E"/>
    <w:rsid w:val="00211DC5"/>
    <w:rsid w:val="0021202A"/>
    <w:rsid w:val="00213643"/>
    <w:rsid w:val="0021374C"/>
    <w:rsid w:val="0021573C"/>
    <w:rsid w:val="002157E0"/>
    <w:rsid w:val="002165FF"/>
    <w:rsid w:val="00216A57"/>
    <w:rsid w:val="00216D8C"/>
    <w:rsid w:val="00217CED"/>
    <w:rsid w:val="00221754"/>
    <w:rsid w:val="002219EC"/>
    <w:rsid w:val="0022210A"/>
    <w:rsid w:val="0022218E"/>
    <w:rsid w:val="00222A4C"/>
    <w:rsid w:val="0022334F"/>
    <w:rsid w:val="0022383D"/>
    <w:rsid w:val="00226819"/>
    <w:rsid w:val="00226BCA"/>
    <w:rsid w:val="00231AFB"/>
    <w:rsid w:val="00231E53"/>
    <w:rsid w:val="00233101"/>
    <w:rsid w:val="00233817"/>
    <w:rsid w:val="00233BF4"/>
    <w:rsid w:val="002367FF"/>
    <w:rsid w:val="00236D2A"/>
    <w:rsid w:val="00240CE9"/>
    <w:rsid w:val="002434BA"/>
    <w:rsid w:val="002443C4"/>
    <w:rsid w:val="00244C97"/>
    <w:rsid w:val="00246089"/>
    <w:rsid w:val="00246093"/>
    <w:rsid w:val="0024643D"/>
    <w:rsid w:val="00246702"/>
    <w:rsid w:val="00247337"/>
    <w:rsid w:val="00247C59"/>
    <w:rsid w:val="00247C5E"/>
    <w:rsid w:val="00247F2E"/>
    <w:rsid w:val="00250ADC"/>
    <w:rsid w:val="00250B07"/>
    <w:rsid w:val="00251271"/>
    <w:rsid w:val="00251A3E"/>
    <w:rsid w:val="00251DA6"/>
    <w:rsid w:val="002537A2"/>
    <w:rsid w:val="0025418B"/>
    <w:rsid w:val="00256D66"/>
    <w:rsid w:val="00257553"/>
    <w:rsid w:val="00260A09"/>
    <w:rsid w:val="00260F00"/>
    <w:rsid w:val="00260FB2"/>
    <w:rsid w:val="00262128"/>
    <w:rsid w:val="00262448"/>
    <w:rsid w:val="0026295A"/>
    <w:rsid w:val="00262B3E"/>
    <w:rsid w:val="00262B5B"/>
    <w:rsid w:val="002654CD"/>
    <w:rsid w:val="00265967"/>
    <w:rsid w:val="0026787A"/>
    <w:rsid w:val="0027165D"/>
    <w:rsid w:val="00273CEB"/>
    <w:rsid w:val="0027444A"/>
    <w:rsid w:val="002744B0"/>
    <w:rsid w:val="00274A94"/>
    <w:rsid w:val="0027596E"/>
    <w:rsid w:val="002762B2"/>
    <w:rsid w:val="002765EE"/>
    <w:rsid w:val="00277915"/>
    <w:rsid w:val="00277C4F"/>
    <w:rsid w:val="00277CBA"/>
    <w:rsid w:val="00277D56"/>
    <w:rsid w:val="00280866"/>
    <w:rsid w:val="00281C89"/>
    <w:rsid w:val="0028282F"/>
    <w:rsid w:val="00283494"/>
    <w:rsid w:val="00284BB6"/>
    <w:rsid w:val="00284D7E"/>
    <w:rsid w:val="00285292"/>
    <w:rsid w:val="00290911"/>
    <w:rsid w:val="002911D3"/>
    <w:rsid w:val="002927BE"/>
    <w:rsid w:val="00293807"/>
    <w:rsid w:val="0029593B"/>
    <w:rsid w:val="00295AD6"/>
    <w:rsid w:val="00297A0A"/>
    <w:rsid w:val="00297FC5"/>
    <w:rsid w:val="002A0417"/>
    <w:rsid w:val="002A16D8"/>
    <w:rsid w:val="002A1BC8"/>
    <w:rsid w:val="002A210C"/>
    <w:rsid w:val="002A2406"/>
    <w:rsid w:val="002A3EF2"/>
    <w:rsid w:val="002A5A65"/>
    <w:rsid w:val="002B0CA7"/>
    <w:rsid w:val="002B0DED"/>
    <w:rsid w:val="002B19A2"/>
    <w:rsid w:val="002B381A"/>
    <w:rsid w:val="002B4947"/>
    <w:rsid w:val="002B4AC6"/>
    <w:rsid w:val="002B4DBD"/>
    <w:rsid w:val="002B4FCC"/>
    <w:rsid w:val="002B6F51"/>
    <w:rsid w:val="002B6F85"/>
    <w:rsid w:val="002B7408"/>
    <w:rsid w:val="002B7CFD"/>
    <w:rsid w:val="002C210F"/>
    <w:rsid w:val="002C2A91"/>
    <w:rsid w:val="002C3191"/>
    <w:rsid w:val="002C4513"/>
    <w:rsid w:val="002C46E4"/>
    <w:rsid w:val="002D0105"/>
    <w:rsid w:val="002D3600"/>
    <w:rsid w:val="002D3DAC"/>
    <w:rsid w:val="002D5A69"/>
    <w:rsid w:val="002D6233"/>
    <w:rsid w:val="002D6486"/>
    <w:rsid w:val="002E03CE"/>
    <w:rsid w:val="002E1CD5"/>
    <w:rsid w:val="002E2EC5"/>
    <w:rsid w:val="002E3388"/>
    <w:rsid w:val="002E4239"/>
    <w:rsid w:val="002E44DE"/>
    <w:rsid w:val="002E4A82"/>
    <w:rsid w:val="002E4DDC"/>
    <w:rsid w:val="002F4DB3"/>
    <w:rsid w:val="002F6572"/>
    <w:rsid w:val="00300087"/>
    <w:rsid w:val="00301B66"/>
    <w:rsid w:val="00302480"/>
    <w:rsid w:val="00302F63"/>
    <w:rsid w:val="0030495D"/>
    <w:rsid w:val="00305650"/>
    <w:rsid w:val="00305E39"/>
    <w:rsid w:val="00306835"/>
    <w:rsid w:val="00307755"/>
    <w:rsid w:val="003079D2"/>
    <w:rsid w:val="00311544"/>
    <w:rsid w:val="00311858"/>
    <w:rsid w:val="0031402D"/>
    <w:rsid w:val="00314FB5"/>
    <w:rsid w:val="003165E6"/>
    <w:rsid w:val="003202FB"/>
    <w:rsid w:val="003212C4"/>
    <w:rsid w:val="00321943"/>
    <w:rsid w:val="00321EE9"/>
    <w:rsid w:val="003221CF"/>
    <w:rsid w:val="0032299D"/>
    <w:rsid w:val="003233ED"/>
    <w:rsid w:val="00324D9F"/>
    <w:rsid w:val="00327948"/>
    <w:rsid w:val="0033000F"/>
    <w:rsid w:val="003304F1"/>
    <w:rsid w:val="00330E4E"/>
    <w:rsid w:val="00332011"/>
    <w:rsid w:val="00332518"/>
    <w:rsid w:val="00332925"/>
    <w:rsid w:val="003332ED"/>
    <w:rsid w:val="003333EA"/>
    <w:rsid w:val="003368DC"/>
    <w:rsid w:val="0033761E"/>
    <w:rsid w:val="003433F7"/>
    <w:rsid w:val="00343537"/>
    <w:rsid w:val="0034422B"/>
    <w:rsid w:val="00345927"/>
    <w:rsid w:val="00346D82"/>
    <w:rsid w:val="00350584"/>
    <w:rsid w:val="003507F4"/>
    <w:rsid w:val="00351094"/>
    <w:rsid w:val="00351857"/>
    <w:rsid w:val="003520FD"/>
    <w:rsid w:val="00357D8F"/>
    <w:rsid w:val="003606B3"/>
    <w:rsid w:val="003610C8"/>
    <w:rsid w:val="003610E1"/>
    <w:rsid w:val="0036165D"/>
    <w:rsid w:val="00363F41"/>
    <w:rsid w:val="003656C5"/>
    <w:rsid w:val="00365B81"/>
    <w:rsid w:val="0036604D"/>
    <w:rsid w:val="003671BE"/>
    <w:rsid w:val="00367B6C"/>
    <w:rsid w:val="00370699"/>
    <w:rsid w:val="003708BA"/>
    <w:rsid w:val="00370D5B"/>
    <w:rsid w:val="00370F4E"/>
    <w:rsid w:val="00371179"/>
    <w:rsid w:val="00371E1E"/>
    <w:rsid w:val="00372485"/>
    <w:rsid w:val="00372D19"/>
    <w:rsid w:val="00373200"/>
    <w:rsid w:val="003738C3"/>
    <w:rsid w:val="00375EF5"/>
    <w:rsid w:val="003767A5"/>
    <w:rsid w:val="00376B6D"/>
    <w:rsid w:val="003770DB"/>
    <w:rsid w:val="00380071"/>
    <w:rsid w:val="00380CCB"/>
    <w:rsid w:val="00381CB2"/>
    <w:rsid w:val="00383144"/>
    <w:rsid w:val="00385254"/>
    <w:rsid w:val="00385DFE"/>
    <w:rsid w:val="003864DA"/>
    <w:rsid w:val="00386D39"/>
    <w:rsid w:val="003875A6"/>
    <w:rsid w:val="00392300"/>
    <w:rsid w:val="003934B4"/>
    <w:rsid w:val="003934E7"/>
    <w:rsid w:val="003938C8"/>
    <w:rsid w:val="00394C4A"/>
    <w:rsid w:val="0039675C"/>
    <w:rsid w:val="003A1729"/>
    <w:rsid w:val="003A1A99"/>
    <w:rsid w:val="003A2192"/>
    <w:rsid w:val="003A56B9"/>
    <w:rsid w:val="003A5F5B"/>
    <w:rsid w:val="003A5FD7"/>
    <w:rsid w:val="003A6DC4"/>
    <w:rsid w:val="003A7338"/>
    <w:rsid w:val="003A789A"/>
    <w:rsid w:val="003B12EC"/>
    <w:rsid w:val="003B1E02"/>
    <w:rsid w:val="003B1E4E"/>
    <w:rsid w:val="003B2EE0"/>
    <w:rsid w:val="003B3912"/>
    <w:rsid w:val="003B4E5E"/>
    <w:rsid w:val="003B7CED"/>
    <w:rsid w:val="003B7F7B"/>
    <w:rsid w:val="003C19A2"/>
    <w:rsid w:val="003C33F9"/>
    <w:rsid w:val="003C35D8"/>
    <w:rsid w:val="003C3B37"/>
    <w:rsid w:val="003C77E0"/>
    <w:rsid w:val="003C7C70"/>
    <w:rsid w:val="003D17D7"/>
    <w:rsid w:val="003D2082"/>
    <w:rsid w:val="003D2197"/>
    <w:rsid w:val="003D2678"/>
    <w:rsid w:val="003D329B"/>
    <w:rsid w:val="003D358C"/>
    <w:rsid w:val="003D4BA6"/>
    <w:rsid w:val="003D7131"/>
    <w:rsid w:val="003D71A3"/>
    <w:rsid w:val="003D7358"/>
    <w:rsid w:val="003E0856"/>
    <w:rsid w:val="003E12DA"/>
    <w:rsid w:val="003E16AD"/>
    <w:rsid w:val="003E1BA7"/>
    <w:rsid w:val="003E2B8A"/>
    <w:rsid w:val="003E2C43"/>
    <w:rsid w:val="003F0613"/>
    <w:rsid w:val="003F0983"/>
    <w:rsid w:val="003F10EE"/>
    <w:rsid w:val="003F13DB"/>
    <w:rsid w:val="003F16F6"/>
    <w:rsid w:val="003F277E"/>
    <w:rsid w:val="003F41B4"/>
    <w:rsid w:val="003F4DC7"/>
    <w:rsid w:val="003F5235"/>
    <w:rsid w:val="003F6993"/>
    <w:rsid w:val="003F72A4"/>
    <w:rsid w:val="00400A00"/>
    <w:rsid w:val="004022A6"/>
    <w:rsid w:val="004027E4"/>
    <w:rsid w:val="004036B2"/>
    <w:rsid w:val="00405471"/>
    <w:rsid w:val="004061F1"/>
    <w:rsid w:val="00406635"/>
    <w:rsid w:val="00406ABA"/>
    <w:rsid w:val="0041071D"/>
    <w:rsid w:val="0041143B"/>
    <w:rsid w:val="004130D5"/>
    <w:rsid w:val="00414AFC"/>
    <w:rsid w:val="00415041"/>
    <w:rsid w:val="004151A7"/>
    <w:rsid w:val="00415310"/>
    <w:rsid w:val="00417B1B"/>
    <w:rsid w:val="00421709"/>
    <w:rsid w:val="00423763"/>
    <w:rsid w:val="0042762F"/>
    <w:rsid w:val="00427DC7"/>
    <w:rsid w:val="004302F1"/>
    <w:rsid w:val="00431613"/>
    <w:rsid w:val="00431792"/>
    <w:rsid w:val="00431CF7"/>
    <w:rsid w:val="0043297A"/>
    <w:rsid w:val="00432EB2"/>
    <w:rsid w:val="00432EBB"/>
    <w:rsid w:val="004345FC"/>
    <w:rsid w:val="00434A74"/>
    <w:rsid w:val="0043535E"/>
    <w:rsid w:val="0043714F"/>
    <w:rsid w:val="00437296"/>
    <w:rsid w:val="00437878"/>
    <w:rsid w:val="00437935"/>
    <w:rsid w:val="0044056A"/>
    <w:rsid w:val="004438B5"/>
    <w:rsid w:val="0044404C"/>
    <w:rsid w:val="00446598"/>
    <w:rsid w:val="00447037"/>
    <w:rsid w:val="00450162"/>
    <w:rsid w:val="004507AB"/>
    <w:rsid w:val="0045124D"/>
    <w:rsid w:val="00452672"/>
    <w:rsid w:val="00453247"/>
    <w:rsid w:val="00453A29"/>
    <w:rsid w:val="00453B40"/>
    <w:rsid w:val="00454596"/>
    <w:rsid w:val="00455125"/>
    <w:rsid w:val="0045605D"/>
    <w:rsid w:val="00456622"/>
    <w:rsid w:val="004612C2"/>
    <w:rsid w:val="0046135B"/>
    <w:rsid w:val="00462BD1"/>
    <w:rsid w:val="00463F6D"/>
    <w:rsid w:val="0046698B"/>
    <w:rsid w:val="00466B3B"/>
    <w:rsid w:val="004671DD"/>
    <w:rsid w:val="00470A0D"/>
    <w:rsid w:val="004718CC"/>
    <w:rsid w:val="004723DE"/>
    <w:rsid w:val="00472D83"/>
    <w:rsid w:val="00474A6A"/>
    <w:rsid w:val="00474C20"/>
    <w:rsid w:val="00476C2D"/>
    <w:rsid w:val="00480315"/>
    <w:rsid w:val="0048094D"/>
    <w:rsid w:val="00481695"/>
    <w:rsid w:val="00482B4C"/>
    <w:rsid w:val="004853CE"/>
    <w:rsid w:val="00485701"/>
    <w:rsid w:val="00486215"/>
    <w:rsid w:val="004866B3"/>
    <w:rsid w:val="004867DB"/>
    <w:rsid w:val="00486DB0"/>
    <w:rsid w:val="00486DFB"/>
    <w:rsid w:val="00492413"/>
    <w:rsid w:val="00492B93"/>
    <w:rsid w:val="00494947"/>
    <w:rsid w:val="00495A96"/>
    <w:rsid w:val="00497E07"/>
    <w:rsid w:val="004A1A9F"/>
    <w:rsid w:val="004A1D90"/>
    <w:rsid w:val="004A4543"/>
    <w:rsid w:val="004A56BB"/>
    <w:rsid w:val="004A62C4"/>
    <w:rsid w:val="004A68A8"/>
    <w:rsid w:val="004B13BD"/>
    <w:rsid w:val="004B1751"/>
    <w:rsid w:val="004B292E"/>
    <w:rsid w:val="004B5A2D"/>
    <w:rsid w:val="004B5EB6"/>
    <w:rsid w:val="004B6D41"/>
    <w:rsid w:val="004B75E7"/>
    <w:rsid w:val="004B79FB"/>
    <w:rsid w:val="004C0253"/>
    <w:rsid w:val="004C1BC7"/>
    <w:rsid w:val="004C2FC7"/>
    <w:rsid w:val="004C48A8"/>
    <w:rsid w:val="004C638B"/>
    <w:rsid w:val="004C6C7D"/>
    <w:rsid w:val="004C71DC"/>
    <w:rsid w:val="004C78CE"/>
    <w:rsid w:val="004D4140"/>
    <w:rsid w:val="004D45E7"/>
    <w:rsid w:val="004D4DF8"/>
    <w:rsid w:val="004D552F"/>
    <w:rsid w:val="004D56FF"/>
    <w:rsid w:val="004D7904"/>
    <w:rsid w:val="004E07BC"/>
    <w:rsid w:val="004E0849"/>
    <w:rsid w:val="004E0897"/>
    <w:rsid w:val="004E0A42"/>
    <w:rsid w:val="004E0F4E"/>
    <w:rsid w:val="004E1659"/>
    <w:rsid w:val="004E28D7"/>
    <w:rsid w:val="004E381F"/>
    <w:rsid w:val="004E39D3"/>
    <w:rsid w:val="004E508A"/>
    <w:rsid w:val="004E56DE"/>
    <w:rsid w:val="004E616D"/>
    <w:rsid w:val="004E652A"/>
    <w:rsid w:val="004E67DE"/>
    <w:rsid w:val="004E6AB0"/>
    <w:rsid w:val="004E7430"/>
    <w:rsid w:val="004E7751"/>
    <w:rsid w:val="004F0FA5"/>
    <w:rsid w:val="004F1BDE"/>
    <w:rsid w:val="004F2CEE"/>
    <w:rsid w:val="004F556E"/>
    <w:rsid w:val="004F5FD9"/>
    <w:rsid w:val="004F6BD1"/>
    <w:rsid w:val="004F7F44"/>
    <w:rsid w:val="005011B5"/>
    <w:rsid w:val="005029D2"/>
    <w:rsid w:val="00502CE5"/>
    <w:rsid w:val="005037B4"/>
    <w:rsid w:val="00506371"/>
    <w:rsid w:val="005079BF"/>
    <w:rsid w:val="00510080"/>
    <w:rsid w:val="005107CA"/>
    <w:rsid w:val="005109AC"/>
    <w:rsid w:val="00512F9E"/>
    <w:rsid w:val="005153D3"/>
    <w:rsid w:val="00516773"/>
    <w:rsid w:val="0051794C"/>
    <w:rsid w:val="00517B88"/>
    <w:rsid w:val="005208B5"/>
    <w:rsid w:val="00520C7B"/>
    <w:rsid w:val="005219E7"/>
    <w:rsid w:val="005227C6"/>
    <w:rsid w:val="00523F38"/>
    <w:rsid w:val="005245A9"/>
    <w:rsid w:val="0052547F"/>
    <w:rsid w:val="00525C30"/>
    <w:rsid w:val="00525F8C"/>
    <w:rsid w:val="00526464"/>
    <w:rsid w:val="00526CBC"/>
    <w:rsid w:val="005301FC"/>
    <w:rsid w:val="00531B9A"/>
    <w:rsid w:val="00531D15"/>
    <w:rsid w:val="005322E9"/>
    <w:rsid w:val="00533A79"/>
    <w:rsid w:val="00533C79"/>
    <w:rsid w:val="00535561"/>
    <w:rsid w:val="005362E6"/>
    <w:rsid w:val="005369A7"/>
    <w:rsid w:val="00537604"/>
    <w:rsid w:val="00540533"/>
    <w:rsid w:val="00540864"/>
    <w:rsid w:val="00542377"/>
    <w:rsid w:val="00544C99"/>
    <w:rsid w:val="005455DE"/>
    <w:rsid w:val="00545681"/>
    <w:rsid w:val="005459B7"/>
    <w:rsid w:val="005463B7"/>
    <w:rsid w:val="00547474"/>
    <w:rsid w:val="00547FE2"/>
    <w:rsid w:val="00551782"/>
    <w:rsid w:val="00553336"/>
    <w:rsid w:val="00553AFF"/>
    <w:rsid w:val="00555B03"/>
    <w:rsid w:val="0055647D"/>
    <w:rsid w:val="00556F0A"/>
    <w:rsid w:val="00557380"/>
    <w:rsid w:val="00562E2E"/>
    <w:rsid w:val="00563205"/>
    <w:rsid w:val="00563AA1"/>
    <w:rsid w:val="00563AAB"/>
    <w:rsid w:val="00563EF1"/>
    <w:rsid w:val="005651AF"/>
    <w:rsid w:val="00565BC3"/>
    <w:rsid w:val="00566AB4"/>
    <w:rsid w:val="005678D1"/>
    <w:rsid w:val="00575AC5"/>
    <w:rsid w:val="0057605D"/>
    <w:rsid w:val="00580F16"/>
    <w:rsid w:val="00581347"/>
    <w:rsid w:val="00581AC9"/>
    <w:rsid w:val="00582E43"/>
    <w:rsid w:val="005849F8"/>
    <w:rsid w:val="00585AA6"/>
    <w:rsid w:val="00585F9C"/>
    <w:rsid w:val="00586A57"/>
    <w:rsid w:val="005875E5"/>
    <w:rsid w:val="005878D6"/>
    <w:rsid w:val="00590274"/>
    <w:rsid w:val="005938DF"/>
    <w:rsid w:val="00594E9C"/>
    <w:rsid w:val="00597729"/>
    <w:rsid w:val="005A099B"/>
    <w:rsid w:val="005A110E"/>
    <w:rsid w:val="005A2D9C"/>
    <w:rsid w:val="005A4609"/>
    <w:rsid w:val="005A46F2"/>
    <w:rsid w:val="005A55FE"/>
    <w:rsid w:val="005A644B"/>
    <w:rsid w:val="005A6A11"/>
    <w:rsid w:val="005B0341"/>
    <w:rsid w:val="005B248F"/>
    <w:rsid w:val="005B2A38"/>
    <w:rsid w:val="005B34E5"/>
    <w:rsid w:val="005B599E"/>
    <w:rsid w:val="005B62F9"/>
    <w:rsid w:val="005B7BCB"/>
    <w:rsid w:val="005C1A4D"/>
    <w:rsid w:val="005C1CE9"/>
    <w:rsid w:val="005C24FC"/>
    <w:rsid w:val="005C3C3D"/>
    <w:rsid w:val="005C3F15"/>
    <w:rsid w:val="005C411A"/>
    <w:rsid w:val="005C58E5"/>
    <w:rsid w:val="005C632C"/>
    <w:rsid w:val="005D1E0D"/>
    <w:rsid w:val="005D2502"/>
    <w:rsid w:val="005D2BD1"/>
    <w:rsid w:val="005D30CF"/>
    <w:rsid w:val="005D320F"/>
    <w:rsid w:val="005D3D2B"/>
    <w:rsid w:val="005D47F3"/>
    <w:rsid w:val="005D492D"/>
    <w:rsid w:val="005D49BF"/>
    <w:rsid w:val="005D6F4E"/>
    <w:rsid w:val="005D79A9"/>
    <w:rsid w:val="005D7AEF"/>
    <w:rsid w:val="005E0567"/>
    <w:rsid w:val="005E26ED"/>
    <w:rsid w:val="005E2D5C"/>
    <w:rsid w:val="005E33EB"/>
    <w:rsid w:val="005E37ED"/>
    <w:rsid w:val="005E3ACD"/>
    <w:rsid w:val="005E7226"/>
    <w:rsid w:val="005E7A57"/>
    <w:rsid w:val="005F0216"/>
    <w:rsid w:val="005F1038"/>
    <w:rsid w:val="005F24B0"/>
    <w:rsid w:val="005F3383"/>
    <w:rsid w:val="005F407F"/>
    <w:rsid w:val="00600BD0"/>
    <w:rsid w:val="00601D37"/>
    <w:rsid w:val="0060238B"/>
    <w:rsid w:val="00604315"/>
    <w:rsid w:val="00604E26"/>
    <w:rsid w:val="00605153"/>
    <w:rsid w:val="006052CF"/>
    <w:rsid w:val="006057AE"/>
    <w:rsid w:val="00605BA8"/>
    <w:rsid w:val="006062EE"/>
    <w:rsid w:val="00607620"/>
    <w:rsid w:val="00607B8D"/>
    <w:rsid w:val="00610CDB"/>
    <w:rsid w:val="00610F8C"/>
    <w:rsid w:val="00611F5C"/>
    <w:rsid w:val="00612971"/>
    <w:rsid w:val="0061331D"/>
    <w:rsid w:val="006156BC"/>
    <w:rsid w:val="00616E09"/>
    <w:rsid w:val="00616F99"/>
    <w:rsid w:val="00617158"/>
    <w:rsid w:val="00617962"/>
    <w:rsid w:val="00621668"/>
    <w:rsid w:val="00622A3B"/>
    <w:rsid w:val="0062394A"/>
    <w:rsid w:val="0062394E"/>
    <w:rsid w:val="0062396C"/>
    <w:rsid w:val="00623D63"/>
    <w:rsid w:val="00623FF9"/>
    <w:rsid w:val="006254C3"/>
    <w:rsid w:val="00626554"/>
    <w:rsid w:val="00627D4E"/>
    <w:rsid w:val="00630839"/>
    <w:rsid w:val="006308C9"/>
    <w:rsid w:val="0063198E"/>
    <w:rsid w:val="0063301E"/>
    <w:rsid w:val="00633A7B"/>
    <w:rsid w:val="00633C46"/>
    <w:rsid w:val="00634478"/>
    <w:rsid w:val="006349CF"/>
    <w:rsid w:val="006360E6"/>
    <w:rsid w:val="006402F2"/>
    <w:rsid w:val="00640433"/>
    <w:rsid w:val="00641679"/>
    <w:rsid w:val="006420CA"/>
    <w:rsid w:val="00644373"/>
    <w:rsid w:val="00644D91"/>
    <w:rsid w:val="006457FE"/>
    <w:rsid w:val="00645915"/>
    <w:rsid w:val="00645E73"/>
    <w:rsid w:val="00646C3C"/>
    <w:rsid w:val="006519C3"/>
    <w:rsid w:val="0065260A"/>
    <w:rsid w:val="00652B30"/>
    <w:rsid w:val="006537F9"/>
    <w:rsid w:val="006557C6"/>
    <w:rsid w:val="00655DF4"/>
    <w:rsid w:val="00656345"/>
    <w:rsid w:val="00656DC6"/>
    <w:rsid w:val="00657EF3"/>
    <w:rsid w:val="006609F5"/>
    <w:rsid w:val="00664110"/>
    <w:rsid w:val="00664C1C"/>
    <w:rsid w:val="00664D17"/>
    <w:rsid w:val="00666520"/>
    <w:rsid w:val="00667C5B"/>
    <w:rsid w:val="00667D4B"/>
    <w:rsid w:val="006710CC"/>
    <w:rsid w:val="00671CDB"/>
    <w:rsid w:val="00672F70"/>
    <w:rsid w:val="00674692"/>
    <w:rsid w:val="006805F4"/>
    <w:rsid w:val="0068157C"/>
    <w:rsid w:val="006823B7"/>
    <w:rsid w:val="00683643"/>
    <w:rsid w:val="0068366A"/>
    <w:rsid w:val="006842FC"/>
    <w:rsid w:val="00685365"/>
    <w:rsid w:val="006853B9"/>
    <w:rsid w:val="00685BA6"/>
    <w:rsid w:val="00687074"/>
    <w:rsid w:val="006875A3"/>
    <w:rsid w:val="006901F2"/>
    <w:rsid w:val="006915D7"/>
    <w:rsid w:val="00692CDE"/>
    <w:rsid w:val="00693073"/>
    <w:rsid w:val="00693B7C"/>
    <w:rsid w:val="0069406A"/>
    <w:rsid w:val="006944F8"/>
    <w:rsid w:val="0069489F"/>
    <w:rsid w:val="0069577D"/>
    <w:rsid w:val="00697752"/>
    <w:rsid w:val="006977FF"/>
    <w:rsid w:val="006A01FA"/>
    <w:rsid w:val="006A0C58"/>
    <w:rsid w:val="006A0D9C"/>
    <w:rsid w:val="006A0E9E"/>
    <w:rsid w:val="006A25C7"/>
    <w:rsid w:val="006A2952"/>
    <w:rsid w:val="006A2FDE"/>
    <w:rsid w:val="006A3D12"/>
    <w:rsid w:val="006A496D"/>
    <w:rsid w:val="006A4AAD"/>
    <w:rsid w:val="006A5428"/>
    <w:rsid w:val="006A6DA2"/>
    <w:rsid w:val="006A7AB2"/>
    <w:rsid w:val="006A7E5E"/>
    <w:rsid w:val="006B16F3"/>
    <w:rsid w:val="006B52C0"/>
    <w:rsid w:val="006B5717"/>
    <w:rsid w:val="006B582F"/>
    <w:rsid w:val="006C0CEB"/>
    <w:rsid w:val="006C1460"/>
    <w:rsid w:val="006C1A4E"/>
    <w:rsid w:val="006C3B1E"/>
    <w:rsid w:val="006C469C"/>
    <w:rsid w:val="006C47FD"/>
    <w:rsid w:val="006C5AA6"/>
    <w:rsid w:val="006C70A0"/>
    <w:rsid w:val="006D05D1"/>
    <w:rsid w:val="006D27CB"/>
    <w:rsid w:val="006D2F08"/>
    <w:rsid w:val="006D3C0E"/>
    <w:rsid w:val="006D576C"/>
    <w:rsid w:val="006D5865"/>
    <w:rsid w:val="006D6445"/>
    <w:rsid w:val="006D78E6"/>
    <w:rsid w:val="006E4B1B"/>
    <w:rsid w:val="006E5445"/>
    <w:rsid w:val="006E668E"/>
    <w:rsid w:val="006E72AA"/>
    <w:rsid w:val="006E7D93"/>
    <w:rsid w:val="006F07F5"/>
    <w:rsid w:val="006F15A3"/>
    <w:rsid w:val="006F1FD1"/>
    <w:rsid w:val="006F4738"/>
    <w:rsid w:val="006F7407"/>
    <w:rsid w:val="007010A8"/>
    <w:rsid w:val="007027EA"/>
    <w:rsid w:val="007029A3"/>
    <w:rsid w:val="00703994"/>
    <w:rsid w:val="00703BB6"/>
    <w:rsid w:val="0070563F"/>
    <w:rsid w:val="00705926"/>
    <w:rsid w:val="007063EC"/>
    <w:rsid w:val="007064AD"/>
    <w:rsid w:val="00706E4E"/>
    <w:rsid w:val="0070791C"/>
    <w:rsid w:val="0071149F"/>
    <w:rsid w:val="00711B82"/>
    <w:rsid w:val="00712B87"/>
    <w:rsid w:val="0071383C"/>
    <w:rsid w:val="007141A7"/>
    <w:rsid w:val="00715E96"/>
    <w:rsid w:val="00717EDF"/>
    <w:rsid w:val="00720641"/>
    <w:rsid w:val="007213D0"/>
    <w:rsid w:val="00721B55"/>
    <w:rsid w:val="00722C0B"/>
    <w:rsid w:val="0072537B"/>
    <w:rsid w:val="00725664"/>
    <w:rsid w:val="007258C3"/>
    <w:rsid w:val="007259D5"/>
    <w:rsid w:val="00725D06"/>
    <w:rsid w:val="007264AD"/>
    <w:rsid w:val="00726738"/>
    <w:rsid w:val="00726CE4"/>
    <w:rsid w:val="00726D0A"/>
    <w:rsid w:val="007274F3"/>
    <w:rsid w:val="00733CE8"/>
    <w:rsid w:val="00734143"/>
    <w:rsid w:val="0073456E"/>
    <w:rsid w:val="00736F17"/>
    <w:rsid w:val="0073788D"/>
    <w:rsid w:val="00737E47"/>
    <w:rsid w:val="00740EAC"/>
    <w:rsid w:val="0074395D"/>
    <w:rsid w:val="00744956"/>
    <w:rsid w:val="00745A5C"/>
    <w:rsid w:val="0074605F"/>
    <w:rsid w:val="00747E94"/>
    <w:rsid w:val="0075236A"/>
    <w:rsid w:val="00754B7E"/>
    <w:rsid w:val="00754C6A"/>
    <w:rsid w:val="007602A9"/>
    <w:rsid w:val="007608A9"/>
    <w:rsid w:val="007629BE"/>
    <w:rsid w:val="00763375"/>
    <w:rsid w:val="00764EBD"/>
    <w:rsid w:val="0076632E"/>
    <w:rsid w:val="00766749"/>
    <w:rsid w:val="00767C1B"/>
    <w:rsid w:val="007709F5"/>
    <w:rsid w:val="007714A9"/>
    <w:rsid w:val="00771B0E"/>
    <w:rsid w:val="00773B78"/>
    <w:rsid w:val="00774175"/>
    <w:rsid w:val="00774F88"/>
    <w:rsid w:val="00774FDB"/>
    <w:rsid w:val="007753A2"/>
    <w:rsid w:val="00775575"/>
    <w:rsid w:val="00776807"/>
    <w:rsid w:val="00777BA2"/>
    <w:rsid w:val="00780BD1"/>
    <w:rsid w:val="00781408"/>
    <w:rsid w:val="0078151D"/>
    <w:rsid w:val="007817B6"/>
    <w:rsid w:val="00781B8F"/>
    <w:rsid w:val="0078252F"/>
    <w:rsid w:val="00784F7F"/>
    <w:rsid w:val="0079020A"/>
    <w:rsid w:val="007932FF"/>
    <w:rsid w:val="00796F25"/>
    <w:rsid w:val="007975DC"/>
    <w:rsid w:val="007978CD"/>
    <w:rsid w:val="007A079A"/>
    <w:rsid w:val="007A2E98"/>
    <w:rsid w:val="007A3BA3"/>
    <w:rsid w:val="007A6CC0"/>
    <w:rsid w:val="007A7220"/>
    <w:rsid w:val="007B008C"/>
    <w:rsid w:val="007B1499"/>
    <w:rsid w:val="007B1648"/>
    <w:rsid w:val="007B185A"/>
    <w:rsid w:val="007B1BBF"/>
    <w:rsid w:val="007B22E0"/>
    <w:rsid w:val="007B2960"/>
    <w:rsid w:val="007B355D"/>
    <w:rsid w:val="007B551E"/>
    <w:rsid w:val="007B5C1C"/>
    <w:rsid w:val="007B5E50"/>
    <w:rsid w:val="007B7086"/>
    <w:rsid w:val="007B7980"/>
    <w:rsid w:val="007C1430"/>
    <w:rsid w:val="007C3701"/>
    <w:rsid w:val="007C5D5A"/>
    <w:rsid w:val="007C607F"/>
    <w:rsid w:val="007C60E0"/>
    <w:rsid w:val="007C6338"/>
    <w:rsid w:val="007C76E7"/>
    <w:rsid w:val="007C791F"/>
    <w:rsid w:val="007C79DD"/>
    <w:rsid w:val="007D00A0"/>
    <w:rsid w:val="007D1A97"/>
    <w:rsid w:val="007D2B2F"/>
    <w:rsid w:val="007D2CD6"/>
    <w:rsid w:val="007D3063"/>
    <w:rsid w:val="007D39A7"/>
    <w:rsid w:val="007D3CEB"/>
    <w:rsid w:val="007D581C"/>
    <w:rsid w:val="007D6F52"/>
    <w:rsid w:val="007E082F"/>
    <w:rsid w:val="007E0A93"/>
    <w:rsid w:val="007E1C1E"/>
    <w:rsid w:val="007E2A36"/>
    <w:rsid w:val="007E2BC9"/>
    <w:rsid w:val="007E2D29"/>
    <w:rsid w:val="007E5190"/>
    <w:rsid w:val="007E5700"/>
    <w:rsid w:val="007E674E"/>
    <w:rsid w:val="007E694F"/>
    <w:rsid w:val="007E738F"/>
    <w:rsid w:val="007E7683"/>
    <w:rsid w:val="007E79F1"/>
    <w:rsid w:val="007F055E"/>
    <w:rsid w:val="007F0D56"/>
    <w:rsid w:val="007F2555"/>
    <w:rsid w:val="007F370A"/>
    <w:rsid w:val="007F3B41"/>
    <w:rsid w:val="007F3EFF"/>
    <w:rsid w:val="007F49FA"/>
    <w:rsid w:val="007F54C4"/>
    <w:rsid w:val="007F5C55"/>
    <w:rsid w:val="007F6E9A"/>
    <w:rsid w:val="0080231A"/>
    <w:rsid w:val="00803F1A"/>
    <w:rsid w:val="008044D4"/>
    <w:rsid w:val="00804E96"/>
    <w:rsid w:val="00804F29"/>
    <w:rsid w:val="0080651B"/>
    <w:rsid w:val="00810AB4"/>
    <w:rsid w:val="00810AD9"/>
    <w:rsid w:val="00812BA8"/>
    <w:rsid w:val="00815758"/>
    <w:rsid w:val="00815F51"/>
    <w:rsid w:val="00816F81"/>
    <w:rsid w:val="00817B56"/>
    <w:rsid w:val="008214C1"/>
    <w:rsid w:val="00821847"/>
    <w:rsid w:val="00821A88"/>
    <w:rsid w:val="0082495D"/>
    <w:rsid w:val="00827075"/>
    <w:rsid w:val="00831AC3"/>
    <w:rsid w:val="0083278B"/>
    <w:rsid w:val="00835870"/>
    <w:rsid w:val="00835ABC"/>
    <w:rsid w:val="0083732F"/>
    <w:rsid w:val="00840D15"/>
    <w:rsid w:val="00841CB6"/>
    <w:rsid w:val="0084230F"/>
    <w:rsid w:val="00844772"/>
    <w:rsid w:val="00845D49"/>
    <w:rsid w:val="0085136D"/>
    <w:rsid w:val="00851F3F"/>
    <w:rsid w:val="00853B5E"/>
    <w:rsid w:val="00853E9B"/>
    <w:rsid w:val="008555D2"/>
    <w:rsid w:val="008555EE"/>
    <w:rsid w:val="00856267"/>
    <w:rsid w:val="00856EDC"/>
    <w:rsid w:val="00857792"/>
    <w:rsid w:val="008600EB"/>
    <w:rsid w:val="00861159"/>
    <w:rsid w:val="008623B5"/>
    <w:rsid w:val="00864DBE"/>
    <w:rsid w:val="00865A33"/>
    <w:rsid w:val="00870ABA"/>
    <w:rsid w:val="008710E1"/>
    <w:rsid w:val="008714E6"/>
    <w:rsid w:val="008716E5"/>
    <w:rsid w:val="00871ECF"/>
    <w:rsid w:val="008724ED"/>
    <w:rsid w:val="0087334C"/>
    <w:rsid w:val="00874365"/>
    <w:rsid w:val="0087438D"/>
    <w:rsid w:val="00874BA6"/>
    <w:rsid w:val="00875FBC"/>
    <w:rsid w:val="0087611C"/>
    <w:rsid w:val="008803A5"/>
    <w:rsid w:val="008804A6"/>
    <w:rsid w:val="008813F8"/>
    <w:rsid w:val="00881CA9"/>
    <w:rsid w:val="00882E8D"/>
    <w:rsid w:val="008830A0"/>
    <w:rsid w:val="00883628"/>
    <w:rsid w:val="008836B1"/>
    <w:rsid w:val="00885544"/>
    <w:rsid w:val="0088634E"/>
    <w:rsid w:val="0088659D"/>
    <w:rsid w:val="008867E0"/>
    <w:rsid w:val="008911A7"/>
    <w:rsid w:val="00891429"/>
    <w:rsid w:val="00893AAD"/>
    <w:rsid w:val="00893AB8"/>
    <w:rsid w:val="00894912"/>
    <w:rsid w:val="00894DF8"/>
    <w:rsid w:val="008957A7"/>
    <w:rsid w:val="008961D9"/>
    <w:rsid w:val="008A04C8"/>
    <w:rsid w:val="008A0D8B"/>
    <w:rsid w:val="008A6913"/>
    <w:rsid w:val="008A73CB"/>
    <w:rsid w:val="008A73D3"/>
    <w:rsid w:val="008B382A"/>
    <w:rsid w:val="008B3B3F"/>
    <w:rsid w:val="008B4C9B"/>
    <w:rsid w:val="008B5DAE"/>
    <w:rsid w:val="008B6B6F"/>
    <w:rsid w:val="008B70F3"/>
    <w:rsid w:val="008B7198"/>
    <w:rsid w:val="008B76DF"/>
    <w:rsid w:val="008C10F4"/>
    <w:rsid w:val="008C1101"/>
    <w:rsid w:val="008C1297"/>
    <w:rsid w:val="008C15F6"/>
    <w:rsid w:val="008C228A"/>
    <w:rsid w:val="008C32F2"/>
    <w:rsid w:val="008C3A05"/>
    <w:rsid w:val="008C5490"/>
    <w:rsid w:val="008C5A96"/>
    <w:rsid w:val="008C5D8F"/>
    <w:rsid w:val="008C7F98"/>
    <w:rsid w:val="008D2A20"/>
    <w:rsid w:val="008D393A"/>
    <w:rsid w:val="008D4CFF"/>
    <w:rsid w:val="008D6EC9"/>
    <w:rsid w:val="008E1462"/>
    <w:rsid w:val="008E2875"/>
    <w:rsid w:val="008E2C1D"/>
    <w:rsid w:val="008E3A9A"/>
    <w:rsid w:val="008E4767"/>
    <w:rsid w:val="008E5E68"/>
    <w:rsid w:val="008E7A8C"/>
    <w:rsid w:val="008F0620"/>
    <w:rsid w:val="008F1C30"/>
    <w:rsid w:val="008F24DB"/>
    <w:rsid w:val="008F28D5"/>
    <w:rsid w:val="008F2F5D"/>
    <w:rsid w:val="008F3049"/>
    <w:rsid w:val="008F52E8"/>
    <w:rsid w:val="008F5B03"/>
    <w:rsid w:val="008F64D7"/>
    <w:rsid w:val="008F70D9"/>
    <w:rsid w:val="009007BB"/>
    <w:rsid w:val="00900A5E"/>
    <w:rsid w:val="00902314"/>
    <w:rsid w:val="00902EFB"/>
    <w:rsid w:val="00903285"/>
    <w:rsid w:val="00903BCE"/>
    <w:rsid w:val="00905884"/>
    <w:rsid w:val="00906ED5"/>
    <w:rsid w:val="00906F40"/>
    <w:rsid w:val="009071ED"/>
    <w:rsid w:val="0090731E"/>
    <w:rsid w:val="0091115B"/>
    <w:rsid w:val="00912373"/>
    <w:rsid w:val="009133A6"/>
    <w:rsid w:val="00915B1C"/>
    <w:rsid w:val="00916427"/>
    <w:rsid w:val="009174F3"/>
    <w:rsid w:val="0091797D"/>
    <w:rsid w:val="00917C71"/>
    <w:rsid w:val="00920361"/>
    <w:rsid w:val="00920779"/>
    <w:rsid w:val="00920A1E"/>
    <w:rsid w:val="00920A3F"/>
    <w:rsid w:val="0092134C"/>
    <w:rsid w:val="00921D6A"/>
    <w:rsid w:val="009234D0"/>
    <w:rsid w:val="00923B14"/>
    <w:rsid w:val="00923CBA"/>
    <w:rsid w:val="00924AB6"/>
    <w:rsid w:val="0092576F"/>
    <w:rsid w:val="00925E1F"/>
    <w:rsid w:val="00926703"/>
    <w:rsid w:val="009272FE"/>
    <w:rsid w:val="00927691"/>
    <w:rsid w:val="00927A5F"/>
    <w:rsid w:val="0093200E"/>
    <w:rsid w:val="00934E07"/>
    <w:rsid w:val="00935B63"/>
    <w:rsid w:val="009364DE"/>
    <w:rsid w:val="0094078F"/>
    <w:rsid w:val="00940FA3"/>
    <w:rsid w:val="00941F21"/>
    <w:rsid w:val="00941FB0"/>
    <w:rsid w:val="0094242E"/>
    <w:rsid w:val="009426D4"/>
    <w:rsid w:val="00942963"/>
    <w:rsid w:val="00943072"/>
    <w:rsid w:val="00945EFD"/>
    <w:rsid w:val="00947C2D"/>
    <w:rsid w:val="00947D02"/>
    <w:rsid w:val="00947F25"/>
    <w:rsid w:val="0095010F"/>
    <w:rsid w:val="00950159"/>
    <w:rsid w:val="00950228"/>
    <w:rsid w:val="00952C4F"/>
    <w:rsid w:val="00952FCA"/>
    <w:rsid w:val="0095490B"/>
    <w:rsid w:val="009554A0"/>
    <w:rsid w:val="00956040"/>
    <w:rsid w:val="00956199"/>
    <w:rsid w:val="009579F0"/>
    <w:rsid w:val="00960976"/>
    <w:rsid w:val="00961B3B"/>
    <w:rsid w:val="00963106"/>
    <w:rsid w:val="009651B2"/>
    <w:rsid w:val="00966D93"/>
    <w:rsid w:val="00967A49"/>
    <w:rsid w:val="00970C00"/>
    <w:rsid w:val="0097125E"/>
    <w:rsid w:val="00974363"/>
    <w:rsid w:val="009762C4"/>
    <w:rsid w:val="00976BA1"/>
    <w:rsid w:val="00976C83"/>
    <w:rsid w:val="00980627"/>
    <w:rsid w:val="00981898"/>
    <w:rsid w:val="009844C3"/>
    <w:rsid w:val="00985EC2"/>
    <w:rsid w:val="00987251"/>
    <w:rsid w:val="00993EB8"/>
    <w:rsid w:val="009950E8"/>
    <w:rsid w:val="00995600"/>
    <w:rsid w:val="0099577C"/>
    <w:rsid w:val="00997A94"/>
    <w:rsid w:val="009A1898"/>
    <w:rsid w:val="009A3530"/>
    <w:rsid w:val="009A3B4C"/>
    <w:rsid w:val="009A5160"/>
    <w:rsid w:val="009A54D8"/>
    <w:rsid w:val="009A74D4"/>
    <w:rsid w:val="009A76D1"/>
    <w:rsid w:val="009B0452"/>
    <w:rsid w:val="009B0A67"/>
    <w:rsid w:val="009B1662"/>
    <w:rsid w:val="009B34DD"/>
    <w:rsid w:val="009B3BC4"/>
    <w:rsid w:val="009B4E9E"/>
    <w:rsid w:val="009B4F7C"/>
    <w:rsid w:val="009B60B7"/>
    <w:rsid w:val="009C1690"/>
    <w:rsid w:val="009C1A93"/>
    <w:rsid w:val="009C2F16"/>
    <w:rsid w:val="009C4C7D"/>
    <w:rsid w:val="009C633A"/>
    <w:rsid w:val="009C67F4"/>
    <w:rsid w:val="009C6881"/>
    <w:rsid w:val="009C6E8B"/>
    <w:rsid w:val="009C7759"/>
    <w:rsid w:val="009D043D"/>
    <w:rsid w:val="009D1861"/>
    <w:rsid w:val="009D21E4"/>
    <w:rsid w:val="009D445F"/>
    <w:rsid w:val="009D4CC5"/>
    <w:rsid w:val="009D64C3"/>
    <w:rsid w:val="009D6C71"/>
    <w:rsid w:val="009E0631"/>
    <w:rsid w:val="009E0F6B"/>
    <w:rsid w:val="009E16D0"/>
    <w:rsid w:val="009E17F0"/>
    <w:rsid w:val="009E1CAA"/>
    <w:rsid w:val="009E206B"/>
    <w:rsid w:val="009E26DA"/>
    <w:rsid w:val="009E317D"/>
    <w:rsid w:val="009E38FD"/>
    <w:rsid w:val="009E728E"/>
    <w:rsid w:val="009E73EA"/>
    <w:rsid w:val="009E7C5D"/>
    <w:rsid w:val="009F0863"/>
    <w:rsid w:val="009F08F1"/>
    <w:rsid w:val="009F13D6"/>
    <w:rsid w:val="009F4C6B"/>
    <w:rsid w:val="009F4EC3"/>
    <w:rsid w:val="009F63F7"/>
    <w:rsid w:val="009F67FD"/>
    <w:rsid w:val="009F78A8"/>
    <w:rsid w:val="009F7CBD"/>
    <w:rsid w:val="00A02AD6"/>
    <w:rsid w:val="00A0368A"/>
    <w:rsid w:val="00A07096"/>
    <w:rsid w:val="00A07318"/>
    <w:rsid w:val="00A11370"/>
    <w:rsid w:val="00A1191C"/>
    <w:rsid w:val="00A12454"/>
    <w:rsid w:val="00A12C39"/>
    <w:rsid w:val="00A152F8"/>
    <w:rsid w:val="00A15355"/>
    <w:rsid w:val="00A15AEB"/>
    <w:rsid w:val="00A16F6B"/>
    <w:rsid w:val="00A176EA"/>
    <w:rsid w:val="00A1796A"/>
    <w:rsid w:val="00A17C5C"/>
    <w:rsid w:val="00A224CE"/>
    <w:rsid w:val="00A22522"/>
    <w:rsid w:val="00A2339C"/>
    <w:rsid w:val="00A24A80"/>
    <w:rsid w:val="00A24AFD"/>
    <w:rsid w:val="00A24F5C"/>
    <w:rsid w:val="00A26924"/>
    <w:rsid w:val="00A319B2"/>
    <w:rsid w:val="00A31D71"/>
    <w:rsid w:val="00A32564"/>
    <w:rsid w:val="00A32F96"/>
    <w:rsid w:val="00A34565"/>
    <w:rsid w:val="00A34B9D"/>
    <w:rsid w:val="00A358D5"/>
    <w:rsid w:val="00A35ABA"/>
    <w:rsid w:val="00A35ACF"/>
    <w:rsid w:val="00A362D8"/>
    <w:rsid w:val="00A36FC4"/>
    <w:rsid w:val="00A40871"/>
    <w:rsid w:val="00A40CD8"/>
    <w:rsid w:val="00A412AB"/>
    <w:rsid w:val="00A41630"/>
    <w:rsid w:val="00A4193E"/>
    <w:rsid w:val="00A423B3"/>
    <w:rsid w:val="00A428A9"/>
    <w:rsid w:val="00A42E26"/>
    <w:rsid w:val="00A43E44"/>
    <w:rsid w:val="00A440E0"/>
    <w:rsid w:val="00A450AF"/>
    <w:rsid w:val="00A5111C"/>
    <w:rsid w:val="00A51513"/>
    <w:rsid w:val="00A51960"/>
    <w:rsid w:val="00A529CC"/>
    <w:rsid w:val="00A5352C"/>
    <w:rsid w:val="00A5418D"/>
    <w:rsid w:val="00A5474E"/>
    <w:rsid w:val="00A561A8"/>
    <w:rsid w:val="00A57785"/>
    <w:rsid w:val="00A634FE"/>
    <w:rsid w:val="00A6461F"/>
    <w:rsid w:val="00A6782F"/>
    <w:rsid w:val="00A679DF"/>
    <w:rsid w:val="00A67C69"/>
    <w:rsid w:val="00A70ADF"/>
    <w:rsid w:val="00A71466"/>
    <w:rsid w:val="00A73000"/>
    <w:rsid w:val="00A73013"/>
    <w:rsid w:val="00A737ED"/>
    <w:rsid w:val="00A74738"/>
    <w:rsid w:val="00A74B5E"/>
    <w:rsid w:val="00A77BDC"/>
    <w:rsid w:val="00A80FF9"/>
    <w:rsid w:val="00A81BED"/>
    <w:rsid w:val="00A81EC4"/>
    <w:rsid w:val="00A8370D"/>
    <w:rsid w:val="00A83E41"/>
    <w:rsid w:val="00A87D87"/>
    <w:rsid w:val="00A91779"/>
    <w:rsid w:val="00A925C9"/>
    <w:rsid w:val="00A92F8C"/>
    <w:rsid w:val="00A93770"/>
    <w:rsid w:val="00A95B3A"/>
    <w:rsid w:val="00A967FD"/>
    <w:rsid w:val="00AA0A1E"/>
    <w:rsid w:val="00AA1370"/>
    <w:rsid w:val="00AA158A"/>
    <w:rsid w:val="00AA1747"/>
    <w:rsid w:val="00AA360E"/>
    <w:rsid w:val="00AA5221"/>
    <w:rsid w:val="00AA54D1"/>
    <w:rsid w:val="00AA5634"/>
    <w:rsid w:val="00AA67AA"/>
    <w:rsid w:val="00AA6D27"/>
    <w:rsid w:val="00AB0224"/>
    <w:rsid w:val="00AB0E83"/>
    <w:rsid w:val="00AB156C"/>
    <w:rsid w:val="00AB359F"/>
    <w:rsid w:val="00AB36B0"/>
    <w:rsid w:val="00AB4C33"/>
    <w:rsid w:val="00AB56E4"/>
    <w:rsid w:val="00AB6814"/>
    <w:rsid w:val="00AB6E16"/>
    <w:rsid w:val="00AB73EA"/>
    <w:rsid w:val="00AB7A58"/>
    <w:rsid w:val="00AB7ABC"/>
    <w:rsid w:val="00AB7F6E"/>
    <w:rsid w:val="00AC04BA"/>
    <w:rsid w:val="00AC0B0B"/>
    <w:rsid w:val="00AC0E39"/>
    <w:rsid w:val="00AC0F0E"/>
    <w:rsid w:val="00AC28AC"/>
    <w:rsid w:val="00AC3129"/>
    <w:rsid w:val="00AC3E82"/>
    <w:rsid w:val="00AD18F3"/>
    <w:rsid w:val="00AD2A1E"/>
    <w:rsid w:val="00AD3082"/>
    <w:rsid w:val="00AD4AD0"/>
    <w:rsid w:val="00AD5436"/>
    <w:rsid w:val="00AD60CD"/>
    <w:rsid w:val="00AD6BE1"/>
    <w:rsid w:val="00AD6C8C"/>
    <w:rsid w:val="00AE091D"/>
    <w:rsid w:val="00AE2375"/>
    <w:rsid w:val="00AE28EE"/>
    <w:rsid w:val="00AE30B6"/>
    <w:rsid w:val="00AE3B60"/>
    <w:rsid w:val="00AE5128"/>
    <w:rsid w:val="00AE53A1"/>
    <w:rsid w:val="00AE6B73"/>
    <w:rsid w:val="00AE7D93"/>
    <w:rsid w:val="00AF1CEB"/>
    <w:rsid w:val="00AF2484"/>
    <w:rsid w:val="00AF3221"/>
    <w:rsid w:val="00AF6261"/>
    <w:rsid w:val="00AF63E7"/>
    <w:rsid w:val="00AF7597"/>
    <w:rsid w:val="00B00365"/>
    <w:rsid w:val="00B00550"/>
    <w:rsid w:val="00B0165D"/>
    <w:rsid w:val="00B031F3"/>
    <w:rsid w:val="00B03A6E"/>
    <w:rsid w:val="00B04487"/>
    <w:rsid w:val="00B04548"/>
    <w:rsid w:val="00B04DC0"/>
    <w:rsid w:val="00B052A4"/>
    <w:rsid w:val="00B05BEC"/>
    <w:rsid w:val="00B05FE1"/>
    <w:rsid w:val="00B06746"/>
    <w:rsid w:val="00B10EAD"/>
    <w:rsid w:val="00B123CA"/>
    <w:rsid w:val="00B125DE"/>
    <w:rsid w:val="00B13FDD"/>
    <w:rsid w:val="00B13FEA"/>
    <w:rsid w:val="00B14C1E"/>
    <w:rsid w:val="00B177CF"/>
    <w:rsid w:val="00B2129B"/>
    <w:rsid w:val="00B217DF"/>
    <w:rsid w:val="00B22236"/>
    <w:rsid w:val="00B22C0F"/>
    <w:rsid w:val="00B22EB2"/>
    <w:rsid w:val="00B23097"/>
    <w:rsid w:val="00B248A1"/>
    <w:rsid w:val="00B26330"/>
    <w:rsid w:val="00B263E2"/>
    <w:rsid w:val="00B26EAE"/>
    <w:rsid w:val="00B27442"/>
    <w:rsid w:val="00B27A1D"/>
    <w:rsid w:val="00B27EA5"/>
    <w:rsid w:val="00B308D8"/>
    <w:rsid w:val="00B30AD1"/>
    <w:rsid w:val="00B31167"/>
    <w:rsid w:val="00B32355"/>
    <w:rsid w:val="00B329D8"/>
    <w:rsid w:val="00B32BB9"/>
    <w:rsid w:val="00B33031"/>
    <w:rsid w:val="00B33AE1"/>
    <w:rsid w:val="00B351F8"/>
    <w:rsid w:val="00B353BC"/>
    <w:rsid w:val="00B37C38"/>
    <w:rsid w:val="00B42283"/>
    <w:rsid w:val="00B4288C"/>
    <w:rsid w:val="00B43262"/>
    <w:rsid w:val="00B43744"/>
    <w:rsid w:val="00B44100"/>
    <w:rsid w:val="00B447BE"/>
    <w:rsid w:val="00B452F4"/>
    <w:rsid w:val="00B46CBA"/>
    <w:rsid w:val="00B46F94"/>
    <w:rsid w:val="00B51AAF"/>
    <w:rsid w:val="00B51EB0"/>
    <w:rsid w:val="00B530C2"/>
    <w:rsid w:val="00B57AE8"/>
    <w:rsid w:val="00B57EBF"/>
    <w:rsid w:val="00B60066"/>
    <w:rsid w:val="00B60B42"/>
    <w:rsid w:val="00B61F03"/>
    <w:rsid w:val="00B626E4"/>
    <w:rsid w:val="00B64222"/>
    <w:rsid w:val="00B646BC"/>
    <w:rsid w:val="00B672CC"/>
    <w:rsid w:val="00B72F4A"/>
    <w:rsid w:val="00B73730"/>
    <w:rsid w:val="00B73D65"/>
    <w:rsid w:val="00B74A86"/>
    <w:rsid w:val="00B7605B"/>
    <w:rsid w:val="00B7641B"/>
    <w:rsid w:val="00B80C84"/>
    <w:rsid w:val="00B8253E"/>
    <w:rsid w:val="00B831DF"/>
    <w:rsid w:val="00B83483"/>
    <w:rsid w:val="00B83C27"/>
    <w:rsid w:val="00B84BC3"/>
    <w:rsid w:val="00B84BDD"/>
    <w:rsid w:val="00B87D10"/>
    <w:rsid w:val="00B92812"/>
    <w:rsid w:val="00B94F44"/>
    <w:rsid w:val="00BA14D6"/>
    <w:rsid w:val="00BA3BA3"/>
    <w:rsid w:val="00BA700B"/>
    <w:rsid w:val="00BB0118"/>
    <w:rsid w:val="00BB0E4E"/>
    <w:rsid w:val="00BB30CF"/>
    <w:rsid w:val="00BB3B70"/>
    <w:rsid w:val="00BB45A1"/>
    <w:rsid w:val="00BB510A"/>
    <w:rsid w:val="00BB73DD"/>
    <w:rsid w:val="00BB7686"/>
    <w:rsid w:val="00BB7B4D"/>
    <w:rsid w:val="00BC12AE"/>
    <w:rsid w:val="00BC23F9"/>
    <w:rsid w:val="00BC3421"/>
    <w:rsid w:val="00BC5283"/>
    <w:rsid w:val="00BC732C"/>
    <w:rsid w:val="00BD1C74"/>
    <w:rsid w:val="00BD2D21"/>
    <w:rsid w:val="00BD3BF8"/>
    <w:rsid w:val="00BD4516"/>
    <w:rsid w:val="00BD7CDB"/>
    <w:rsid w:val="00BE2580"/>
    <w:rsid w:val="00BE266D"/>
    <w:rsid w:val="00BE2DBF"/>
    <w:rsid w:val="00BE3938"/>
    <w:rsid w:val="00BE4C11"/>
    <w:rsid w:val="00BE5048"/>
    <w:rsid w:val="00BE71C0"/>
    <w:rsid w:val="00BE7817"/>
    <w:rsid w:val="00BE7A65"/>
    <w:rsid w:val="00BF0970"/>
    <w:rsid w:val="00BF0E7A"/>
    <w:rsid w:val="00BF1566"/>
    <w:rsid w:val="00BF3E62"/>
    <w:rsid w:val="00BF46DE"/>
    <w:rsid w:val="00BF4AF3"/>
    <w:rsid w:val="00BF610C"/>
    <w:rsid w:val="00C0060B"/>
    <w:rsid w:val="00C00B71"/>
    <w:rsid w:val="00C011BD"/>
    <w:rsid w:val="00C0277D"/>
    <w:rsid w:val="00C03F78"/>
    <w:rsid w:val="00C047A7"/>
    <w:rsid w:val="00C04B4C"/>
    <w:rsid w:val="00C053A1"/>
    <w:rsid w:val="00C05793"/>
    <w:rsid w:val="00C05F4C"/>
    <w:rsid w:val="00C07B5D"/>
    <w:rsid w:val="00C100BD"/>
    <w:rsid w:val="00C10523"/>
    <w:rsid w:val="00C107F3"/>
    <w:rsid w:val="00C10BD5"/>
    <w:rsid w:val="00C117C7"/>
    <w:rsid w:val="00C11EC6"/>
    <w:rsid w:val="00C1291E"/>
    <w:rsid w:val="00C13D54"/>
    <w:rsid w:val="00C13EBC"/>
    <w:rsid w:val="00C143EB"/>
    <w:rsid w:val="00C15C9C"/>
    <w:rsid w:val="00C16198"/>
    <w:rsid w:val="00C16FE1"/>
    <w:rsid w:val="00C17768"/>
    <w:rsid w:val="00C2083D"/>
    <w:rsid w:val="00C20980"/>
    <w:rsid w:val="00C22142"/>
    <w:rsid w:val="00C23979"/>
    <w:rsid w:val="00C24A53"/>
    <w:rsid w:val="00C2584F"/>
    <w:rsid w:val="00C26059"/>
    <w:rsid w:val="00C26C6B"/>
    <w:rsid w:val="00C2764F"/>
    <w:rsid w:val="00C31900"/>
    <w:rsid w:val="00C31BAB"/>
    <w:rsid w:val="00C322FB"/>
    <w:rsid w:val="00C33792"/>
    <w:rsid w:val="00C359ED"/>
    <w:rsid w:val="00C37292"/>
    <w:rsid w:val="00C4032F"/>
    <w:rsid w:val="00C44047"/>
    <w:rsid w:val="00C45155"/>
    <w:rsid w:val="00C458B5"/>
    <w:rsid w:val="00C46538"/>
    <w:rsid w:val="00C46F98"/>
    <w:rsid w:val="00C47E5D"/>
    <w:rsid w:val="00C50519"/>
    <w:rsid w:val="00C5201C"/>
    <w:rsid w:val="00C5257A"/>
    <w:rsid w:val="00C52811"/>
    <w:rsid w:val="00C531C3"/>
    <w:rsid w:val="00C533E1"/>
    <w:rsid w:val="00C535A7"/>
    <w:rsid w:val="00C537AB"/>
    <w:rsid w:val="00C5498F"/>
    <w:rsid w:val="00C55235"/>
    <w:rsid w:val="00C55446"/>
    <w:rsid w:val="00C56841"/>
    <w:rsid w:val="00C57C28"/>
    <w:rsid w:val="00C6099F"/>
    <w:rsid w:val="00C62FDE"/>
    <w:rsid w:val="00C632FC"/>
    <w:rsid w:val="00C63FA2"/>
    <w:rsid w:val="00C64303"/>
    <w:rsid w:val="00C64CD0"/>
    <w:rsid w:val="00C6684F"/>
    <w:rsid w:val="00C6703F"/>
    <w:rsid w:val="00C6790A"/>
    <w:rsid w:val="00C70E70"/>
    <w:rsid w:val="00C72C22"/>
    <w:rsid w:val="00C72C40"/>
    <w:rsid w:val="00C73437"/>
    <w:rsid w:val="00C74194"/>
    <w:rsid w:val="00C75F8D"/>
    <w:rsid w:val="00C77380"/>
    <w:rsid w:val="00C81BE0"/>
    <w:rsid w:val="00C82DEF"/>
    <w:rsid w:val="00C836CF"/>
    <w:rsid w:val="00C868B4"/>
    <w:rsid w:val="00C86FFD"/>
    <w:rsid w:val="00C905A9"/>
    <w:rsid w:val="00C9393A"/>
    <w:rsid w:val="00C9433B"/>
    <w:rsid w:val="00C94403"/>
    <w:rsid w:val="00C959E5"/>
    <w:rsid w:val="00C967A2"/>
    <w:rsid w:val="00C96DBB"/>
    <w:rsid w:val="00C97736"/>
    <w:rsid w:val="00CA345A"/>
    <w:rsid w:val="00CA62A6"/>
    <w:rsid w:val="00CA72B8"/>
    <w:rsid w:val="00CA7B84"/>
    <w:rsid w:val="00CB0D4A"/>
    <w:rsid w:val="00CB1E82"/>
    <w:rsid w:val="00CB2A47"/>
    <w:rsid w:val="00CB3041"/>
    <w:rsid w:val="00CB3AB2"/>
    <w:rsid w:val="00CB4BA8"/>
    <w:rsid w:val="00CB52D7"/>
    <w:rsid w:val="00CB6920"/>
    <w:rsid w:val="00CB7A91"/>
    <w:rsid w:val="00CC141A"/>
    <w:rsid w:val="00CC14BD"/>
    <w:rsid w:val="00CC45EB"/>
    <w:rsid w:val="00CC51DA"/>
    <w:rsid w:val="00CC6732"/>
    <w:rsid w:val="00CC6C66"/>
    <w:rsid w:val="00CC6FE0"/>
    <w:rsid w:val="00CC7A92"/>
    <w:rsid w:val="00CD0BA7"/>
    <w:rsid w:val="00CD0CFD"/>
    <w:rsid w:val="00CD1125"/>
    <w:rsid w:val="00CD17E6"/>
    <w:rsid w:val="00CD2020"/>
    <w:rsid w:val="00CD2730"/>
    <w:rsid w:val="00CD2FA4"/>
    <w:rsid w:val="00CD3347"/>
    <w:rsid w:val="00CD38CB"/>
    <w:rsid w:val="00CD3F63"/>
    <w:rsid w:val="00CD44C5"/>
    <w:rsid w:val="00CD57CE"/>
    <w:rsid w:val="00CD5A7F"/>
    <w:rsid w:val="00CD63E1"/>
    <w:rsid w:val="00CD6DFE"/>
    <w:rsid w:val="00CE1BE3"/>
    <w:rsid w:val="00CE2CE7"/>
    <w:rsid w:val="00CE3C96"/>
    <w:rsid w:val="00CE5050"/>
    <w:rsid w:val="00CE51A8"/>
    <w:rsid w:val="00CE55ED"/>
    <w:rsid w:val="00CE5E74"/>
    <w:rsid w:val="00CE6803"/>
    <w:rsid w:val="00CE70DA"/>
    <w:rsid w:val="00CE7BFF"/>
    <w:rsid w:val="00CE7FC2"/>
    <w:rsid w:val="00CF02AF"/>
    <w:rsid w:val="00CF369B"/>
    <w:rsid w:val="00CF4407"/>
    <w:rsid w:val="00CF50DE"/>
    <w:rsid w:val="00CF617E"/>
    <w:rsid w:val="00D00E28"/>
    <w:rsid w:val="00D0269E"/>
    <w:rsid w:val="00D04689"/>
    <w:rsid w:val="00D04697"/>
    <w:rsid w:val="00D07A61"/>
    <w:rsid w:val="00D1031A"/>
    <w:rsid w:val="00D1031C"/>
    <w:rsid w:val="00D12E93"/>
    <w:rsid w:val="00D132CD"/>
    <w:rsid w:val="00D1384B"/>
    <w:rsid w:val="00D14C0D"/>
    <w:rsid w:val="00D15810"/>
    <w:rsid w:val="00D16D4E"/>
    <w:rsid w:val="00D16FE3"/>
    <w:rsid w:val="00D20B75"/>
    <w:rsid w:val="00D2181A"/>
    <w:rsid w:val="00D24E0D"/>
    <w:rsid w:val="00D256A1"/>
    <w:rsid w:val="00D26090"/>
    <w:rsid w:val="00D266E3"/>
    <w:rsid w:val="00D2710C"/>
    <w:rsid w:val="00D27F41"/>
    <w:rsid w:val="00D319A5"/>
    <w:rsid w:val="00D34203"/>
    <w:rsid w:val="00D35B71"/>
    <w:rsid w:val="00D36441"/>
    <w:rsid w:val="00D37843"/>
    <w:rsid w:val="00D4064E"/>
    <w:rsid w:val="00D427E1"/>
    <w:rsid w:val="00D428C0"/>
    <w:rsid w:val="00D4403D"/>
    <w:rsid w:val="00D44E9B"/>
    <w:rsid w:val="00D462E0"/>
    <w:rsid w:val="00D46DD6"/>
    <w:rsid w:val="00D46DE2"/>
    <w:rsid w:val="00D4754C"/>
    <w:rsid w:val="00D5040E"/>
    <w:rsid w:val="00D50DB9"/>
    <w:rsid w:val="00D51FD5"/>
    <w:rsid w:val="00D523FD"/>
    <w:rsid w:val="00D52527"/>
    <w:rsid w:val="00D52C43"/>
    <w:rsid w:val="00D55327"/>
    <w:rsid w:val="00D57B68"/>
    <w:rsid w:val="00D630CD"/>
    <w:rsid w:val="00D63367"/>
    <w:rsid w:val="00D64F99"/>
    <w:rsid w:val="00D6507F"/>
    <w:rsid w:val="00D65BF4"/>
    <w:rsid w:val="00D6667D"/>
    <w:rsid w:val="00D70BED"/>
    <w:rsid w:val="00D71E35"/>
    <w:rsid w:val="00D7257A"/>
    <w:rsid w:val="00D730BC"/>
    <w:rsid w:val="00D73912"/>
    <w:rsid w:val="00D73AF8"/>
    <w:rsid w:val="00D761B8"/>
    <w:rsid w:val="00D768BE"/>
    <w:rsid w:val="00D777B6"/>
    <w:rsid w:val="00D82CF3"/>
    <w:rsid w:val="00D85226"/>
    <w:rsid w:val="00D87548"/>
    <w:rsid w:val="00D87B94"/>
    <w:rsid w:val="00D87EEA"/>
    <w:rsid w:val="00D90392"/>
    <w:rsid w:val="00D914DF"/>
    <w:rsid w:val="00D923BD"/>
    <w:rsid w:val="00D929BC"/>
    <w:rsid w:val="00D92C44"/>
    <w:rsid w:val="00D92D49"/>
    <w:rsid w:val="00D92EC1"/>
    <w:rsid w:val="00D94ABB"/>
    <w:rsid w:val="00D95E3F"/>
    <w:rsid w:val="00D96DEA"/>
    <w:rsid w:val="00D96FA8"/>
    <w:rsid w:val="00DA1842"/>
    <w:rsid w:val="00DA3C14"/>
    <w:rsid w:val="00DA466A"/>
    <w:rsid w:val="00DA497A"/>
    <w:rsid w:val="00DA4E41"/>
    <w:rsid w:val="00DA51FD"/>
    <w:rsid w:val="00DA595D"/>
    <w:rsid w:val="00DA5F2B"/>
    <w:rsid w:val="00DB117A"/>
    <w:rsid w:val="00DB1DC0"/>
    <w:rsid w:val="00DB47D3"/>
    <w:rsid w:val="00DB5173"/>
    <w:rsid w:val="00DB59A1"/>
    <w:rsid w:val="00DB5EF2"/>
    <w:rsid w:val="00DB676E"/>
    <w:rsid w:val="00DB6DDF"/>
    <w:rsid w:val="00DB6E50"/>
    <w:rsid w:val="00DB7873"/>
    <w:rsid w:val="00DC187B"/>
    <w:rsid w:val="00DC3A7E"/>
    <w:rsid w:val="00DC50F9"/>
    <w:rsid w:val="00DC53B7"/>
    <w:rsid w:val="00DD0279"/>
    <w:rsid w:val="00DD0A0C"/>
    <w:rsid w:val="00DD1C9A"/>
    <w:rsid w:val="00DD2CE6"/>
    <w:rsid w:val="00DD32C6"/>
    <w:rsid w:val="00DD3CE9"/>
    <w:rsid w:val="00DD71D8"/>
    <w:rsid w:val="00DD73C2"/>
    <w:rsid w:val="00DD750B"/>
    <w:rsid w:val="00DE2A9B"/>
    <w:rsid w:val="00DE319B"/>
    <w:rsid w:val="00DE4771"/>
    <w:rsid w:val="00DE4A96"/>
    <w:rsid w:val="00DE7C79"/>
    <w:rsid w:val="00DF08C9"/>
    <w:rsid w:val="00DF0CD7"/>
    <w:rsid w:val="00DF1B95"/>
    <w:rsid w:val="00DF34FE"/>
    <w:rsid w:val="00DF3DD6"/>
    <w:rsid w:val="00DF4434"/>
    <w:rsid w:val="00DF463A"/>
    <w:rsid w:val="00DF56AA"/>
    <w:rsid w:val="00DF60F1"/>
    <w:rsid w:val="00DF6146"/>
    <w:rsid w:val="00DF6ED0"/>
    <w:rsid w:val="00DF6F6D"/>
    <w:rsid w:val="00DF7473"/>
    <w:rsid w:val="00DF78E7"/>
    <w:rsid w:val="00E0152F"/>
    <w:rsid w:val="00E022ED"/>
    <w:rsid w:val="00E034E4"/>
    <w:rsid w:val="00E04A41"/>
    <w:rsid w:val="00E0549E"/>
    <w:rsid w:val="00E05C92"/>
    <w:rsid w:val="00E06F0F"/>
    <w:rsid w:val="00E110E0"/>
    <w:rsid w:val="00E13323"/>
    <w:rsid w:val="00E15371"/>
    <w:rsid w:val="00E24104"/>
    <w:rsid w:val="00E249E6"/>
    <w:rsid w:val="00E26287"/>
    <w:rsid w:val="00E26355"/>
    <w:rsid w:val="00E26FCE"/>
    <w:rsid w:val="00E32C00"/>
    <w:rsid w:val="00E3336C"/>
    <w:rsid w:val="00E339FB"/>
    <w:rsid w:val="00E34D60"/>
    <w:rsid w:val="00E353DA"/>
    <w:rsid w:val="00E35707"/>
    <w:rsid w:val="00E35AAF"/>
    <w:rsid w:val="00E36205"/>
    <w:rsid w:val="00E36AA1"/>
    <w:rsid w:val="00E41B62"/>
    <w:rsid w:val="00E41ECB"/>
    <w:rsid w:val="00E4415C"/>
    <w:rsid w:val="00E44551"/>
    <w:rsid w:val="00E446AE"/>
    <w:rsid w:val="00E450B7"/>
    <w:rsid w:val="00E454BF"/>
    <w:rsid w:val="00E50D1C"/>
    <w:rsid w:val="00E51C3A"/>
    <w:rsid w:val="00E54FDB"/>
    <w:rsid w:val="00E55E36"/>
    <w:rsid w:val="00E5617D"/>
    <w:rsid w:val="00E563D7"/>
    <w:rsid w:val="00E57194"/>
    <w:rsid w:val="00E57888"/>
    <w:rsid w:val="00E57B56"/>
    <w:rsid w:val="00E600B7"/>
    <w:rsid w:val="00E60641"/>
    <w:rsid w:val="00E63E6B"/>
    <w:rsid w:val="00E63F87"/>
    <w:rsid w:val="00E645A9"/>
    <w:rsid w:val="00E654A7"/>
    <w:rsid w:val="00E663F4"/>
    <w:rsid w:val="00E66475"/>
    <w:rsid w:val="00E666F2"/>
    <w:rsid w:val="00E66DD4"/>
    <w:rsid w:val="00E679B8"/>
    <w:rsid w:val="00E748CC"/>
    <w:rsid w:val="00E751D2"/>
    <w:rsid w:val="00E75415"/>
    <w:rsid w:val="00E75BB5"/>
    <w:rsid w:val="00E75FF2"/>
    <w:rsid w:val="00E76549"/>
    <w:rsid w:val="00E77222"/>
    <w:rsid w:val="00E775B1"/>
    <w:rsid w:val="00E77624"/>
    <w:rsid w:val="00E8152A"/>
    <w:rsid w:val="00E816D1"/>
    <w:rsid w:val="00E85A0A"/>
    <w:rsid w:val="00E85F9A"/>
    <w:rsid w:val="00E86490"/>
    <w:rsid w:val="00E867D7"/>
    <w:rsid w:val="00E868BB"/>
    <w:rsid w:val="00E90F93"/>
    <w:rsid w:val="00E91CEB"/>
    <w:rsid w:val="00E9348A"/>
    <w:rsid w:val="00E93629"/>
    <w:rsid w:val="00E93B5C"/>
    <w:rsid w:val="00E94CEC"/>
    <w:rsid w:val="00E9642F"/>
    <w:rsid w:val="00E96AF6"/>
    <w:rsid w:val="00E97D47"/>
    <w:rsid w:val="00EA04EF"/>
    <w:rsid w:val="00EA08A7"/>
    <w:rsid w:val="00EA0BFB"/>
    <w:rsid w:val="00EA1C2A"/>
    <w:rsid w:val="00EA51D3"/>
    <w:rsid w:val="00EA64E7"/>
    <w:rsid w:val="00EA67ED"/>
    <w:rsid w:val="00EA6F19"/>
    <w:rsid w:val="00EA7089"/>
    <w:rsid w:val="00EA7E69"/>
    <w:rsid w:val="00EB02EF"/>
    <w:rsid w:val="00EB1B7C"/>
    <w:rsid w:val="00EB221C"/>
    <w:rsid w:val="00EB36D1"/>
    <w:rsid w:val="00EB3EE9"/>
    <w:rsid w:val="00EB43FA"/>
    <w:rsid w:val="00EB450E"/>
    <w:rsid w:val="00EB4B9A"/>
    <w:rsid w:val="00EB7090"/>
    <w:rsid w:val="00EC1BBE"/>
    <w:rsid w:val="00EC35C9"/>
    <w:rsid w:val="00EC5CD7"/>
    <w:rsid w:val="00EC649D"/>
    <w:rsid w:val="00ED1A8C"/>
    <w:rsid w:val="00ED3C15"/>
    <w:rsid w:val="00ED3E3F"/>
    <w:rsid w:val="00ED45DF"/>
    <w:rsid w:val="00ED7287"/>
    <w:rsid w:val="00ED78CB"/>
    <w:rsid w:val="00EE0E5F"/>
    <w:rsid w:val="00EE22A8"/>
    <w:rsid w:val="00EE52DB"/>
    <w:rsid w:val="00EE5FB3"/>
    <w:rsid w:val="00EE7F79"/>
    <w:rsid w:val="00EF0244"/>
    <w:rsid w:val="00EF06C2"/>
    <w:rsid w:val="00EF06D8"/>
    <w:rsid w:val="00EF2B64"/>
    <w:rsid w:val="00EF4D53"/>
    <w:rsid w:val="00EF637F"/>
    <w:rsid w:val="00EF715A"/>
    <w:rsid w:val="00F001CA"/>
    <w:rsid w:val="00F00958"/>
    <w:rsid w:val="00F00A1B"/>
    <w:rsid w:val="00F027FD"/>
    <w:rsid w:val="00F06CE1"/>
    <w:rsid w:val="00F06E14"/>
    <w:rsid w:val="00F0788D"/>
    <w:rsid w:val="00F11693"/>
    <w:rsid w:val="00F1266E"/>
    <w:rsid w:val="00F14965"/>
    <w:rsid w:val="00F15FB4"/>
    <w:rsid w:val="00F179D4"/>
    <w:rsid w:val="00F210E2"/>
    <w:rsid w:val="00F23271"/>
    <w:rsid w:val="00F24B76"/>
    <w:rsid w:val="00F276BF"/>
    <w:rsid w:val="00F27947"/>
    <w:rsid w:val="00F27DBA"/>
    <w:rsid w:val="00F31A0F"/>
    <w:rsid w:val="00F33C56"/>
    <w:rsid w:val="00F347C7"/>
    <w:rsid w:val="00F34848"/>
    <w:rsid w:val="00F41AEB"/>
    <w:rsid w:val="00F42D46"/>
    <w:rsid w:val="00F4496C"/>
    <w:rsid w:val="00F44971"/>
    <w:rsid w:val="00F44E2E"/>
    <w:rsid w:val="00F44F3A"/>
    <w:rsid w:val="00F4607D"/>
    <w:rsid w:val="00F461A0"/>
    <w:rsid w:val="00F47AB4"/>
    <w:rsid w:val="00F47D7C"/>
    <w:rsid w:val="00F5069D"/>
    <w:rsid w:val="00F50F15"/>
    <w:rsid w:val="00F51F10"/>
    <w:rsid w:val="00F529A5"/>
    <w:rsid w:val="00F54173"/>
    <w:rsid w:val="00F54A29"/>
    <w:rsid w:val="00F54FFF"/>
    <w:rsid w:val="00F55716"/>
    <w:rsid w:val="00F569CE"/>
    <w:rsid w:val="00F60F00"/>
    <w:rsid w:val="00F614C0"/>
    <w:rsid w:val="00F624AD"/>
    <w:rsid w:val="00F62D9D"/>
    <w:rsid w:val="00F63F0A"/>
    <w:rsid w:val="00F65838"/>
    <w:rsid w:val="00F65C97"/>
    <w:rsid w:val="00F76B42"/>
    <w:rsid w:val="00F77192"/>
    <w:rsid w:val="00F813A1"/>
    <w:rsid w:val="00F8148C"/>
    <w:rsid w:val="00F81639"/>
    <w:rsid w:val="00F81911"/>
    <w:rsid w:val="00F831EC"/>
    <w:rsid w:val="00F83848"/>
    <w:rsid w:val="00F8538A"/>
    <w:rsid w:val="00F8558B"/>
    <w:rsid w:val="00F856E2"/>
    <w:rsid w:val="00F85D9C"/>
    <w:rsid w:val="00F87755"/>
    <w:rsid w:val="00F87FE5"/>
    <w:rsid w:val="00F90F68"/>
    <w:rsid w:val="00F9676E"/>
    <w:rsid w:val="00F96CC3"/>
    <w:rsid w:val="00F975E9"/>
    <w:rsid w:val="00FA1B7D"/>
    <w:rsid w:val="00FA20F7"/>
    <w:rsid w:val="00FA21D3"/>
    <w:rsid w:val="00FA2BA1"/>
    <w:rsid w:val="00FA2FEE"/>
    <w:rsid w:val="00FA6B21"/>
    <w:rsid w:val="00FA73B9"/>
    <w:rsid w:val="00FB089C"/>
    <w:rsid w:val="00FB3FB2"/>
    <w:rsid w:val="00FB6FBD"/>
    <w:rsid w:val="00FB7548"/>
    <w:rsid w:val="00FB7711"/>
    <w:rsid w:val="00FC0232"/>
    <w:rsid w:val="00FC07B9"/>
    <w:rsid w:val="00FC3363"/>
    <w:rsid w:val="00FC417E"/>
    <w:rsid w:val="00FC4E21"/>
    <w:rsid w:val="00FC4F68"/>
    <w:rsid w:val="00FC5416"/>
    <w:rsid w:val="00FC5D7A"/>
    <w:rsid w:val="00FC5F6D"/>
    <w:rsid w:val="00FC7810"/>
    <w:rsid w:val="00FC7E5C"/>
    <w:rsid w:val="00FD1864"/>
    <w:rsid w:val="00FD19E0"/>
    <w:rsid w:val="00FD26C6"/>
    <w:rsid w:val="00FD2C2F"/>
    <w:rsid w:val="00FD3B31"/>
    <w:rsid w:val="00FD4185"/>
    <w:rsid w:val="00FD571E"/>
    <w:rsid w:val="00FD577F"/>
    <w:rsid w:val="00FD75BC"/>
    <w:rsid w:val="00FD7D72"/>
    <w:rsid w:val="00FD7E86"/>
    <w:rsid w:val="00FE1823"/>
    <w:rsid w:val="00FE1A0B"/>
    <w:rsid w:val="00FE308A"/>
    <w:rsid w:val="00FE3BD7"/>
    <w:rsid w:val="00FE487A"/>
    <w:rsid w:val="00FE6794"/>
    <w:rsid w:val="00FE7AC2"/>
    <w:rsid w:val="00FF0569"/>
    <w:rsid w:val="00FF1120"/>
    <w:rsid w:val="00FF206E"/>
    <w:rsid w:val="00FF3C69"/>
    <w:rsid w:val="00FF451F"/>
    <w:rsid w:val="00FF6E0A"/>
    <w:rsid w:val="00FF724B"/>
    <w:rsid w:val="00FF7648"/>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7585">
      <o:colormru v:ext="edit" colors="red,#4d4d4f"/>
    </o:shapedefaults>
    <o:shapelayout v:ext="edit">
      <o:idmap v:ext="edit" data="1"/>
    </o:shapelayout>
  </w:shapeDefaults>
  <w:decimalSymbol w:val="."/>
  <w:listSeparator w:val=","/>
  <w14:docId w14:val="199B11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iPriority="99"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6BD1"/>
    <w:pPr>
      <w:spacing w:after="240"/>
    </w:pPr>
    <w:rPr>
      <w:szCs w:val="24"/>
    </w:rPr>
  </w:style>
  <w:style w:type="paragraph" w:styleId="Heading1">
    <w:name w:val="heading 1"/>
    <w:basedOn w:val="Normal"/>
    <w:next w:val="Normal"/>
    <w:link w:val="Heading1Char"/>
    <w:qFormat/>
    <w:rsid w:val="00FD19E0"/>
    <w:pPr>
      <w:keepNext/>
      <w:pageBreakBefore/>
      <w:widowControl w:val="0"/>
      <w:spacing w:after="360" w:line="550" w:lineRule="exact"/>
      <w:outlineLvl w:val="0"/>
    </w:pPr>
    <w:rPr>
      <w:rFonts w:cs="Arial"/>
      <w:bCs/>
      <w:color w:val="00ADBB" w:themeColor="accent1"/>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05E3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ACMA Footnote Text,ALTS FOOTNOTE,(NECG) Footnote Text,Footnote text,AR Footnote Text,AR Footnote Text Char Char Char Char Char,Footnote Text Char2,Footnote Text Char1 Char Char,Footnote Text Char Char Char Char,Footnote Text Char1 Char,f"/>
    <w:basedOn w:val="Normal"/>
    <w:link w:val="FootnoteTextChar"/>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rsid w:val="00EE7F79"/>
    <w:rPr>
      <w:b/>
      <w:bCs/>
    </w:rPr>
  </w:style>
  <w:style w:type="character" w:customStyle="1" w:styleId="CommentSubjectChar">
    <w:name w:val="Comment Subject Char"/>
    <w:basedOn w:val="CommentTextChar"/>
    <w:link w:val="CommentSubject"/>
    <w:rsid w:val="00EE7F79"/>
    <w:rPr>
      <w:rFonts w:ascii="Arial" w:hAnsi="Arial"/>
      <w:b/>
      <w:bCs/>
    </w:rPr>
  </w:style>
  <w:style w:type="character" w:styleId="FollowedHyperlink">
    <w:name w:val="FollowedHyperlink"/>
    <w:basedOn w:val="DefaultParagraphFont"/>
    <w:semiHidden/>
    <w:rsid w:val="00F60F00"/>
    <w:rPr>
      <w:color w:val="954F72"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numbering" w:customStyle="1" w:styleId="NoList1">
    <w:name w:val="No List1"/>
    <w:next w:val="NoList"/>
    <w:uiPriority w:val="99"/>
    <w:semiHidden/>
    <w:unhideWhenUsed/>
    <w:rsid w:val="00244C97"/>
  </w:style>
  <w:style w:type="character" w:customStyle="1" w:styleId="Heading1Char">
    <w:name w:val="Heading 1 Char"/>
    <w:basedOn w:val="DefaultParagraphFont"/>
    <w:link w:val="Heading1"/>
    <w:rsid w:val="00FD19E0"/>
    <w:rPr>
      <w:rFonts w:cs="Arial"/>
      <w:bCs/>
      <w:color w:val="00ADBB" w:themeColor="accent1"/>
      <w:kern w:val="32"/>
      <w:sz w:val="53"/>
      <w:szCs w:val="32"/>
    </w:rPr>
  </w:style>
  <w:style w:type="character" w:customStyle="1" w:styleId="Heading2Char">
    <w:name w:val="Heading 2 Char"/>
    <w:basedOn w:val="DefaultParagraphFont"/>
    <w:link w:val="Heading2"/>
    <w:rsid w:val="00244C97"/>
    <w:rPr>
      <w:rFonts w:cs="Arial"/>
      <w:b/>
      <w:bCs/>
      <w:iCs/>
      <w:sz w:val="28"/>
      <w:szCs w:val="28"/>
    </w:rPr>
  </w:style>
  <w:style w:type="character" w:customStyle="1" w:styleId="Heading3Char">
    <w:name w:val="Heading 3 Char"/>
    <w:basedOn w:val="DefaultParagraphFont"/>
    <w:link w:val="Heading3"/>
    <w:rsid w:val="00244C97"/>
    <w:rPr>
      <w:rFonts w:cs="Arial"/>
      <w:b/>
      <w:bCs/>
      <w:szCs w:val="26"/>
    </w:rPr>
  </w:style>
  <w:style w:type="character" w:customStyle="1" w:styleId="Heading4Char">
    <w:name w:val="Heading 4 Char"/>
    <w:basedOn w:val="DefaultParagraphFont"/>
    <w:link w:val="Heading4"/>
    <w:rsid w:val="00244C97"/>
    <w:rPr>
      <w:rFonts w:ascii="Times New Roman" w:hAnsi="Times New Roman"/>
      <w:b/>
      <w:bCs/>
      <w:sz w:val="28"/>
      <w:szCs w:val="28"/>
    </w:rPr>
  </w:style>
  <w:style w:type="character" w:customStyle="1" w:styleId="Heading5Char">
    <w:name w:val="Heading 5 Char"/>
    <w:basedOn w:val="DefaultParagraphFont"/>
    <w:link w:val="Heading5"/>
    <w:rsid w:val="00244C97"/>
    <w:rPr>
      <w:b/>
      <w:bCs/>
      <w:i/>
      <w:iCs/>
      <w:sz w:val="26"/>
      <w:szCs w:val="26"/>
    </w:rPr>
  </w:style>
  <w:style w:type="character" w:customStyle="1" w:styleId="Heading6Char">
    <w:name w:val="Heading 6 Char"/>
    <w:basedOn w:val="DefaultParagraphFont"/>
    <w:link w:val="Heading6"/>
    <w:rsid w:val="00244C97"/>
    <w:rPr>
      <w:rFonts w:ascii="Times New Roman" w:hAnsi="Times New Roman"/>
      <w:b/>
      <w:bCs/>
      <w:sz w:val="22"/>
      <w:szCs w:val="22"/>
    </w:rPr>
  </w:style>
  <w:style w:type="character" w:customStyle="1" w:styleId="Heading7Char">
    <w:name w:val="Heading 7 Char"/>
    <w:basedOn w:val="DefaultParagraphFont"/>
    <w:link w:val="Heading7"/>
    <w:rsid w:val="00244C97"/>
    <w:rPr>
      <w:rFonts w:ascii="Times New Roman" w:hAnsi="Times New Roman"/>
      <w:sz w:val="24"/>
      <w:szCs w:val="24"/>
    </w:rPr>
  </w:style>
  <w:style w:type="character" w:customStyle="1" w:styleId="Heading8Char">
    <w:name w:val="Heading 8 Char"/>
    <w:basedOn w:val="DefaultParagraphFont"/>
    <w:link w:val="Heading8"/>
    <w:rsid w:val="00244C97"/>
    <w:rPr>
      <w:rFonts w:ascii="Times New Roman" w:hAnsi="Times New Roman"/>
      <w:i/>
      <w:iCs/>
      <w:sz w:val="24"/>
      <w:szCs w:val="24"/>
    </w:rPr>
  </w:style>
  <w:style w:type="character" w:customStyle="1" w:styleId="Heading9Char">
    <w:name w:val="Heading 9 Char"/>
    <w:basedOn w:val="DefaultParagraphFont"/>
    <w:link w:val="Heading9"/>
    <w:rsid w:val="00244C97"/>
    <w:rPr>
      <w:rFonts w:cs="Arial"/>
      <w:sz w:val="22"/>
      <w:szCs w:val="22"/>
    </w:rPr>
  </w:style>
  <w:style w:type="table" w:customStyle="1" w:styleId="TableGrid1">
    <w:name w:val="Table Grid1"/>
    <w:basedOn w:val="TableNormal"/>
    <w:next w:val="TableGrid"/>
    <w:uiPriority w:val="59"/>
    <w:rsid w:val="00244C9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otnoteTextChar">
    <w:name w:val="Footnote Text Char"/>
    <w:aliases w:val="ACMA Footnote Text Char,ALTS FOOTNOTE Char,(NECG) Footnote Text Char,Footnote text Char,AR Footnote Text Char,AR Footnote Text Char Char Char Char Char Char,Footnote Text Char2 Char,Footnote Text Char1 Char Char Char,f Char"/>
    <w:basedOn w:val="DefaultParagraphFont"/>
    <w:link w:val="FootnoteText"/>
    <w:uiPriority w:val="99"/>
    <w:rsid w:val="00244C97"/>
    <w:rPr>
      <w:sz w:val="16"/>
      <w:szCs w:val="16"/>
    </w:rPr>
  </w:style>
  <w:style w:type="paragraph" w:customStyle="1" w:styleId="ACMABodyText">
    <w:name w:val="ACMA Body Text"/>
    <w:link w:val="ACMABodyTextChar"/>
    <w:rsid w:val="00244C97"/>
    <w:pPr>
      <w:suppressAutoHyphens/>
      <w:spacing w:before="80" w:after="120" w:line="280" w:lineRule="atLeast"/>
    </w:pPr>
    <w:rPr>
      <w:rFonts w:ascii="Times New Roman" w:hAnsi="Times New Roman"/>
      <w:snapToGrid w:val="0"/>
      <w:sz w:val="24"/>
      <w:lang w:eastAsia="en-US"/>
    </w:rPr>
  </w:style>
  <w:style w:type="character" w:customStyle="1" w:styleId="ACMABodyTextChar">
    <w:name w:val="ACMA Body Text Char"/>
    <w:link w:val="ACMABodyText"/>
    <w:locked/>
    <w:rsid w:val="00244C97"/>
    <w:rPr>
      <w:rFonts w:ascii="Times New Roman" w:hAnsi="Times New Roman"/>
      <w:snapToGrid w:val="0"/>
      <w:sz w:val="24"/>
      <w:lang w:eastAsia="en-US"/>
    </w:rPr>
  </w:style>
  <w:style w:type="paragraph" w:customStyle="1" w:styleId="Bodysubheader0">
    <w:name w:val="Body sub header"/>
    <w:basedOn w:val="Normal"/>
    <w:next w:val="Normal"/>
    <w:rsid w:val="00244C97"/>
    <w:pPr>
      <w:spacing w:after="0"/>
    </w:pPr>
    <w:rPr>
      <w:b/>
      <w:i/>
    </w:rPr>
  </w:style>
  <w:style w:type="paragraph" w:styleId="Index5">
    <w:name w:val="index 5"/>
    <w:basedOn w:val="Normal"/>
    <w:next w:val="Normal"/>
    <w:autoRedefine/>
    <w:rsid w:val="00244C97"/>
    <w:pPr>
      <w:spacing w:after="0" w:line="240" w:lineRule="auto"/>
      <w:ind w:left="1000" w:hanging="200"/>
    </w:pPr>
  </w:style>
  <w:style w:type="paragraph" w:customStyle="1" w:styleId="ReportTitle">
    <w:name w:val="Report Title"/>
    <w:basedOn w:val="Normal"/>
    <w:rsid w:val="00244C97"/>
    <w:pPr>
      <w:spacing w:after="0" w:line="560" w:lineRule="exact"/>
    </w:pPr>
    <w:rPr>
      <w:b/>
      <w:color w:val="4D4D4F"/>
      <w:spacing w:val="-28"/>
      <w:sz w:val="53"/>
    </w:rPr>
  </w:style>
  <w:style w:type="paragraph" w:customStyle="1" w:styleId="ReportSubtitle">
    <w:name w:val="Report Sub title"/>
    <w:basedOn w:val="Normal"/>
    <w:rsid w:val="00244C97"/>
    <w:pPr>
      <w:spacing w:after="0" w:line="560" w:lineRule="exact"/>
    </w:pPr>
    <w:rPr>
      <w:color w:val="808285"/>
      <w:spacing w:val="-28"/>
      <w:sz w:val="53"/>
    </w:rPr>
  </w:style>
  <w:style w:type="paragraph" w:customStyle="1" w:styleId="ReportDate">
    <w:name w:val="Report Date"/>
    <w:basedOn w:val="ReportSubtitle"/>
    <w:rsid w:val="00244C97"/>
    <w:pPr>
      <w:spacing w:line="240" w:lineRule="auto"/>
    </w:pPr>
    <w:rPr>
      <w:caps/>
      <w:spacing w:val="-10"/>
      <w:sz w:val="20"/>
    </w:rPr>
  </w:style>
  <w:style w:type="paragraph" w:customStyle="1" w:styleId="ExecSummaryHeading">
    <w:name w:val="Exec Summary Heading"/>
    <w:basedOn w:val="Normal"/>
    <w:rsid w:val="00244C97"/>
    <w:pPr>
      <w:spacing w:after="1440" w:line="550" w:lineRule="exact"/>
    </w:pPr>
    <w:rPr>
      <w:b/>
      <w:color w:val="4D4D4F"/>
      <w:spacing w:val="-18"/>
      <w:sz w:val="53"/>
    </w:rPr>
  </w:style>
  <w:style w:type="paragraph" w:styleId="TOC9">
    <w:name w:val="toc 9"/>
    <w:aliases w:val="TOC ExecSumm"/>
    <w:basedOn w:val="Normal"/>
    <w:next w:val="Normal"/>
    <w:uiPriority w:val="39"/>
    <w:rsid w:val="00244C97"/>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244C97"/>
    <w:pPr>
      <w:spacing w:after="0" w:line="560" w:lineRule="exact"/>
    </w:pPr>
    <w:rPr>
      <w:color w:val="808285"/>
      <w:spacing w:val="-28"/>
      <w:sz w:val="53"/>
    </w:rPr>
  </w:style>
  <w:style w:type="character" w:customStyle="1" w:styleId="apple-style-span">
    <w:name w:val="apple-style-span"/>
    <w:basedOn w:val="DefaultParagraphFont"/>
    <w:rsid w:val="00244C97"/>
  </w:style>
  <w:style w:type="paragraph" w:customStyle="1" w:styleId="Default">
    <w:name w:val="Default"/>
    <w:rsid w:val="00244C97"/>
    <w:pPr>
      <w:autoSpaceDE w:val="0"/>
      <w:autoSpaceDN w:val="0"/>
      <w:adjustRightInd w:val="0"/>
      <w:spacing w:line="240" w:lineRule="auto"/>
    </w:pPr>
    <w:rPr>
      <w:rFonts w:eastAsia="Calibri" w:cs="Arial"/>
      <w:color w:val="000000"/>
      <w:sz w:val="24"/>
      <w:szCs w:val="24"/>
      <w:lang w:eastAsia="en-US"/>
    </w:rPr>
  </w:style>
  <w:style w:type="paragraph" w:styleId="EndnoteText">
    <w:name w:val="endnote text"/>
    <w:basedOn w:val="Normal"/>
    <w:link w:val="EndnoteTextChar"/>
    <w:uiPriority w:val="99"/>
    <w:unhideWhenUsed/>
    <w:qFormat/>
    <w:rsid w:val="002C3191"/>
    <w:pPr>
      <w:spacing w:after="0" w:line="240" w:lineRule="auto"/>
    </w:pPr>
    <w:rPr>
      <w:sz w:val="16"/>
      <w:szCs w:val="20"/>
    </w:rPr>
  </w:style>
  <w:style w:type="character" w:customStyle="1" w:styleId="EndnoteTextChar">
    <w:name w:val="Endnote Text Char"/>
    <w:basedOn w:val="DefaultParagraphFont"/>
    <w:link w:val="EndnoteText"/>
    <w:uiPriority w:val="99"/>
    <w:rsid w:val="002C3191"/>
    <w:rPr>
      <w:sz w:val="16"/>
    </w:rPr>
  </w:style>
  <w:style w:type="character" w:styleId="EndnoteReference">
    <w:name w:val="endnote reference"/>
    <w:basedOn w:val="DefaultParagraphFont"/>
    <w:uiPriority w:val="99"/>
    <w:unhideWhenUsed/>
    <w:rsid w:val="002219EC"/>
    <w:rPr>
      <w:rFonts w:ascii="Arial" w:hAnsi="Arial"/>
      <w:sz w:val="20"/>
      <w:vertAlign w:val="superscript"/>
    </w:rPr>
  </w:style>
  <w:style w:type="paragraph" w:customStyle="1" w:styleId="ACMATableText">
    <w:name w:val="ACMA Table Text"/>
    <w:rsid w:val="00244C97"/>
    <w:pPr>
      <w:spacing w:before="40" w:after="40" w:line="240" w:lineRule="auto"/>
    </w:pPr>
    <w:rPr>
      <w:lang w:eastAsia="en-US"/>
    </w:rPr>
  </w:style>
  <w:style w:type="paragraph" w:customStyle="1" w:styleId="PlainText1">
    <w:name w:val="Plain Text1"/>
    <w:basedOn w:val="Normal"/>
    <w:next w:val="PlainText"/>
    <w:link w:val="PlainTextChar"/>
    <w:uiPriority w:val="99"/>
    <w:unhideWhenUsed/>
    <w:rsid w:val="00244C97"/>
    <w:pPr>
      <w:spacing w:after="0" w:line="240" w:lineRule="auto"/>
    </w:pPr>
    <w:rPr>
      <w:rFonts w:ascii="Consolas" w:eastAsia="Calibri" w:hAnsi="Consolas" w:cs="Consolas"/>
      <w:sz w:val="21"/>
      <w:szCs w:val="21"/>
    </w:rPr>
  </w:style>
  <w:style w:type="character" w:customStyle="1" w:styleId="PlainTextChar">
    <w:name w:val="Plain Text Char"/>
    <w:basedOn w:val="DefaultParagraphFont"/>
    <w:link w:val="PlainText1"/>
    <w:uiPriority w:val="99"/>
    <w:rsid w:val="00244C97"/>
    <w:rPr>
      <w:rFonts w:ascii="Consolas" w:eastAsia="Calibri" w:hAnsi="Consolas" w:cs="Consolas"/>
      <w:sz w:val="21"/>
      <w:szCs w:val="21"/>
    </w:rPr>
  </w:style>
  <w:style w:type="paragraph" w:styleId="ListParagraph">
    <w:name w:val="List Paragraph"/>
    <w:basedOn w:val="Normal"/>
    <w:uiPriority w:val="34"/>
    <w:qFormat/>
    <w:rsid w:val="00244C97"/>
    <w:pPr>
      <w:spacing w:after="0"/>
      <w:ind w:left="720"/>
      <w:contextualSpacing/>
    </w:pPr>
    <w:rPr>
      <w:rFonts w:ascii="HelveticaNeueLT Std Lt" w:hAnsi="HelveticaNeueLT Std Lt"/>
    </w:rPr>
  </w:style>
  <w:style w:type="paragraph" w:customStyle="1" w:styleId="ACMAHeading1">
    <w:name w:val="ACMA Heading 1"/>
    <w:next w:val="ACMABodyText"/>
    <w:rsid w:val="002B6F51"/>
    <w:pPr>
      <w:keepNext/>
      <w:suppressAutoHyphens/>
      <w:spacing w:before="320" w:after="60" w:line="240" w:lineRule="auto"/>
      <w:outlineLvl w:val="1"/>
    </w:pPr>
    <w:rPr>
      <w:b/>
      <w:sz w:val="32"/>
      <w:szCs w:val="32"/>
      <w:lang w:val="en-US" w:eastAsia="en-US"/>
    </w:rPr>
  </w:style>
  <w:style w:type="paragraph" w:customStyle="1" w:styleId="ACMAHeading2">
    <w:name w:val="ACMA Heading 2"/>
    <w:next w:val="ACMABodyText"/>
    <w:rsid w:val="00FC7E5C"/>
    <w:pPr>
      <w:keepNext/>
      <w:suppressAutoHyphens/>
      <w:spacing w:before="240" w:after="60"/>
      <w:outlineLvl w:val="2"/>
    </w:pPr>
    <w:rPr>
      <w:b/>
      <w:sz w:val="26"/>
      <w:szCs w:val="26"/>
      <w:lang w:val="en-US" w:eastAsia="en-US"/>
    </w:rPr>
  </w:style>
  <w:style w:type="paragraph" w:customStyle="1" w:styleId="ACMAHeading3">
    <w:name w:val="ACMA Heading 3"/>
    <w:next w:val="ACMABodyText"/>
    <w:rsid w:val="00244C97"/>
    <w:pPr>
      <w:keepNext/>
      <w:suppressAutoHyphens/>
      <w:spacing w:before="240" w:line="240" w:lineRule="auto"/>
      <w:outlineLvl w:val="3"/>
    </w:pPr>
    <w:rPr>
      <w:b/>
      <w:sz w:val="24"/>
      <w:lang w:val="en-US" w:eastAsia="en-US"/>
    </w:rPr>
  </w:style>
  <w:style w:type="paragraph" w:customStyle="1" w:styleId="ACMABulletLevel1">
    <w:name w:val="ACMA Bullet Level 1"/>
    <w:rsid w:val="00244C97"/>
    <w:pPr>
      <w:numPr>
        <w:numId w:val="10"/>
      </w:numPr>
      <w:tabs>
        <w:tab w:val="clear" w:pos="-31680"/>
        <w:tab w:val="num" w:pos="1008"/>
      </w:tabs>
      <w:spacing w:after="120" w:line="240" w:lineRule="auto"/>
      <w:ind w:left="1008" w:hanging="360"/>
    </w:pPr>
    <w:rPr>
      <w:rFonts w:ascii="Times New Roman" w:hAnsi="Times New Roman"/>
      <w:sz w:val="24"/>
      <w:lang w:eastAsia="en-US"/>
    </w:rPr>
  </w:style>
  <w:style w:type="paragraph" w:customStyle="1" w:styleId="ACMAHeading4">
    <w:name w:val="ACMA Heading 4"/>
    <w:next w:val="ACMABodyText"/>
    <w:rsid w:val="00244C97"/>
    <w:pPr>
      <w:keepNext/>
      <w:suppressAutoHyphens/>
      <w:spacing w:before="80" w:line="240" w:lineRule="auto"/>
      <w:outlineLvl w:val="4"/>
    </w:pPr>
    <w:rPr>
      <w:b/>
      <w:i/>
      <w:lang w:eastAsia="en-US"/>
    </w:rPr>
  </w:style>
  <w:style w:type="character" w:customStyle="1" w:styleId="DocumentMapChar">
    <w:name w:val="Document Map Char"/>
    <w:basedOn w:val="DefaultParagraphFont"/>
    <w:link w:val="DocumentMap"/>
    <w:uiPriority w:val="99"/>
    <w:semiHidden/>
    <w:rsid w:val="00244C97"/>
    <w:rPr>
      <w:rFonts w:ascii="Tahoma" w:hAnsi="Tahoma" w:cs="Tahoma"/>
      <w:sz w:val="16"/>
      <w:szCs w:val="16"/>
    </w:rPr>
  </w:style>
  <w:style w:type="paragraph" w:styleId="DocumentMap">
    <w:name w:val="Document Map"/>
    <w:basedOn w:val="Normal"/>
    <w:link w:val="DocumentMapChar"/>
    <w:uiPriority w:val="99"/>
    <w:semiHidden/>
    <w:rsid w:val="00244C97"/>
    <w:pPr>
      <w:spacing w:after="0" w:line="240" w:lineRule="auto"/>
    </w:pPr>
    <w:rPr>
      <w:rFonts w:ascii="Tahoma" w:hAnsi="Tahoma" w:cs="Tahoma"/>
      <w:sz w:val="16"/>
      <w:szCs w:val="16"/>
    </w:rPr>
  </w:style>
  <w:style w:type="character" w:customStyle="1" w:styleId="DocumentMapChar1">
    <w:name w:val="Document Map Char1"/>
    <w:basedOn w:val="DefaultParagraphFont"/>
    <w:semiHidden/>
    <w:rsid w:val="00244C97"/>
    <w:rPr>
      <w:rFonts w:ascii="Segoe UI" w:hAnsi="Segoe UI" w:cs="Segoe UI"/>
      <w:sz w:val="16"/>
      <w:szCs w:val="16"/>
    </w:rPr>
  </w:style>
  <w:style w:type="paragraph" w:customStyle="1" w:styleId="TOC41">
    <w:name w:val="TOC 41"/>
    <w:basedOn w:val="Normal"/>
    <w:next w:val="Normal"/>
    <w:autoRedefine/>
    <w:uiPriority w:val="39"/>
    <w:unhideWhenUsed/>
    <w:rsid w:val="00244C97"/>
    <w:pPr>
      <w:spacing w:after="100" w:line="276" w:lineRule="auto"/>
      <w:ind w:left="660"/>
    </w:pPr>
    <w:rPr>
      <w:rFonts w:ascii="Calibri" w:eastAsia="MS Mincho" w:hAnsi="Calibri"/>
      <w:sz w:val="22"/>
      <w:szCs w:val="22"/>
    </w:rPr>
  </w:style>
  <w:style w:type="paragraph" w:customStyle="1" w:styleId="TOC51">
    <w:name w:val="TOC 51"/>
    <w:basedOn w:val="Normal"/>
    <w:next w:val="Normal"/>
    <w:autoRedefine/>
    <w:uiPriority w:val="39"/>
    <w:unhideWhenUsed/>
    <w:rsid w:val="00244C97"/>
    <w:pPr>
      <w:spacing w:after="100" w:line="276" w:lineRule="auto"/>
      <w:ind w:left="880"/>
    </w:pPr>
    <w:rPr>
      <w:rFonts w:ascii="Calibri" w:eastAsia="MS Mincho" w:hAnsi="Calibri"/>
      <w:sz w:val="22"/>
      <w:szCs w:val="22"/>
    </w:rPr>
  </w:style>
  <w:style w:type="paragraph" w:customStyle="1" w:styleId="TOC61">
    <w:name w:val="TOC 61"/>
    <w:basedOn w:val="Normal"/>
    <w:next w:val="Normal"/>
    <w:autoRedefine/>
    <w:uiPriority w:val="39"/>
    <w:unhideWhenUsed/>
    <w:rsid w:val="00244C97"/>
    <w:pPr>
      <w:spacing w:after="100" w:line="276" w:lineRule="auto"/>
      <w:ind w:left="1100"/>
    </w:pPr>
    <w:rPr>
      <w:rFonts w:ascii="Calibri" w:eastAsia="MS Mincho" w:hAnsi="Calibri"/>
      <w:sz w:val="22"/>
      <w:szCs w:val="22"/>
    </w:rPr>
  </w:style>
  <w:style w:type="paragraph" w:customStyle="1" w:styleId="TOC71">
    <w:name w:val="TOC 71"/>
    <w:basedOn w:val="Normal"/>
    <w:next w:val="Normal"/>
    <w:autoRedefine/>
    <w:uiPriority w:val="39"/>
    <w:unhideWhenUsed/>
    <w:rsid w:val="00244C97"/>
    <w:pPr>
      <w:spacing w:after="100" w:line="276" w:lineRule="auto"/>
      <w:ind w:left="1320"/>
    </w:pPr>
    <w:rPr>
      <w:rFonts w:ascii="Calibri" w:eastAsia="MS Mincho" w:hAnsi="Calibri"/>
      <w:sz w:val="22"/>
      <w:szCs w:val="22"/>
    </w:rPr>
  </w:style>
  <w:style w:type="paragraph" w:customStyle="1" w:styleId="TOC81">
    <w:name w:val="TOC 81"/>
    <w:basedOn w:val="Normal"/>
    <w:next w:val="Normal"/>
    <w:autoRedefine/>
    <w:uiPriority w:val="39"/>
    <w:unhideWhenUsed/>
    <w:rsid w:val="00244C97"/>
    <w:pPr>
      <w:spacing w:after="100" w:line="276" w:lineRule="auto"/>
      <w:ind w:left="1540"/>
    </w:pPr>
    <w:rPr>
      <w:rFonts w:ascii="Calibri" w:eastAsia="MS Mincho" w:hAnsi="Calibri"/>
      <w:sz w:val="22"/>
      <w:szCs w:val="22"/>
    </w:rPr>
  </w:style>
  <w:style w:type="paragraph" w:styleId="NormalWeb">
    <w:name w:val="Normal (Web)"/>
    <w:basedOn w:val="Normal"/>
    <w:uiPriority w:val="99"/>
    <w:unhideWhenUsed/>
    <w:rsid w:val="00244C97"/>
    <w:pPr>
      <w:spacing w:before="100" w:beforeAutospacing="1" w:after="100" w:afterAutospacing="1" w:line="240" w:lineRule="auto"/>
    </w:pPr>
    <w:rPr>
      <w:rFonts w:ascii="Times New Roman" w:hAnsi="Times New Roman"/>
      <w:sz w:val="24"/>
    </w:rPr>
  </w:style>
  <w:style w:type="paragraph" w:customStyle="1" w:styleId="NoSpacing1">
    <w:name w:val="No Spacing1"/>
    <w:next w:val="NoSpacing"/>
    <w:uiPriority w:val="1"/>
    <w:qFormat/>
    <w:rsid w:val="00244C97"/>
    <w:pPr>
      <w:spacing w:line="240" w:lineRule="auto"/>
    </w:pPr>
    <w:rPr>
      <w:rFonts w:ascii="Calibri" w:eastAsia="Calibri" w:hAnsi="Calibri"/>
      <w:sz w:val="22"/>
      <w:szCs w:val="22"/>
      <w:lang w:eastAsia="en-US"/>
    </w:rPr>
  </w:style>
  <w:style w:type="paragraph" w:customStyle="1" w:styleId="ACMANumberedList">
    <w:name w:val="ACMA Numbered List"/>
    <w:rsid w:val="00244C97"/>
    <w:pPr>
      <w:numPr>
        <w:numId w:val="11"/>
      </w:numPr>
      <w:spacing w:before="20" w:after="20" w:line="240" w:lineRule="auto"/>
    </w:pPr>
    <w:rPr>
      <w:rFonts w:ascii="Times New Roman" w:hAnsi="Times New Roman"/>
      <w:sz w:val="24"/>
      <w:lang w:eastAsia="en-US"/>
    </w:rPr>
  </w:style>
  <w:style w:type="paragraph" w:customStyle="1" w:styleId="acmabodytext0">
    <w:name w:val="acmabodytext"/>
    <w:basedOn w:val="Normal"/>
    <w:rsid w:val="00244C97"/>
    <w:pPr>
      <w:snapToGrid w:val="0"/>
      <w:spacing w:before="80" w:after="120" w:line="280" w:lineRule="atLeast"/>
    </w:pPr>
    <w:rPr>
      <w:rFonts w:ascii="Times New Roman" w:hAnsi="Times New Roman"/>
      <w:sz w:val="24"/>
    </w:rPr>
  </w:style>
  <w:style w:type="paragraph" w:customStyle="1" w:styleId="Title1">
    <w:name w:val="Title1"/>
    <w:basedOn w:val="Normal"/>
    <w:next w:val="Normal"/>
    <w:uiPriority w:val="10"/>
    <w:qFormat/>
    <w:rsid w:val="00244C97"/>
    <w:pPr>
      <w:pBdr>
        <w:bottom w:val="single" w:sz="8" w:space="4" w:color="00ADBB"/>
      </w:pBdr>
      <w:spacing w:after="300" w:line="240" w:lineRule="auto"/>
      <w:contextualSpacing/>
    </w:pPr>
    <w:rPr>
      <w:rFonts w:ascii="Calibri Light" w:eastAsia="MS Gothic" w:hAnsi="Calibri Light"/>
      <w:color w:val="323E4F"/>
      <w:spacing w:val="5"/>
      <w:kern w:val="28"/>
      <w:sz w:val="52"/>
      <w:szCs w:val="52"/>
      <w:lang w:eastAsia="en-US"/>
    </w:rPr>
  </w:style>
  <w:style w:type="character" w:customStyle="1" w:styleId="TitleChar">
    <w:name w:val="Title Char"/>
    <w:basedOn w:val="DefaultParagraphFont"/>
    <w:link w:val="Title"/>
    <w:uiPriority w:val="10"/>
    <w:rsid w:val="00244C97"/>
    <w:rPr>
      <w:rFonts w:ascii="Calibri Light" w:eastAsia="MS Gothic" w:hAnsi="Calibri Light" w:cs="Times New Roman"/>
      <w:color w:val="323E4F"/>
      <w:spacing w:val="5"/>
      <w:kern w:val="28"/>
      <w:sz w:val="52"/>
      <w:szCs w:val="52"/>
      <w:lang w:eastAsia="en-US"/>
    </w:rPr>
  </w:style>
  <w:style w:type="paragraph" w:customStyle="1" w:styleId="ACMATableFootnote">
    <w:name w:val="ACMA_TableFootnote"/>
    <w:basedOn w:val="Normal"/>
    <w:uiPriority w:val="99"/>
    <w:rsid w:val="00244C97"/>
    <w:pPr>
      <w:tabs>
        <w:tab w:val="left" w:pos="142"/>
        <w:tab w:val="left" w:pos="283"/>
        <w:tab w:val="left" w:pos="567"/>
        <w:tab w:val="left" w:pos="850"/>
        <w:tab w:val="left" w:pos="1701"/>
        <w:tab w:val="left" w:pos="1956"/>
      </w:tabs>
      <w:suppressAutoHyphens/>
      <w:autoSpaceDE w:val="0"/>
      <w:autoSpaceDN w:val="0"/>
      <w:adjustRightInd w:val="0"/>
      <w:spacing w:after="0" w:line="288" w:lineRule="auto"/>
      <w:textAlignment w:val="center"/>
    </w:pPr>
    <w:rPr>
      <w:rFonts w:ascii="HelveticaNeueLT Std Lt" w:hAnsi="HelveticaNeueLT Std Lt" w:cs="HelveticaNeueLT Std Lt"/>
      <w:i/>
      <w:iCs/>
      <w:color w:val="808284"/>
      <w:sz w:val="14"/>
      <w:szCs w:val="14"/>
      <w:lang w:val="en-GB"/>
    </w:rPr>
  </w:style>
  <w:style w:type="paragraph" w:customStyle="1" w:styleId="BasicParagraph">
    <w:name w:val="[Basic Paragraph]"/>
    <w:basedOn w:val="Normal"/>
    <w:uiPriority w:val="99"/>
    <w:rsid w:val="00244C97"/>
    <w:pPr>
      <w:autoSpaceDE w:val="0"/>
      <w:autoSpaceDN w:val="0"/>
      <w:adjustRightInd w:val="0"/>
      <w:spacing w:after="0" w:line="288" w:lineRule="auto"/>
      <w:textAlignment w:val="center"/>
    </w:pPr>
    <w:rPr>
      <w:rFonts w:ascii="Times Regular" w:hAnsi="Times Regular" w:cs="Times Regular"/>
      <w:color w:val="000000"/>
      <w:sz w:val="24"/>
      <w:lang w:val="en-US"/>
    </w:rPr>
  </w:style>
  <w:style w:type="character" w:customStyle="1" w:styleId="BulletedlistChar">
    <w:name w:val="Bulleted list Char"/>
    <w:basedOn w:val="DefaultParagraphFont"/>
    <w:link w:val="Bulletedlist"/>
    <w:locked/>
    <w:rsid w:val="00244C97"/>
    <w:rPr>
      <w:rFonts w:ascii="HelveticaNeueLT Std Lt" w:hAnsi="HelveticaNeueLT Std Lt"/>
      <w:szCs w:val="24"/>
    </w:rPr>
  </w:style>
  <w:style w:type="paragraph" w:customStyle="1" w:styleId="Bulletedlist">
    <w:name w:val="Bulleted list"/>
    <w:basedOn w:val="ListParagraph"/>
    <w:link w:val="BulletedlistChar"/>
    <w:qFormat/>
    <w:rsid w:val="00244C97"/>
    <w:pPr>
      <w:numPr>
        <w:numId w:val="12"/>
      </w:numPr>
      <w:spacing w:before="120" w:after="120"/>
      <w:contextualSpacing w:val="0"/>
    </w:pPr>
  </w:style>
  <w:style w:type="character" w:customStyle="1" w:styleId="search-highlight1">
    <w:name w:val="search-highlight1"/>
    <w:basedOn w:val="DefaultParagraphFont"/>
    <w:rsid w:val="00244C97"/>
    <w:rPr>
      <w:shd w:val="clear" w:color="auto" w:fill="A0FFFF"/>
    </w:rPr>
  </w:style>
  <w:style w:type="paragraph" w:customStyle="1" w:styleId="IndexNote">
    <w:name w:val="IndexNote"/>
    <w:rsid w:val="00244C97"/>
    <w:pPr>
      <w:widowControl w:val="0"/>
      <w:autoSpaceDE w:val="0"/>
      <w:autoSpaceDN w:val="0"/>
      <w:adjustRightInd w:val="0"/>
      <w:spacing w:line="240" w:lineRule="auto"/>
    </w:pPr>
    <w:rPr>
      <w:rFonts w:ascii="Times New Roman" w:eastAsia="MS Mincho" w:hAnsi="Times New Roman"/>
      <w:sz w:val="22"/>
      <w:szCs w:val="22"/>
    </w:rPr>
  </w:style>
  <w:style w:type="paragraph" w:customStyle="1" w:styleId="Main">
    <w:name w:val="Main"/>
    <w:uiPriority w:val="99"/>
    <w:rsid w:val="00244C97"/>
    <w:pPr>
      <w:widowControl w:val="0"/>
      <w:autoSpaceDE w:val="0"/>
      <w:autoSpaceDN w:val="0"/>
      <w:adjustRightInd w:val="0"/>
      <w:spacing w:line="240" w:lineRule="auto"/>
      <w:ind w:left="115" w:hanging="116"/>
    </w:pPr>
    <w:rPr>
      <w:rFonts w:ascii="Times New Roman" w:eastAsia="MS Mincho" w:hAnsi="Times New Roman"/>
      <w:sz w:val="22"/>
      <w:szCs w:val="22"/>
    </w:rPr>
  </w:style>
  <w:style w:type="paragraph" w:customStyle="1" w:styleId="Sub1">
    <w:name w:val="Sub1"/>
    <w:uiPriority w:val="99"/>
    <w:rsid w:val="00244C97"/>
    <w:pPr>
      <w:widowControl w:val="0"/>
      <w:autoSpaceDE w:val="0"/>
      <w:autoSpaceDN w:val="0"/>
      <w:adjustRightInd w:val="0"/>
      <w:spacing w:line="240" w:lineRule="auto"/>
      <w:ind w:left="345" w:hanging="116"/>
    </w:pPr>
    <w:rPr>
      <w:rFonts w:ascii="Times New Roman" w:eastAsia="MS Mincho" w:hAnsi="Times New Roman"/>
      <w:sz w:val="22"/>
      <w:szCs w:val="22"/>
    </w:rPr>
  </w:style>
  <w:style w:type="paragraph" w:customStyle="1" w:styleId="PreHeading1">
    <w:name w:val="Pre Heading 1"/>
    <w:basedOn w:val="Heading1"/>
    <w:qFormat/>
    <w:rsid w:val="00244C97"/>
    <w:rPr>
      <w:color w:val="00ADBB"/>
    </w:rPr>
  </w:style>
  <w:style w:type="paragraph" w:customStyle="1" w:styleId="PreHeading2">
    <w:name w:val="Pre Heading 2"/>
    <w:basedOn w:val="Heading2"/>
    <w:qFormat/>
    <w:rsid w:val="00244C97"/>
    <w:pPr>
      <w:spacing w:before="60"/>
    </w:pPr>
  </w:style>
  <w:style w:type="paragraph" w:customStyle="1" w:styleId="Heading1a">
    <w:name w:val="Heading 1a"/>
    <w:basedOn w:val="Heading1"/>
    <w:qFormat/>
    <w:rsid w:val="00244C97"/>
    <w:rPr>
      <w:i/>
      <w:color w:val="4D4D4F"/>
      <w:sz w:val="32"/>
    </w:rPr>
  </w:style>
  <w:style w:type="character" w:customStyle="1" w:styleId="ecxmsoendnotereference">
    <w:name w:val="ecxmsoendnotereference"/>
    <w:basedOn w:val="DefaultParagraphFont"/>
    <w:rsid w:val="00244C97"/>
  </w:style>
  <w:style w:type="table" w:customStyle="1" w:styleId="PlainTable11">
    <w:name w:val="Plain Table 11"/>
    <w:basedOn w:val="TableNormal"/>
    <w:next w:val="PlainTable1"/>
    <w:rsid w:val="00244C97"/>
    <w:pPr>
      <w:spacing w:line="240" w:lineRule="auto"/>
    </w:p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ListTable31">
    <w:name w:val="List Table 31"/>
    <w:basedOn w:val="TableNormal"/>
    <w:next w:val="ListTable3"/>
    <w:uiPriority w:val="48"/>
    <w:rsid w:val="00244C97"/>
    <w:pPr>
      <w:spacing w:line="240" w:lineRule="auto"/>
    </w:p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bCs/>
        <w:color w:val="FFFFFF"/>
      </w:rPr>
      <w:tblPr/>
      <w:tcPr>
        <w:shd w:val="clear" w:color="auto" w:fill="000000"/>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Commsreport2014-15TABLE">
    <w:name w:val="Comms report 2014-15 TABLE"/>
    <w:basedOn w:val="TableNormal"/>
    <w:uiPriority w:val="99"/>
    <w:rsid w:val="00244C97"/>
    <w:pPr>
      <w:spacing w:line="240" w:lineRule="auto"/>
      <w:jc w:val="right"/>
    </w:pPr>
    <w:rPr>
      <w:sz w:val="18"/>
    </w:rPr>
    <w:tblPr>
      <w:tblInd w:w="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top w:w="0" w:type="dxa"/>
        <w:left w:w="108" w:type="dxa"/>
        <w:bottom w:w="0" w:type="dxa"/>
        <w:right w:w="108" w:type="dxa"/>
      </w:tblCellMar>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paragraph" w:styleId="PlainText">
    <w:name w:val="Plain Text"/>
    <w:basedOn w:val="Normal"/>
    <w:link w:val="PlainTextChar1"/>
    <w:uiPriority w:val="99"/>
    <w:unhideWhenUsed/>
    <w:rsid w:val="00244C97"/>
    <w:pPr>
      <w:spacing w:after="0" w:line="240" w:lineRule="auto"/>
    </w:pPr>
    <w:rPr>
      <w:rFonts w:ascii="Consolas" w:hAnsi="Consolas" w:cs="Consolas"/>
      <w:sz w:val="21"/>
      <w:szCs w:val="21"/>
    </w:rPr>
  </w:style>
  <w:style w:type="character" w:customStyle="1" w:styleId="PlainTextChar1">
    <w:name w:val="Plain Text Char1"/>
    <w:basedOn w:val="DefaultParagraphFont"/>
    <w:link w:val="PlainText"/>
    <w:semiHidden/>
    <w:rsid w:val="00244C97"/>
    <w:rPr>
      <w:rFonts w:ascii="Consolas" w:hAnsi="Consolas" w:cs="Consolas"/>
      <w:sz w:val="21"/>
      <w:szCs w:val="21"/>
    </w:rPr>
  </w:style>
  <w:style w:type="paragraph" w:styleId="NoSpacing">
    <w:name w:val="No Spacing"/>
    <w:uiPriority w:val="1"/>
    <w:qFormat/>
    <w:rsid w:val="00244C97"/>
    <w:pPr>
      <w:spacing w:line="240" w:lineRule="auto"/>
    </w:pPr>
    <w:rPr>
      <w:szCs w:val="24"/>
    </w:rPr>
  </w:style>
  <w:style w:type="paragraph" w:styleId="Title">
    <w:name w:val="Title"/>
    <w:basedOn w:val="Normal"/>
    <w:next w:val="Normal"/>
    <w:link w:val="TitleChar"/>
    <w:uiPriority w:val="10"/>
    <w:qFormat/>
    <w:rsid w:val="00244C97"/>
    <w:pPr>
      <w:spacing w:after="0" w:line="240" w:lineRule="auto"/>
      <w:contextualSpacing/>
    </w:pPr>
    <w:rPr>
      <w:rFonts w:ascii="Calibri Light" w:eastAsia="MS Gothic" w:hAnsi="Calibri Light"/>
      <w:color w:val="323E4F"/>
      <w:spacing w:val="5"/>
      <w:kern w:val="28"/>
      <w:sz w:val="52"/>
      <w:szCs w:val="52"/>
      <w:lang w:eastAsia="en-US"/>
    </w:rPr>
  </w:style>
  <w:style w:type="character" w:customStyle="1" w:styleId="TitleChar1">
    <w:name w:val="Title Char1"/>
    <w:basedOn w:val="DefaultParagraphFont"/>
    <w:rsid w:val="00244C97"/>
    <w:rPr>
      <w:rFonts w:asciiTheme="majorHAnsi" w:eastAsiaTheme="majorEastAsia" w:hAnsiTheme="majorHAnsi" w:cstheme="majorBidi"/>
      <w:spacing w:val="-10"/>
      <w:kern w:val="28"/>
      <w:sz w:val="56"/>
      <w:szCs w:val="56"/>
    </w:rPr>
  </w:style>
  <w:style w:type="table" w:styleId="PlainTable1">
    <w:name w:val="Plain Table 1"/>
    <w:basedOn w:val="TableNormal"/>
    <w:rsid w:val="00244C97"/>
    <w:pPr>
      <w:spacing w:line="240" w:lineRule="auto"/>
    </w:p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3">
    <w:name w:val="List Table 3"/>
    <w:basedOn w:val="TableNormal"/>
    <w:uiPriority w:val="48"/>
    <w:rsid w:val="00244C97"/>
    <w:pPr>
      <w:spacing w:line="240" w:lineRule="auto"/>
    </w:p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numbering" w:customStyle="1" w:styleId="NoList2">
    <w:name w:val="No List2"/>
    <w:next w:val="NoList"/>
    <w:uiPriority w:val="99"/>
    <w:semiHidden/>
    <w:unhideWhenUsed/>
    <w:rsid w:val="00A42E26"/>
  </w:style>
  <w:style w:type="table" w:customStyle="1" w:styleId="TableGrid2">
    <w:name w:val="Table Grid2"/>
    <w:basedOn w:val="TableNormal"/>
    <w:next w:val="TableGrid"/>
    <w:uiPriority w:val="59"/>
    <w:rsid w:val="00A42E2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OC42">
    <w:name w:val="TOC 42"/>
    <w:basedOn w:val="Normal"/>
    <w:next w:val="Normal"/>
    <w:autoRedefine/>
    <w:uiPriority w:val="39"/>
    <w:unhideWhenUsed/>
    <w:rsid w:val="00A42E26"/>
    <w:pPr>
      <w:spacing w:after="100" w:line="276" w:lineRule="auto"/>
      <w:ind w:left="660"/>
    </w:pPr>
    <w:rPr>
      <w:rFonts w:ascii="Calibri" w:eastAsia="MS Mincho" w:hAnsi="Calibri"/>
      <w:sz w:val="22"/>
      <w:szCs w:val="22"/>
    </w:rPr>
  </w:style>
  <w:style w:type="paragraph" w:customStyle="1" w:styleId="TOC52">
    <w:name w:val="TOC 52"/>
    <w:basedOn w:val="Normal"/>
    <w:next w:val="Normal"/>
    <w:autoRedefine/>
    <w:uiPriority w:val="39"/>
    <w:unhideWhenUsed/>
    <w:rsid w:val="00A42E26"/>
    <w:pPr>
      <w:spacing w:after="100" w:line="276" w:lineRule="auto"/>
      <w:ind w:left="880"/>
    </w:pPr>
    <w:rPr>
      <w:rFonts w:ascii="Calibri" w:eastAsia="MS Mincho" w:hAnsi="Calibri"/>
      <w:sz w:val="22"/>
      <w:szCs w:val="22"/>
    </w:rPr>
  </w:style>
  <w:style w:type="paragraph" w:customStyle="1" w:styleId="TOC62">
    <w:name w:val="TOC 62"/>
    <w:basedOn w:val="Normal"/>
    <w:next w:val="Normal"/>
    <w:autoRedefine/>
    <w:uiPriority w:val="39"/>
    <w:unhideWhenUsed/>
    <w:rsid w:val="00A42E26"/>
    <w:pPr>
      <w:spacing w:after="100" w:line="276" w:lineRule="auto"/>
      <w:ind w:left="1100"/>
    </w:pPr>
    <w:rPr>
      <w:rFonts w:ascii="Calibri" w:eastAsia="MS Mincho" w:hAnsi="Calibri"/>
      <w:sz w:val="22"/>
      <w:szCs w:val="22"/>
    </w:rPr>
  </w:style>
  <w:style w:type="paragraph" w:customStyle="1" w:styleId="TOC72">
    <w:name w:val="TOC 72"/>
    <w:basedOn w:val="Normal"/>
    <w:next w:val="Normal"/>
    <w:autoRedefine/>
    <w:uiPriority w:val="39"/>
    <w:unhideWhenUsed/>
    <w:rsid w:val="00A42E26"/>
    <w:pPr>
      <w:spacing w:after="100" w:line="276" w:lineRule="auto"/>
      <w:ind w:left="1320"/>
    </w:pPr>
    <w:rPr>
      <w:rFonts w:ascii="Calibri" w:eastAsia="MS Mincho" w:hAnsi="Calibri"/>
      <w:sz w:val="22"/>
      <w:szCs w:val="22"/>
    </w:rPr>
  </w:style>
  <w:style w:type="paragraph" w:customStyle="1" w:styleId="TOC82">
    <w:name w:val="TOC 82"/>
    <w:basedOn w:val="Normal"/>
    <w:next w:val="Normal"/>
    <w:autoRedefine/>
    <w:uiPriority w:val="39"/>
    <w:unhideWhenUsed/>
    <w:rsid w:val="00A42E26"/>
    <w:pPr>
      <w:spacing w:after="100" w:line="276" w:lineRule="auto"/>
      <w:ind w:left="1540"/>
    </w:pPr>
    <w:rPr>
      <w:rFonts w:ascii="Calibri" w:eastAsia="MS Mincho" w:hAnsi="Calibri"/>
      <w:sz w:val="22"/>
      <w:szCs w:val="22"/>
    </w:rPr>
  </w:style>
  <w:style w:type="table" w:customStyle="1" w:styleId="Commsreport2014-15TABLE1">
    <w:name w:val="Comms report 2014-15 TABLE1"/>
    <w:basedOn w:val="TableNormal"/>
    <w:uiPriority w:val="99"/>
    <w:rsid w:val="00A42E26"/>
    <w:pPr>
      <w:spacing w:line="240" w:lineRule="auto"/>
      <w:jc w:val="right"/>
    </w:pPr>
    <w:rPr>
      <w:sz w:val="18"/>
    </w:rPr>
    <w:tblPr>
      <w:tblInd w:w="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top w:w="0" w:type="dxa"/>
        <w:left w:w="108" w:type="dxa"/>
        <w:bottom w:w="0" w:type="dxa"/>
        <w:right w:w="108" w:type="dxa"/>
      </w:tblCellMar>
    </w:tblPr>
    <w:tcPr>
      <w:shd w:val="clear" w:color="auto" w:fill="E9FBFB"/>
      <w:vAlign w:val="center"/>
    </w:tcPr>
    <w:tblStylePr w:type="firstRow">
      <w:rPr>
        <w:rFonts w:ascii="Arial" w:hAnsi="Arial"/>
        <w:b/>
        <w:color w:val="FFFFFF"/>
        <w:sz w:val="18"/>
      </w:rPr>
      <w:tblPr/>
      <w:tcPr>
        <w:shd w:val="clear" w:color="auto" w:fill="00ADBB"/>
      </w:tcPr>
    </w:tblStylePr>
    <w:tblStylePr w:type="firstCol">
      <w:pPr>
        <w:jc w:val="left"/>
      </w:pPr>
      <w:rPr>
        <w:rFonts w:ascii="Arial" w:hAnsi="Arial"/>
        <w:color w:val="FFFFFF"/>
        <w:sz w:val="18"/>
      </w:rPr>
      <w:tblPr/>
      <w:tcPr>
        <w:shd w:val="clear" w:color="auto" w:fill="65CDD5"/>
      </w:tcPr>
    </w:tblStylePr>
  </w:style>
  <w:style w:type="paragraph" w:styleId="Revision">
    <w:name w:val="Revision"/>
    <w:hidden/>
    <w:semiHidden/>
    <w:rsid w:val="00A42E26"/>
    <w:pPr>
      <w:spacing w:line="240" w:lineRule="auto"/>
    </w:pPr>
    <w:rPr>
      <w:szCs w:val="24"/>
    </w:rPr>
  </w:style>
  <w:style w:type="paragraph" w:styleId="TOC4">
    <w:name w:val="toc 4"/>
    <w:basedOn w:val="Normal"/>
    <w:next w:val="Normal"/>
    <w:autoRedefine/>
    <w:uiPriority w:val="39"/>
    <w:unhideWhenUsed/>
    <w:rsid w:val="00480315"/>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480315"/>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480315"/>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480315"/>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480315"/>
    <w:pPr>
      <w:spacing w:after="100" w:line="259" w:lineRule="auto"/>
      <w:ind w:left="1540"/>
    </w:pPr>
    <w:rPr>
      <w:rFonts w:asciiTheme="minorHAnsi" w:eastAsiaTheme="minorEastAsia" w:hAnsiTheme="minorHAnsi" w:cstheme="minorBidi"/>
      <w:sz w:val="22"/>
      <w:szCs w:val="22"/>
    </w:rPr>
  </w:style>
  <w:style w:type="paragraph" w:customStyle="1" w:styleId="MMS">
    <w:name w:val="MMS"/>
    <w:basedOn w:val="Normal"/>
    <w:qFormat/>
    <w:rsid w:val="0021374C"/>
  </w:style>
  <w:style w:type="character" w:customStyle="1" w:styleId="tgc">
    <w:name w:val="_tgc"/>
    <w:basedOn w:val="DefaultParagraphFont"/>
    <w:rsid w:val="0021374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92049769">
      <w:bodyDiv w:val="1"/>
      <w:marLeft w:val="0"/>
      <w:marRight w:val="0"/>
      <w:marTop w:val="0"/>
      <w:marBottom w:val="0"/>
      <w:divBdr>
        <w:top w:val="none" w:sz="0" w:space="0" w:color="auto"/>
        <w:left w:val="none" w:sz="0" w:space="0" w:color="auto"/>
        <w:bottom w:val="none" w:sz="0" w:space="0" w:color="auto"/>
        <w:right w:val="none" w:sz="0" w:space="0" w:color="auto"/>
      </w:divBdr>
    </w:div>
    <w:div w:id="1209882310">
      <w:bodyDiv w:val="1"/>
      <w:marLeft w:val="0"/>
      <w:marRight w:val="0"/>
      <w:marTop w:val="0"/>
      <w:marBottom w:val="0"/>
      <w:divBdr>
        <w:top w:val="none" w:sz="0" w:space="0" w:color="auto"/>
        <w:left w:val="none" w:sz="0" w:space="0" w:color="auto"/>
        <w:bottom w:val="none" w:sz="0" w:space="0" w:color="auto"/>
        <w:right w:val="none" w:sz="0" w:space="0" w:color="auto"/>
      </w:divBdr>
    </w:div>
    <w:div w:id="187977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eader" Target="header6.xml"/><Relationship Id="rId117" Type="http://schemas.openxmlformats.org/officeDocument/2006/relationships/image" Target="media/image80.png"/><Relationship Id="rId21" Type="http://schemas.openxmlformats.org/officeDocument/2006/relationships/image" Target="media/image5.png"/><Relationship Id="rId42" Type="http://schemas.openxmlformats.org/officeDocument/2006/relationships/image" Target="media/image15.png"/><Relationship Id="rId47" Type="http://schemas.openxmlformats.org/officeDocument/2006/relationships/image" Target="media/image17.png"/><Relationship Id="rId63" Type="http://schemas.openxmlformats.org/officeDocument/2006/relationships/hyperlink" Target="http://www.abs.gov.au/ausstats/abs@.nsf/mf/8153.0/" TargetMode="External"/><Relationship Id="rId68" Type="http://schemas.openxmlformats.org/officeDocument/2006/relationships/image" Target="media/image31.png"/><Relationship Id="rId84" Type="http://schemas.openxmlformats.org/officeDocument/2006/relationships/image" Target="media/image47.png"/><Relationship Id="rId89" Type="http://schemas.openxmlformats.org/officeDocument/2006/relationships/image" Target="media/image52.png"/><Relationship Id="rId112" Type="http://schemas.openxmlformats.org/officeDocument/2006/relationships/image" Target="media/image75.emf"/><Relationship Id="rId133" Type="http://schemas.openxmlformats.org/officeDocument/2006/relationships/hyperlink" Target="http://www.acma.gov.au/WEB/HOMEPAGE/PC=HOME" TargetMode="External"/><Relationship Id="rId16" Type="http://schemas.openxmlformats.org/officeDocument/2006/relationships/hyperlink" Target="http://www.acma.gov.au/commsreport" TargetMode="External"/><Relationship Id="rId107" Type="http://schemas.openxmlformats.org/officeDocument/2006/relationships/image" Target="media/image70.png"/><Relationship Id="rId11" Type="http://schemas.openxmlformats.org/officeDocument/2006/relationships/footer" Target="footer1.xml"/><Relationship Id="rId32" Type="http://schemas.openxmlformats.org/officeDocument/2006/relationships/image" Target="media/image7.tiff"/><Relationship Id="rId37" Type="http://schemas.openxmlformats.org/officeDocument/2006/relationships/image" Target="media/image12.png"/><Relationship Id="rId53" Type="http://schemas.openxmlformats.org/officeDocument/2006/relationships/image" Target="media/image21.png"/><Relationship Id="rId58" Type="http://schemas.openxmlformats.org/officeDocument/2006/relationships/image" Target="media/image22.png"/><Relationship Id="rId74" Type="http://schemas.openxmlformats.org/officeDocument/2006/relationships/image" Target="media/image37.png"/><Relationship Id="rId79" Type="http://schemas.openxmlformats.org/officeDocument/2006/relationships/image" Target="media/image42.png"/><Relationship Id="rId102" Type="http://schemas.openxmlformats.org/officeDocument/2006/relationships/image" Target="media/image65.png"/><Relationship Id="rId123" Type="http://schemas.openxmlformats.org/officeDocument/2006/relationships/image" Target="media/image86.png"/><Relationship Id="rId128" Type="http://schemas.openxmlformats.org/officeDocument/2006/relationships/hyperlink" Target="http://www.commcom.com.au/compliance/csp-compliance/" TargetMode="External"/><Relationship Id="rId5" Type="http://schemas.openxmlformats.org/officeDocument/2006/relationships/webSettings" Target="webSettings.xml"/><Relationship Id="rId90" Type="http://schemas.openxmlformats.org/officeDocument/2006/relationships/image" Target="media/image53.png"/><Relationship Id="rId95" Type="http://schemas.openxmlformats.org/officeDocument/2006/relationships/image" Target="media/image58.png"/><Relationship Id="rId14" Type="http://schemas.openxmlformats.org/officeDocument/2006/relationships/footer" Target="footer3.xml"/><Relationship Id="rId22" Type="http://schemas.openxmlformats.org/officeDocument/2006/relationships/header" Target="header4.xml"/><Relationship Id="rId27" Type="http://schemas.openxmlformats.org/officeDocument/2006/relationships/header" Target="header7.xml"/><Relationship Id="rId30" Type="http://schemas.openxmlformats.org/officeDocument/2006/relationships/footer" Target="footer8.xml"/><Relationship Id="rId35" Type="http://schemas.openxmlformats.org/officeDocument/2006/relationships/image" Target="media/image10.png"/><Relationship Id="rId43" Type="http://schemas.openxmlformats.org/officeDocument/2006/relationships/hyperlink" Target="http://www.nbnco.com.au/content/dam/nbnco/documents/sfaa-wba2-dictionary_20140430.pdf" TargetMode="External"/><Relationship Id="rId48" Type="http://schemas.openxmlformats.org/officeDocument/2006/relationships/image" Target="media/image18.png"/><Relationship Id="rId56" Type="http://schemas.openxmlformats.org/officeDocument/2006/relationships/footer" Target="footer9.xml"/><Relationship Id="rId64" Type="http://schemas.openxmlformats.org/officeDocument/2006/relationships/image" Target="media/image27.png"/><Relationship Id="rId69" Type="http://schemas.openxmlformats.org/officeDocument/2006/relationships/image" Target="media/image32.png"/><Relationship Id="rId77" Type="http://schemas.openxmlformats.org/officeDocument/2006/relationships/image" Target="media/image40.png"/><Relationship Id="rId100" Type="http://schemas.openxmlformats.org/officeDocument/2006/relationships/image" Target="media/image63.png"/><Relationship Id="rId105" Type="http://schemas.openxmlformats.org/officeDocument/2006/relationships/image" Target="media/image68.png"/><Relationship Id="rId113" Type="http://schemas.openxmlformats.org/officeDocument/2006/relationships/image" Target="media/image76.png"/><Relationship Id="rId118" Type="http://schemas.openxmlformats.org/officeDocument/2006/relationships/image" Target="media/image81.png"/><Relationship Id="rId126" Type="http://schemas.openxmlformats.org/officeDocument/2006/relationships/image" Target="media/image89.png"/><Relationship Id="rId13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image" Target="media/image19.png"/><Relationship Id="rId72" Type="http://schemas.openxmlformats.org/officeDocument/2006/relationships/image" Target="media/image35.png"/><Relationship Id="rId80" Type="http://schemas.openxmlformats.org/officeDocument/2006/relationships/image" Target="media/image43.png"/><Relationship Id="rId85" Type="http://schemas.openxmlformats.org/officeDocument/2006/relationships/image" Target="media/image48.png"/><Relationship Id="rId93" Type="http://schemas.openxmlformats.org/officeDocument/2006/relationships/image" Target="media/image56.png"/><Relationship Id="rId98" Type="http://schemas.openxmlformats.org/officeDocument/2006/relationships/image" Target="media/image61.png"/><Relationship Id="rId121" Type="http://schemas.openxmlformats.org/officeDocument/2006/relationships/image" Target="media/image84.png"/><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i.creativecommons.org/l/by/3.0/88x31.png" TargetMode="External"/><Relationship Id="rId25" Type="http://schemas.openxmlformats.org/officeDocument/2006/relationships/footer" Target="footer5.xm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image" Target="media/image16.png"/><Relationship Id="rId59" Type="http://schemas.openxmlformats.org/officeDocument/2006/relationships/image" Target="media/image23.png"/><Relationship Id="rId67" Type="http://schemas.openxmlformats.org/officeDocument/2006/relationships/image" Target="media/image30.png"/><Relationship Id="rId103" Type="http://schemas.openxmlformats.org/officeDocument/2006/relationships/image" Target="media/image66.png"/><Relationship Id="rId108" Type="http://schemas.openxmlformats.org/officeDocument/2006/relationships/image" Target="media/image71.png"/><Relationship Id="rId116" Type="http://schemas.openxmlformats.org/officeDocument/2006/relationships/image" Target="media/image79.png"/><Relationship Id="rId124" Type="http://schemas.openxmlformats.org/officeDocument/2006/relationships/image" Target="media/image87.png"/><Relationship Id="rId129" Type="http://schemas.openxmlformats.org/officeDocument/2006/relationships/image" Target="media/image90.png"/><Relationship Id="rId20" Type="http://schemas.openxmlformats.org/officeDocument/2006/relationships/hyperlink" Target="mailto:candinfo@acma.gov.au" TargetMode="External"/><Relationship Id="rId41" Type="http://schemas.openxmlformats.org/officeDocument/2006/relationships/hyperlink" Target="http://www.abs.gov.au/ausstats/abs@.nsf/mf/8153.0/" TargetMode="External"/><Relationship Id="rId54" Type="http://schemas.openxmlformats.org/officeDocument/2006/relationships/header" Target="header8.xml"/><Relationship Id="rId62" Type="http://schemas.openxmlformats.org/officeDocument/2006/relationships/image" Target="media/image26.png"/><Relationship Id="rId70" Type="http://schemas.openxmlformats.org/officeDocument/2006/relationships/image" Target="media/image33.png"/><Relationship Id="rId75" Type="http://schemas.openxmlformats.org/officeDocument/2006/relationships/image" Target="media/image38.png"/><Relationship Id="rId83" Type="http://schemas.openxmlformats.org/officeDocument/2006/relationships/image" Target="media/image46.png"/><Relationship Id="rId88" Type="http://schemas.openxmlformats.org/officeDocument/2006/relationships/image" Target="media/image51.png"/><Relationship Id="rId91" Type="http://schemas.openxmlformats.org/officeDocument/2006/relationships/image" Target="media/image54.png"/><Relationship Id="rId96" Type="http://schemas.openxmlformats.org/officeDocument/2006/relationships/image" Target="media/image59.png"/><Relationship Id="rId111" Type="http://schemas.openxmlformats.org/officeDocument/2006/relationships/image" Target="media/image74.png"/><Relationship Id="rId132" Type="http://schemas.openxmlformats.org/officeDocument/2006/relationships/image" Target="media/image92.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research.analysis@acma.gov.au" TargetMode="External"/><Relationship Id="rId23" Type="http://schemas.openxmlformats.org/officeDocument/2006/relationships/header" Target="header5.xml"/><Relationship Id="rId28" Type="http://schemas.openxmlformats.org/officeDocument/2006/relationships/footer" Target="footer6.xml"/><Relationship Id="rId36" Type="http://schemas.openxmlformats.org/officeDocument/2006/relationships/image" Target="media/image11.png"/><Relationship Id="rId49" Type="http://schemas.openxmlformats.org/officeDocument/2006/relationships/hyperlink" Target="http://www.acma.gov.au/Industry/Broadcast/Media-ownership-and-control/Registers/broadcasting-registers-media-ownership-control-acma" TargetMode="External"/><Relationship Id="rId57" Type="http://schemas.openxmlformats.org/officeDocument/2006/relationships/footer" Target="footer10.xml"/><Relationship Id="rId106" Type="http://schemas.openxmlformats.org/officeDocument/2006/relationships/image" Target="media/image69.png"/><Relationship Id="rId114" Type="http://schemas.openxmlformats.org/officeDocument/2006/relationships/image" Target="media/image77.png"/><Relationship Id="rId119" Type="http://schemas.openxmlformats.org/officeDocument/2006/relationships/image" Target="media/image82.png"/><Relationship Id="rId127" Type="http://schemas.openxmlformats.org/officeDocument/2006/relationships/hyperlink" Target="http://commcom.com.au/" TargetMode="External"/><Relationship Id="rId10" Type="http://schemas.openxmlformats.org/officeDocument/2006/relationships/header" Target="header2.xml"/><Relationship Id="rId31" Type="http://schemas.openxmlformats.org/officeDocument/2006/relationships/image" Target="media/image6.tiff"/><Relationship Id="rId44" Type="http://schemas.openxmlformats.org/officeDocument/2006/relationships/hyperlink" Target="http://www.nbnco.com.au/content/dam/nbnco2/documents/FY15-annual-report.pdf" TargetMode="External"/><Relationship Id="rId52" Type="http://schemas.openxmlformats.org/officeDocument/2006/relationships/image" Target="media/image20.png"/><Relationship Id="rId60" Type="http://schemas.openxmlformats.org/officeDocument/2006/relationships/image" Target="media/image24.png"/><Relationship Id="rId65" Type="http://schemas.openxmlformats.org/officeDocument/2006/relationships/image" Target="media/image28.png"/><Relationship Id="rId73" Type="http://schemas.openxmlformats.org/officeDocument/2006/relationships/image" Target="media/image36.png"/><Relationship Id="rId78" Type="http://schemas.openxmlformats.org/officeDocument/2006/relationships/image" Target="media/image41.png"/><Relationship Id="rId81" Type="http://schemas.openxmlformats.org/officeDocument/2006/relationships/image" Target="media/image44.png"/><Relationship Id="rId86" Type="http://schemas.openxmlformats.org/officeDocument/2006/relationships/image" Target="media/image49.png"/><Relationship Id="rId94" Type="http://schemas.openxmlformats.org/officeDocument/2006/relationships/image" Target="media/image57.png"/><Relationship Id="rId99" Type="http://schemas.openxmlformats.org/officeDocument/2006/relationships/image" Target="media/image62.png"/><Relationship Id="rId101" Type="http://schemas.openxmlformats.org/officeDocument/2006/relationships/image" Target="media/image64.png"/><Relationship Id="rId122" Type="http://schemas.openxmlformats.org/officeDocument/2006/relationships/image" Target="media/image85.png"/><Relationship Id="rId130" Type="http://schemas.openxmlformats.org/officeDocument/2006/relationships/image" Target="media/image91.png"/><Relationship Id="rId13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image" Target="media/image4.png"/><Relationship Id="rId39" Type="http://schemas.openxmlformats.org/officeDocument/2006/relationships/hyperlink" Target="http://www.abs.gov.au/ausstats/abs@.nsf/mf/8153.0/" TargetMode="External"/><Relationship Id="rId109" Type="http://schemas.openxmlformats.org/officeDocument/2006/relationships/image" Target="media/image72.png"/><Relationship Id="rId34" Type="http://schemas.openxmlformats.org/officeDocument/2006/relationships/image" Target="media/image9.png"/><Relationship Id="rId50" Type="http://schemas.openxmlformats.org/officeDocument/2006/relationships/hyperlink" Target="http://www.acma.gov.au/Industry/Broadcast/Media-ownership-and-control/Registers/broadcasting-registers-media-ownership-control-acma" TargetMode="External"/><Relationship Id="rId55" Type="http://schemas.openxmlformats.org/officeDocument/2006/relationships/header" Target="header9.xml"/><Relationship Id="rId76" Type="http://schemas.openxmlformats.org/officeDocument/2006/relationships/image" Target="media/image39.png"/><Relationship Id="rId97" Type="http://schemas.openxmlformats.org/officeDocument/2006/relationships/image" Target="media/image60.png"/><Relationship Id="rId104" Type="http://schemas.openxmlformats.org/officeDocument/2006/relationships/image" Target="media/image67.png"/><Relationship Id="rId120" Type="http://schemas.openxmlformats.org/officeDocument/2006/relationships/image" Target="media/image83.png"/><Relationship Id="rId125" Type="http://schemas.openxmlformats.org/officeDocument/2006/relationships/image" Target="media/image88.png"/><Relationship Id="rId7" Type="http://schemas.openxmlformats.org/officeDocument/2006/relationships/endnotes" Target="endnotes.xml"/><Relationship Id="rId71" Type="http://schemas.openxmlformats.org/officeDocument/2006/relationships/image" Target="media/image34.png"/><Relationship Id="rId92" Type="http://schemas.openxmlformats.org/officeDocument/2006/relationships/image" Target="media/image55.png"/><Relationship Id="rId2" Type="http://schemas.openxmlformats.org/officeDocument/2006/relationships/numbering" Target="numbering.xml"/><Relationship Id="rId29" Type="http://schemas.openxmlformats.org/officeDocument/2006/relationships/footer" Target="footer7.xml"/><Relationship Id="rId24" Type="http://schemas.openxmlformats.org/officeDocument/2006/relationships/footer" Target="footer4.xml"/><Relationship Id="rId40" Type="http://schemas.openxmlformats.org/officeDocument/2006/relationships/image" Target="media/image14.png"/><Relationship Id="rId45" Type="http://schemas.openxmlformats.org/officeDocument/2006/relationships/hyperlink" Target="http://telstrawholesale.com.au/nbn/nbn-rollout/index.htm" TargetMode="External"/><Relationship Id="rId66" Type="http://schemas.openxmlformats.org/officeDocument/2006/relationships/image" Target="media/image29.png"/><Relationship Id="rId87" Type="http://schemas.openxmlformats.org/officeDocument/2006/relationships/image" Target="media/image50.png"/><Relationship Id="rId110" Type="http://schemas.openxmlformats.org/officeDocument/2006/relationships/image" Target="media/image73.png"/><Relationship Id="rId115" Type="http://schemas.openxmlformats.org/officeDocument/2006/relationships/image" Target="media/image78.png"/><Relationship Id="rId131" Type="http://schemas.openxmlformats.org/officeDocument/2006/relationships/hyperlink" Target="http://www.rfnsa.com.au" TargetMode="External"/><Relationship Id="rId61" Type="http://schemas.openxmlformats.org/officeDocument/2006/relationships/image" Target="media/image25.png"/><Relationship Id="rId82" Type="http://schemas.openxmlformats.org/officeDocument/2006/relationships/image" Target="media/image45.png"/><Relationship Id="rId19" Type="http://schemas.openxmlformats.org/officeDocument/2006/relationships/hyperlink" Target="http://creativecommons.org/licenses/by/3.0/au/" TargetMode="External"/></Relationships>
</file>

<file path=word/_rels/endnotes.xml.rels><?xml version="1.0" encoding="UTF-8" standalone="yes"?>
<Relationships xmlns="http://schemas.openxmlformats.org/package/2006/relationships"><Relationship Id="rId13" Type="http://schemas.openxmlformats.org/officeDocument/2006/relationships/hyperlink" Target="http://www.zdnet.com/article/optus-customers-to-get-wi-fi-calling-on-ios-and-android/" TargetMode="External"/><Relationship Id="rId18" Type="http://schemas.openxmlformats.org/officeDocument/2006/relationships/hyperlink" Target="http://www.abs.gov.au/ausstats/abs@.nsf/mf/8153.0/" TargetMode="External"/><Relationship Id="rId26" Type="http://schemas.openxmlformats.org/officeDocument/2006/relationships/hyperlink" Target="http://stakeholders.ofcom.org.uk/binaries/research/consumer-experience/tce-14/TCE14_research_report.pdf" TargetMode="External"/><Relationship Id="rId39" Type="http://schemas.openxmlformats.org/officeDocument/2006/relationships/hyperlink" Target="https://theconversation.com/netflix-arrival-will-be-a-tipping-point-for-tv-in-australia-38386" TargetMode="External"/><Relationship Id="rId21" Type="http://schemas.openxmlformats.org/officeDocument/2006/relationships/hyperlink" Target="http://www.emarketer.com/Article/Internet-of-Things-Tracking-Cross-Everywhere-Consumer/1012644?ecid=NL1007" TargetMode="External"/><Relationship Id="rId34" Type="http://schemas.openxmlformats.org/officeDocument/2006/relationships/hyperlink" Target="http://stakeholders.ofcom.org.uk/market-data-research/market-data/communications-market-reports/" TargetMode="External"/><Relationship Id="rId42" Type="http://schemas.openxmlformats.org/officeDocument/2006/relationships/hyperlink" Target="http://www.afr.com/technology/hfc-network-will-cope-with-rise-of-netflix-says-nbn-20150421-1mpp51" TargetMode="External"/><Relationship Id="rId47" Type="http://schemas.openxmlformats.org/officeDocument/2006/relationships/hyperlink" Target="https://www.choice.com.au/electronics-and-technology/home-entertainment/home-entertainment-networks/articles/how-many-australians-watch-netflix-241114" TargetMode="External"/><Relationship Id="rId50" Type="http://schemas.openxmlformats.org/officeDocument/2006/relationships/hyperlink" Target="https://www.accenture.com/t20150523T021027__w__/us-en/_acnmedia/Accenture/Conversion-Assets/Microsites/Documents17/Accenture-Digital-Video-Connected-Consumer.pdf" TargetMode="External"/><Relationship Id="rId55" Type="http://schemas.openxmlformats.org/officeDocument/2006/relationships/hyperlink" Target="http://intranet/working-at-the-acma/news-and-views/acma-news/news-of-the-week/emerging-media-and-communications-trends" TargetMode="External"/><Relationship Id="rId7" Type="http://schemas.openxmlformats.org/officeDocument/2006/relationships/hyperlink" Target="http://www.asx.com.au/asxpdf/20150326/pdf/42xjlcrw2hw9nl.pdf" TargetMode="External"/><Relationship Id="rId12" Type="http://schemas.openxmlformats.org/officeDocument/2006/relationships/hyperlink" Target="http://www.zdnet.com/article/optus-joins-voice-over-lte-race/" TargetMode="External"/><Relationship Id="rId17" Type="http://schemas.openxmlformats.org/officeDocument/2006/relationships/hyperlink" Target="http://www.itnews.com.au/News/405151,telstra-to-switch-off-free-wi-fi-hotspots-from-sunday.aspx" TargetMode="External"/><Relationship Id="rId25" Type="http://schemas.openxmlformats.org/officeDocument/2006/relationships/hyperlink" Target="http://www.nfcworld.com/2015/05/13/335191/australia-leads-the-way-for-contactless-ownership-and-usage/" TargetMode="External"/><Relationship Id="rId33" Type="http://schemas.openxmlformats.org/officeDocument/2006/relationships/hyperlink" Target="http://stakeholders.ofcom.org.uk/market-data-research/other/research-publications/adults/media-lit-10years/" TargetMode="External"/><Relationship Id="rId38" Type="http://schemas.openxmlformats.org/officeDocument/2006/relationships/hyperlink" Target="https://theconversation.com/foxtels-bundle-of-pain-could-come-sooner-than-it-thinks-45834" TargetMode="External"/><Relationship Id="rId46" Type="http://schemas.openxmlformats.org/officeDocument/2006/relationships/hyperlink" Target="http://www.afr.com/business/media-and-marketing/tv/netflix-fights-itself-in-australia-20141124-11t1xt" TargetMode="External"/><Relationship Id="rId2" Type="http://schemas.openxmlformats.org/officeDocument/2006/relationships/hyperlink" Target="http://www.asx.com.au/asx/research/company.do" TargetMode="External"/><Relationship Id="rId16" Type="http://schemas.openxmlformats.org/officeDocument/2006/relationships/hyperlink" Target="http://collaboration/organisation/CSCD/RFB/CAS/CASEL/Lists/Posts/Post.aspx?ID=701" TargetMode="External"/><Relationship Id="rId20" Type="http://schemas.openxmlformats.org/officeDocument/2006/relationships/hyperlink" Target="http://www.nbnco.com.au/develop-or-plan-with-the-nbn/check-rollout-map.html" TargetMode="External"/><Relationship Id="rId29" Type="http://schemas.openxmlformats.org/officeDocument/2006/relationships/hyperlink" Target="http://www.pewinternet.org/fact-sheets/broadband-technology-fact-sheet/" TargetMode="External"/><Relationship Id="rId41" Type="http://schemas.openxmlformats.org/officeDocument/2006/relationships/hyperlink" Target="http://www.tvtonight.com.au/2015/07/the-view-from-iview.html" TargetMode="External"/><Relationship Id="rId54" Type="http://schemas.openxmlformats.org/officeDocument/2006/relationships/hyperlink" Target="http://www.nielsen.com/us/en/insights/reports/2015/home-entertainment-consumer-trends-digital-transition-tracker-report-may-2015.html" TargetMode="External"/><Relationship Id="rId1" Type="http://schemas.openxmlformats.org/officeDocument/2006/relationships/hyperlink" Target="http://www.telstra.com.au/aboutus/investors/financial-information/reports-and-presentations/" TargetMode="External"/><Relationship Id="rId6" Type="http://schemas.openxmlformats.org/officeDocument/2006/relationships/hyperlink" Target="http://info.singtel.com/sites/default/files/stockexchange/1stqtr-MDA_3.pdf" TargetMode="External"/><Relationship Id="rId11" Type="http://schemas.openxmlformats.org/officeDocument/2006/relationships/hyperlink" Target="http://www.vodafone.com.au/doc/Vodafone_VoLTE_Trial.pdf" TargetMode="External"/><Relationship Id="rId24" Type="http://schemas.openxmlformats.org/officeDocument/2006/relationships/hyperlink" Target="http://www.news.com.au/finance/money/contactless-tapandgo-payment-gains-popularity-with-australian-shoppers/story-e6frfmci-1227073203032" TargetMode="External"/><Relationship Id="rId32" Type="http://schemas.openxmlformats.org/officeDocument/2006/relationships/hyperlink" Target="http://www.pewinternet.org/files/2015/03/PI_Smartphones_0401151.pdf" TargetMode="External"/><Relationship Id="rId37" Type="http://schemas.openxmlformats.org/officeDocument/2006/relationships/hyperlink" Target="http://www.digitalradioplus.com.au/index.cfm?page_id=1048&amp;display_news_id=1161" TargetMode="External"/><Relationship Id="rId40" Type="http://schemas.openxmlformats.org/officeDocument/2006/relationships/hyperlink" Target="http://variety.com/2015/digital/news/ott-map-video-ecosystem-1201480930/" TargetMode="External"/><Relationship Id="rId45" Type="http://schemas.openxmlformats.org/officeDocument/2006/relationships/hyperlink" Target="http://www.lifehacker.com.au/2014/07/how-many-people-use-netflix-in-australia/" TargetMode="External"/><Relationship Id="rId53" Type="http://schemas.openxmlformats.org/officeDocument/2006/relationships/hyperlink" Target="http://www.smh.com.au/digital-life/computers/gadgets-on-the-go/hands-on-review-sony-android-tv-201507%2015-gicrh1.html" TargetMode="External"/><Relationship Id="rId5" Type="http://schemas.openxmlformats.org/officeDocument/2006/relationships/hyperlink" Target="http://www.asx.com.au/asx/research/company.do" TargetMode="External"/><Relationship Id="rId15" Type="http://schemas.openxmlformats.org/officeDocument/2006/relationships/hyperlink" Target="http://www.acma.gov.au/theACMA/engage-blogs/engage-blogs/Research-snapshots/Strong-signals-growing-use-of-public-Wi-Fi-hotspots" TargetMode="External"/><Relationship Id="rId23" Type="http://schemas.openxmlformats.org/officeDocument/2006/relationships/hyperlink" Target="http://www.abs.gov.au/ausstats/abs@.nsf/mf/8166.0" TargetMode="External"/><Relationship Id="rId28" Type="http://schemas.openxmlformats.org/officeDocument/2006/relationships/hyperlink" Target="http://ec.europa.eu/public_opinion/archives/ebs/ebs_414_en.pdf" TargetMode="External"/><Relationship Id="rId36" Type="http://schemas.openxmlformats.org/officeDocument/2006/relationships/hyperlink" Target="http://www.broadbandcommission.org/publications/Pages/SOB-2015.aspx" TargetMode="External"/><Relationship Id="rId49" Type="http://schemas.openxmlformats.org/officeDocument/2006/relationships/hyperlink" Target="%20http:/netflixaustralia.netflixable.com/" TargetMode="External"/><Relationship Id="rId10" Type="http://schemas.openxmlformats.org/officeDocument/2006/relationships/hyperlink" Target="http://www.acma.gov.au/theACMA/engage-blogs/engage-blogs/researchacma/The-Aussie-VoIP-evolution" TargetMode="External"/><Relationship Id="rId19" Type="http://schemas.openxmlformats.org/officeDocument/2006/relationships/hyperlink" Target="http://www.nbnco.com.au/corporate-information/media-centre/media-releases/deal-to-accelerate-nbn-rollout-comes-into-effect.html" TargetMode="External"/><Relationship Id="rId31" Type="http://schemas.openxmlformats.org/officeDocument/2006/relationships/hyperlink" Target="http://stakeholders.ofcom.org.uk/market-data-research/market-data/communications-market-reports/" TargetMode="External"/><Relationship Id="rId44" Type="http://schemas.openxmlformats.org/officeDocument/2006/relationships/hyperlink" Target="http://www.theaustralian.com.au/business/media/more-netflix-pirates-on-board/story-fna045gd-1226842998214" TargetMode="External"/><Relationship Id="rId52" Type="http://schemas.openxmlformats.org/officeDocument/2006/relationships/hyperlink" Target="http://www.smh.com.au/digital-life/computers/gadgets-on-the-go/who-wants-a-roku-streaming-video-box-from-telstra-20150729-gimvbx.html" TargetMode="External"/><Relationship Id="rId4" Type="http://schemas.openxmlformats.org/officeDocument/2006/relationships/hyperlink" Target="https://media.optus.com.au/wp-content/uploads/2015/08/Q1-FY15-16-MDA.pdf" TargetMode="External"/><Relationship Id="rId9" Type="http://schemas.openxmlformats.org/officeDocument/2006/relationships/hyperlink" Target="http://www.minister.communications.gov.au/paul_fletcher/news/mobile_black_spot_programme_to_deliver_almost_500_new_or_upgraded_base_stations_with_total_investment_of_$385_million" TargetMode="External"/><Relationship Id="rId14" Type="http://schemas.openxmlformats.org/officeDocument/2006/relationships/hyperlink" Target="http://www.itnews.com.au/news/telstra-to-kill-off-dial-up-405496" TargetMode="External"/><Relationship Id="rId22" Type="http://schemas.openxmlformats.org/officeDocument/2006/relationships/hyperlink" Target="http://www.itnews.com.au/news/tpgs-iinet-takeover-is-bittersweet-for-michael-malone-408176" TargetMode="External"/><Relationship Id="rId27" Type="http://schemas.openxmlformats.org/officeDocument/2006/relationships/hyperlink" Target="http://www.cdc.gov/nchs/data/nhis/earlyrelease/wireless201412.pdf" TargetMode="External"/><Relationship Id="rId30" Type="http://schemas.openxmlformats.org/officeDocument/2006/relationships/hyperlink" Target="http://www.pewinternet.org/2015/06/26/americans-internet-access-2000-2015/" TargetMode="External"/><Relationship Id="rId35" Type="http://schemas.openxmlformats.org/officeDocument/2006/relationships/hyperlink" Target="http://stakeholders.ofcom.org.uk/market-data-research/other/research-publications/adults/media-lit-10years/" TargetMode="External"/><Relationship Id="rId43" Type="http://schemas.openxmlformats.org/officeDocument/2006/relationships/hyperlink" Target="https://ec.europa.eu/digital-agenda/en/news/commission-seeks-views-europes-audiovisual-media-rules" TargetMode="External"/><Relationship Id="rId48" Type="http://schemas.openxmlformats.org/officeDocument/2006/relationships/hyperlink" Target="http://www.roymorgan.com/findings/6389-netflix-expands-market-foxtel-steady-australia-pay-tv-svod-july-2015-201508102349" TargetMode="External"/><Relationship Id="rId56" Type="http://schemas.openxmlformats.org/officeDocument/2006/relationships/hyperlink" Target="https://www.communications.gov.au/publications/digital-radio-report" TargetMode="External"/><Relationship Id="rId8" Type="http://schemas.openxmlformats.org/officeDocument/2006/relationships/hyperlink" Target="http://www.asx.com.au/asx/statistics/displayAnnouncement.do?display=pdf&amp;idsId=01642904" TargetMode="External"/><Relationship Id="rId51" Type="http://schemas.openxmlformats.org/officeDocument/2006/relationships/hyperlink" Target="http://digiday.com/platforms/amazon-hires-bt-tv-chief-alex-green-head-instant-video/" TargetMode="External"/><Relationship Id="rId3" Type="http://schemas.openxmlformats.org/officeDocument/2006/relationships/hyperlink" Target="http://www.telstra.com.au/aboutus/investors/financial-information/reports-and-presenta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comms report 2014-15">
  <a:themeElements>
    <a:clrScheme name="Comms report">
      <a:dk1>
        <a:sysClr val="windowText" lastClr="000000"/>
      </a:dk1>
      <a:lt1>
        <a:sysClr val="window" lastClr="FFFFFF"/>
      </a:lt1>
      <a:dk2>
        <a:srgbClr val="44546A"/>
      </a:dk2>
      <a:lt2>
        <a:srgbClr val="E7E6E6"/>
      </a:lt2>
      <a:accent1>
        <a:srgbClr val="00ADBB"/>
      </a:accent1>
      <a:accent2>
        <a:srgbClr val="65CDD5"/>
      </a:accent2>
      <a:accent3>
        <a:srgbClr val="E9FBFB"/>
      </a:accent3>
      <a:accent4>
        <a:srgbClr val="757070"/>
      </a:accent4>
      <a:accent5>
        <a:srgbClr val="757070"/>
      </a:accent5>
      <a:accent6>
        <a:srgbClr val="757070"/>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A1D62D-F782-4EEF-BFE1-ADBA3D4A1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156</Pages>
  <Words>45170</Words>
  <Characters>257473</Characters>
  <Application>Microsoft Office Word</Application>
  <DocSecurity>0</DocSecurity>
  <Lines>2145</Lines>
  <Paragraphs>604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302039</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2015-11-30T02:12:00Z</dcterms:created>
  <dcterms:modified xsi:type="dcterms:W3CDTF">2015-11-30T02:12:00Z</dcterms:modified>
  <cp:category/>
</cp:coreProperties>
</file>