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A7E46C" w14:textId="324AC1CD" w:rsidR="00F06E14" w:rsidRPr="00A51D1A" w:rsidRDefault="00B96A25" w:rsidP="00A51D1A">
      <w:pPr>
        <w:pStyle w:val="ACMAReportTitle"/>
      </w:pPr>
      <w:bookmarkStart w:id="0" w:name="_GoBack"/>
      <w:bookmarkEnd w:id="0"/>
      <w:r w:rsidRPr="00300037">
        <w:rPr>
          <w:rFonts w:cs="Arial"/>
        </w:rPr>
        <w:t>Addendum to FYSO 2018</w:t>
      </w:r>
      <w:r w:rsidR="00A90BD7">
        <w:rPr>
          <w:rFonts w:cs="Arial"/>
        </w:rPr>
        <w:t>–</w:t>
      </w:r>
      <w:r w:rsidRPr="00300037">
        <w:rPr>
          <w:rFonts w:cs="Arial"/>
        </w:rPr>
        <w:t>22</w:t>
      </w:r>
    </w:p>
    <w:p w14:paraId="3DF2DCC6" w14:textId="78F9AB1D" w:rsidR="00F06E14" w:rsidRDefault="00A90BD7" w:rsidP="00F06E14">
      <w:pPr>
        <w:pStyle w:val="ACMAReportSubTitle"/>
      </w:pPr>
      <w:r>
        <w:rPr>
          <w:rFonts w:cs="Arial"/>
        </w:rPr>
        <w:t>R</w:t>
      </w:r>
      <w:r w:rsidR="00B96A25" w:rsidRPr="00300037">
        <w:rPr>
          <w:rFonts w:cs="Arial"/>
        </w:rPr>
        <w:t>esponse to submissions</w:t>
      </w:r>
    </w:p>
    <w:p w14:paraId="09D8D9A4" w14:textId="3C1685B0" w:rsidR="008C7B74" w:rsidRDefault="00B96A25" w:rsidP="004209DD">
      <w:pPr>
        <w:pStyle w:val="ACMAReportDate"/>
        <w:spacing w:after="240"/>
      </w:pPr>
      <w:r>
        <w:t>SEPTEMBER 2018</w:t>
      </w:r>
    </w:p>
    <w:p w14:paraId="4713836F" w14:textId="6ED7D0A6" w:rsidR="008C7B74" w:rsidRDefault="008C7B74" w:rsidP="004209DD">
      <w:pPr>
        <w:pStyle w:val="Heading3"/>
      </w:pPr>
      <w:r>
        <w:t xml:space="preserve">VERSION </w:t>
      </w:r>
      <w:r w:rsidR="004209DD">
        <w:t>1</w:t>
      </w:r>
      <w:r>
        <w:t>.1</w:t>
      </w:r>
    </w:p>
    <w:p w14:paraId="35441264" w14:textId="0F824A71" w:rsidR="008C7B74" w:rsidRDefault="008C7B74" w:rsidP="00D47AEB">
      <w:pPr>
        <w:pStyle w:val="ACMAReportDate"/>
        <w:spacing w:after="720"/>
      </w:pPr>
    </w:p>
    <w:p w14:paraId="146E88CD" w14:textId="77777777" w:rsidR="008C7B74" w:rsidRDefault="008C7B74" w:rsidP="00D47AEB">
      <w:pPr>
        <w:pStyle w:val="ACMAReportDate"/>
        <w:spacing w:after="720"/>
      </w:pPr>
    </w:p>
    <w:p w14:paraId="5DCE803A" w14:textId="77777777" w:rsidR="00C97736" w:rsidRPr="000D76E0" w:rsidRDefault="00C97736" w:rsidP="0041071D">
      <w:pPr>
        <w:rPr>
          <w:rFonts w:cs="Arial"/>
        </w:rPr>
      </w:pPr>
    </w:p>
    <w:p w14:paraId="561A2429"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43EA12BC" w14:textId="77777777" w:rsidR="0005011A" w:rsidRPr="00F44F3A" w:rsidRDefault="0005011A" w:rsidP="00FC07B9">
      <w:pPr>
        <w:pStyle w:val="ACMACorporateAddressHeader"/>
      </w:pPr>
      <w:r w:rsidRPr="00F44F3A">
        <w:lastRenderedPageBreak/>
        <w:t>Canberra</w:t>
      </w:r>
    </w:p>
    <w:p w14:paraId="05DD87F9"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EB60E7C" w14:textId="77777777" w:rsidR="0005011A" w:rsidRPr="00FC07B9" w:rsidRDefault="0005011A" w:rsidP="00FC07B9">
      <w:pPr>
        <w:pStyle w:val="ACMACorporateAddresses"/>
      </w:pPr>
      <w:r w:rsidRPr="00FC07B9">
        <w:t>PO Box 78</w:t>
      </w:r>
      <w:r w:rsidRPr="00FC07B9">
        <w:br/>
        <w:t>Belconnen ACT 2616</w:t>
      </w:r>
    </w:p>
    <w:p w14:paraId="49567946"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5773E2F" w14:textId="77777777" w:rsidR="0005011A" w:rsidRPr="00F44F3A" w:rsidRDefault="0005011A" w:rsidP="00FC07B9">
      <w:pPr>
        <w:pStyle w:val="ACMACorporateAddressHeader"/>
      </w:pPr>
      <w:r w:rsidRPr="00F44F3A">
        <w:t>Melbourne</w:t>
      </w:r>
    </w:p>
    <w:p w14:paraId="1A995D0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8939C9C"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1EBBAD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B6B2CA8" w14:textId="77777777" w:rsidR="0005011A" w:rsidRPr="00F44F3A" w:rsidRDefault="0005011A" w:rsidP="00FC07B9">
      <w:pPr>
        <w:pStyle w:val="ACMACorporateAddressHeader"/>
      </w:pPr>
      <w:r w:rsidRPr="00F44F3A">
        <w:t>Sydney</w:t>
      </w:r>
    </w:p>
    <w:p w14:paraId="099D1A7A"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B0D6E18"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D457C43"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DBD05C1" w14:textId="77777777" w:rsidR="00140318" w:rsidRPr="006D46E5" w:rsidRDefault="00140318" w:rsidP="00FC07B9">
      <w:pPr>
        <w:pStyle w:val="ACMACopyrightHeader"/>
      </w:pPr>
      <w:r w:rsidRPr="00140318">
        <w:t>Copyright notice</w:t>
      </w:r>
    </w:p>
    <w:p w14:paraId="0792C137" w14:textId="77777777" w:rsidR="00140318" w:rsidRPr="006D46E5" w:rsidRDefault="00623FF9" w:rsidP="00623FF9">
      <w:pPr>
        <w:pStyle w:val="ACMACClogo"/>
      </w:pPr>
      <w:r w:rsidRPr="00623FF9">
        <w:rPr>
          <w:noProof/>
        </w:rPr>
        <w:drawing>
          <wp:inline distT="0" distB="0" distL="0" distR="0" wp14:anchorId="6ADE2305" wp14:editId="66F256DF">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240B1773" w14:textId="77777777" w:rsidR="00AA2DE5" w:rsidRDefault="003C3C8C" w:rsidP="00AA2DE5">
      <w:pPr>
        <w:pStyle w:val="ACMACorporateAddresses"/>
        <w:rPr>
          <w:rStyle w:val="Hyperlink"/>
        </w:rPr>
      </w:pPr>
      <w:hyperlink r:id="rId13" w:history="1">
        <w:r w:rsidR="00AA2DE5">
          <w:rPr>
            <w:rStyle w:val="Hyperlink"/>
          </w:rPr>
          <w:t>https://creativecommons.org/licenses/by/4.0//</w:t>
        </w:r>
      </w:hyperlink>
    </w:p>
    <w:p w14:paraId="588F60A8"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F7BEA9F" w14:textId="77777777" w:rsidR="00AA2DE5" w:rsidRDefault="00AA2DE5" w:rsidP="00AA2DE5">
      <w:pPr>
        <w:pStyle w:val="ACMACorporateAddresses"/>
      </w:pPr>
      <w:r>
        <w:t>We request attribution as © Commonwealth of Australia (Australian Communications and Media Authority) 2018.</w:t>
      </w:r>
    </w:p>
    <w:p w14:paraId="1FE48438" w14:textId="77777777" w:rsidR="00AA2DE5" w:rsidRDefault="00AA2DE5" w:rsidP="00AA2DE5">
      <w:pPr>
        <w:pStyle w:val="ACMACorporateAddresses"/>
      </w:pPr>
      <w:r>
        <w:t>All other rights are reserved.</w:t>
      </w:r>
    </w:p>
    <w:p w14:paraId="1CB12380"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2ABA018" w14:textId="77777777" w:rsidR="00AA2DE5" w:rsidRDefault="00AA2DE5" w:rsidP="00AA2DE5">
      <w:pPr>
        <w:pStyle w:val="ACMACorporateAddresses"/>
      </w:pPr>
      <w:r>
        <w:t>Written enquiries may be sent to:</w:t>
      </w:r>
    </w:p>
    <w:p w14:paraId="1D299435" w14:textId="77777777" w:rsidR="00AA2DE5" w:rsidRDefault="00AA2DE5" w:rsidP="00AA2DE5">
      <w:pPr>
        <w:pStyle w:val="ACMACorporateAddresses"/>
        <w:rPr>
          <w:rStyle w:val="Hyperlink"/>
        </w:rPr>
      </w:pPr>
      <w:r>
        <w:t>Manager, Editorial and Design</w:t>
      </w:r>
      <w:r>
        <w:br/>
        <w:t>PO Box 13112</w:t>
      </w:r>
      <w:r>
        <w:br/>
        <w:t>Law Courts</w:t>
      </w:r>
      <w:r>
        <w:br/>
        <w:t>Melbourne VIC 8010</w:t>
      </w:r>
      <w:r>
        <w:br/>
        <w:t xml:space="preserve">Email: </w:t>
      </w:r>
      <w:hyperlink r:id="rId14" w:history="1">
        <w:r>
          <w:rPr>
            <w:rStyle w:val="Hyperlink"/>
          </w:rPr>
          <w:t>info@acma.gov.au</w:t>
        </w:r>
      </w:hyperlink>
    </w:p>
    <w:p w14:paraId="5F2786C6" w14:textId="77777777" w:rsidR="00D16FE3" w:rsidRDefault="00D16FE3" w:rsidP="00D16FE3">
      <w:pPr>
        <w:pStyle w:val="ACMACorporateAddresses"/>
        <w:rPr>
          <w:rStyle w:val="Hyperlink"/>
        </w:rPr>
      </w:pPr>
    </w:p>
    <w:p w14:paraId="0A6A4BC0"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148FB8D" w14:textId="0CA6562D" w:rsidR="00DF4808" w:rsidRDefault="003A0060">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\t "ACMA_ExecSummaryHeading,1" </w:instrText>
      </w:r>
      <w:r>
        <w:rPr>
          <w:rFonts w:cs="Arial"/>
        </w:rPr>
        <w:fldChar w:fldCharType="separate"/>
      </w:r>
      <w:r w:rsidR="00DF4808">
        <w:t>Introduction</w:t>
      </w:r>
      <w:r w:rsidR="00DF4808">
        <w:tab/>
      </w:r>
      <w:r w:rsidR="00DF4808">
        <w:fldChar w:fldCharType="begin"/>
      </w:r>
      <w:r w:rsidR="00DF4808">
        <w:instrText xml:space="preserve"> PAGEREF _Toc524511471 \h </w:instrText>
      </w:r>
      <w:r w:rsidR="00DF4808">
        <w:fldChar w:fldCharType="separate"/>
      </w:r>
      <w:r w:rsidR="00DF4808">
        <w:t>1</w:t>
      </w:r>
      <w:r w:rsidR="00DF4808">
        <w:fldChar w:fldCharType="end"/>
      </w:r>
    </w:p>
    <w:p w14:paraId="47E73D2B" w14:textId="0AE65BDD" w:rsidR="00DF4808" w:rsidRDefault="00DF4808">
      <w:pPr>
        <w:pStyle w:val="TOC2"/>
        <w:rPr>
          <w:rFonts w:asciiTheme="minorHAnsi" w:eastAsiaTheme="minorEastAsia" w:hAnsiTheme="minorHAnsi" w:cstheme="minorBidi"/>
          <w:spacing w:val="0"/>
          <w:sz w:val="22"/>
          <w:szCs w:val="22"/>
        </w:rPr>
      </w:pPr>
      <w:r>
        <w:t>Structure and approach of the FYSO</w:t>
      </w:r>
      <w:r>
        <w:tab/>
      </w:r>
      <w:r>
        <w:fldChar w:fldCharType="begin"/>
      </w:r>
      <w:r>
        <w:instrText xml:space="preserve"> PAGEREF _Toc524511472 \h </w:instrText>
      </w:r>
      <w:r>
        <w:fldChar w:fldCharType="separate"/>
      </w:r>
      <w:r>
        <w:t>1</w:t>
      </w:r>
      <w:r>
        <w:fldChar w:fldCharType="end"/>
      </w:r>
    </w:p>
    <w:p w14:paraId="0D227882" w14:textId="4D51D5FD" w:rsidR="00DF4808" w:rsidRDefault="00DF4808" w:rsidP="00DF4808">
      <w:pPr>
        <w:pStyle w:val="TOC2"/>
        <w:ind w:left="0" w:firstLine="0"/>
        <w:rPr>
          <w:rFonts w:asciiTheme="minorHAnsi" w:eastAsiaTheme="minorEastAsia" w:hAnsiTheme="minorHAnsi" w:cstheme="minorBidi"/>
          <w:spacing w:val="0"/>
          <w:sz w:val="22"/>
          <w:szCs w:val="22"/>
        </w:rPr>
      </w:pPr>
      <w:r>
        <w:t xml:space="preserve">Technology developments/sources of spectrum demand over the </w:t>
      </w:r>
      <w:r>
        <w:br/>
        <w:t>next five years</w:t>
      </w:r>
      <w:r>
        <w:tab/>
      </w:r>
      <w:r>
        <w:fldChar w:fldCharType="begin"/>
      </w:r>
      <w:r>
        <w:instrText xml:space="preserve"> PAGEREF _Toc524511473 \h </w:instrText>
      </w:r>
      <w:r>
        <w:fldChar w:fldCharType="separate"/>
      </w:r>
      <w:r>
        <w:t>2</w:t>
      </w:r>
      <w:r>
        <w:fldChar w:fldCharType="end"/>
      </w:r>
    </w:p>
    <w:p w14:paraId="7E75DD8D" w14:textId="290A80AC" w:rsidR="00DF4808" w:rsidRDefault="00DF4808">
      <w:pPr>
        <w:pStyle w:val="TOC2"/>
        <w:rPr>
          <w:rFonts w:asciiTheme="minorHAnsi" w:eastAsiaTheme="minorEastAsia" w:hAnsiTheme="minorHAnsi" w:cstheme="minorBidi"/>
          <w:spacing w:val="0"/>
          <w:sz w:val="22"/>
          <w:szCs w:val="22"/>
        </w:rPr>
      </w:pPr>
      <w:r>
        <w:t>Planning framework</w:t>
      </w:r>
      <w:r>
        <w:tab/>
      </w:r>
      <w:r>
        <w:fldChar w:fldCharType="begin"/>
      </w:r>
      <w:r>
        <w:instrText xml:space="preserve"> PAGEREF _Toc524511474 \h </w:instrText>
      </w:r>
      <w:r>
        <w:fldChar w:fldCharType="separate"/>
      </w:r>
      <w:r>
        <w:t>3</w:t>
      </w:r>
      <w:r>
        <w:fldChar w:fldCharType="end"/>
      </w:r>
    </w:p>
    <w:p w14:paraId="0AC1719F" w14:textId="20D9F88B" w:rsidR="00DF4808" w:rsidRDefault="00DF4808">
      <w:pPr>
        <w:pStyle w:val="TOC2"/>
        <w:rPr>
          <w:rFonts w:asciiTheme="minorHAnsi" w:eastAsiaTheme="minorEastAsia" w:hAnsiTheme="minorHAnsi" w:cstheme="minorBidi"/>
          <w:spacing w:val="0"/>
          <w:sz w:val="22"/>
          <w:szCs w:val="22"/>
        </w:rPr>
      </w:pPr>
      <w:r>
        <w:t>Forward allocation work program</w:t>
      </w:r>
      <w:r>
        <w:tab/>
      </w:r>
      <w:r>
        <w:fldChar w:fldCharType="begin"/>
      </w:r>
      <w:r>
        <w:instrText xml:space="preserve"> PAGEREF _Toc524511475 \h </w:instrText>
      </w:r>
      <w:r>
        <w:fldChar w:fldCharType="separate"/>
      </w:r>
      <w:r>
        <w:t>7</w:t>
      </w:r>
      <w:r>
        <w:fldChar w:fldCharType="end"/>
      </w:r>
    </w:p>
    <w:p w14:paraId="3A309CEE" w14:textId="668378D6" w:rsidR="00DF4808" w:rsidRDefault="00DF4808">
      <w:pPr>
        <w:pStyle w:val="TOC2"/>
        <w:rPr>
          <w:rFonts w:asciiTheme="minorHAnsi" w:eastAsiaTheme="minorEastAsia" w:hAnsiTheme="minorHAnsi" w:cstheme="minorBidi"/>
          <w:spacing w:val="0"/>
          <w:sz w:val="22"/>
          <w:szCs w:val="22"/>
        </w:rPr>
      </w:pPr>
      <w:r>
        <w:t>Spectrum review implementation approach</w:t>
      </w:r>
      <w:r>
        <w:tab/>
      </w:r>
      <w:r>
        <w:fldChar w:fldCharType="begin"/>
      </w:r>
      <w:r>
        <w:instrText xml:space="preserve"> PAGEREF _Toc524511476 \h </w:instrText>
      </w:r>
      <w:r>
        <w:fldChar w:fldCharType="separate"/>
      </w:r>
      <w:r>
        <w:t>7</w:t>
      </w:r>
      <w:r>
        <w:fldChar w:fldCharType="end"/>
      </w:r>
    </w:p>
    <w:p w14:paraId="76012AD4" w14:textId="578B35AF" w:rsidR="00DF4808" w:rsidRDefault="00DF4808" w:rsidP="00DF4808">
      <w:pPr>
        <w:pStyle w:val="TOC2"/>
        <w:ind w:left="0" w:firstLine="0"/>
        <w:rPr>
          <w:rFonts w:asciiTheme="minorHAnsi" w:eastAsiaTheme="minorEastAsia" w:hAnsiTheme="minorHAnsi" w:cstheme="minorBidi"/>
          <w:spacing w:val="0"/>
          <w:sz w:val="22"/>
          <w:szCs w:val="22"/>
        </w:rPr>
      </w:pPr>
      <w:r>
        <w:t xml:space="preserve">Licensing and licence systems, pricing, compliance and enforcement, </w:t>
      </w:r>
      <w:r>
        <w:br/>
        <w:t>and international engagement</w:t>
      </w:r>
      <w:r>
        <w:tab/>
      </w:r>
      <w:r>
        <w:fldChar w:fldCharType="begin"/>
      </w:r>
      <w:r>
        <w:instrText xml:space="preserve"> PAGEREF _Toc524511477 \h </w:instrText>
      </w:r>
      <w:r>
        <w:fldChar w:fldCharType="separate"/>
      </w:r>
      <w:r>
        <w:t>8</w:t>
      </w:r>
      <w:r>
        <w:fldChar w:fldCharType="end"/>
      </w:r>
    </w:p>
    <w:p w14:paraId="24643C22" w14:textId="433EF4FA" w:rsidR="000A4A51" w:rsidRPr="000D76E0" w:rsidRDefault="003A0060">
      <w:pPr>
        <w:rPr>
          <w:rFonts w:cs="Arial"/>
        </w:rPr>
      </w:pPr>
      <w:r>
        <w:rPr>
          <w:rFonts w:cs="Arial"/>
        </w:rPr>
        <w:fldChar w:fldCharType="end"/>
      </w:r>
    </w:p>
    <w:p w14:paraId="34639EDF" w14:textId="77777777" w:rsidR="004D56FF" w:rsidRPr="000D76E0" w:rsidRDefault="004D56F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6CD2A587" w14:textId="77777777" w:rsidR="009D6C71" w:rsidRPr="009174F3" w:rsidRDefault="00B96A25" w:rsidP="00D47AA2">
      <w:pPr>
        <w:pStyle w:val="Heading1"/>
      </w:pPr>
      <w:bookmarkStart w:id="1" w:name="_Toc524511471"/>
      <w:r>
        <w:lastRenderedPageBreak/>
        <w:t>Introduction</w:t>
      </w:r>
      <w:bookmarkEnd w:id="1"/>
    </w:p>
    <w:p w14:paraId="6825280C" w14:textId="4C86A83B" w:rsidR="00B96A25" w:rsidRPr="00D333E7" w:rsidRDefault="00B96A25" w:rsidP="00B96A25">
      <w:pPr>
        <w:rPr>
          <w:rFonts w:cs="Arial"/>
          <w:szCs w:val="20"/>
        </w:rPr>
      </w:pPr>
      <w:r w:rsidRPr="00D333E7">
        <w:rPr>
          <w:rFonts w:cs="Arial"/>
          <w:szCs w:val="20"/>
        </w:rPr>
        <w:t xml:space="preserve">The ACMA would like to thank all stakeholders that responded to the public consultation IFC 12/2018 </w:t>
      </w:r>
      <w:r w:rsidR="00A90BD7">
        <w:rPr>
          <w:rFonts w:cs="Arial"/>
          <w:szCs w:val="20"/>
        </w:rPr>
        <w:t>d</w:t>
      </w:r>
      <w:r w:rsidRPr="00D333E7">
        <w:rPr>
          <w:rFonts w:cs="Arial"/>
          <w:szCs w:val="20"/>
        </w:rPr>
        <w:t xml:space="preserve">raft </w:t>
      </w:r>
      <w:r w:rsidRPr="00D47AA2">
        <w:rPr>
          <w:rFonts w:cs="Arial"/>
          <w:i/>
          <w:szCs w:val="20"/>
        </w:rPr>
        <w:t>Five</w:t>
      </w:r>
      <w:r w:rsidR="00A90BD7" w:rsidRPr="00D47AA2">
        <w:rPr>
          <w:rFonts w:cs="Arial"/>
          <w:i/>
          <w:szCs w:val="20"/>
        </w:rPr>
        <w:t>-y</w:t>
      </w:r>
      <w:r w:rsidRPr="00D47AA2">
        <w:rPr>
          <w:rFonts w:cs="Arial"/>
          <w:i/>
          <w:szCs w:val="20"/>
        </w:rPr>
        <w:t xml:space="preserve">ear </w:t>
      </w:r>
      <w:r w:rsidR="00A90BD7" w:rsidRPr="00D47AA2">
        <w:rPr>
          <w:rFonts w:cs="Arial"/>
          <w:i/>
          <w:szCs w:val="20"/>
        </w:rPr>
        <w:t>s</w:t>
      </w:r>
      <w:r w:rsidRPr="00D47AA2">
        <w:rPr>
          <w:rFonts w:cs="Arial"/>
          <w:i/>
          <w:szCs w:val="20"/>
        </w:rPr>
        <w:t xml:space="preserve">pectrum </w:t>
      </w:r>
      <w:r w:rsidR="00A90BD7" w:rsidRPr="00D47AA2">
        <w:rPr>
          <w:rFonts w:cs="Arial"/>
          <w:i/>
          <w:szCs w:val="20"/>
        </w:rPr>
        <w:t>o</w:t>
      </w:r>
      <w:r w:rsidRPr="00D47AA2">
        <w:rPr>
          <w:rFonts w:cs="Arial"/>
          <w:i/>
          <w:szCs w:val="20"/>
        </w:rPr>
        <w:t>utlook 2018</w:t>
      </w:r>
      <w:r w:rsidR="00572149" w:rsidRPr="00D47AA2">
        <w:rPr>
          <w:rFonts w:cs="Arial"/>
          <w:i/>
          <w:szCs w:val="20"/>
        </w:rPr>
        <w:t>–</w:t>
      </w:r>
      <w:r w:rsidRPr="00D47AA2">
        <w:rPr>
          <w:rFonts w:cs="Arial"/>
          <w:i/>
          <w:szCs w:val="20"/>
        </w:rPr>
        <w:t>22</w:t>
      </w:r>
      <w:r w:rsidRPr="00D333E7">
        <w:rPr>
          <w:rFonts w:cs="Arial"/>
          <w:szCs w:val="20"/>
        </w:rPr>
        <w:t xml:space="preserve"> (draft 2018</w:t>
      </w:r>
      <w:r w:rsidR="00572149">
        <w:rPr>
          <w:rFonts w:cs="Arial"/>
          <w:szCs w:val="20"/>
        </w:rPr>
        <w:t>–</w:t>
      </w:r>
      <w:r w:rsidRPr="00D333E7">
        <w:rPr>
          <w:rFonts w:cs="Arial"/>
          <w:szCs w:val="20"/>
        </w:rPr>
        <w:t xml:space="preserve">22 FYSO). </w:t>
      </w:r>
    </w:p>
    <w:p w14:paraId="747E45DF" w14:textId="0111EED7" w:rsidR="00B96A25" w:rsidRDefault="00B96A25" w:rsidP="00B96A25">
      <w:pPr>
        <w:rPr>
          <w:rFonts w:cs="Arial"/>
          <w:szCs w:val="20"/>
        </w:rPr>
      </w:pPr>
      <w:r w:rsidRPr="00D333E7">
        <w:rPr>
          <w:rFonts w:cs="Arial"/>
          <w:szCs w:val="20"/>
        </w:rPr>
        <w:t>This document provides a summary of submissions received to the draft 2018</w:t>
      </w:r>
      <w:r w:rsidR="00572149">
        <w:rPr>
          <w:rFonts w:cs="Arial"/>
          <w:szCs w:val="20"/>
        </w:rPr>
        <w:t>–</w:t>
      </w:r>
      <w:r w:rsidRPr="00D333E7">
        <w:rPr>
          <w:rFonts w:cs="Arial"/>
          <w:szCs w:val="20"/>
        </w:rPr>
        <w:t>22 FYSO and the ACMA’s response to them. While the final 2018</w:t>
      </w:r>
      <w:r w:rsidR="00572149">
        <w:rPr>
          <w:rFonts w:cs="Arial"/>
          <w:szCs w:val="20"/>
        </w:rPr>
        <w:t>–</w:t>
      </w:r>
      <w:r w:rsidRPr="00D333E7">
        <w:rPr>
          <w:rFonts w:cs="Arial"/>
          <w:szCs w:val="20"/>
        </w:rPr>
        <w:t xml:space="preserve">22 FYSO includes some responses to specific stakeholder comments, other responses are summarised here. </w:t>
      </w:r>
    </w:p>
    <w:p w14:paraId="2B4B8355" w14:textId="77777777" w:rsidR="00B96A25" w:rsidRPr="004D00D6" w:rsidRDefault="00B96A25" w:rsidP="00B96A25">
      <w:pPr>
        <w:spacing w:after="80"/>
        <w:rPr>
          <w:rFonts w:cs="Arial"/>
          <w:szCs w:val="20"/>
        </w:rPr>
      </w:pPr>
      <w:r w:rsidRPr="004D00D6">
        <w:rPr>
          <w:rFonts w:cs="Arial"/>
          <w:szCs w:val="20"/>
        </w:rPr>
        <w:t>Please note that the following abbreviations are used throughout:</w:t>
      </w:r>
    </w:p>
    <w:p w14:paraId="0AFA2F85" w14:textId="4A938923" w:rsidR="00B96A25" w:rsidRPr="004D00D6" w:rsidRDefault="00B96A25" w:rsidP="00B96A25">
      <w:pPr>
        <w:pStyle w:val="ListBullet"/>
        <w:rPr>
          <w:rFonts w:cs="Arial"/>
          <w:szCs w:val="20"/>
        </w:rPr>
      </w:pPr>
      <w:r w:rsidRPr="00FD4777">
        <w:rPr>
          <w:rFonts w:cs="Arial"/>
          <w:szCs w:val="20"/>
        </w:rPr>
        <w:t>Quarter 1 (</w:t>
      </w:r>
      <w:r w:rsidRPr="004D00D6">
        <w:rPr>
          <w:rFonts w:cs="Arial"/>
          <w:szCs w:val="20"/>
        </w:rPr>
        <w:t>Q1): 1 July</w:t>
      </w:r>
      <w:r w:rsidR="00572149">
        <w:rPr>
          <w:rFonts w:cs="Arial"/>
          <w:szCs w:val="20"/>
        </w:rPr>
        <w:t>–</w:t>
      </w:r>
      <w:r w:rsidRPr="004D00D6">
        <w:rPr>
          <w:rFonts w:cs="Arial"/>
          <w:szCs w:val="20"/>
        </w:rPr>
        <w:t>30 September</w:t>
      </w:r>
    </w:p>
    <w:p w14:paraId="3AFDBA6A" w14:textId="1900F2B9" w:rsidR="00B96A25" w:rsidRPr="004D00D6" w:rsidRDefault="00B96A25" w:rsidP="00B96A25">
      <w:pPr>
        <w:pStyle w:val="ListBullet"/>
        <w:rPr>
          <w:rFonts w:cs="Arial"/>
          <w:szCs w:val="20"/>
        </w:rPr>
      </w:pPr>
      <w:r w:rsidRPr="004D00D6">
        <w:rPr>
          <w:rFonts w:cs="Arial"/>
          <w:szCs w:val="20"/>
        </w:rPr>
        <w:t>Quarter 2 (Q2): 1 October</w:t>
      </w:r>
      <w:r w:rsidR="00572149">
        <w:rPr>
          <w:rFonts w:cs="Arial"/>
          <w:szCs w:val="20"/>
        </w:rPr>
        <w:t>–</w:t>
      </w:r>
      <w:r w:rsidRPr="004D00D6">
        <w:rPr>
          <w:rFonts w:cs="Arial"/>
          <w:szCs w:val="20"/>
        </w:rPr>
        <w:t>31 December</w:t>
      </w:r>
    </w:p>
    <w:p w14:paraId="32E537B8" w14:textId="546C6DAF" w:rsidR="00B96A25" w:rsidRPr="004D00D6" w:rsidRDefault="00B96A25" w:rsidP="00B96A25">
      <w:pPr>
        <w:pStyle w:val="ListBullet"/>
        <w:rPr>
          <w:rFonts w:cs="Arial"/>
          <w:szCs w:val="20"/>
        </w:rPr>
      </w:pPr>
      <w:r w:rsidRPr="004D00D6">
        <w:rPr>
          <w:rFonts w:cs="Arial"/>
          <w:szCs w:val="20"/>
        </w:rPr>
        <w:t>Quarter 3 (Q3): 1 January</w:t>
      </w:r>
      <w:r w:rsidR="00572149">
        <w:rPr>
          <w:rFonts w:cs="Arial"/>
          <w:szCs w:val="20"/>
        </w:rPr>
        <w:t>–</w:t>
      </w:r>
      <w:r w:rsidRPr="004D00D6">
        <w:rPr>
          <w:rFonts w:cs="Arial"/>
          <w:szCs w:val="20"/>
        </w:rPr>
        <w:t>31 March</w:t>
      </w:r>
    </w:p>
    <w:p w14:paraId="1E976510" w14:textId="5EB8C18B" w:rsidR="00B96A25" w:rsidRPr="004D00D6" w:rsidRDefault="00B96A25" w:rsidP="00B96A25">
      <w:pPr>
        <w:pStyle w:val="ListBulletLast"/>
        <w:rPr>
          <w:szCs w:val="20"/>
        </w:rPr>
      </w:pPr>
      <w:r w:rsidRPr="004D00D6">
        <w:rPr>
          <w:szCs w:val="20"/>
        </w:rPr>
        <w:t>Quarter 4 (Q4): 1 April</w:t>
      </w:r>
      <w:r w:rsidR="00572149">
        <w:rPr>
          <w:szCs w:val="20"/>
        </w:rPr>
        <w:t>–</w:t>
      </w:r>
      <w:r w:rsidRPr="004D00D6">
        <w:rPr>
          <w:szCs w:val="20"/>
        </w:rPr>
        <w:t>30 June.</w:t>
      </w:r>
    </w:p>
    <w:p w14:paraId="310CDAC6" w14:textId="77777777" w:rsidR="00B96A25" w:rsidRPr="00721D28" w:rsidRDefault="00B96A25" w:rsidP="00D47AA2">
      <w:pPr>
        <w:pStyle w:val="Heading2"/>
      </w:pPr>
      <w:bookmarkStart w:id="2" w:name="_Toc524511472"/>
      <w:r w:rsidRPr="00721D28">
        <w:t xml:space="preserve">Structure and </w:t>
      </w:r>
      <w:r w:rsidRPr="00B96A25">
        <w:t>approach</w:t>
      </w:r>
      <w:r w:rsidRPr="00721D28">
        <w:t xml:space="preserve"> of the FYSO</w:t>
      </w:r>
      <w:bookmarkEnd w:id="2"/>
    </w:p>
    <w:p w14:paraId="5531AE1A" w14:textId="77777777" w:rsidR="00B96A25" w:rsidRPr="002A3505" w:rsidRDefault="00B96A25" w:rsidP="00B96A25">
      <w:pPr>
        <w:rPr>
          <w:rFonts w:eastAsiaTheme="majorEastAsia" w:cs="Arial"/>
          <w:b/>
          <w:szCs w:val="20"/>
        </w:rPr>
      </w:pPr>
      <w:r w:rsidRPr="00721D28">
        <w:rPr>
          <w:rFonts w:cs="Arial"/>
          <w:b/>
          <w:szCs w:val="20"/>
        </w:rPr>
        <w:t xml:space="preserve">Consultation </w:t>
      </w:r>
      <w:r w:rsidRPr="002A3505">
        <w:rPr>
          <w:rFonts w:cs="Arial"/>
          <w:b/>
          <w:szCs w:val="20"/>
        </w:rPr>
        <w:t>question 1</w:t>
      </w:r>
      <w:r w:rsidRPr="00721D28">
        <w:rPr>
          <w:rFonts w:cs="Arial"/>
          <w:b/>
          <w:szCs w:val="20"/>
        </w:rPr>
        <w:t xml:space="preserve">: What further improvements could be made to the FYSO to make it easier for stakeholders to engage with the ACMA on its work </w:t>
      </w:r>
      <w:r w:rsidRPr="002A3505">
        <w:rPr>
          <w:rFonts w:cs="Arial"/>
          <w:b/>
          <w:szCs w:val="20"/>
        </w:rPr>
        <w:t>program?</w:t>
      </w:r>
    </w:p>
    <w:p w14:paraId="6DF102EB" w14:textId="77777777" w:rsidR="00B96A25" w:rsidRPr="00944F63" w:rsidRDefault="00B96A25" w:rsidP="00BC51C6">
      <w:pPr>
        <w:pStyle w:val="Heading3"/>
      </w:pPr>
      <w:r w:rsidRPr="002A3505">
        <w:t xml:space="preserve">What submitters </w:t>
      </w:r>
      <w:r w:rsidRPr="00BC51C6">
        <w:t>said</w:t>
      </w:r>
    </w:p>
    <w:p w14:paraId="5209EBA7" w14:textId="77777777" w:rsidR="00B96A25" w:rsidRPr="00281CF7" w:rsidRDefault="00B96A25" w:rsidP="00D47AA2">
      <w:pPr>
        <w:spacing w:after="80"/>
        <w:rPr>
          <w:rFonts w:cs="Arial"/>
          <w:szCs w:val="20"/>
        </w:rPr>
      </w:pPr>
      <w:r w:rsidRPr="00281CF7">
        <w:rPr>
          <w:rFonts w:cs="Arial"/>
          <w:szCs w:val="20"/>
        </w:rPr>
        <w:t>Submitters were positive about the changes to the FYSO structure and approach with some specific areas noted as useful or beneficial:</w:t>
      </w:r>
    </w:p>
    <w:p w14:paraId="61A2504A" w14:textId="70E5CBB5" w:rsidR="00B96A25" w:rsidRPr="00281CF7" w:rsidRDefault="00A90BD7" w:rsidP="00B96A25">
      <w:pPr>
        <w:pStyle w:val="ListBullet"/>
        <w:rPr>
          <w:rFonts w:cs="Arial"/>
          <w:szCs w:val="20"/>
        </w:rPr>
      </w:pPr>
      <w:r>
        <w:rPr>
          <w:rFonts w:cs="Arial"/>
          <w:szCs w:val="20"/>
        </w:rPr>
        <w:t>t</w:t>
      </w:r>
      <w:r w:rsidR="00B96A25" w:rsidRPr="00281CF7">
        <w:rPr>
          <w:rFonts w:cs="Arial"/>
          <w:szCs w:val="20"/>
        </w:rPr>
        <w:t>he FYSO’s evolution from a five-year spectrum planning document to a complete work plan for the ACMA’s spectrum activities, including an annual work plan and a forward allocation program</w:t>
      </w:r>
    </w:p>
    <w:p w14:paraId="2AEF12EE" w14:textId="3AC4D345" w:rsidR="00B96A25" w:rsidRPr="00281CF7" w:rsidRDefault="00572149" w:rsidP="00B96A25">
      <w:pPr>
        <w:pStyle w:val="ListBullet"/>
        <w:rPr>
          <w:rFonts w:cs="Arial"/>
          <w:szCs w:val="20"/>
        </w:rPr>
      </w:pPr>
      <w:r>
        <w:rPr>
          <w:rFonts w:cs="Arial"/>
          <w:szCs w:val="20"/>
        </w:rPr>
        <w:t>t</w:t>
      </w:r>
      <w:r w:rsidR="00B96A25" w:rsidRPr="00281CF7">
        <w:rPr>
          <w:rFonts w:cs="Arial"/>
          <w:szCs w:val="20"/>
        </w:rPr>
        <w:t>he forward allocation work program</w:t>
      </w:r>
    </w:p>
    <w:p w14:paraId="30B60B74" w14:textId="2BE9C2ED" w:rsidR="00B96A25" w:rsidRPr="00281CF7" w:rsidRDefault="00572149" w:rsidP="00B96A25">
      <w:pPr>
        <w:pStyle w:val="ListBullet"/>
        <w:rPr>
          <w:rFonts w:cs="Arial"/>
          <w:szCs w:val="20"/>
        </w:rPr>
      </w:pPr>
      <w:r>
        <w:rPr>
          <w:rFonts w:cs="Arial"/>
          <w:szCs w:val="20"/>
        </w:rPr>
        <w:t>w</w:t>
      </w:r>
      <w:r w:rsidR="00B96A25" w:rsidRPr="00281CF7">
        <w:rPr>
          <w:rFonts w:cs="Arial"/>
          <w:szCs w:val="20"/>
        </w:rPr>
        <w:t>ork program at a glance</w:t>
      </w:r>
    </w:p>
    <w:p w14:paraId="52E2368F" w14:textId="41E7D52A" w:rsidR="00B96A25" w:rsidRPr="00281CF7" w:rsidRDefault="00572149" w:rsidP="00B96A25">
      <w:pPr>
        <w:pStyle w:val="ListBullet"/>
        <w:rPr>
          <w:rFonts w:cs="Arial"/>
          <w:szCs w:val="20"/>
        </w:rPr>
      </w:pPr>
      <w:r>
        <w:rPr>
          <w:rFonts w:cs="Arial"/>
          <w:color w:val="000000"/>
          <w:szCs w:val="20"/>
        </w:rPr>
        <w:t>t</w:t>
      </w:r>
      <w:r w:rsidR="00B96A25" w:rsidRPr="00281CF7">
        <w:rPr>
          <w:rFonts w:cs="Arial"/>
          <w:color w:val="000000"/>
          <w:szCs w:val="20"/>
        </w:rPr>
        <w:t>he sub-division into establishing new planning frameworks and optimising established frameworks</w:t>
      </w:r>
    </w:p>
    <w:p w14:paraId="4B53E87C" w14:textId="75E988A4" w:rsidR="00B96A25" w:rsidRPr="00281CF7" w:rsidRDefault="00572149" w:rsidP="00B96A25">
      <w:pPr>
        <w:pStyle w:val="ListBulletLast"/>
        <w:rPr>
          <w:szCs w:val="20"/>
        </w:rPr>
      </w:pPr>
      <w:r>
        <w:rPr>
          <w:szCs w:val="20"/>
        </w:rPr>
        <w:t>c</w:t>
      </w:r>
      <w:r w:rsidR="00B96A25" w:rsidRPr="00281CF7">
        <w:rPr>
          <w:szCs w:val="20"/>
        </w:rPr>
        <w:t>onsultative format</w:t>
      </w:r>
      <w:r w:rsidR="00AA2729">
        <w:rPr>
          <w:szCs w:val="20"/>
        </w:rPr>
        <w:t>,</w:t>
      </w:r>
      <w:r w:rsidR="00B96A25" w:rsidRPr="00281CF7">
        <w:rPr>
          <w:szCs w:val="20"/>
        </w:rPr>
        <w:t xml:space="preserve"> which provides clearer information for industry</w:t>
      </w:r>
      <w:r>
        <w:rPr>
          <w:szCs w:val="20"/>
        </w:rPr>
        <w:t>.</w:t>
      </w:r>
    </w:p>
    <w:p w14:paraId="6D0AC366" w14:textId="77777777" w:rsidR="00B96A25" w:rsidRPr="00281CF7" w:rsidRDefault="00B96A25" w:rsidP="00D47AA2">
      <w:pPr>
        <w:spacing w:after="80"/>
        <w:rPr>
          <w:rFonts w:cs="Arial"/>
          <w:szCs w:val="20"/>
        </w:rPr>
      </w:pPr>
      <w:r w:rsidRPr="00281CF7">
        <w:rPr>
          <w:rFonts w:cs="Arial"/>
          <w:szCs w:val="20"/>
        </w:rPr>
        <w:t>Submitters noted the importance of other ACMA stakeholder engagement opportunities as ways to inform the FYSO including:</w:t>
      </w:r>
    </w:p>
    <w:p w14:paraId="50F6FE8A" w14:textId="1B2BFA5C" w:rsidR="00B96A25" w:rsidRPr="00281CF7" w:rsidRDefault="00572149" w:rsidP="00B96A25">
      <w:pPr>
        <w:pStyle w:val="ListBullet"/>
        <w:rPr>
          <w:rFonts w:cs="Arial"/>
          <w:szCs w:val="20"/>
        </w:rPr>
      </w:pPr>
      <w:r>
        <w:rPr>
          <w:rFonts w:cs="Arial"/>
          <w:szCs w:val="20"/>
        </w:rPr>
        <w:t>c</w:t>
      </w:r>
      <w:r w:rsidR="00B96A25" w:rsidRPr="00281CF7">
        <w:rPr>
          <w:rFonts w:cs="Arial"/>
          <w:szCs w:val="20"/>
        </w:rPr>
        <w:t>ontinuation of other fora (both formal and informal) for the ACMA to provide further updates on planned activities</w:t>
      </w:r>
    </w:p>
    <w:p w14:paraId="2E8FCFEC" w14:textId="373E08FC" w:rsidR="00B96A25" w:rsidRPr="00281CF7" w:rsidRDefault="00572149" w:rsidP="00B96A25">
      <w:pPr>
        <w:pStyle w:val="ListBullet"/>
        <w:rPr>
          <w:rFonts w:cs="Arial"/>
          <w:szCs w:val="20"/>
        </w:rPr>
      </w:pPr>
      <w:r>
        <w:rPr>
          <w:rFonts w:cs="Arial"/>
          <w:szCs w:val="20"/>
        </w:rPr>
        <w:t>s</w:t>
      </w:r>
      <w:r w:rsidR="00B96A25" w:rsidRPr="00281CF7">
        <w:rPr>
          <w:rFonts w:cs="Arial"/>
          <w:szCs w:val="20"/>
        </w:rPr>
        <w:t xml:space="preserve">pectrum </w:t>
      </w:r>
      <w:r>
        <w:rPr>
          <w:rFonts w:cs="Arial"/>
          <w:szCs w:val="20"/>
        </w:rPr>
        <w:t>t</w:t>
      </w:r>
      <w:r w:rsidR="00B96A25" w:rsidRPr="00281CF7">
        <w:rPr>
          <w:rFonts w:cs="Arial"/>
          <w:szCs w:val="20"/>
        </w:rPr>
        <w:t>une-ups</w:t>
      </w:r>
    </w:p>
    <w:p w14:paraId="5E2857C4" w14:textId="61EB72A7" w:rsidR="00B96A25" w:rsidRPr="00281CF7" w:rsidRDefault="00572149" w:rsidP="00B96A25">
      <w:pPr>
        <w:pStyle w:val="ListBulletLast"/>
        <w:rPr>
          <w:szCs w:val="20"/>
        </w:rPr>
      </w:pPr>
      <w:r>
        <w:rPr>
          <w:szCs w:val="20"/>
        </w:rPr>
        <w:t>f</w:t>
      </w:r>
      <w:r w:rsidR="00B96A25" w:rsidRPr="00281CF7">
        <w:rPr>
          <w:szCs w:val="20"/>
        </w:rPr>
        <w:t>ocussed workshops on particular topics as a prelude to FYSO development</w:t>
      </w:r>
      <w:r>
        <w:rPr>
          <w:szCs w:val="20"/>
        </w:rPr>
        <w:t>.</w:t>
      </w:r>
    </w:p>
    <w:p w14:paraId="4CBBDB89" w14:textId="77777777" w:rsidR="00B96A25" w:rsidRPr="00281CF7" w:rsidRDefault="00B96A25" w:rsidP="00D47AA2">
      <w:pPr>
        <w:spacing w:after="80"/>
        <w:rPr>
          <w:rFonts w:cs="Arial"/>
          <w:szCs w:val="20"/>
        </w:rPr>
      </w:pPr>
      <w:r w:rsidRPr="00281CF7">
        <w:rPr>
          <w:rFonts w:cs="Arial"/>
          <w:szCs w:val="20"/>
        </w:rPr>
        <w:t>Submitters raised a number of suggestions for further improvements to the FYSO and to ACMA stakeholder engagement more generally. These included:</w:t>
      </w:r>
    </w:p>
    <w:p w14:paraId="5DE1EEBC" w14:textId="5E0BC226" w:rsidR="00B96A25" w:rsidRPr="00281CF7" w:rsidRDefault="00A90BD7" w:rsidP="00B96A25">
      <w:pPr>
        <w:pStyle w:val="ListBullet"/>
        <w:rPr>
          <w:rFonts w:cs="Arial"/>
          <w:szCs w:val="20"/>
        </w:rPr>
      </w:pPr>
      <w:r>
        <w:rPr>
          <w:rFonts w:cs="Arial"/>
          <w:szCs w:val="20"/>
        </w:rPr>
        <w:t>p</w:t>
      </w:r>
      <w:r w:rsidR="00B46BC5">
        <w:rPr>
          <w:rFonts w:cs="Arial"/>
          <w:szCs w:val="20"/>
        </w:rPr>
        <w:t xml:space="preserve">roviding </w:t>
      </w:r>
      <w:r w:rsidR="00572149">
        <w:rPr>
          <w:rFonts w:cs="Arial"/>
          <w:szCs w:val="20"/>
        </w:rPr>
        <w:t>i</w:t>
      </w:r>
      <w:r w:rsidR="00B96A25" w:rsidRPr="00281CF7">
        <w:rPr>
          <w:rFonts w:cs="Arial"/>
          <w:szCs w:val="20"/>
        </w:rPr>
        <w:t xml:space="preserve">nformation about current and planned ACMA consultations and their proposed consultation periods </w:t>
      </w:r>
    </w:p>
    <w:p w14:paraId="3F908594" w14:textId="79B0A64B" w:rsidR="00B96A25" w:rsidRPr="00281CF7" w:rsidRDefault="00572149" w:rsidP="00B96A25">
      <w:pPr>
        <w:pStyle w:val="ListBullet"/>
        <w:rPr>
          <w:rFonts w:cs="Arial"/>
          <w:szCs w:val="20"/>
        </w:rPr>
      </w:pPr>
      <w:r>
        <w:rPr>
          <w:rFonts w:cs="Arial"/>
          <w:szCs w:val="20"/>
        </w:rPr>
        <w:t>u</w:t>
      </w:r>
      <w:r w:rsidR="00B96A25" w:rsidRPr="00281CF7">
        <w:rPr>
          <w:rFonts w:cs="Arial"/>
          <w:szCs w:val="20"/>
        </w:rPr>
        <w:t>sing the ACMA’s Rad</w:t>
      </w:r>
      <w:r w:rsidR="00A90BD7">
        <w:rPr>
          <w:rFonts w:cs="Arial"/>
          <w:szCs w:val="20"/>
        </w:rPr>
        <w:t>C</w:t>
      </w:r>
      <w:r w:rsidR="00B96A25" w:rsidRPr="00281CF7">
        <w:rPr>
          <w:rFonts w:cs="Arial"/>
          <w:szCs w:val="20"/>
        </w:rPr>
        <w:t>omms conference as a way to solicit contributions to Part 1 of the FYSO</w:t>
      </w:r>
    </w:p>
    <w:p w14:paraId="26614C18" w14:textId="08E88682" w:rsidR="00B96A25" w:rsidRPr="00281CF7" w:rsidRDefault="00680691" w:rsidP="00B96A25">
      <w:pPr>
        <w:pStyle w:val="ListBullet"/>
        <w:rPr>
          <w:rFonts w:cs="Arial"/>
          <w:szCs w:val="20"/>
        </w:rPr>
      </w:pPr>
      <w:r>
        <w:rPr>
          <w:rFonts w:cs="Arial"/>
          <w:szCs w:val="20"/>
        </w:rPr>
        <w:t xml:space="preserve">holding </w:t>
      </w:r>
      <w:r w:rsidR="00572149">
        <w:rPr>
          <w:rFonts w:cs="Arial"/>
          <w:szCs w:val="20"/>
        </w:rPr>
        <w:t>m</w:t>
      </w:r>
      <w:r w:rsidR="00B96A25" w:rsidRPr="00281CF7">
        <w:rPr>
          <w:rFonts w:cs="Arial"/>
          <w:szCs w:val="20"/>
        </w:rPr>
        <w:t>eetings with stakeholders held on a regular, scheduled basis, rather than ad hoc</w:t>
      </w:r>
    </w:p>
    <w:p w14:paraId="7DB0F993" w14:textId="33FE366F" w:rsidR="00B96A25" w:rsidRPr="00281CF7" w:rsidRDefault="00572149" w:rsidP="00B96A25">
      <w:pPr>
        <w:pStyle w:val="ListBullet"/>
        <w:rPr>
          <w:rFonts w:cs="Arial"/>
          <w:szCs w:val="20"/>
        </w:rPr>
      </w:pPr>
      <w:r>
        <w:rPr>
          <w:rFonts w:cs="Arial"/>
          <w:szCs w:val="20"/>
        </w:rPr>
        <w:lastRenderedPageBreak/>
        <w:t>c</w:t>
      </w:r>
      <w:r w:rsidR="00B96A25" w:rsidRPr="00281CF7">
        <w:rPr>
          <w:rFonts w:cs="Arial"/>
          <w:szCs w:val="20"/>
        </w:rPr>
        <w:t>onsider</w:t>
      </w:r>
      <w:r w:rsidR="00B46BC5">
        <w:rPr>
          <w:rFonts w:cs="Arial"/>
          <w:szCs w:val="20"/>
        </w:rPr>
        <w:t>ing</w:t>
      </w:r>
      <w:r w:rsidR="00B96A25" w:rsidRPr="00281CF7">
        <w:rPr>
          <w:rFonts w:cs="Arial"/>
          <w:szCs w:val="20"/>
        </w:rPr>
        <w:t xml:space="preserve"> smaller, less resourced stakeholders in deciding consultation timeframes</w:t>
      </w:r>
    </w:p>
    <w:p w14:paraId="096379D6" w14:textId="1FA1CF31" w:rsidR="00B96A25" w:rsidRPr="00721D28" w:rsidRDefault="00B46BC5" w:rsidP="00B96A25">
      <w:pPr>
        <w:pStyle w:val="ListBullet"/>
        <w:rPr>
          <w:rFonts w:cs="Arial"/>
          <w:szCs w:val="20"/>
        </w:rPr>
      </w:pPr>
      <w:r>
        <w:rPr>
          <w:rFonts w:cs="Arial"/>
          <w:szCs w:val="20"/>
        </w:rPr>
        <w:t xml:space="preserve">providing </w:t>
      </w:r>
      <w:r w:rsidR="00572149">
        <w:rPr>
          <w:rFonts w:cs="Arial"/>
          <w:szCs w:val="20"/>
        </w:rPr>
        <w:t>g</w:t>
      </w:r>
      <w:r w:rsidR="00B96A25" w:rsidRPr="00721D28">
        <w:rPr>
          <w:rFonts w:cs="Arial"/>
          <w:szCs w:val="20"/>
        </w:rPr>
        <w:t>reater clarity around the outcomes and objectives that are intended to be achieved by the ACMA work program</w:t>
      </w:r>
    </w:p>
    <w:p w14:paraId="4845BCEA" w14:textId="4A498013" w:rsidR="00B96A25" w:rsidRPr="00721D28" w:rsidRDefault="00572149" w:rsidP="00B96A25">
      <w:pPr>
        <w:pStyle w:val="ListBullet"/>
        <w:rPr>
          <w:rFonts w:cs="Arial"/>
          <w:szCs w:val="20"/>
        </w:rPr>
      </w:pPr>
      <w:r>
        <w:rPr>
          <w:rFonts w:cs="Arial"/>
          <w:szCs w:val="20"/>
        </w:rPr>
        <w:t>e</w:t>
      </w:r>
      <w:r w:rsidR="00B96A25" w:rsidRPr="00721D28">
        <w:rPr>
          <w:rFonts w:cs="Arial"/>
          <w:szCs w:val="20"/>
        </w:rPr>
        <w:t>nabl</w:t>
      </w:r>
      <w:r>
        <w:rPr>
          <w:rFonts w:cs="Arial"/>
          <w:szCs w:val="20"/>
        </w:rPr>
        <w:t>ing</w:t>
      </w:r>
      <w:r w:rsidR="00B96A25" w:rsidRPr="00721D28">
        <w:rPr>
          <w:rFonts w:cs="Arial"/>
          <w:szCs w:val="20"/>
        </w:rPr>
        <w:t xml:space="preserve"> the Government Spectrum Steering Committee to help inform and shape the FYSO, from a </w:t>
      </w:r>
      <w:r w:rsidR="00AA2729">
        <w:rPr>
          <w:rFonts w:cs="Arial"/>
          <w:szCs w:val="20"/>
        </w:rPr>
        <w:t>w</w:t>
      </w:r>
      <w:r w:rsidR="00B96A25" w:rsidRPr="00721D28">
        <w:rPr>
          <w:rFonts w:cs="Arial"/>
          <w:szCs w:val="20"/>
        </w:rPr>
        <w:t>hole-of-</w:t>
      </w:r>
      <w:r w:rsidR="00AA2729">
        <w:rPr>
          <w:rFonts w:cs="Arial"/>
          <w:szCs w:val="20"/>
        </w:rPr>
        <w:t>g</w:t>
      </w:r>
      <w:r w:rsidR="00B96A25" w:rsidRPr="00721D28">
        <w:rPr>
          <w:rFonts w:cs="Arial"/>
          <w:szCs w:val="20"/>
        </w:rPr>
        <w:t>overnment perspective.</w:t>
      </w:r>
    </w:p>
    <w:p w14:paraId="366D435C" w14:textId="00C3360B" w:rsidR="00B96A25" w:rsidRPr="00721D28" w:rsidRDefault="00B46BC5" w:rsidP="00B96A25">
      <w:pPr>
        <w:pStyle w:val="ListBullet"/>
        <w:rPr>
          <w:rFonts w:cs="Arial"/>
          <w:szCs w:val="20"/>
        </w:rPr>
      </w:pPr>
      <w:r>
        <w:rPr>
          <w:rFonts w:cs="Arial"/>
          <w:szCs w:val="20"/>
        </w:rPr>
        <w:t xml:space="preserve">providing </w:t>
      </w:r>
      <w:r w:rsidR="00680691">
        <w:rPr>
          <w:rFonts w:cs="Arial"/>
          <w:szCs w:val="20"/>
        </w:rPr>
        <w:t>c</w:t>
      </w:r>
      <w:r w:rsidR="00B96A25" w:rsidRPr="00721D28">
        <w:rPr>
          <w:rFonts w:cs="Arial"/>
          <w:szCs w:val="20"/>
        </w:rPr>
        <w:t>learer information about bands where no specific spectrum planning activities are active.</w:t>
      </w:r>
    </w:p>
    <w:p w14:paraId="18BDFEE9" w14:textId="00224010" w:rsidR="00B96A25" w:rsidRPr="00721D28" w:rsidRDefault="00680691" w:rsidP="00B96A25">
      <w:pPr>
        <w:pStyle w:val="ListBullet"/>
        <w:rPr>
          <w:rFonts w:cs="Arial"/>
          <w:szCs w:val="20"/>
        </w:rPr>
      </w:pPr>
      <w:r>
        <w:rPr>
          <w:rFonts w:cs="Arial"/>
          <w:szCs w:val="20"/>
        </w:rPr>
        <w:t>i</w:t>
      </w:r>
      <w:r w:rsidR="00B96A25" w:rsidRPr="00721D28">
        <w:rPr>
          <w:rFonts w:cs="Arial"/>
          <w:szCs w:val="20"/>
        </w:rPr>
        <w:t>nclu</w:t>
      </w:r>
      <w:r w:rsidR="00B46BC5">
        <w:rPr>
          <w:rFonts w:cs="Arial"/>
          <w:szCs w:val="20"/>
        </w:rPr>
        <w:t>ding</w:t>
      </w:r>
      <w:r w:rsidR="00B96A25" w:rsidRPr="00721D28">
        <w:rPr>
          <w:rFonts w:cs="Arial"/>
          <w:szCs w:val="20"/>
        </w:rPr>
        <w:t xml:space="preserve"> information about work on the de-fragmentation of existing spectrum bands</w:t>
      </w:r>
    </w:p>
    <w:p w14:paraId="4BE8E5FE" w14:textId="3D0052B2" w:rsidR="00B96A25" w:rsidRPr="00721D28" w:rsidRDefault="00680691" w:rsidP="00B96A25">
      <w:pPr>
        <w:pStyle w:val="ListBulletLast"/>
        <w:rPr>
          <w:szCs w:val="20"/>
        </w:rPr>
      </w:pPr>
      <w:r>
        <w:rPr>
          <w:szCs w:val="20"/>
        </w:rPr>
        <w:t>t</w:t>
      </w:r>
      <w:r w:rsidR="00B96A25" w:rsidRPr="00721D28">
        <w:rPr>
          <w:szCs w:val="20"/>
        </w:rPr>
        <w:t>racking information about progress on each activity</w:t>
      </w:r>
      <w:r>
        <w:rPr>
          <w:szCs w:val="20"/>
        </w:rPr>
        <w:t>.</w:t>
      </w:r>
    </w:p>
    <w:p w14:paraId="40CC27B3" w14:textId="77777777" w:rsidR="00B96A25" w:rsidRPr="00944F63" w:rsidRDefault="00B96A25" w:rsidP="00BC51C6">
      <w:pPr>
        <w:pStyle w:val="Heading3"/>
      </w:pPr>
      <w:r w:rsidRPr="00944F63">
        <w:t>Response to submitters</w:t>
      </w:r>
    </w:p>
    <w:p w14:paraId="731BE37A" w14:textId="77777777" w:rsidR="00B96A25" w:rsidRPr="00721D28" w:rsidRDefault="00B96A25" w:rsidP="00B96A25">
      <w:pPr>
        <w:rPr>
          <w:rFonts w:cs="Arial"/>
          <w:szCs w:val="20"/>
        </w:rPr>
      </w:pPr>
      <w:r w:rsidRPr="00721D28">
        <w:rPr>
          <w:rFonts w:cs="Arial"/>
          <w:szCs w:val="20"/>
        </w:rPr>
        <w:t>The ACMA is pleased that the improvements to the FYSO have been well-received. Nonetheless</w:t>
      </w:r>
      <w:r w:rsidR="00056809">
        <w:rPr>
          <w:rFonts w:cs="Arial"/>
          <w:szCs w:val="20"/>
        </w:rPr>
        <w:t>,</w:t>
      </w:r>
      <w:r w:rsidRPr="00721D28">
        <w:rPr>
          <w:rFonts w:cs="Arial"/>
          <w:szCs w:val="20"/>
        </w:rPr>
        <w:t xml:space="preserve"> there remains room for improvement.</w:t>
      </w:r>
    </w:p>
    <w:p w14:paraId="0FF2BD47" w14:textId="77777777" w:rsidR="00B96A25" w:rsidRPr="00721D28" w:rsidRDefault="00B96A25" w:rsidP="00D47AA2">
      <w:pPr>
        <w:spacing w:after="80"/>
        <w:rPr>
          <w:rFonts w:cs="Arial"/>
          <w:szCs w:val="20"/>
        </w:rPr>
      </w:pPr>
      <w:r w:rsidRPr="00721D28">
        <w:rPr>
          <w:rFonts w:cs="Arial"/>
          <w:szCs w:val="20"/>
        </w:rPr>
        <w:t>In finalising this year’s FYSO</w:t>
      </w:r>
      <w:r w:rsidR="00056809">
        <w:rPr>
          <w:rFonts w:cs="Arial"/>
          <w:szCs w:val="20"/>
        </w:rPr>
        <w:t>,</w:t>
      </w:r>
      <w:r w:rsidRPr="00721D28">
        <w:rPr>
          <w:rFonts w:cs="Arial"/>
          <w:szCs w:val="20"/>
        </w:rPr>
        <w:t xml:space="preserve"> we have taken up a number of the specific suggestions from stakeholders, including the addition of:</w:t>
      </w:r>
    </w:p>
    <w:p w14:paraId="6E540D4E" w14:textId="77777777" w:rsidR="00B96A25" w:rsidRPr="00721D28" w:rsidRDefault="00B96A25" w:rsidP="00B96A25">
      <w:pPr>
        <w:pStyle w:val="ListBullet"/>
        <w:rPr>
          <w:rFonts w:cs="Arial"/>
          <w:szCs w:val="20"/>
        </w:rPr>
      </w:pPr>
      <w:r w:rsidRPr="00721D28">
        <w:rPr>
          <w:rFonts w:cs="Arial"/>
          <w:szCs w:val="20"/>
        </w:rPr>
        <w:t>a table summarising upcoming consultations</w:t>
      </w:r>
    </w:p>
    <w:p w14:paraId="298F523D" w14:textId="77777777" w:rsidR="00B96A25" w:rsidRPr="00721D28" w:rsidRDefault="00B96A25" w:rsidP="00B96A25">
      <w:pPr>
        <w:pStyle w:val="ListBulletLast"/>
        <w:rPr>
          <w:szCs w:val="20"/>
        </w:rPr>
      </w:pPr>
      <w:r w:rsidRPr="00721D28">
        <w:rPr>
          <w:szCs w:val="20"/>
        </w:rPr>
        <w:t>information about how the ACMA prioritises its spectrum planning work, and the high level objectives of its spectrum work program</w:t>
      </w:r>
      <w:r w:rsidR="00680691">
        <w:rPr>
          <w:szCs w:val="20"/>
        </w:rPr>
        <w:t>.</w:t>
      </w:r>
    </w:p>
    <w:p w14:paraId="7A52AD06" w14:textId="507148F0" w:rsidR="00B96A25" w:rsidRPr="00721D28" w:rsidRDefault="00B96A25" w:rsidP="00D47AA2">
      <w:pPr>
        <w:spacing w:after="80"/>
        <w:rPr>
          <w:rFonts w:cs="Arial"/>
          <w:szCs w:val="20"/>
        </w:rPr>
      </w:pPr>
      <w:r w:rsidRPr="00721D28">
        <w:rPr>
          <w:rFonts w:cs="Arial"/>
          <w:szCs w:val="20"/>
        </w:rPr>
        <w:t xml:space="preserve">The ACMA notes stakeholder’s request for more information about bands where no specific planning activities are active. We are considering how best to improve transparency about our planning processes in our design of regulatory arrangements under the proposed new Radiocommunications Act. The ACMA will consult on revised arrangements following the release of </w:t>
      </w:r>
      <w:r w:rsidRPr="00AA2729">
        <w:rPr>
          <w:rFonts w:cs="Arial"/>
          <w:szCs w:val="20"/>
        </w:rPr>
        <w:t>2</w:t>
      </w:r>
      <w:r w:rsidRPr="00AA2729">
        <w:rPr>
          <w:rFonts w:cs="Arial"/>
          <w:szCs w:val="20"/>
          <w:vertAlign w:val="superscript"/>
        </w:rPr>
        <w:t>nd</w:t>
      </w:r>
      <w:r w:rsidRPr="00721D28">
        <w:rPr>
          <w:rFonts w:cs="Arial"/>
          <w:szCs w:val="20"/>
        </w:rPr>
        <w:t xml:space="preserve"> Exposure Draft Radiocommunications Bill package.</w:t>
      </w:r>
      <w:r>
        <w:t xml:space="preserve"> </w:t>
      </w:r>
      <w:r w:rsidRPr="00721D28">
        <w:rPr>
          <w:rFonts w:cs="Arial"/>
          <w:szCs w:val="20"/>
        </w:rPr>
        <w:t xml:space="preserve">The ACMA will continue to look for opportunities to engage with stakeholders to ensure the ACMA spectrum management priorities appropriately reflect the needs of spectrum users. We also recognise that we have a broad range of stakeholders who have differing interests, functions and capacity to contribute to the development of the FYSO. </w:t>
      </w:r>
    </w:p>
    <w:p w14:paraId="50C4A83A" w14:textId="77777777" w:rsidR="00B96A25" w:rsidRPr="00944F63" w:rsidRDefault="00B96A25" w:rsidP="00944F63">
      <w:pPr>
        <w:pStyle w:val="Heading2"/>
      </w:pPr>
      <w:bookmarkStart w:id="3" w:name="_Toc524511473"/>
      <w:r w:rsidRPr="00944F63">
        <w:t>Technology developments/sources of spectrum demand over the next five years</w:t>
      </w:r>
      <w:bookmarkEnd w:id="3"/>
    </w:p>
    <w:p w14:paraId="2376AC63" w14:textId="77777777" w:rsidR="00B96A25" w:rsidRPr="00721D28" w:rsidRDefault="00B96A25" w:rsidP="00B96A25">
      <w:pPr>
        <w:rPr>
          <w:rFonts w:eastAsiaTheme="majorEastAsia" w:cs="Arial"/>
          <w:b/>
          <w:szCs w:val="20"/>
        </w:rPr>
      </w:pPr>
      <w:r w:rsidRPr="00721D28">
        <w:rPr>
          <w:rFonts w:cs="Arial"/>
          <w:b/>
          <w:szCs w:val="20"/>
        </w:rPr>
        <w:t>Consultation question 2: Are there other technology developments or sources of spectrum demand the ACMA should be aware of in considering spectrum management over the next five years?</w:t>
      </w:r>
    </w:p>
    <w:p w14:paraId="1AC01A59" w14:textId="77777777" w:rsidR="00B96A25" w:rsidRPr="00721D28" w:rsidRDefault="00B96A25" w:rsidP="00BC51C6">
      <w:pPr>
        <w:pStyle w:val="Heading3"/>
      </w:pPr>
      <w:r w:rsidRPr="00721D28">
        <w:t>What submitters said</w:t>
      </w:r>
    </w:p>
    <w:p w14:paraId="56BF8DA4" w14:textId="77777777" w:rsidR="00B96A25" w:rsidRPr="00721D28" w:rsidRDefault="00B96A25" w:rsidP="00B96A25">
      <w:pPr>
        <w:rPr>
          <w:rFonts w:cs="Arial"/>
          <w:szCs w:val="20"/>
        </w:rPr>
      </w:pPr>
      <w:r w:rsidRPr="00721D28">
        <w:rPr>
          <w:rFonts w:cs="Arial"/>
          <w:szCs w:val="20"/>
        </w:rPr>
        <w:t xml:space="preserve">Submitters generally agreed with the anticipated change drivers in technology and spectrum uses identified by the ACMA. </w:t>
      </w:r>
    </w:p>
    <w:p w14:paraId="0DA9A718" w14:textId="77777777" w:rsidR="00B96A25" w:rsidRPr="00721D28" w:rsidRDefault="00B96A25" w:rsidP="00655108">
      <w:r w:rsidRPr="00721D28">
        <w:t xml:space="preserve">Submitters noted that 5G technology will be a key driver for spectrum over the next five years and acknowledged the ACMA’s holistic approach to 5G. Some submitters proposed that satellite and terrestrial technology will need to coexist and reinforce each other in the 5G era and suggested the ACMA could play a role in further promoting this relationship. A number of submitters also outlined future developments in Internet of Things (IoT) technology and the potential for it to drive productivity improvements in Australia. Some submitters also noted that ACMA will need to work closely with the new Australian Space Agency. </w:t>
      </w:r>
    </w:p>
    <w:p w14:paraId="407C0761" w14:textId="77777777" w:rsidR="00B96A25" w:rsidRPr="00721D28" w:rsidRDefault="00B96A25" w:rsidP="00D47AA2">
      <w:pPr>
        <w:keepNext/>
        <w:keepLines/>
        <w:spacing w:after="80"/>
        <w:rPr>
          <w:rFonts w:cs="Arial"/>
          <w:szCs w:val="20"/>
        </w:rPr>
      </w:pPr>
      <w:r w:rsidRPr="00721D28">
        <w:rPr>
          <w:rFonts w:cs="Arial"/>
          <w:szCs w:val="20"/>
        </w:rPr>
        <w:lastRenderedPageBreak/>
        <w:t xml:space="preserve">Submitters suggested the ACMA take into consideration: </w:t>
      </w:r>
    </w:p>
    <w:p w14:paraId="7133EEE6" w14:textId="74D41347" w:rsidR="00B96A25" w:rsidRPr="00721D28" w:rsidRDefault="00680691" w:rsidP="00D47AA2">
      <w:pPr>
        <w:pStyle w:val="ListBullet"/>
        <w:keepNext/>
        <w:keepLines/>
        <w:rPr>
          <w:rFonts w:cs="Arial"/>
          <w:szCs w:val="20"/>
        </w:rPr>
      </w:pPr>
      <w:r>
        <w:rPr>
          <w:rFonts w:cs="Arial"/>
          <w:szCs w:val="20"/>
        </w:rPr>
        <w:t>b</w:t>
      </w:r>
      <w:r w:rsidR="00B96A25" w:rsidRPr="00721D28">
        <w:rPr>
          <w:rFonts w:cs="Arial"/>
          <w:szCs w:val="20"/>
        </w:rPr>
        <w:t>eam</w:t>
      </w:r>
      <w:r>
        <w:rPr>
          <w:rFonts w:cs="Arial"/>
          <w:szCs w:val="20"/>
        </w:rPr>
        <w:t>-</w:t>
      </w:r>
      <w:r w:rsidR="00B96A25" w:rsidRPr="00721D28">
        <w:rPr>
          <w:rFonts w:cs="Arial"/>
          <w:szCs w:val="20"/>
        </w:rPr>
        <w:t>forming technology for mmWave bands</w:t>
      </w:r>
      <w:r>
        <w:rPr>
          <w:rFonts w:cs="Arial"/>
          <w:szCs w:val="20"/>
        </w:rPr>
        <w:t>,</w:t>
      </w:r>
      <w:r w:rsidR="00B96A25" w:rsidRPr="00721D28">
        <w:rPr>
          <w:rFonts w:cs="Arial"/>
          <w:szCs w:val="20"/>
        </w:rPr>
        <w:t xml:space="preserve"> particularly for outdoor applications</w:t>
      </w:r>
    </w:p>
    <w:p w14:paraId="7060E583" w14:textId="06F47B6A" w:rsidR="00B96A25" w:rsidRPr="00721D28" w:rsidRDefault="00680691" w:rsidP="00B96A25">
      <w:pPr>
        <w:pStyle w:val="ListBullet"/>
        <w:rPr>
          <w:rFonts w:cs="Arial"/>
          <w:szCs w:val="20"/>
        </w:rPr>
      </w:pPr>
      <w:r>
        <w:rPr>
          <w:rFonts w:cs="Arial"/>
          <w:szCs w:val="20"/>
        </w:rPr>
        <w:t>d</w:t>
      </w:r>
      <w:r w:rsidR="00B96A25" w:rsidRPr="00721D28">
        <w:rPr>
          <w:rFonts w:cs="Arial"/>
          <w:szCs w:val="20"/>
        </w:rPr>
        <w:t>evelopments in interference aware technology</w:t>
      </w:r>
      <w:r w:rsidR="00A90BD7">
        <w:rPr>
          <w:rFonts w:cs="Arial"/>
          <w:szCs w:val="20"/>
        </w:rPr>
        <w:t>,</w:t>
      </w:r>
      <w:r w:rsidR="00B96A25" w:rsidRPr="00721D28">
        <w:rPr>
          <w:rFonts w:cs="Arial"/>
          <w:szCs w:val="20"/>
        </w:rPr>
        <w:t xml:space="preserve"> particularly for unlicensed bands</w:t>
      </w:r>
    </w:p>
    <w:p w14:paraId="5051CB73" w14:textId="6C2F4548" w:rsidR="00B96A25" w:rsidRPr="00721D28" w:rsidRDefault="00680691" w:rsidP="00B96A25">
      <w:pPr>
        <w:pStyle w:val="ListBullet"/>
        <w:rPr>
          <w:rFonts w:cs="Arial"/>
          <w:szCs w:val="20"/>
        </w:rPr>
      </w:pPr>
      <w:r>
        <w:rPr>
          <w:rFonts w:eastAsia="ArialMT" w:cs="Arial"/>
          <w:szCs w:val="20"/>
        </w:rPr>
        <w:t>i</w:t>
      </w:r>
      <w:r w:rsidR="00B96A25" w:rsidRPr="00721D28">
        <w:rPr>
          <w:rFonts w:eastAsia="ArialMT" w:cs="Arial"/>
          <w:szCs w:val="20"/>
        </w:rPr>
        <w:t>ntroduction of satellite-based IoT services</w:t>
      </w:r>
    </w:p>
    <w:p w14:paraId="6CF6D42A" w14:textId="6C81C8B3" w:rsidR="00B96A25" w:rsidRPr="00721D28" w:rsidRDefault="00680691" w:rsidP="00B96A25">
      <w:pPr>
        <w:pStyle w:val="ListBullet"/>
        <w:rPr>
          <w:rFonts w:cs="Arial"/>
          <w:szCs w:val="20"/>
        </w:rPr>
      </w:pPr>
      <w:r>
        <w:rPr>
          <w:rFonts w:cs="Arial"/>
          <w:szCs w:val="20"/>
        </w:rPr>
        <w:t>f</w:t>
      </w:r>
      <w:r w:rsidR="00B96A25" w:rsidRPr="00721D28">
        <w:rPr>
          <w:rFonts w:cs="Arial"/>
          <w:szCs w:val="20"/>
        </w:rPr>
        <w:t>uture growth of small satellite capabilities</w:t>
      </w:r>
      <w:r>
        <w:rPr>
          <w:rFonts w:cs="Arial"/>
          <w:szCs w:val="20"/>
        </w:rPr>
        <w:t>,</w:t>
      </w:r>
      <w:r w:rsidR="00B96A25" w:rsidRPr="00721D28">
        <w:rPr>
          <w:rFonts w:cs="Arial"/>
          <w:szCs w:val="20"/>
        </w:rPr>
        <w:t xml:space="preserve"> which may increase demand for spectrum for future applications of this technology</w:t>
      </w:r>
    </w:p>
    <w:p w14:paraId="543643D8" w14:textId="19E97527" w:rsidR="00B96A25" w:rsidRPr="00721D28" w:rsidRDefault="00655108" w:rsidP="00B96A25">
      <w:pPr>
        <w:pStyle w:val="ListBulletLast"/>
        <w:rPr>
          <w:szCs w:val="20"/>
        </w:rPr>
      </w:pPr>
      <w:r>
        <w:rPr>
          <w:szCs w:val="20"/>
        </w:rPr>
        <w:t>D</w:t>
      </w:r>
      <w:r w:rsidR="00B96A25" w:rsidRPr="00721D28">
        <w:rPr>
          <w:szCs w:val="20"/>
        </w:rPr>
        <w:t>ynamic Spectrum Access (DSA) technology as the ACMA assesses future spectrum use</w:t>
      </w:r>
      <w:r w:rsidR="00680691">
        <w:rPr>
          <w:szCs w:val="20"/>
        </w:rPr>
        <w:t>.</w:t>
      </w:r>
    </w:p>
    <w:p w14:paraId="40D5A796" w14:textId="77777777" w:rsidR="00B96A25" w:rsidRPr="00721D28" w:rsidRDefault="00B96A25" w:rsidP="00BC51C6">
      <w:pPr>
        <w:pStyle w:val="Heading3"/>
      </w:pPr>
      <w:r w:rsidRPr="00721D28">
        <w:t xml:space="preserve">Response to </w:t>
      </w:r>
      <w:r w:rsidRPr="00BC51C6">
        <w:t>submitters</w:t>
      </w:r>
    </w:p>
    <w:p w14:paraId="5F8AF178" w14:textId="77777777" w:rsidR="00B96A25" w:rsidRPr="00721D28" w:rsidRDefault="00B96A25" w:rsidP="00B96A25">
      <w:pPr>
        <w:rPr>
          <w:rFonts w:cs="Arial"/>
          <w:szCs w:val="20"/>
        </w:rPr>
      </w:pPr>
      <w:r w:rsidRPr="00721D28">
        <w:rPr>
          <w:rFonts w:cs="Arial"/>
          <w:szCs w:val="20"/>
        </w:rPr>
        <w:t xml:space="preserve">The ACMA welcomes this input from stakeholders and submitters that will assist the ACMA in identifying future sources of spectrum demand. </w:t>
      </w:r>
    </w:p>
    <w:p w14:paraId="705E6979" w14:textId="77777777" w:rsidR="00B96A25" w:rsidRPr="00721D28" w:rsidRDefault="00B96A25" w:rsidP="00B96A25">
      <w:pPr>
        <w:rPr>
          <w:rFonts w:cs="Arial"/>
          <w:szCs w:val="20"/>
        </w:rPr>
      </w:pPr>
      <w:r w:rsidRPr="00721D28">
        <w:rPr>
          <w:rFonts w:cs="Arial"/>
          <w:szCs w:val="20"/>
        </w:rPr>
        <w:t xml:space="preserve">The ACMA monitors developments in radiocommunications technology, spectrum use markets and in the broader policy environment to inform our allocation of resources to particular issues and regulatory outcomes. </w:t>
      </w:r>
    </w:p>
    <w:p w14:paraId="710141D6" w14:textId="3187F83A" w:rsidR="00B96A25" w:rsidRPr="00721D28" w:rsidRDefault="00B96A25" w:rsidP="00B96A25">
      <w:pPr>
        <w:rPr>
          <w:rFonts w:cs="Arial"/>
          <w:szCs w:val="20"/>
        </w:rPr>
      </w:pPr>
      <w:r w:rsidRPr="00721D28">
        <w:rPr>
          <w:rFonts w:cs="Arial"/>
          <w:szCs w:val="20"/>
        </w:rPr>
        <w:t xml:space="preserve">The ACMA has a long-standing involvement in space policy through the </w:t>
      </w:r>
      <w:r w:rsidRPr="00721D28">
        <w:rPr>
          <w:rFonts w:cs="Arial"/>
          <w:szCs w:val="20"/>
          <w:lang w:val="en"/>
        </w:rPr>
        <w:t xml:space="preserve">Department of Industry, Innovation and Science and its Space Coordination Committee. With </w:t>
      </w:r>
      <w:r w:rsidRPr="00721D28">
        <w:rPr>
          <w:rFonts w:cs="Arial"/>
          <w:szCs w:val="20"/>
        </w:rPr>
        <w:t>the formation of the Australian Space Agency</w:t>
      </w:r>
      <w:r w:rsidR="00680691">
        <w:rPr>
          <w:rFonts w:cs="Arial"/>
          <w:szCs w:val="20"/>
        </w:rPr>
        <w:t>,</w:t>
      </w:r>
      <w:r w:rsidRPr="00721D28">
        <w:rPr>
          <w:rFonts w:cs="Arial"/>
          <w:szCs w:val="20"/>
        </w:rPr>
        <w:t xml:space="preserve"> the ACMA looks forward to building on this relationship, working collaboratively to support innovation in space.</w:t>
      </w:r>
    </w:p>
    <w:p w14:paraId="5847AABF" w14:textId="77777777" w:rsidR="00B96A25" w:rsidRPr="00721D28" w:rsidRDefault="00B96A25" w:rsidP="00B96A25">
      <w:pPr>
        <w:pStyle w:val="Heading2"/>
      </w:pPr>
      <w:bookmarkStart w:id="4" w:name="_Toc524511474"/>
      <w:r w:rsidRPr="00721D28">
        <w:t>Planning framework</w:t>
      </w:r>
      <w:bookmarkEnd w:id="4"/>
    </w:p>
    <w:p w14:paraId="506E52E7" w14:textId="77777777" w:rsidR="00B96A25" w:rsidRPr="00944F63" w:rsidRDefault="00B96A25" w:rsidP="00944F63">
      <w:pPr>
        <w:spacing w:after="120"/>
        <w:rPr>
          <w:rFonts w:eastAsiaTheme="majorEastAsia"/>
          <w:b/>
        </w:rPr>
      </w:pPr>
      <w:r w:rsidRPr="00944F63">
        <w:rPr>
          <w:b/>
        </w:rPr>
        <w:t xml:space="preserve">Consultation question 3: Do you have any feedback on the ACMA’s plans for monitoring, initial investigation, preliminary replanning or re-farming of bands? </w:t>
      </w:r>
    </w:p>
    <w:p w14:paraId="336F48E0" w14:textId="77777777" w:rsidR="00B96A25" w:rsidRPr="00944F63" w:rsidRDefault="00B96A25" w:rsidP="00944F63">
      <w:pPr>
        <w:rPr>
          <w:rFonts w:eastAsiaTheme="majorEastAsia"/>
          <w:b/>
        </w:rPr>
      </w:pPr>
      <w:r w:rsidRPr="00944F63">
        <w:rPr>
          <w:b/>
        </w:rPr>
        <w:t xml:space="preserve">Consultation question 4: Do you have any feedback on optimising established planning frameworks? </w:t>
      </w:r>
    </w:p>
    <w:p w14:paraId="4F4B94DD" w14:textId="77777777" w:rsidR="00B96A25" w:rsidRPr="00721D28" w:rsidRDefault="00B96A25" w:rsidP="00BC51C6">
      <w:pPr>
        <w:pStyle w:val="Heading3"/>
      </w:pPr>
      <w:r w:rsidRPr="00721D28">
        <w:t xml:space="preserve">What </w:t>
      </w:r>
      <w:r w:rsidRPr="0091193C">
        <w:t>submitters</w:t>
      </w:r>
      <w:r w:rsidRPr="00721D28">
        <w:t xml:space="preserve"> said</w:t>
      </w:r>
    </w:p>
    <w:p w14:paraId="219AB3CF" w14:textId="77777777" w:rsidR="00B96A25" w:rsidRPr="00721D28" w:rsidRDefault="00B96A25" w:rsidP="00B96A25">
      <w:pPr>
        <w:rPr>
          <w:rFonts w:cs="Arial"/>
          <w:szCs w:val="20"/>
        </w:rPr>
      </w:pPr>
      <w:r w:rsidRPr="00721D28">
        <w:rPr>
          <w:rFonts w:cs="Arial"/>
          <w:szCs w:val="20"/>
        </w:rPr>
        <w:t>Submitters expressed a range of views about the planning status of particular bands, but overall were supportive of the approach to separately identified bands for optimising</w:t>
      </w:r>
      <w:r w:rsidR="00680691">
        <w:rPr>
          <w:rFonts w:cs="Arial"/>
          <w:szCs w:val="20"/>
        </w:rPr>
        <w:t>,</w:t>
      </w:r>
      <w:r w:rsidRPr="00721D28">
        <w:rPr>
          <w:rFonts w:cs="Arial"/>
          <w:szCs w:val="20"/>
        </w:rPr>
        <w:t xml:space="preserve"> and bands where replanning or re-farming was under consideration.</w:t>
      </w:r>
    </w:p>
    <w:p w14:paraId="46F0D7A7" w14:textId="7FAA8059" w:rsidR="00B96A25" w:rsidRPr="00721D28" w:rsidRDefault="00B96A25" w:rsidP="00B96A25">
      <w:pPr>
        <w:rPr>
          <w:rFonts w:cs="Arial"/>
          <w:szCs w:val="20"/>
          <w:lang w:val="en"/>
        </w:rPr>
      </w:pPr>
      <w:r w:rsidRPr="00721D28">
        <w:rPr>
          <w:rFonts w:cs="Arial"/>
          <w:szCs w:val="20"/>
        </w:rPr>
        <w:t xml:space="preserve">Planning priority changes made in response to submissions are outlined in the FYSO. </w:t>
      </w:r>
      <w:r w:rsidRPr="00721D28">
        <w:rPr>
          <w:rFonts w:cs="Arial"/>
          <w:szCs w:val="20"/>
          <w:lang w:val="en"/>
        </w:rPr>
        <w:t xml:space="preserve">Some of the key issues that were discussed are identified below. </w:t>
      </w:r>
    </w:p>
    <w:p w14:paraId="208DF823" w14:textId="77777777" w:rsidR="00B96A25" w:rsidRPr="00D47AA2" w:rsidRDefault="00B96A25" w:rsidP="00655108">
      <w:pPr>
        <w:pStyle w:val="BodySubHeader"/>
      </w:pPr>
      <w:r w:rsidRPr="00D47AA2">
        <w:t>1.5 GHz band</w:t>
      </w:r>
    </w:p>
    <w:p w14:paraId="017521B9" w14:textId="6DC6AAF3" w:rsidR="00B96A25" w:rsidRPr="00721D28" w:rsidRDefault="00B96A25" w:rsidP="00B96A25">
      <w:pPr>
        <w:rPr>
          <w:rFonts w:cs="Arial"/>
          <w:szCs w:val="20"/>
          <w:lang w:val="en"/>
        </w:rPr>
      </w:pPr>
      <w:r w:rsidRPr="00721D28">
        <w:rPr>
          <w:rFonts w:cs="Arial"/>
          <w:szCs w:val="20"/>
          <w:lang w:val="en"/>
        </w:rPr>
        <w:t>The ACMA received submissions showing varying levels of support for planning arrangements in the 1.5 GHz band (1427</w:t>
      </w:r>
      <w:r w:rsidR="00FD30D4">
        <w:rPr>
          <w:rFonts w:cs="Arial"/>
          <w:szCs w:val="20"/>
          <w:lang w:val="en"/>
        </w:rPr>
        <w:t>–</w:t>
      </w:r>
      <w:r w:rsidRPr="00721D28">
        <w:rPr>
          <w:rFonts w:cs="Arial"/>
          <w:szCs w:val="20"/>
          <w:lang w:val="en"/>
        </w:rPr>
        <w:t>1518 MHz), with caution that satisfactory sharing between adjacent services needs consideration.</w:t>
      </w:r>
    </w:p>
    <w:p w14:paraId="059B62DE" w14:textId="77777777" w:rsidR="00B96A25" w:rsidRPr="00721D28" w:rsidRDefault="00B96A25" w:rsidP="0091193C">
      <w:pPr>
        <w:pStyle w:val="Heading3"/>
        <w:rPr>
          <w:lang w:val="en"/>
        </w:rPr>
      </w:pPr>
      <w:r w:rsidRPr="00721D28">
        <w:rPr>
          <w:lang w:val="en"/>
        </w:rPr>
        <w:t>Response</w:t>
      </w:r>
      <w:r>
        <w:rPr>
          <w:lang w:val="en"/>
        </w:rPr>
        <w:t xml:space="preserve"> to submitters </w:t>
      </w:r>
    </w:p>
    <w:p w14:paraId="352C9C04" w14:textId="53E9FD0E" w:rsidR="00B96A25" w:rsidRPr="00721D28" w:rsidRDefault="00B96A25" w:rsidP="00B96A25">
      <w:pPr>
        <w:rPr>
          <w:rFonts w:cs="Arial"/>
          <w:szCs w:val="20"/>
          <w:lang w:val="en"/>
        </w:rPr>
      </w:pPr>
      <w:r w:rsidRPr="00721D28">
        <w:rPr>
          <w:rFonts w:cs="Arial"/>
          <w:szCs w:val="20"/>
          <w:lang w:val="en"/>
        </w:rPr>
        <w:t xml:space="preserve">The ACMA is of the view that the simultaneous review of the upper adjacent band (extended MSS L-band) and the 1.5 GHz bands is likely to be appropriate. Following considerations of submissions and request to prioritise other work (specifically the </w:t>
      </w:r>
      <w:r w:rsidR="00A90BD7" w:rsidRPr="00721D28">
        <w:rPr>
          <w:rFonts w:cs="Arial"/>
          <w:szCs w:val="20"/>
          <w:lang w:val="en"/>
        </w:rPr>
        <w:t>2</w:t>
      </w:r>
      <w:r w:rsidR="00A90BD7">
        <w:rPr>
          <w:rFonts w:cs="Arial"/>
          <w:szCs w:val="20"/>
          <w:lang w:val="en"/>
        </w:rPr>
        <w:t> </w:t>
      </w:r>
      <w:r w:rsidRPr="00721D28">
        <w:rPr>
          <w:rFonts w:cs="Arial"/>
          <w:szCs w:val="20"/>
          <w:lang w:val="en"/>
        </w:rPr>
        <w:t>GHz</w:t>
      </w:r>
      <w:r w:rsidR="00680691">
        <w:rPr>
          <w:rFonts w:cs="Arial"/>
          <w:szCs w:val="20"/>
          <w:lang w:val="en"/>
        </w:rPr>
        <w:t>—</w:t>
      </w:r>
      <w:r w:rsidRPr="00721D28">
        <w:rPr>
          <w:rFonts w:cs="Arial"/>
          <w:szCs w:val="20"/>
          <w:lang w:val="en"/>
        </w:rPr>
        <w:t>see band below), the ACMA is deferring further consideration of 1.5 GHz matters until 2019</w:t>
      </w:r>
      <w:r w:rsidR="00680691">
        <w:rPr>
          <w:rFonts w:cs="Arial"/>
          <w:szCs w:val="20"/>
          <w:lang w:val="en"/>
        </w:rPr>
        <w:t>–</w:t>
      </w:r>
      <w:r w:rsidRPr="00721D28">
        <w:rPr>
          <w:rFonts w:cs="Arial"/>
          <w:szCs w:val="20"/>
          <w:lang w:val="en"/>
        </w:rPr>
        <w:t>20.</w:t>
      </w:r>
    </w:p>
    <w:p w14:paraId="0B6A21BA" w14:textId="529DD2EF" w:rsidR="00B96A25" w:rsidRPr="00D47AA2" w:rsidRDefault="00B96A25" w:rsidP="00655108">
      <w:pPr>
        <w:pStyle w:val="BodySubHeader"/>
      </w:pPr>
      <w:r w:rsidRPr="00D47AA2">
        <w:t xml:space="preserve">2 GHz </w:t>
      </w:r>
      <w:r w:rsidR="00A90BD7" w:rsidRPr="00D47AA2">
        <w:t>b</w:t>
      </w:r>
      <w:r w:rsidRPr="00D47AA2">
        <w:t xml:space="preserve">and </w:t>
      </w:r>
    </w:p>
    <w:p w14:paraId="019C8FB7" w14:textId="44F59014" w:rsidR="00B96A25" w:rsidRPr="00721D28" w:rsidRDefault="00B96A25" w:rsidP="00B96A25">
      <w:pPr>
        <w:rPr>
          <w:rFonts w:cs="Arial"/>
          <w:szCs w:val="20"/>
          <w:lang w:val="en"/>
        </w:rPr>
      </w:pPr>
      <w:r w:rsidRPr="00721D28">
        <w:rPr>
          <w:rFonts w:cs="Arial"/>
          <w:szCs w:val="20"/>
          <w:lang w:val="en"/>
        </w:rPr>
        <w:t xml:space="preserve">A wide set of interested parties representing satellite, television outside broadcasting, </w:t>
      </w:r>
      <w:r>
        <w:rPr>
          <w:rFonts w:cs="Arial"/>
          <w:szCs w:val="20"/>
          <w:lang w:val="en"/>
        </w:rPr>
        <w:t xml:space="preserve">and </w:t>
      </w:r>
      <w:r w:rsidRPr="00721D28">
        <w:rPr>
          <w:rFonts w:cs="Arial"/>
          <w:szCs w:val="20"/>
          <w:lang w:val="en"/>
        </w:rPr>
        <w:t>direct air to ground users made submissions supportive of accelerating planning work for the 2 GHz Band (1980</w:t>
      </w:r>
      <w:r w:rsidR="00680691">
        <w:rPr>
          <w:rFonts w:cs="Arial"/>
          <w:szCs w:val="20"/>
          <w:lang w:val="en"/>
        </w:rPr>
        <w:t>–</w:t>
      </w:r>
      <w:r w:rsidRPr="00721D28">
        <w:rPr>
          <w:rFonts w:cs="Arial"/>
          <w:szCs w:val="20"/>
          <w:lang w:val="en"/>
        </w:rPr>
        <w:t>2010 and 2170</w:t>
      </w:r>
      <w:r w:rsidR="00680691">
        <w:rPr>
          <w:rFonts w:cs="Arial"/>
          <w:szCs w:val="20"/>
          <w:lang w:val="en"/>
        </w:rPr>
        <w:t>–</w:t>
      </w:r>
      <w:r w:rsidRPr="00721D28">
        <w:rPr>
          <w:rFonts w:cs="Arial"/>
          <w:szCs w:val="20"/>
          <w:lang w:val="en"/>
        </w:rPr>
        <w:t>2200 MHz).</w:t>
      </w:r>
    </w:p>
    <w:p w14:paraId="6E41FE9C" w14:textId="77777777" w:rsidR="00B96A25" w:rsidRPr="00721D28" w:rsidRDefault="00B96A25" w:rsidP="00CC14CF">
      <w:pPr>
        <w:pStyle w:val="Heading3"/>
        <w:rPr>
          <w:lang w:val="en"/>
        </w:rPr>
      </w:pPr>
      <w:r w:rsidRPr="00721D28">
        <w:rPr>
          <w:lang w:val="en"/>
        </w:rPr>
        <w:lastRenderedPageBreak/>
        <w:t>Response</w:t>
      </w:r>
      <w:r>
        <w:rPr>
          <w:lang w:val="en"/>
        </w:rPr>
        <w:t xml:space="preserve"> to submitters </w:t>
      </w:r>
    </w:p>
    <w:p w14:paraId="74D1A5C9" w14:textId="77777777" w:rsidR="00B96A25" w:rsidRPr="00721D28" w:rsidRDefault="00B96A25" w:rsidP="00B96A25">
      <w:pPr>
        <w:rPr>
          <w:rFonts w:cs="Arial"/>
          <w:szCs w:val="20"/>
          <w:lang w:val="en"/>
        </w:rPr>
      </w:pPr>
      <w:r w:rsidRPr="00721D28">
        <w:rPr>
          <w:rFonts w:cs="Arial"/>
          <w:szCs w:val="20"/>
          <w:lang w:val="en"/>
        </w:rPr>
        <w:t>In response to feedback requesting the ACMA to accelerate planning work for this band, the ACMA is intending to develop a discussion paper seeking industry views on what technologies should be supported and what re-planning considerations should be taken into account for release at the end of Q4.</w:t>
      </w:r>
    </w:p>
    <w:p w14:paraId="29D20E6D" w14:textId="1BA516E6" w:rsidR="00B96A25" w:rsidRPr="00721D28" w:rsidRDefault="00B96A25" w:rsidP="00655108">
      <w:pPr>
        <w:pStyle w:val="BodySubHeader"/>
        <w:rPr>
          <w:lang w:val="en"/>
        </w:rPr>
      </w:pPr>
      <w:r w:rsidRPr="00721D28">
        <w:rPr>
          <w:lang w:val="en"/>
        </w:rPr>
        <w:t xml:space="preserve">Dynamic Spectrum Access </w:t>
      </w:r>
    </w:p>
    <w:p w14:paraId="7A802F8E" w14:textId="6C54FFDA" w:rsidR="00B96A25" w:rsidRPr="00721D28" w:rsidRDefault="00B96A25" w:rsidP="00B96A25">
      <w:pPr>
        <w:rPr>
          <w:rFonts w:cs="Arial"/>
          <w:szCs w:val="20"/>
          <w:lang w:val="en"/>
        </w:rPr>
      </w:pPr>
      <w:r w:rsidRPr="00721D28">
        <w:rPr>
          <w:rFonts w:cs="Arial"/>
          <w:szCs w:val="20"/>
          <w:lang w:val="en"/>
        </w:rPr>
        <w:t xml:space="preserve">Submitters were generally supportive of the approach the ACMA are taking on the </w:t>
      </w:r>
      <w:r w:rsidR="00655108">
        <w:rPr>
          <w:rFonts w:cs="Arial"/>
          <w:szCs w:val="20"/>
          <w:lang w:val="en"/>
        </w:rPr>
        <w:t>DSA</w:t>
      </w:r>
      <w:r w:rsidRPr="00721D28">
        <w:rPr>
          <w:rFonts w:cs="Arial"/>
          <w:szCs w:val="20"/>
          <w:lang w:val="en"/>
        </w:rPr>
        <w:t xml:space="preserve"> program with some submitters suggested the ACMA consider putting more focus on planning arrangements in the 3300</w:t>
      </w:r>
      <w:r w:rsidR="00FD30D4">
        <w:rPr>
          <w:rFonts w:cs="Arial"/>
          <w:szCs w:val="20"/>
          <w:lang w:val="en"/>
        </w:rPr>
        <w:t>–</w:t>
      </w:r>
      <w:r w:rsidRPr="00721D28">
        <w:rPr>
          <w:rFonts w:cs="Arial"/>
          <w:szCs w:val="20"/>
          <w:lang w:val="en"/>
        </w:rPr>
        <w:t xml:space="preserve">3400 MHz segment. </w:t>
      </w:r>
    </w:p>
    <w:p w14:paraId="22AD5120" w14:textId="77777777" w:rsidR="00B96A25" w:rsidRPr="00721D28" w:rsidRDefault="00B96A25" w:rsidP="00CC14CF">
      <w:pPr>
        <w:pStyle w:val="Heading3"/>
        <w:rPr>
          <w:lang w:val="en"/>
        </w:rPr>
      </w:pPr>
      <w:r w:rsidRPr="00721D28">
        <w:rPr>
          <w:lang w:val="en"/>
        </w:rPr>
        <w:t>Response</w:t>
      </w:r>
      <w:r>
        <w:rPr>
          <w:lang w:val="en"/>
        </w:rPr>
        <w:t xml:space="preserve"> to submitters </w:t>
      </w:r>
    </w:p>
    <w:p w14:paraId="6E0DF9E3" w14:textId="13E84C27" w:rsidR="00B96A25" w:rsidRPr="00721D28" w:rsidRDefault="00B96A25" w:rsidP="00B96A25">
      <w:pPr>
        <w:rPr>
          <w:rFonts w:cs="Arial"/>
          <w:szCs w:val="20"/>
          <w:lang w:val="en"/>
        </w:rPr>
      </w:pPr>
      <w:r w:rsidRPr="00721D28">
        <w:rPr>
          <w:rFonts w:cs="Arial"/>
          <w:szCs w:val="20"/>
          <w:lang w:val="en"/>
        </w:rPr>
        <w:t>The ACMA recognises the possible benefits of DSA technologies in facilitating access to spectrum and will be determining the potential for such sharing in domestic arrangements. The ACMA will continue to monitor domestic and international developments in the 3.3, 4.5 and 4.8 GHz band with a focus on the 3.3 GHz Band</w:t>
      </w:r>
      <w:r w:rsidRPr="00721D28" w:rsidDel="00F25868">
        <w:rPr>
          <w:rFonts w:cs="Arial"/>
          <w:szCs w:val="20"/>
          <w:lang w:val="en"/>
        </w:rPr>
        <w:t xml:space="preserve"> </w:t>
      </w:r>
      <w:r w:rsidRPr="00721D28">
        <w:rPr>
          <w:rFonts w:cs="Arial"/>
          <w:szCs w:val="20"/>
          <w:lang w:val="en"/>
        </w:rPr>
        <w:t>(3300</w:t>
      </w:r>
      <w:r w:rsidR="00FD30D4">
        <w:rPr>
          <w:rFonts w:cs="Arial"/>
          <w:szCs w:val="20"/>
          <w:lang w:val="en"/>
        </w:rPr>
        <w:t>–</w:t>
      </w:r>
      <w:r w:rsidRPr="00721D28">
        <w:rPr>
          <w:rFonts w:cs="Arial"/>
          <w:szCs w:val="20"/>
          <w:lang w:val="en"/>
        </w:rPr>
        <w:t>3400 MHz) to identify usage trends and determine the potential suitability in domestic arrangements. The ACMA expects to engage further with relevant stakeholders, including incumbent operators to gain a better understanding of the scope to enable broadband wireless access services under a DSA-type arrangement.</w:t>
      </w:r>
    </w:p>
    <w:p w14:paraId="29385B53" w14:textId="77777777" w:rsidR="00B96A25" w:rsidRPr="00D47AA2" w:rsidRDefault="00B96A25" w:rsidP="00D47AA2">
      <w:pPr>
        <w:pStyle w:val="BodySubHeader"/>
        <w:rPr>
          <w:bCs/>
          <w:iCs/>
        </w:rPr>
      </w:pPr>
      <w:r w:rsidRPr="00D47AA2">
        <w:t xml:space="preserve">3.4 GHz </w:t>
      </w:r>
    </w:p>
    <w:p w14:paraId="72143B51" w14:textId="51BE34AE" w:rsidR="00B96A25" w:rsidRPr="00721D28" w:rsidRDefault="00B96A25" w:rsidP="00B96A25">
      <w:pPr>
        <w:rPr>
          <w:rFonts w:cs="Arial"/>
          <w:szCs w:val="20"/>
          <w:lang w:val="en"/>
        </w:rPr>
      </w:pPr>
      <w:r w:rsidRPr="00721D28">
        <w:rPr>
          <w:rFonts w:cs="Arial"/>
          <w:szCs w:val="20"/>
          <w:lang w:val="en"/>
        </w:rPr>
        <w:t>The ACMA received submissions on the 3.4 GHz (3400</w:t>
      </w:r>
      <w:r w:rsidR="00FD30D4">
        <w:rPr>
          <w:rFonts w:cs="Arial"/>
          <w:szCs w:val="20"/>
          <w:lang w:val="en"/>
        </w:rPr>
        <w:t>–</w:t>
      </w:r>
      <w:r w:rsidRPr="00721D28">
        <w:rPr>
          <w:rFonts w:cs="Arial"/>
          <w:szCs w:val="20"/>
          <w:lang w:val="en"/>
        </w:rPr>
        <w:t>3575 MHz) defragmentation work, with the general view that the ACMA should review arrangements across the band to maximize overall utility.</w:t>
      </w:r>
    </w:p>
    <w:p w14:paraId="0D348D29" w14:textId="77777777" w:rsidR="00B96A25" w:rsidRPr="00721D28" w:rsidRDefault="00B96A25" w:rsidP="00CC14CF">
      <w:pPr>
        <w:pStyle w:val="Heading3"/>
        <w:rPr>
          <w:lang w:val="en"/>
        </w:rPr>
      </w:pPr>
      <w:r w:rsidRPr="00721D28">
        <w:rPr>
          <w:lang w:val="en"/>
        </w:rPr>
        <w:t>Response</w:t>
      </w:r>
      <w:r>
        <w:rPr>
          <w:lang w:val="en"/>
        </w:rPr>
        <w:t xml:space="preserve"> to submitters </w:t>
      </w:r>
    </w:p>
    <w:p w14:paraId="341825C0" w14:textId="1D5CF519" w:rsidR="00B96A25" w:rsidRPr="00721D28" w:rsidRDefault="00B96A25" w:rsidP="0091193C">
      <w:pPr>
        <w:rPr>
          <w:i/>
          <w:lang w:val="en"/>
        </w:rPr>
      </w:pPr>
      <w:r w:rsidRPr="00721D28">
        <w:rPr>
          <w:lang w:val="en"/>
        </w:rPr>
        <w:t>The ACMA intends to issue a discussion paper on the</w:t>
      </w:r>
      <w:r w:rsidR="00D47AA2">
        <w:rPr>
          <w:lang w:val="en"/>
        </w:rPr>
        <w:t xml:space="preserve"> matter</w:t>
      </w:r>
      <w:r w:rsidRPr="00721D28">
        <w:rPr>
          <w:lang w:val="en"/>
        </w:rPr>
        <w:t xml:space="preserve"> of 3.4 GHz reconfiguration options in </w:t>
      </w:r>
      <w:r w:rsidRPr="00B46BC5">
        <w:rPr>
          <w:lang w:val="en"/>
        </w:rPr>
        <w:t>Q3</w:t>
      </w:r>
      <w:r w:rsidRPr="00721D28">
        <w:rPr>
          <w:lang w:val="en"/>
        </w:rPr>
        <w:t xml:space="preserve"> following the conclusion of the 3.6 GHz auction. The discussion paper will </w:t>
      </w:r>
      <w:r>
        <w:rPr>
          <w:lang w:val="en"/>
        </w:rPr>
        <w:t>seek</w:t>
      </w:r>
      <w:r w:rsidRPr="00721D28">
        <w:rPr>
          <w:lang w:val="en"/>
        </w:rPr>
        <w:t xml:space="preserve"> feedback from industry on how best to optimize </w:t>
      </w:r>
      <w:r w:rsidRPr="00721D28">
        <w:t>allocations across licensees’ existing and newly acquired spectrum holdings. This may include defragmentation options and licence conversion processes.</w:t>
      </w:r>
    </w:p>
    <w:p w14:paraId="1D6D1802" w14:textId="24BA6D1B" w:rsidR="00B96A25" w:rsidRPr="00D47AA2" w:rsidRDefault="00B96A25" w:rsidP="00D47AA2">
      <w:pPr>
        <w:pStyle w:val="BodySubHeader"/>
        <w:rPr>
          <w:bCs/>
          <w:iCs/>
        </w:rPr>
      </w:pPr>
      <w:r w:rsidRPr="00D47AA2">
        <w:t>3.7</w:t>
      </w:r>
      <w:r w:rsidR="003A0060">
        <w:t>–</w:t>
      </w:r>
      <w:r w:rsidRPr="00D47AA2">
        <w:t>4.2 GHz</w:t>
      </w:r>
    </w:p>
    <w:p w14:paraId="7D3ED5B8" w14:textId="1EF8719D" w:rsidR="00B96A25" w:rsidRPr="00721D28" w:rsidRDefault="00B96A25" w:rsidP="00B96A25">
      <w:pPr>
        <w:rPr>
          <w:rFonts w:cs="Arial"/>
          <w:szCs w:val="20"/>
          <w:lang w:val="en"/>
        </w:rPr>
      </w:pPr>
      <w:r w:rsidRPr="00721D28">
        <w:rPr>
          <w:rFonts w:cs="Arial"/>
          <w:szCs w:val="20"/>
          <w:lang w:val="en"/>
        </w:rPr>
        <w:t>The ACMA received submissions with a focus on the 3700</w:t>
      </w:r>
      <w:r w:rsidR="00FD30D4">
        <w:rPr>
          <w:rFonts w:cs="Arial"/>
          <w:szCs w:val="20"/>
          <w:lang w:val="en"/>
        </w:rPr>
        <w:t>–</w:t>
      </w:r>
      <w:r w:rsidRPr="00721D28">
        <w:rPr>
          <w:rFonts w:cs="Arial"/>
          <w:szCs w:val="20"/>
          <w:lang w:val="en"/>
        </w:rPr>
        <w:t>4200 MHz frequency band with requests to accelerate the work in the ACMA’s future planning efforts.</w:t>
      </w:r>
    </w:p>
    <w:p w14:paraId="6E9A019B" w14:textId="77777777" w:rsidR="00B96A25" w:rsidRPr="00721D28" w:rsidRDefault="00B96A25" w:rsidP="00CC14CF">
      <w:pPr>
        <w:pStyle w:val="Heading3"/>
        <w:rPr>
          <w:lang w:val="en"/>
        </w:rPr>
      </w:pPr>
      <w:r w:rsidRPr="00721D28">
        <w:rPr>
          <w:lang w:val="en"/>
        </w:rPr>
        <w:t>Response</w:t>
      </w:r>
      <w:r>
        <w:rPr>
          <w:lang w:val="en"/>
        </w:rPr>
        <w:t xml:space="preserve"> to </w:t>
      </w:r>
      <w:r w:rsidRPr="00D47AA2">
        <w:t>submitters</w:t>
      </w:r>
      <w:r>
        <w:rPr>
          <w:lang w:val="en"/>
        </w:rPr>
        <w:t xml:space="preserve"> </w:t>
      </w:r>
    </w:p>
    <w:p w14:paraId="253C8AA0" w14:textId="4996F3D4" w:rsidR="00B96A25" w:rsidRPr="00721D28" w:rsidRDefault="00B96A25" w:rsidP="0091193C">
      <w:pPr>
        <w:rPr>
          <w:i/>
          <w:lang w:val="en"/>
        </w:rPr>
      </w:pPr>
      <w:r w:rsidRPr="00721D28">
        <w:rPr>
          <w:lang w:val="en"/>
        </w:rPr>
        <w:t xml:space="preserve">The ACMA is aware of recent planning developments in international jurisdictions which highlight growing interest in </w:t>
      </w:r>
      <w:r w:rsidRPr="00721D28" w:rsidDel="005C1266">
        <w:rPr>
          <w:lang w:val="en"/>
        </w:rPr>
        <w:t xml:space="preserve">the </w:t>
      </w:r>
      <w:r w:rsidRPr="00721D28">
        <w:rPr>
          <w:lang w:val="en"/>
        </w:rPr>
        <w:t>3.7</w:t>
      </w:r>
      <w:r w:rsidR="00FD30D4">
        <w:rPr>
          <w:lang w:val="en"/>
        </w:rPr>
        <w:t>–</w:t>
      </w:r>
      <w:r w:rsidRPr="00721D28">
        <w:rPr>
          <w:lang w:val="en"/>
        </w:rPr>
        <w:t xml:space="preserve">4.2 GHz band, including demand for more spectrum for wireless broadband </w:t>
      </w:r>
      <w:r w:rsidRPr="00721D28">
        <w:t xml:space="preserve">from </w:t>
      </w:r>
      <w:r w:rsidRPr="00721D28">
        <w:rPr>
          <w:lang w:val="en"/>
        </w:rPr>
        <w:t xml:space="preserve">existing spectrum users such as fixed satellite services. The ACMA </w:t>
      </w:r>
      <w:r w:rsidR="008210F8">
        <w:rPr>
          <w:lang w:val="en"/>
        </w:rPr>
        <w:t>will commence a broad review of arrangements in the 3700</w:t>
      </w:r>
      <w:r w:rsidR="00707488">
        <w:rPr>
          <w:lang w:val="en"/>
        </w:rPr>
        <w:t>–</w:t>
      </w:r>
      <w:r w:rsidR="008210F8">
        <w:rPr>
          <w:lang w:val="en"/>
        </w:rPr>
        <w:t>4200 Mhz band</w:t>
      </w:r>
      <w:r w:rsidRPr="00721D28">
        <w:rPr>
          <w:lang w:val="en"/>
        </w:rPr>
        <w:t xml:space="preserve">. </w:t>
      </w:r>
    </w:p>
    <w:p w14:paraId="1E9EE495" w14:textId="00ECE191" w:rsidR="00B96A25" w:rsidRPr="00D47AA2" w:rsidRDefault="00B96A25" w:rsidP="00D47AA2">
      <w:pPr>
        <w:pStyle w:val="BodySubHeader"/>
      </w:pPr>
      <w:r w:rsidRPr="00D47AA2">
        <w:t>mmWave</w:t>
      </w:r>
      <w:r w:rsidR="00CC14CF" w:rsidRPr="00D47AA2">
        <w:t xml:space="preserve"> </w:t>
      </w:r>
      <w:r w:rsidR="00B46BC5" w:rsidRPr="00D47AA2">
        <w:t>technology</w:t>
      </w:r>
    </w:p>
    <w:p w14:paraId="50B3F468" w14:textId="79797E8C" w:rsidR="00B96A25" w:rsidRPr="00721D28" w:rsidRDefault="00B96A25" w:rsidP="00B96A25">
      <w:pPr>
        <w:rPr>
          <w:rFonts w:cs="Arial"/>
          <w:szCs w:val="20"/>
          <w:lang w:val="en"/>
        </w:rPr>
      </w:pPr>
      <w:r w:rsidRPr="00721D28">
        <w:rPr>
          <w:rFonts w:cs="Arial"/>
          <w:szCs w:val="20"/>
          <w:lang w:val="en"/>
        </w:rPr>
        <w:t>The ACMA received interest in the use of the 28 GHz band (27.5</w:t>
      </w:r>
      <w:r w:rsidR="00FD30D4">
        <w:rPr>
          <w:rFonts w:cs="Arial"/>
          <w:szCs w:val="20"/>
          <w:lang w:val="en"/>
        </w:rPr>
        <w:t>–</w:t>
      </w:r>
      <w:r w:rsidRPr="00721D28">
        <w:rPr>
          <w:rFonts w:cs="Arial"/>
          <w:szCs w:val="20"/>
          <w:lang w:val="en"/>
        </w:rPr>
        <w:t>29.5 GHz) from a wide range of sectors of industry, from satellite, potential 5G broadband as well as point</w:t>
      </w:r>
      <w:r w:rsidR="00FD30D4">
        <w:rPr>
          <w:rFonts w:cs="Arial"/>
          <w:szCs w:val="20"/>
          <w:lang w:val="en"/>
        </w:rPr>
        <w:t>-</w:t>
      </w:r>
      <w:r w:rsidRPr="00721D28">
        <w:rPr>
          <w:rFonts w:cs="Arial"/>
          <w:szCs w:val="20"/>
          <w:lang w:val="en"/>
        </w:rPr>
        <w:t>to</w:t>
      </w:r>
      <w:r w:rsidR="00FD30D4">
        <w:rPr>
          <w:rFonts w:cs="Arial"/>
          <w:szCs w:val="20"/>
          <w:lang w:val="en"/>
        </w:rPr>
        <w:t>-</w:t>
      </w:r>
      <w:r w:rsidRPr="00721D28">
        <w:rPr>
          <w:rFonts w:cs="Arial"/>
          <w:szCs w:val="20"/>
          <w:lang w:val="en"/>
        </w:rPr>
        <w:t>multipoint users. The ACMA also received submissions showing varying levels of support for planning work on the 26 GHz band (24.25</w:t>
      </w:r>
      <w:r w:rsidR="00FD30D4">
        <w:rPr>
          <w:rFonts w:cs="Arial"/>
          <w:szCs w:val="20"/>
          <w:lang w:val="en"/>
        </w:rPr>
        <w:t>–</w:t>
      </w:r>
      <w:r w:rsidRPr="00721D28">
        <w:rPr>
          <w:rFonts w:cs="Arial"/>
          <w:szCs w:val="20"/>
          <w:lang w:val="en"/>
        </w:rPr>
        <w:t>27.5 GHz).</w:t>
      </w:r>
    </w:p>
    <w:p w14:paraId="22B4102D" w14:textId="77777777" w:rsidR="00B96A25" w:rsidRPr="00721D28" w:rsidRDefault="00B96A25" w:rsidP="00B96A25">
      <w:pPr>
        <w:rPr>
          <w:rFonts w:cs="Arial"/>
          <w:szCs w:val="20"/>
          <w:lang w:val="en"/>
        </w:rPr>
      </w:pPr>
      <w:r w:rsidRPr="00721D28">
        <w:rPr>
          <w:rFonts w:cs="Arial"/>
          <w:szCs w:val="20"/>
          <w:lang w:val="en"/>
        </w:rPr>
        <w:t>The ACMA also received a number of submissions relating to the 60 GHz band, with many calling for the requirements outlined in the class licensed segment to align with the US regulations to introduce economies of scale to domestic applications.</w:t>
      </w:r>
    </w:p>
    <w:p w14:paraId="70DD5261" w14:textId="77777777" w:rsidR="00B96A25" w:rsidRPr="00721D28" w:rsidRDefault="00B96A25" w:rsidP="00CC14CF">
      <w:pPr>
        <w:pStyle w:val="Heading3"/>
        <w:rPr>
          <w:lang w:val="en"/>
        </w:rPr>
      </w:pPr>
      <w:r w:rsidRPr="00721D28">
        <w:rPr>
          <w:lang w:val="en"/>
        </w:rPr>
        <w:lastRenderedPageBreak/>
        <w:t>Response</w:t>
      </w:r>
      <w:r>
        <w:rPr>
          <w:lang w:val="en"/>
        </w:rPr>
        <w:t xml:space="preserve"> to submitters </w:t>
      </w:r>
    </w:p>
    <w:p w14:paraId="75AE50BD" w14:textId="4F11F9D7" w:rsidR="00B96A25" w:rsidRPr="00721D28" w:rsidRDefault="00B96A25" w:rsidP="00B96A25">
      <w:pPr>
        <w:rPr>
          <w:rFonts w:cs="Arial"/>
          <w:szCs w:val="20"/>
          <w:lang w:val="en"/>
        </w:rPr>
      </w:pPr>
      <w:r w:rsidRPr="00721D28">
        <w:rPr>
          <w:rFonts w:cs="Arial"/>
          <w:szCs w:val="20"/>
          <w:lang w:val="en"/>
        </w:rPr>
        <w:t xml:space="preserve">Based on the wide-ranging views from feedback received in the 26 GHz band and </w:t>
      </w:r>
      <w:r w:rsidR="00655108" w:rsidRPr="00721D28">
        <w:rPr>
          <w:rFonts w:cs="Arial"/>
          <w:szCs w:val="20"/>
          <w:lang w:val="en"/>
        </w:rPr>
        <w:t>28</w:t>
      </w:r>
      <w:r w:rsidR="00655108">
        <w:rPr>
          <w:rFonts w:cs="Arial"/>
          <w:szCs w:val="20"/>
          <w:lang w:val="en"/>
        </w:rPr>
        <w:t> </w:t>
      </w:r>
      <w:r w:rsidRPr="00721D28">
        <w:rPr>
          <w:rFonts w:cs="Arial"/>
          <w:szCs w:val="20"/>
          <w:lang w:val="en"/>
        </w:rPr>
        <w:t>GHz bands, the ACMA now expects to develop two separate consultation papers for these two frequency bands</w:t>
      </w:r>
      <w:r w:rsidR="00FD30D4">
        <w:rPr>
          <w:rFonts w:cs="Arial"/>
          <w:szCs w:val="20"/>
          <w:lang w:val="en"/>
        </w:rPr>
        <w:t>,</w:t>
      </w:r>
      <w:r w:rsidRPr="00721D28">
        <w:rPr>
          <w:rFonts w:cs="Arial"/>
          <w:szCs w:val="20"/>
          <w:lang w:val="en"/>
        </w:rPr>
        <w:t xml:space="preserve"> </w:t>
      </w:r>
      <w:r w:rsidRPr="00721D28">
        <w:rPr>
          <w:rFonts w:cs="Arial"/>
          <w:szCs w:val="20"/>
        </w:rPr>
        <w:t>seeking feedback on the approach to planning requirements for services in these bands in Q1 of 2018</w:t>
      </w:r>
      <w:r w:rsidR="00FD30D4">
        <w:rPr>
          <w:rFonts w:cs="Arial"/>
          <w:szCs w:val="20"/>
        </w:rPr>
        <w:t>–</w:t>
      </w:r>
      <w:r w:rsidRPr="00721D28">
        <w:rPr>
          <w:rFonts w:cs="Arial"/>
          <w:szCs w:val="20"/>
        </w:rPr>
        <w:t>19</w:t>
      </w:r>
      <w:r w:rsidR="00655108">
        <w:rPr>
          <w:rFonts w:cs="Arial"/>
          <w:szCs w:val="20"/>
        </w:rPr>
        <w:t>,</w:t>
      </w:r>
      <w:r w:rsidRPr="00721D28">
        <w:rPr>
          <w:rFonts w:cs="Arial"/>
          <w:szCs w:val="20"/>
        </w:rPr>
        <w:t xml:space="preserve"> as outlined in the FYSO.</w:t>
      </w:r>
      <w:r w:rsidRPr="00721D28">
        <w:rPr>
          <w:rFonts w:cs="Arial"/>
          <w:szCs w:val="20"/>
          <w:lang w:val="en"/>
        </w:rPr>
        <w:t xml:space="preserve"> </w:t>
      </w:r>
    </w:p>
    <w:p w14:paraId="3B5C6C74" w14:textId="6D0A2CCD" w:rsidR="00B96A25" w:rsidRPr="00721D28" w:rsidRDefault="00B96A25" w:rsidP="00B96A25">
      <w:pPr>
        <w:rPr>
          <w:rFonts w:cs="Arial"/>
          <w:szCs w:val="20"/>
          <w:lang w:val="en"/>
        </w:rPr>
      </w:pPr>
      <w:r w:rsidRPr="00721D28">
        <w:rPr>
          <w:rFonts w:cs="Arial"/>
          <w:szCs w:val="20"/>
          <w:lang w:val="en"/>
        </w:rPr>
        <w:t xml:space="preserve">Regarding the 60 GHz band as outlined in the July 2018 paper </w:t>
      </w:r>
      <w:hyperlink r:id="rId24" w:history="1">
        <w:r w:rsidRPr="00D47AA2">
          <w:rPr>
            <w:rStyle w:val="Hyperlink"/>
            <w:rFonts w:cs="Arial"/>
            <w:iCs/>
            <w:szCs w:val="20"/>
          </w:rPr>
          <w:t>Variation to the LIPD Class Licence—response to submissions</w:t>
        </w:r>
      </w:hyperlink>
      <w:r w:rsidR="00FD30D4">
        <w:rPr>
          <w:rStyle w:val="Hyperlink"/>
          <w:rFonts w:cs="Arial"/>
          <w:i/>
          <w:iCs/>
          <w:szCs w:val="20"/>
        </w:rPr>
        <w:t>,</w:t>
      </w:r>
      <w:r w:rsidRPr="00721D28">
        <w:rPr>
          <w:rFonts w:cs="Arial"/>
          <w:szCs w:val="20"/>
        </w:rPr>
        <w:t xml:space="preserve"> </w:t>
      </w:r>
      <w:r w:rsidRPr="00721D28">
        <w:rPr>
          <w:rFonts w:cs="Arial"/>
          <w:szCs w:val="20"/>
          <w:lang w:val="en"/>
        </w:rPr>
        <w:t xml:space="preserve">the ACMA is of the view that there is significant interest in Australia to progress this work in parallel with </w:t>
      </w:r>
      <w:r w:rsidR="00B352BE" w:rsidRPr="00721D28">
        <w:rPr>
          <w:rFonts w:cs="Arial"/>
          <w:szCs w:val="20"/>
          <w:lang w:val="en-US"/>
        </w:rPr>
        <w:t>ITU Radiocommunication Sector (</w:t>
      </w:r>
      <w:r w:rsidR="00B352BE" w:rsidRPr="00721D28">
        <w:rPr>
          <w:rFonts w:cs="Arial"/>
          <w:szCs w:val="20"/>
        </w:rPr>
        <w:t>ITU-R)</w:t>
      </w:r>
      <w:r w:rsidR="00B352BE">
        <w:rPr>
          <w:rFonts w:cs="Arial"/>
          <w:szCs w:val="20"/>
        </w:rPr>
        <w:t xml:space="preserve"> </w:t>
      </w:r>
      <w:r w:rsidRPr="00721D28">
        <w:rPr>
          <w:rFonts w:cs="Arial"/>
          <w:szCs w:val="20"/>
          <w:lang w:val="en"/>
        </w:rPr>
        <w:t xml:space="preserve">consideration and other developments that are happening internationally. The ACMA will continue to investigate these developments, with a view to providing a proposal for possibly introducing additional spectrum in the 60 GHz range in the next LIPD update.  </w:t>
      </w:r>
    </w:p>
    <w:p w14:paraId="63B9797A" w14:textId="77777777" w:rsidR="00B96A25" w:rsidRPr="00721D28" w:rsidRDefault="00B96A25" w:rsidP="00D47AA2">
      <w:pPr>
        <w:pStyle w:val="BodySubHeader"/>
      </w:pPr>
      <w:r w:rsidRPr="00721D28">
        <w:t>International engagement</w:t>
      </w:r>
    </w:p>
    <w:p w14:paraId="5D762744" w14:textId="77777777" w:rsidR="00B96A25" w:rsidRPr="00721D28" w:rsidRDefault="00B96A25" w:rsidP="00B96A25">
      <w:pPr>
        <w:rPr>
          <w:rFonts w:cs="Arial"/>
          <w:szCs w:val="20"/>
        </w:rPr>
      </w:pPr>
      <w:r w:rsidRPr="00721D28">
        <w:rPr>
          <w:rFonts w:cs="Arial"/>
          <w:szCs w:val="20"/>
        </w:rPr>
        <w:t xml:space="preserve">Some submitters asked for more information on the ACMA international engagement activities. </w:t>
      </w:r>
    </w:p>
    <w:p w14:paraId="18CD55C4" w14:textId="77777777" w:rsidR="00B96A25" w:rsidRPr="00721D28" w:rsidRDefault="00B96A25" w:rsidP="00CC14CF">
      <w:pPr>
        <w:pStyle w:val="Heading3"/>
        <w:rPr>
          <w:lang w:val="en"/>
        </w:rPr>
      </w:pPr>
      <w:r w:rsidRPr="00721D28">
        <w:rPr>
          <w:lang w:val="en"/>
        </w:rPr>
        <w:t>Response</w:t>
      </w:r>
      <w:r>
        <w:rPr>
          <w:lang w:val="en"/>
        </w:rPr>
        <w:t xml:space="preserve"> to submitters </w:t>
      </w:r>
    </w:p>
    <w:p w14:paraId="185FEF90" w14:textId="3A65A970" w:rsidR="00B96A25" w:rsidRDefault="00B96A25" w:rsidP="00B96A25">
      <w:pPr>
        <w:rPr>
          <w:rFonts w:cs="Arial"/>
          <w:szCs w:val="20"/>
          <w:lang w:val="en"/>
        </w:rPr>
      </w:pPr>
      <w:r w:rsidRPr="00281CF7">
        <w:rPr>
          <w:rFonts w:cs="Arial"/>
          <w:szCs w:val="20"/>
          <w:lang w:val="en"/>
        </w:rPr>
        <w:t xml:space="preserve">Industry </w:t>
      </w:r>
      <w:r>
        <w:rPr>
          <w:rFonts w:cs="Arial"/>
          <w:szCs w:val="20"/>
          <w:lang w:val="en"/>
        </w:rPr>
        <w:t xml:space="preserve">and stakeholder </w:t>
      </w:r>
      <w:r w:rsidRPr="00281CF7">
        <w:rPr>
          <w:rFonts w:cs="Arial"/>
          <w:szCs w:val="20"/>
          <w:lang w:val="en"/>
        </w:rPr>
        <w:t xml:space="preserve">involvement in </w:t>
      </w:r>
      <w:hyperlink r:id="rId25" w:history="1">
        <w:r w:rsidRPr="00281CF7">
          <w:rPr>
            <w:rStyle w:val="Hyperlink"/>
            <w:rFonts w:cs="Arial"/>
            <w:szCs w:val="20"/>
            <w:lang w:val="en"/>
          </w:rPr>
          <w:t>international radiocommunications</w:t>
        </w:r>
      </w:hyperlink>
      <w:r w:rsidRPr="00281CF7">
        <w:rPr>
          <w:rFonts w:cs="Arial"/>
          <w:szCs w:val="20"/>
          <w:lang w:val="en"/>
        </w:rPr>
        <w:t xml:space="preserve"> meeting</w:t>
      </w:r>
      <w:r>
        <w:rPr>
          <w:rFonts w:cs="Arial"/>
          <w:szCs w:val="20"/>
          <w:lang w:val="en"/>
        </w:rPr>
        <w:t>s</w:t>
      </w:r>
      <w:r w:rsidRPr="00281CF7">
        <w:rPr>
          <w:rFonts w:cs="Arial"/>
          <w:szCs w:val="20"/>
          <w:lang w:val="en"/>
        </w:rPr>
        <w:t xml:space="preserve"> is </w:t>
      </w:r>
      <w:r>
        <w:rPr>
          <w:rFonts w:cs="Arial"/>
          <w:szCs w:val="20"/>
          <w:lang w:val="en"/>
        </w:rPr>
        <w:t xml:space="preserve">managed </w:t>
      </w:r>
      <w:r w:rsidRPr="00281CF7">
        <w:rPr>
          <w:rFonts w:cs="Arial"/>
          <w:szCs w:val="20"/>
          <w:lang w:val="en"/>
        </w:rPr>
        <w:t xml:space="preserve">through the </w:t>
      </w:r>
      <w:r>
        <w:rPr>
          <w:rFonts w:cs="Arial"/>
          <w:szCs w:val="20"/>
          <w:lang w:val="en"/>
        </w:rPr>
        <w:t xml:space="preserve">Australian </w:t>
      </w:r>
      <w:r w:rsidRPr="00281CF7">
        <w:rPr>
          <w:rFonts w:cs="Arial"/>
          <w:szCs w:val="20"/>
          <w:lang w:val="en"/>
        </w:rPr>
        <w:t>Preparatory Group for WRC</w:t>
      </w:r>
      <w:r w:rsidR="003F4F54">
        <w:rPr>
          <w:rFonts w:cs="Arial"/>
          <w:szCs w:val="20"/>
          <w:lang w:val="en"/>
        </w:rPr>
        <w:t>–</w:t>
      </w:r>
      <w:r w:rsidRPr="00281CF7">
        <w:rPr>
          <w:rFonts w:cs="Arial"/>
          <w:szCs w:val="20"/>
          <w:lang w:val="en"/>
        </w:rPr>
        <w:t>19 and the Australian Radiocommunications Study Groups.</w:t>
      </w:r>
      <w:r>
        <w:rPr>
          <w:rFonts w:cs="Arial"/>
          <w:szCs w:val="20"/>
          <w:lang w:val="en"/>
        </w:rPr>
        <w:t xml:space="preserve"> </w:t>
      </w:r>
    </w:p>
    <w:p w14:paraId="337612FF" w14:textId="77777777" w:rsidR="00B96A25" w:rsidRPr="00721D28" w:rsidRDefault="00B96A25" w:rsidP="00B96A25">
      <w:pPr>
        <w:rPr>
          <w:rFonts w:cs="Arial"/>
          <w:szCs w:val="20"/>
          <w:lang w:val="en"/>
        </w:rPr>
      </w:pPr>
      <w:r w:rsidRPr="00281CF7">
        <w:rPr>
          <w:rFonts w:cs="Arial"/>
          <w:szCs w:val="20"/>
          <w:lang w:val="en"/>
        </w:rPr>
        <w:t>Australian industry and stakeholder involvement is essential to ensure decisions and future developments of international</w:t>
      </w:r>
      <w:r>
        <w:rPr>
          <w:rFonts w:cs="Arial"/>
          <w:szCs w:val="20"/>
          <w:lang w:val="en"/>
        </w:rPr>
        <w:t xml:space="preserve"> radiocommunications regulation are in the best interests of Australia</w:t>
      </w:r>
      <w:r w:rsidRPr="00281CF7">
        <w:rPr>
          <w:rFonts w:cs="Arial"/>
          <w:szCs w:val="20"/>
          <w:lang w:val="en"/>
        </w:rPr>
        <w:t xml:space="preserve">. Many representatives </w:t>
      </w:r>
      <w:r>
        <w:rPr>
          <w:rFonts w:cs="Arial"/>
          <w:szCs w:val="20"/>
          <w:lang w:val="en"/>
        </w:rPr>
        <w:t xml:space="preserve">of industry and other sectors </w:t>
      </w:r>
      <w:r w:rsidRPr="00281CF7">
        <w:rPr>
          <w:rFonts w:cs="Arial"/>
          <w:szCs w:val="20"/>
          <w:lang w:val="en"/>
        </w:rPr>
        <w:t xml:space="preserve">are actively involved in these fora and greater involvement is encouraged. For more information contact the ARSG Secretariat at </w:t>
      </w:r>
      <w:hyperlink r:id="rId26" w:history="1">
        <w:r w:rsidRPr="00281CF7">
          <w:rPr>
            <w:rStyle w:val="Hyperlink"/>
            <w:rFonts w:cs="Arial"/>
            <w:szCs w:val="20"/>
            <w:lang w:val="en"/>
          </w:rPr>
          <w:t>IRS@acma.gov.au</w:t>
        </w:r>
      </w:hyperlink>
      <w:r w:rsidRPr="00281CF7">
        <w:rPr>
          <w:rFonts w:cs="Arial"/>
          <w:szCs w:val="20"/>
        </w:rPr>
        <w:t>.</w:t>
      </w:r>
      <w:r>
        <w:rPr>
          <w:rFonts w:cs="Arial"/>
          <w:szCs w:val="20"/>
        </w:rPr>
        <w:t xml:space="preserve"> </w:t>
      </w:r>
      <w:r w:rsidRPr="00721D28">
        <w:rPr>
          <w:rFonts w:cs="Arial"/>
          <w:szCs w:val="20"/>
        </w:rPr>
        <w:t xml:space="preserve"> </w:t>
      </w:r>
    </w:p>
    <w:p w14:paraId="53C39681" w14:textId="77777777" w:rsidR="00B96A25" w:rsidRPr="00721D28" w:rsidRDefault="00B96A25" w:rsidP="00D47AA2">
      <w:pPr>
        <w:pStyle w:val="BodySubHeader"/>
      </w:pPr>
      <w:r w:rsidRPr="00721D28">
        <w:t xml:space="preserve">Improvements to frequency coordination and licensing </w:t>
      </w:r>
    </w:p>
    <w:p w14:paraId="1171B2D9" w14:textId="77777777" w:rsidR="00B96A25" w:rsidRPr="00721D28" w:rsidRDefault="00B96A25" w:rsidP="00B96A25">
      <w:pPr>
        <w:rPr>
          <w:rFonts w:cs="Arial"/>
          <w:szCs w:val="20"/>
        </w:rPr>
      </w:pPr>
      <w:r w:rsidRPr="00721D28">
        <w:rPr>
          <w:rFonts w:cs="Arial"/>
          <w:szCs w:val="20"/>
        </w:rPr>
        <w:t>Submitters suggested matters that the ACMA should consider in updating frequency coordination and licensing to better support technology developments. Topics identified included digital land mobile services (including digital HF), bi-directional amplifiers and satellite IoT systems operating in terrestrial land mobile bands.</w:t>
      </w:r>
    </w:p>
    <w:p w14:paraId="51E6FC75" w14:textId="77777777" w:rsidR="00B96A25" w:rsidRPr="00721D28" w:rsidRDefault="00B96A25" w:rsidP="00BC51C6">
      <w:pPr>
        <w:pStyle w:val="Heading3"/>
        <w:rPr>
          <w:lang w:val="en"/>
        </w:rPr>
      </w:pPr>
      <w:r w:rsidRPr="00721D28">
        <w:rPr>
          <w:lang w:val="en"/>
        </w:rPr>
        <w:t>Response</w:t>
      </w:r>
      <w:r>
        <w:rPr>
          <w:lang w:val="en"/>
        </w:rPr>
        <w:t xml:space="preserve"> to </w:t>
      </w:r>
      <w:r w:rsidRPr="00D47AA2">
        <w:t>submitters</w:t>
      </w:r>
      <w:r>
        <w:rPr>
          <w:lang w:val="en"/>
        </w:rPr>
        <w:t xml:space="preserve"> </w:t>
      </w:r>
    </w:p>
    <w:p w14:paraId="256FF53D" w14:textId="56E6F5FA" w:rsidR="00B96A25" w:rsidRPr="00721D28" w:rsidRDefault="00B96A25" w:rsidP="00B352BE">
      <w:r w:rsidRPr="00721D28">
        <w:t xml:space="preserve">Some of the technical aspects of these matters have been targeted by ACMA for consideration as part of its </w:t>
      </w:r>
      <w:hyperlink r:id="rId27" w:history="1">
        <w:r w:rsidRPr="00721D28">
          <w:rPr>
            <w:rStyle w:val="Hyperlink"/>
            <w:rFonts w:cs="Arial"/>
            <w:szCs w:val="20"/>
          </w:rPr>
          <w:t>Frequency coordination requirements review work program</w:t>
        </w:r>
      </w:hyperlink>
      <w:r w:rsidRPr="00721D28">
        <w:t xml:space="preserve">. Others raise licensing issues that go beyond the scope of the review work program. For example, improving support for satellite IoT systems operating in terrestrial land mobile bands requires consideration of both technical and licensing issues. Similarly, bi-directional amplifiers in digital systems have the potential to amplify bandwidths and signals beyond the frequency range authorised by a licence and hence also require both technical and licensing consideration. While such issues are example of matters that could be considered in the context of the ACMA’s work on </w:t>
      </w:r>
      <w:r w:rsidR="00655108">
        <w:t>S</w:t>
      </w:r>
      <w:r w:rsidRPr="00721D28">
        <w:t xml:space="preserve">pectrum </w:t>
      </w:r>
      <w:r w:rsidR="00655108">
        <w:t>R</w:t>
      </w:r>
      <w:r w:rsidRPr="00721D28">
        <w:t>eview implementation, the ACMA will</w:t>
      </w:r>
      <w:r w:rsidR="00655108">
        <w:t>,</w:t>
      </w:r>
      <w:r w:rsidRPr="00721D28">
        <w:t xml:space="preserve"> in the first instance</w:t>
      </w:r>
      <w:r w:rsidR="00655108">
        <w:t>,</w:t>
      </w:r>
      <w:r w:rsidRPr="00721D28">
        <w:t xml:space="preserve"> explore solutions that could be achieved in the immediate future. In regard to the ACMA’s approach to digital land mobile standards, the proposal needs further consideration in the context of the ACMA’s approach to standards more broadly.</w:t>
      </w:r>
    </w:p>
    <w:p w14:paraId="531FEBBE" w14:textId="77777777" w:rsidR="00B96A25" w:rsidRPr="00721D28" w:rsidRDefault="00B96A25" w:rsidP="00B352BE">
      <w:pPr>
        <w:rPr>
          <w:lang w:val="en"/>
        </w:rPr>
      </w:pPr>
      <w:r w:rsidRPr="00721D28">
        <w:t>In the case of digital High Frequency (HF), information on the on HF frequency assignment requirements</w:t>
      </w:r>
      <w:r w:rsidRPr="00721D28">
        <w:rPr>
          <w:rStyle w:val="FootnoteReference"/>
          <w:rFonts w:cs="Arial"/>
          <w:szCs w:val="20"/>
        </w:rPr>
        <w:footnoteReference w:id="1"/>
      </w:r>
      <w:r w:rsidRPr="00721D28">
        <w:t xml:space="preserve">, including digital HF, is available on the ACMA website. </w:t>
      </w:r>
      <w:r w:rsidRPr="00721D28">
        <w:rPr>
          <w:lang w:val="en"/>
        </w:rPr>
        <w:t xml:space="preserve">The </w:t>
      </w:r>
      <w:r w:rsidRPr="00721D28">
        <w:rPr>
          <w:lang w:val="en"/>
        </w:rPr>
        <w:lastRenderedPageBreak/>
        <w:t>ACMA is open to suggestions for improvement on planning arrangements. However, at this stage the ACMA has not identified any further work required at this point in time.</w:t>
      </w:r>
    </w:p>
    <w:p w14:paraId="0AA3B5EA" w14:textId="10331369" w:rsidR="00B96A25" w:rsidRPr="00721D28" w:rsidRDefault="00B96A25" w:rsidP="00D47AA2">
      <w:pPr>
        <w:pStyle w:val="BodySubHeader"/>
      </w:pPr>
      <w:r w:rsidRPr="00721D28">
        <w:t xml:space="preserve">Additional spectrum for amateur services  </w:t>
      </w:r>
    </w:p>
    <w:p w14:paraId="458675F9" w14:textId="16D24ACF" w:rsidR="00B96A25" w:rsidRPr="00721D28" w:rsidRDefault="00B96A25" w:rsidP="00B96A25">
      <w:pPr>
        <w:rPr>
          <w:rFonts w:cs="Arial"/>
          <w:szCs w:val="20"/>
        </w:rPr>
      </w:pPr>
      <w:r w:rsidRPr="00721D28">
        <w:rPr>
          <w:rFonts w:cs="Arial"/>
          <w:szCs w:val="20"/>
        </w:rPr>
        <w:t xml:space="preserve">Submitters suggested changes to the arrangements to amateur services and </w:t>
      </w:r>
      <w:r w:rsidRPr="00B46BC5">
        <w:rPr>
          <w:rFonts w:cs="Arial"/>
          <w:szCs w:val="20"/>
        </w:rPr>
        <w:t>pro</w:t>
      </w:r>
      <w:r w:rsidR="00B46BC5" w:rsidRPr="00D47AA2">
        <w:rPr>
          <w:rFonts w:cs="Arial"/>
          <w:szCs w:val="20"/>
        </w:rPr>
        <w:t>po</w:t>
      </w:r>
      <w:r w:rsidRPr="00B46BC5">
        <w:rPr>
          <w:rFonts w:cs="Arial"/>
          <w:szCs w:val="20"/>
        </w:rPr>
        <w:t>sed</w:t>
      </w:r>
      <w:r w:rsidRPr="00721D28">
        <w:rPr>
          <w:rFonts w:cs="Arial"/>
          <w:szCs w:val="20"/>
        </w:rPr>
        <w:t xml:space="preserve"> ways to take proposals forward. Suggestions included an expansion of amateur usage in 1800</w:t>
      </w:r>
      <w:r w:rsidR="00E624F8">
        <w:rPr>
          <w:rFonts w:cs="Arial"/>
          <w:szCs w:val="20"/>
        </w:rPr>
        <w:t>–</w:t>
      </w:r>
      <w:r w:rsidRPr="00721D28">
        <w:rPr>
          <w:rFonts w:cs="Arial"/>
          <w:szCs w:val="20"/>
        </w:rPr>
        <w:t>1875 kHz up to 2000 kHz, extension of the 3776</w:t>
      </w:r>
      <w:r w:rsidR="00E624F8">
        <w:rPr>
          <w:rFonts w:cs="Arial"/>
          <w:szCs w:val="20"/>
        </w:rPr>
        <w:t>–</w:t>
      </w:r>
      <w:r w:rsidRPr="00721D28">
        <w:rPr>
          <w:rFonts w:cs="Arial"/>
          <w:szCs w:val="20"/>
        </w:rPr>
        <w:t>3800 kHz DX window to above 3800 kHz, development of licensing arrangements to support amateur services in 5351.5</w:t>
      </w:r>
      <w:r w:rsidR="00655108">
        <w:rPr>
          <w:rFonts w:cs="Arial"/>
          <w:szCs w:val="20"/>
        </w:rPr>
        <w:t>–</w:t>
      </w:r>
      <w:r w:rsidRPr="00721D28">
        <w:rPr>
          <w:rFonts w:cs="Arial"/>
          <w:szCs w:val="20"/>
        </w:rPr>
        <w:t>5366.5 kHz in accordance with ITU RR 133B, 50</w:t>
      </w:r>
      <w:r w:rsidR="00E624F8">
        <w:rPr>
          <w:rFonts w:cs="Arial"/>
          <w:szCs w:val="20"/>
        </w:rPr>
        <w:t>–</w:t>
      </w:r>
      <w:r w:rsidRPr="00721D28">
        <w:rPr>
          <w:rFonts w:cs="Arial"/>
          <w:szCs w:val="20"/>
        </w:rPr>
        <w:t>52 MHz upgrade of amateur allocation to primary in Australian Radiofrequency Spectrum Plan, inclusion of amateur service in 70.0–70.5 MHz.</w:t>
      </w:r>
    </w:p>
    <w:p w14:paraId="5268B27D" w14:textId="77777777" w:rsidR="00B96A25" w:rsidRPr="00721D28" w:rsidRDefault="00B96A25" w:rsidP="00D47AA2">
      <w:pPr>
        <w:pStyle w:val="Heading3"/>
        <w:keepNext w:val="0"/>
        <w:rPr>
          <w:lang w:val="en"/>
        </w:rPr>
      </w:pPr>
      <w:r w:rsidRPr="00721D28">
        <w:rPr>
          <w:lang w:val="en"/>
        </w:rPr>
        <w:t>Response</w:t>
      </w:r>
      <w:r>
        <w:rPr>
          <w:lang w:val="en"/>
        </w:rPr>
        <w:t xml:space="preserve"> to </w:t>
      </w:r>
      <w:r w:rsidRPr="00D47AA2">
        <w:t>submitters</w:t>
      </w:r>
      <w:r>
        <w:rPr>
          <w:lang w:val="en"/>
        </w:rPr>
        <w:t xml:space="preserve"> </w:t>
      </w:r>
    </w:p>
    <w:p w14:paraId="159447DE" w14:textId="1CC97E9C" w:rsidR="00B96A25" w:rsidRPr="00B352BE" w:rsidRDefault="00B96A25" w:rsidP="00B352BE">
      <w:pPr>
        <w:pStyle w:val="BodySubHeader"/>
      </w:pPr>
      <w:r w:rsidRPr="00B352BE">
        <w:t xml:space="preserve">160m </w:t>
      </w:r>
      <w:r w:rsidR="00655108">
        <w:t>b</w:t>
      </w:r>
      <w:r w:rsidRPr="00B352BE">
        <w:t xml:space="preserve">and </w:t>
      </w:r>
      <w:r w:rsidR="00655108">
        <w:t>e</w:t>
      </w:r>
      <w:r w:rsidRPr="00B352BE">
        <w:t>xtension (1875</w:t>
      </w:r>
      <w:r w:rsidR="00655108">
        <w:t>–</w:t>
      </w:r>
      <w:r w:rsidRPr="00B352BE">
        <w:t>2000 kHz)</w:t>
      </w:r>
    </w:p>
    <w:p w14:paraId="7495DD0C" w14:textId="35283E62" w:rsidR="00B96A25" w:rsidRPr="00BC51C6" w:rsidRDefault="00B96A25" w:rsidP="00B96A25">
      <w:pPr>
        <w:rPr>
          <w:rFonts w:cs="Arial"/>
          <w:szCs w:val="20"/>
        </w:rPr>
      </w:pPr>
      <w:r w:rsidRPr="00721D28">
        <w:rPr>
          <w:rFonts w:cs="Arial"/>
          <w:szCs w:val="20"/>
        </w:rPr>
        <w:t>The ACMA retains its view as outlined in the draft 2018</w:t>
      </w:r>
      <w:r w:rsidR="00E624F8">
        <w:rPr>
          <w:rFonts w:cs="Arial"/>
          <w:szCs w:val="20"/>
        </w:rPr>
        <w:t>–</w:t>
      </w:r>
      <w:r w:rsidRPr="00721D28">
        <w:rPr>
          <w:rFonts w:cs="Arial"/>
          <w:szCs w:val="20"/>
        </w:rPr>
        <w:t xml:space="preserve">22 FYSO that such an expansion is not possible and does not intend to further consider the matter in </w:t>
      </w:r>
      <w:r w:rsidR="00655108">
        <w:rPr>
          <w:rFonts w:cs="Arial"/>
          <w:szCs w:val="20"/>
        </w:rPr>
        <w:br/>
      </w:r>
      <w:r w:rsidRPr="00721D28">
        <w:rPr>
          <w:rFonts w:cs="Arial"/>
          <w:szCs w:val="20"/>
        </w:rPr>
        <w:t>2018</w:t>
      </w:r>
      <w:r w:rsidR="00E624F8">
        <w:rPr>
          <w:rFonts w:cs="Arial"/>
          <w:szCs w:val="20"/>
        </w:rPr>
        <w:t>–</w:t>
      </w:r>
      <w:r w:rsidRPr="00721D28">
        <w:rPr>
          <w:rFonts w:cs="Arial"/>
          <w:szCs w:val="20"/>
        </w:rPr>
        <w:t xml:space="preserve">19. </w:t>
      </w:r>
    </w:p>
    <w:p w14:paraId="344E078D" w14:textId="77777777" w:rsidR="00B96A25" w:rsidRPr="00B352BE" w:rsidRDefault="00B96A25" w:rsidP="00B352BE">
      <w:pPr>
        <w:pStyle w:val="BodySubHeader"/>
      </w:pPr>
      <w:r w:rsidRPr="00B352BE">
        <w:t xml:space="preserve">Extension of the 3776–3800 kHz DX window </w:t>
      </w:r>
    </w:p>
    <w:p w14:paraId="30847F2B" w14:textId="4020A4B9" w:rsidR="00B96A25" w:rsidRPr="00721D28" w:rsidRDefault="00B96A25" w:rsidP="00B96A25">
      <w:pPr>
        <w:rPr>
          <w:rFonts w:cs="Arial"/>
          <w:szCs w:val="20"/>
        </w:rPr>
      </w:pPr>
      <w:r w:rsidRPr="00721D28">
        <w:rPr>
          <w:rFonts w:cs="Arial"/>
          <w:szCs w:val="20"/>
        </w:rPr>
        <w:t>As outlined in the draft 2018</w:t>
      </w:r>
      <w:r w:rsidR="00E624F8">
        <w:rPr>
          <w:rFonts w:cs="Arial"/>
          <w:szCs w:val="20"/>
        </w:rPr>
        <w:t>–</w:t>
      </w:r>
      <w:r w:rsidRPr="00721D28">
        <w:rPr>
          <w:rFonts w:cs="Arial"/>
          <w:szCs w:val="20"/>
        </w:rPr>
        <w:t xml:space="preserve">19 FYSO, the ACMA will not be further investigating this matter. Operating on a no interference/no protection </w:t>
      </w:r>
      <w:r w:rsidR="00B352BE">
        <w:rPr>
          <w:rFonts w:cs="Arial"/>
          <w:szCs w:val="20"/>
        </w:rPr>
        <w:t xml:space="preserve">basis </w:t>
      </w:r>
      <w:r w:rsidRPr="00721D28">
        <w:rPr>
          <w:rFonts w:cs="Arial"/>
          <w:szCs w:val="20"/>
        </w:rPr>
        <w:t>does not eliminate the risk of interference occurring. It provides clarity on regulatory status when the ACMA undertakes compliance action.</w:t>
      </w:r>
    </w:p>
    <w:p w14:paraId="660F7161" w14:textId="6C199A72" w:rsidR="00B96A25" w:rsidRPr="00B352BE" w:rsidRDefault="00B96A25" w:rsidP="00B352BE">
      <w:pPr>
        <w:pStyle w:val="BodySubHeader"/>
      </w:pPr>
      <w:r w:rsidRPr="00B352BE">
        <w:t>5351.5</w:t>
      </w:r>
      <w:r w:rsidR="00B352BE" w:rsidRPr="00D47AA2">
        <w:t>–</w:t>
      </w:r>
      <w:r w:rsidRPr="00B352BE">
        <w:t xml:space="preserve">5366.5 </w:t>
      </w:r>
      <w:r w:rsidR="00C31300">
        <w:t>k</w:t>
      </w:r>
      <w:r w:rsidRPr="00B352BE">
        <w:t>Hz</w:t>
      </w:r>
    </w:p>
    <w:p w14:paraId="797D917E" w14:textId="4A9B2854" w:rsidR="00B96A25" w:rsidRPr="00721D28" w:rsidRDefault="00B96A25" w:rsidP="00B96A25">
      <w:pPr>
        <w:rPr>
          <w:rFonts w:cs="Arial"/>
          <w:szCs w:val="20"/>
        </w:rPr>
      </w:pPr>
      <w:r w:rsidRPr="00721D28">
        <w:rPr>
          <w:rFonts w:cs="Arial"/>
          <w:szCs w:val="20"/>
        </w:rPr>
        <w:t>Due to other priorities that ACMA does not intend to progress this matter in 2018</w:t>
      </w:r>
      <w:r w:rsidR="00E624F8">
        <w:rPr>
          <w:rFonts w:cs="Arial"/>
          <w:szCs w:val="20"/>
        </w:rPr>
        <w:t>–</w:t>
      </w:r>
      <w:r w:rsidRPr="00721D28">
        <w:rPr>
          <w:rFonts w:cs="Arial"/>
          <w:szCs w:val="20"/>
        </w:rPr>
        <w:t>19.</w:t>
      </w:r>
    </w:p>
    <w:p w14:paraId="61438742" w14:textId="31BA6C33" w:rsidR="00B96A25" w:rsidRPr="00B352BE" w:rsidRDefault="00B96A25" w:rsidP="00B352BE">
      <w:pPr>
        <w:pStyle w:val="BodySubHeader"/>
      </w:pPr>
      <w:r w:rsidRPr="00B352BE">
        <w:t xml:space="preserve">Primary </w:t>
      </w:r>
      <w:r w:rsidR="00B352BE" w:rsidRPr="00D47AA2">
        <w:t>s</w:t>
      </w:r>
      <w:r w:rsidRPr="00B352BE">
        <w:t>tatus for 50</w:t>
      </w:r>
      <w:r w:rsidR="00E624F8" w:rsidRPr="00B352BE">
        <w:t>–</w:t>
      </w:r>
      <w:r w:rsidRPr="00B352BE">
        <w:t xml:space="preserve">52 MHz </w:t>
      </w:r>
      <w:r w:rsidR="00B352BE" w:rsidRPr="00D47AA2">
        <w:t>b</w:t>
      </w:r>
      <w:r w:rsidRPr="00B352BE">
        <w:t>and</w:t>
      </w:r>
    </w:p>
    <w:p w14:paraId="76A8CBCF" w14:textId="074C37E7" w:rsidR="00B96A25" w:rsidRPr="00721D28" w:rsidRDefault="00B96A25" w:rsidP="00B96A25">
      <w:pPr>
        <w:rPr>
          <w:rFonts w:cs="Arial"/>
          <w:szCs w:val="20"/>
        </w:rPr>
      </w:pPr>
      <w:r w:rsidRPr="00721D28">
        <w:rPr>
          <w:rFonts w:cs="Arial"/>
          <w:szCs w:val="20"/>
        </w:rPr>
        <w:t>In Australian Radiofrequency Spectrum Plan</w:t>
      </w:r>
      <w:r w:rsidR="00B352BE">
        <w:rPr>
          <w:rFonts w:cs="Arial"/>
          <w:szCs w:val="20"/>
        </w:rPr>
        <w:t>,</w:t>
      </w:r>
      <w:r w:rsidRPr="00721D28">
        <w:rPr>
          <w:rFonts w:cs="Arial"/>
          <w:szCs w:val="20"/>
        </w:rPr>
        <w:t xml:space="preserve"> the frequency range 50</w:t>
      </w:r>
      <w:r w:rsidR="00E624F8">
        <w:rPr>
          <w:rFonts w:cs="Arial"/>
          <w:szCs w:val="20"/>
        </w:rPr>
        <w:t>–</w:t>
      </w:r>
      <w:r w:rsidRPr="00721D28">
        <w:rPr>
          <w:rFonts w:cs="Arial"/>
          <w:szCs w:val="20"/>
        </w:rPr>
        <w:t>52 MHz has a primary broadcasting allocation with amateur usage supported on a secondary basis. With broadcasting services no longer operating in this frequency range</w:t>
      </w:r>
      <w:r w:rsidR="00B352BE">
        <w:rPr>
          <w:rFonts w:cs="Arial"/>
          <w:szCs w:val="20"/>
        </w:rPr>
        <w:t>,</w:t>
      </w:r>
      <w:r w:rsidRPr="00721D28">
        <w:rPr>
          <w:rFonts w:cs="Arial"/>
          <w:szCs w:val="20"/>
        </w:rPr>
        <w:t xml:space="preserve"> it is a designated broadcasting services band and other industry sectors have express interest in access to this frequency range. As outlined in the draft FYSO, the ACMA acknowledges the desirability of considering this matter</w:t>
      </w:r>
      <w:r w:rsidR="00B352BE">
        <w:rPr>
          <w:rFonts w:cs="Arial"/>
          <w:szCs w:val="20"/>
        </w:rPr>
        <w:t>;</w:t>
      </w:r>
      <w:r w:rsidRPr="00721D28">
        <w:rPr>
          <w:rFonts w:cs="Arial"/>
          <w:szCs w:val="20"/>
        </w:rPr>
        <w:t xml:space="preserve"> however</w:t>
      </w:r>
      <w:r w:rsidR="00B352BE">
        <w:rPr>
          <w:rFonts w:cs="Arial"/>
          <w:szCs w:val="20"/>
        </w:rPr>
        <w:t>,</w:t>
      </w:r>
      <w:r w:rsidRPr="00721D28">
        <w:rPr>
          <w:rFonts w:cs="Arial"/>
          <w:szCs w:val="20"/>
        </w:rPr>
        <w:t xml:space="preserve"> the ACMA is deferring investigation on future arrangements while considering other broadcasting planning matters.</w:t>
      </w:r>
    </w:p>
    <w:p w14:paraId="449FC66D" w14:textId="12093A90" w:rsidR="00B96A25" w:rsidRPr="00D47AA2" w:rsidRDefault="00B96A25" w:rsidP="0091193C">
      <w:pPr>
        <w:pStyle w:val="BodySubHeader"/>
        <w:rPr>
          <w:rFonts w:cs="Arial"/>
          <w:i w:val="0"/>
        </w:rPr>
      </w:pPr>
      <w:r w:rsidRPr="00D47AA2">
        <w:rPr>
          <w:rFonts w:cs="Arial"/>
          <w:i w:val="0"/>
        </w:rPr>
        <w:t>70.0</w:t>
      </w:r>
      <w:r w:rsidR="00B352BE">
        <w:rPr>
          <w:rFonts w:cs="Arial"/>
          <w:i w:val="0"/>
        </w:rPr>
        <w:t>–</w:t>
      </w:r>
      <w:r w:rsidRPr="00D47AA2">
        <w:rPr>
          <w:rFonts w:cs="Arial"/>
          <w:i w:val="0"/>
        </w:rPr>
        <w:t>70.5 MHz</w:t>
      </w:r>
    </w:p>
    <w:p w14:paraId="408C11C0" w14:textId="7DAEC059" w:rsidR="00B96A25" w:rsidRPr="00721D28" w:rsidRDefault="00B96A25" w:rsidP="00B96A25">
      <w:pPr>
        <w:rPr>
          <w:rFonts w:cs="Arial"/>
          <w:szCs w:val="20"/>
        </w:rPr>
      </w:pPr>
      <w:r w:rsidRPr="00721D28">
        <w:rPr>
          <w:rFonts w:cs="Arial"/>
          <w:szCs w:val="20"/>
        </w:rPr>
        <w:t>As outlined in the draft 2018</w:t>
      </w:r>
      <w:r w:rsidR="00E624F8">
        <w:rPr>
          <w:rFonts w:cs="Arial"/>
          <w:szCs w:val="20"/>
        </w:rPr>
        <w:t>–</w:t>
      </w:r>
      <w:r w:rsidRPr="00721D28">
        <w:rPr>
          <w:rFonts w:cs="Arial"/>
          <w:szCs w:val="20"/>
        </w:rPr>
        <w:t>19 FYSO, the ACMA will not be further investigating this matter. Operating on a no interference/no protection</w:t>
      </w:r>
      <w:r w:rsidR="00E624F8">
        <w:rPr>
          <w:rFonts w:cs="Arial"/>
          <w:szCs w:val="20"/>
        </w:rPr>
        <w:t xml:space="preserve"> </w:t>
      </w:r>
      <w:r w:rsidR="00B00335">
        <w:rPr>
          <w:rFonts w:cs="Arial"/>
          <w:szCs w:val="20"/>
        </w:rPr>
        <w:t>basis</w:t>
      </w:r>
      <w:r w:rsidR="00B00335" w:rsidRPr="00B352BE">
        <w:rPr>
          <w:rFonts w:cs="Arial"/>
          <w:szCs w:val="20"/>
        </w:rPr>
        <w:t xml:space="preserve"> </w:t>
      </w:r>
      <w:r w:rsidRPr="00721D28">
        <w:rPr>
          <w:rFonts w:cs="Arial"/>
          <w:szCs w:val="20"/>
        </w:rPr>
        <w:t>does not eliminate the risk of interference occurring. It provides clarity on regulatory status when the ACMA undertakes compliance action.</w:t>
      </w:r>
    </w:p>
    <w:p w14:paraId="5891B788" w14:textId="77777777" w:rsidR="00B96A25" w:rsidRPr="00721D28" w:rsidRDefault="00B96A25" w:rsidP="00D47AA2">
      <w:pPr>
        <w:pStyle w:val="Heading2"/>
        <w:keepLines/>
      </w:pPr>
      <w:bookmarkStart w:id="5" w:name="_Toc524511475"/>
      <w:r w:rsidRPr="00721D28">
        <w:lastRenderedPageBreak/>
        <w:t>Forward allocation work program</w:t>
      </w:r>
      <w:bookmarkEnd w:id="5"/>
    </w:p>
    <w:p w14:paraId="693AD2DE" w14:textId="77777777" w:rsidR="00B96A25" w:rsidRPr="00721D28" w:rsidRDefault="00B96A25" w:rsidP="00D47AA2">
      <w:pPr>
        <w:keepNext/>
        <w:keepLines/>
        <w:rPr>
          <w:rFonts w:eastAsiaTheme="majorEastAsia" w:cs="Arial"/>
          <w:b/>
          <w:szCs w:val="20"/>
        </w:rPr>
      </w:pPr>
      <w:r w:rsidRPr="00721D28">
        <w:rPr>
          <w:rFonts w:cs="Arial"/>
          <w:b/>
          <w:szCs w:val="20"/>
        </w:rPr>
        <w:t>Consultation question 5: Do you have any comments about the ACMA approach to the forward allocations, or the specific allocation scenarios?</w:t>
      </w:r>
    </w:p>
    <w:p w14:paraId="10B86F29" w14:textId="77777777" w:rsidR="00B96A25" w:rsidRPr="00721D28" w:rsidRDefault="00B96A25" w:rsidP="00D47AA2">
      <w:pPr>
        <w:pStyle w:val="Heading3"/>
        <w:keepLines/>
      </w:pPr>
      <w:r w:rsidRPr="00B46BC5">
        <w:t>What submitters said</w:t>
      </w:r>
    </w:p>
    <w:p w14:paraId="0E8D2993" w14:textId="1D86CDF8" w:rsidR="00B96A25" w:rsidRPr="00721D28" w:rsidRDefault="003D721E" w:rsidP="00D47AA2">
      <w:pPr>
        <w:keepNext/>
        <w:keepLines/>
        <w:rPr>
          <w:rFonts w:cs="Arial"/>
          <w:szCs w:val="20"/>
        </w:rPr>
      </w:pPr>
      <w:r>
        <w:rPr>
          <w:rFonts w:cs="Arial"/>
          <w:szCs w:val="20"/>
        </w:rPr>
        <w:t>Submission responses expressed a</w:t>
      </w:r>
      <w:r w:rsidR="00B96A25" w:rsidRPr="00721D28">
        <w:rPr>
          <w:rFonts w:cs="Arial"/>
          <w:szCs w:val="20"/>
        </w:rPr>
        <w:t xml:space="preserve"> range of views about the timing and sequencing of particular bands for allocation. These views are summarised within the FYSO at Table 14: </w:t>
      </w:r>
      <w:r w:rsidR="00B96A25" w:rsidRPr="00D47AA2">
        <w:rPr>
          <w:rFonts w:cs="Arial"/>
          <w:i/>
          <w:szCs w:val="20"/>
        </w:rPr>
        <w:t xml:space="preserve">Summary of </w:t>
      </w:r>
      <w:r w:rsidR="00B46BC5" w:rsidRPr="00D47AA2">
        <w:rPr>
          <w:rFonts w:cs="Arial"/>
          <w:i/>
          <w:szCs w:val="20"/>
        </w:rPr>
        <w:t>s</w:t>
      </w:r>
      <w:r w:rsidR="00B96A25" w:rsidRPr="00D47AA2">
        <w:rPr>
          <w:rFonts w:cs="Arial"/>
          <w:i/>
          <w:szCs w:val="20"/>
        </w:rPr>
        <w:t>ubmissions</w:t>
      </w:r>
      <w:r w:rsidR="00B96A25" w:rsidRPr="00721D28">
        <w:rPr>
          <w:rFonts w:cs="Arial"/>
          <w:szCs w:val="20"/>
        </w:rPr>
        <w:t xml:space="preserve">. </w:t>
      </w:r>
    </w:p>
    <w:p w14:paraId="5880B049" w14:textId="77777777" w:rsidR="00B96A25" w:rsidRPr="00721D28" w:rsidRDefault="00B96A25" w:rsidP="00B96A25">
      <w:pPr>
        <w:pStyle w:val="Heading3"/>
      </w:pPr>
      <w:r w:rsidRPr="00721D28">
        <w:t>Response to submitters</w:t>
      </w:r>
    </w:p>
    <w:p w14:paraId="5BF7D016" w14:textId="25401656" w:rsidR="00B96A25" w:rsidRPr="00721D28" w:rsidRDefault="00B96A25" w:rsidP="00B96A25">
      <w:pPr>
        <w:rPr>
          <w:rFonts w:cs="Arial"/>
          <w:szCs w:val="20"/>
        </w:rPr>
      </w:pPr>
      <w:r w:rsidRPr="00721D28">
        <w:rPr>
          <w:rFonts w:cs="Arial"/>
          <w:szCs w:val="20"/>
        </w:rPr>
        <w:t>In response to feedback from stakeholders on the allocation scenarios, as well as progress on international harmonisation efforts</w:t>
      </w:r>
      <w:r w:rsidR="00E624F8">
        <w:rPr>
          <w:rFonts w:cs="Arial"/>
          <w:szCs w:val="20"/>
        </w:rPr>
        <w:t>,</w:t>
      </w:r>
      <w:r w:rsidRPr="00721D28">
        <w:rPr>
          <w:rFonts w:cs="Arial"/>
          <w:szCs w:val="20"/>
        </w:rPr>
        <w:t xml:space="preserve"> the ACMA is considering adjusting both the timing and sequencing of allocations. The spectrum bands under consideration are summarised within the FYSO at Table 15: </w:t>
      </w:r>
      <w:r w:rsidRPr="00D47AA2">
        <w:rPr>
          <w:rFonts w:cs="Arial"/>
          <w:i/>
          <w:szCs w:val="20"/>
        </w:rPr>
        <w:t xml:space="preserve">Spectrum </w:t>
      </w:r>
      <w:r w:rsidR="00B352BE">
        <w:rPr>
          <w:rFonts w:cs="Arial"/>
          <w:i/>
          <w:szCs w:val="20"/>
        </w:rPr>
        <w:t>b</w:t>
      </w:r>
      <w:r w:rsidRPr="00D47AA2">
        <w:rPr>
          <w:rFonts w:cs="Arial"/>
          <w:i/>
          <w:szCs w:val="20"/>
        </w:rPr>
        <w:t>ands under consideration</w:t>
      </w:r>
      <w:r w:rsidRPr="00721D28">
        <w:rPr>
          <w:rFonts w:cs="Arial"/>
          <w:szCs w:val="20"/>
        </w:rPr>
        <w:t xml:space="preserve">. </w:t>
      </w:r>
    </w:p>
    <w:p w14:paraId="4CF6C797" w14:textId="77777777" w:rsidR="00B96A25" w:rsidRPr="00721D28" w:rsidRDefault="00B96A25" w:rsidP="00B96A25">
      <w:pPr>
        <w:pStyle w:val="Heading2"/>
      </w:pPr>
      <w:bookmarkStart w:id="6" w:name="_Toc524511476"/>
      <w:r w:rsidRPr="00721D28">
        <w:t>Spectrum review implementation approach</w:t>
      </w:r>
      <w:bookmarkEnd w:id="6"/>
    </w:p>
    <w:p w14:paraId="3253BF67" w14:textId="26A5A6C7" w:rsidR="00B96A25" w:rsidRPr="00721D28" w:rsidRDefault="00B96A25" w:rsidP="00B96A25">
      <w:pPr>
        <w:rPr>
          <w:rFonts w:eastAsiaTheme="majorEastAsia" w:cs="Arial"/>
          <w:b/>
          <w:szCs w:val="20"/>
        </w:rPr>
      </w:pPr>
      <w:r w:rsidRPr="00721D28">
        <w:rPr>
          <w:rFonts w:cs="Arial"/>
          <w:b/>
          <w:szCs w:val="20"/>
        </w:rPr>
        <w:t xml:space="preserve">Consultation question 6: Do you have any feedback on the ACMA’s approach to </w:t>
      </w:r>
      <w:r w:rsidRPr="00B352BE">
        <w:rPr>
          <w:rFonts w:cs="Arial"/>
          <w:b/>
          <w:szCs w:val="20"/>
        </w:rPr>
        <w:t xml:space="preserve">Spectrum Review </w:t>
      </w:r>
      <w:r w:rsidR="00B352BE">
        <w:rPr>
          <w:rFonts w:cs="Arial"/>
          <w:b/>
          <w:szCs w:val="20"/>
        </w:rPr>
        <w:t>i</w:t>
      </w:r>
      <w:r w:rsidRPr="00B352BE">
        <w:rPr>
          <w:rFonts w:cs="Arial"/>
          <w:b/>
          <w:szCs w:val="20"/>
        </w:rPr>
        <w:t>mplementation</w:t>
      </w:r>
      <w:r w:rsidRPr="00721D28">
        <w:rPr>
          <w:rFonts w:cs="Arial"/>
          <w:b/>
          <w:szCs w:val="20"/>
        </w:rPr>
        <w:t>?</w:t>
      </w:r>
    </w:p>
    <w:p w14:paraId="51E29A33" w14:textId="77777777" w:rsidR="00B96A25" w:rsidRPr="00721D28" w:rsidRDefault="00B96A25" w:rsidP="00B96A25">
      <w:pPr>
        <w:pStyle w:val="Heading3"/>
      </w:pPr>
      <w:r w:rsidRPr="00721D28">
        <w:t>What submitters said</w:t>
      </w:r>
    </w:p>
    <w:p w14:paraId="7D4270D0" w14:textId="77777777" w:rsidR="00B96A25" w:rsidRPr="00721D28" w:rsidRDefault="00B96A25" w:rsidP="00B96A25">
      <w:pPr>
        <w:rPr>
          <w:rFonts w:cs="Arial"/>
          <w:color w:val="000000"/>
          <w:szCs w:val="20"/>
        </w:rPr>
      </w:pPr>
      <w:r w:rsidRPr="00721D28">
        <w:rPr>
          <w:rFonts w:cs="Arial"/>
          <w:szCs w:val="20"/>
        </w:rPr>
        <w:t xml:space="preserve">Submitters were positive about the ACMA’s approach to spectrum review implementation. Submitters noted the ACMA’s commitment to </w:t>
      </w:r>
      <w:r w:rsidRPr="00721D28">
        <w:rPr>
          <w:rFonts w:cs="Arial"/>
          <w:color w:val="000000"/>
          <w:szCs w:val="20"/>
        </w:rPr>
        <w:t xml:space="preserve">engaging stakeholders in the design of revised spectrum arrangements. </w:t>
      </w:r>
    </w:p>
    <w:p w14:paraId="78EED70B" w14:textId="3BFBE959" w:rsidR="00B96A25" w:rsidRPr="00721D28" w:rsidRDefault="00B96A25" w:rsidP="00D47AA2">
      <w:pPr>
        <w:spacing w:after="80"/>
        <w:rPr>
          <w:rFonts w:cs="Arial"/>
          <w:szCs w:val="20"/>
        </w:rPr>
      </w:pPr>
      <w:r w:rsidRPr="00721D28">
        <w:rPr>
          <w:rFonts w:cs="Arial"/>
          <w:szCs w:val="20"/>
        </w:rPr>
        <w:t xml:space="preserve">Submitters noted the expected </w:t>
      </w:r>
      <w:r w:rsidR="00B352BE">
        <w:rPr>
          <w:rFonts w:cs="Arial"/>
          <w:szCs w:val="20"/>
        </w:rPr>
        <w:t>2</w:t>
      </w:r>
      <w:r w:rsidR="00B352BE" w:rsidRPr="00D47AA2">
        <w:rPr>
          <w:rFonts w:cs="Arial"/>
          <w:szCs w:val="20"/>
          <w:vertAlign w:val="superscript"/>
        </w:rPr>
        <w:t>nd</w:t>
      </w:r>
      <w:r w:rsidR="00B352BE" w:rsidRPr="00721D28">
        <w:rPr>
          <w:rFonts w:cs="Arial"/>
          <w:szCs w:val="20"/>
        </w:rPr>
        <w:t xml:space="preserve"> </w:t>
      </w:r>
      <w:r w:rsidRPr="00721D28">
        <w:rPr>
          <w:rFonts w:cs="Arial"/>
          <w:szCs w:val="20"/>
        </w:rPr>
        <w:t>Exposure Draft (ED2) of the new Radiocommunications Bill and requested additional supporting material from the ACMA that includes information on:</w:t>
      </w:r>
    </w:p>
    <w:p w14:paraId="7DBCA805" w14:textId="77777777" w:rsidR="00B96A25" w:rsidRPr="00721D28" w:rsidRDefault="00B96A25" w:rsidP="00B96A25">
      <w:pPr>
        <w:pStyle w:val="ListBullet"/>
        <w:rPr>
          <w:rFonts w:cs="Arial"/>
          <w:szCs w:val="20"/>
        </w:rPr>
      </w:pPr>
      <w:r w:rsidRPr="00721D28">
        <w:rPr>
          <w:rFonts w:cs="Arial"/>
          <w:szCs w:val="20"/>
        </w:rPr>
        <w:t>the key changes to the licensing, pricing, and planning frameworks between legacy arrangements and the new framework</w:t>
      </w:r>
    </w:p>
    <w:p w14:paraId="4986BEBA" w14:textId="77777777" w:rsidR="00B96A25" w:rsidRPr="00721D28" w:rsidRDefault="00B96A25" w:rsidP="00B96A25">
      <w:pPr>
        <w:pStyle w:val="ListBulletLast"/>
        <w:rPr>
          <w:szCs w:val="20"/>
        </w:rPr>
      </w:pPr>
      <w:r w:rsidRPr="00721D28">
        <w:rPr>
          <w:szCs w:val="20"/>
        </w:rPr>
        <w:t>how transitional arrangements will work</w:t>
      </w:r>
      <w:r w:rsidR="00E624F8">
        <w:rPr>
          <w:szCs w:val="20"/>
        </w:rPr>
        <w:t>.</w:t>
      </w:r>
    </w:p>
    <w:p w14:paraId="514FC999" w14:textId="4A33D8FE" w:rsidR="00B96A25" w:rsidRPr="00721D28" w:rsidRDefault="00B96A25" w:rsidP="00B96A25">
      <w:pPr>
        <w:rPr>
          <w:rFonts w:cs="Arial"/>
          <w:szCs w:val="20"/>
        </w:rPr>
      </w:pPr>
      <w:r w:rsidRPr="00721D28">
        <w:rPr>
          <w:rFonts w:cs="Arial"/>
          <w:szCs w:val="20"/>
        </w:rPr>
        <w:t xml:space="preserve">Submitters outlined the importance of predictability and noted the ACMA is aiming to achieve this in proposed licencing arrangements. </w:t>
      </w:r>
    </w:p>
    <w:p w14:paraId="7CF5DF3A" w14:textId="77777777" w:rsidR="00B96A25" w:rsidRPr="00721D28" w:rsidRDefault="00B96A25" w:rsidP="00B96A25">
      <w:pPr>
        <w:pStyle w:val="Heading3"/>
      </w:pPr>
      <w:r w:rsidRPr="00721D28">
        <w:t>Response to submitters</w:t>
      </w:r>
    </w:p>
    <w:p w14:paraId="7F819C71" w14:textId="42186410" w:rsidR="00B96A25" w:rsidRPr="00721D28" w:rsidRDefault="00B96A25" w:rsidP="00B96A25">
      <w:pPr>
        <w:rPr>
          <w:rFonts w:cs="Arial"/>
          <w:szCs w:val="20"/>
        </w:rPr>
      </w:pPr>
      <w:r w:rsidRPr="00721D28">
        <w:rPr>
          <w:rFonts w:cs="Arial"/>
          <w:szCs w:val="20"/>
        </w:rPr>
        <w:t xml:space="preserve">The ACMA recognises the need to support stakeholders during the implementation of the spectrum review. The ACMA remains committed to consulting with stakeholders during this period. Following the release of ED2, the ACMA intends to release further explanatory material which is expected to assist stakeholders in providing feedback on the draft legislation when released by the Department of Communications and the Arts. </w:t>
      </w:r>
    </w:p>
    <w:p w14:paraId="2A5B9C4E" w14:textId="77777777" w:rsidR="00B96A25" w:rsidRPr="00721D28" w:rsidRDefault="00B96A25" w:rsidP="00707488">
      <w:pPr>
        <w:pStyle w:val="Heading2"/>
        <w:keepLines/>
      </w:pPr>
      <w:bookmarkStart w:id="7" w:name="_Toc524511477"/>
      <w:r w:rsidRPr="00721D28">
        <w:lastRenderedPageBreak/>
        <w:t>Licensing and licence systems, pricing, compliance and enforcement, and international engagement</w:t>
      </w:r>
      <w:bookmarkEnd w:id="7"/>
    </w:p>
    <w:p w14:paraId="17881C8D" w14:textId="77777777" w:rsidR="00B96A25" w:rsidRPr="00721D28" w:rsidRDefault="00B96A25" w:rsidP="00707488">
      <w:pPr>
        <w:keepNext/>
        <w:keepLines/>
        <w:rPr>
          <w:rFonts w:eastAsiaTheme="majorEastAsia" w:cs="Arial"/>
          <w:b/>
          <w:szCs w:val="20"/>
        </w:rPr>
      </w:pPr>
      <w:r w:rsidRPr="00721D28">
        <w:rPr>
          <w:rFonts w:cs="Arial"/>
          <w:b/>
          <w:szCs w:val="20"/>
        </w:rPr>
        <w:t xml:space="preserve">Consultation question 7: Do you have any comments about the ACMA’s planned activities for licensing and licensing systems, pricing, compliance and enforcement, and international engagement? </w:t>
      </w:r>
    </w:p>
    <w:p w14:paraId="5BBC1A3F" w14:textId="77777777" w:rsidR="00B96A25" w:rsidRPr="00721D28" w:rsidRDefault="00B96A25" w:rsidP="00707488">
      <w:pPr>
        <w:pStyle w:val="Heading3"/>
        <w:keepLines/>
      </w:pPr>
      <w:r w:rsidRPr="00721D28">
        <w:t>What submitters said</w:t>
      </w:r>
    </w:p>
    <w:p w14:paraId="5A47D899" w14:textId="77777777" w:rsidR="00B96A25" w:rsidRPr="00721D28" w:rsidRDefault="00B96A25" w:rsidP="00707488">
      <w:pPr>
        <w:keepNext/>
        <w:keepLines/>
        <w:rPr>
          <w:rFonts w:cs="Arial"/>
          <w:szCs w:val="20"/>
        </w:rPr>
      </w:pPr>
      <w:r w:rsidRPr="00721D28">
        <w:rPr>
          <w:rFonts w:cs="Arial"/>
          <w:szCs w:val="20"/>
        </w:rPr>
        <w:t xml:space="preserve">Submitters outlined support for planned activities for licensing and licensing systems, pricing, compliance and enforcement, and international engagement. </w:t>
      </w:r>
    </w:p>
    <w:p w14:paraId="114D4D23" w14:textId="4704DBC2" w:rsidR="00B96A25" w:rsidRPr="00721D28" w:rsidRDefault="00B96A25" w:rsidP="00707488">
      <w:pPr>
        <w:keepNext/>
        <w:keepLines/>
        <w:spacing w:after="80"/>
        <w:rPr>
          <w:rFonts w:cs="Arial"/>
          <w:szCs w:val="20"/>
        </w:rPr>
      </w:pPr>
      <w:r w:rsidRPr="00721D28">
        <w:rPr>
          <w:rFonts w:cs="Arial"/>
          <w:szCs w:val="20"/>
        </w:rPr>
        <w:t>Submitters raised various suggestions and issues</w:t>
      </w:r>
      <w:r w:rsidR="00B352BE">
        <w:rPr>
          <w:rFonts w:cs="Arial"/>
          <w:szCs w:val="20"/>
        </w:rPr>
        <w:t>,</w:t>
      </w:r>
      <w:r w:rsidRPr="00721D28">
        <w:rPr>
          <w:rFonts w:cs="Arial"/>
          <w:szCs w:val="20"/>
        </w:rPr>
        <w:t xml:space="preserve"> including:</w:t>
      </w:r>
    </w:p>
    <w:p w14:paraId="5D94EC3D" w14:textId="77777777" w:rsidR="00B96A25" w:rsidRPr="00721D28" w:rsidRDefault="00B96A25" w:rsidP="00707488">
      <w:pPr>
        <w:pStyle w:val="ListBullet"/>
        <w:keepNext/>
        <w:keepLines/>
        <w:rPr>
          <w:rFonts w:cs="Arial"/>
          <w:szCs w:val="20"/>
        </w:rPr>
      </w:pPr>
      <w:r w:rsidRPr="00721D28">
        <w:rPr>
          <w:rFonts w:cs="Arial"/>
          <w:szCs w:val="20"/>
        </w:rPr>
        <w:t>early engagement with stakeholders on spectrum tax arrangements</w:t>
      </w:r>
    </w:p>
    <w:p w14:paraId="3537C6AA" w14:textId="552E623F" w:rsidR="00B96A25" w:rsidRPr="00721D28" w:rsidRDefault="00B96A25" w:rsidP="00B96A25">
      <w:pPr>
        <w:pStyle w:val="ListBullet"/>
        <w:rPr>
          <w:rFonts w:cs="Arial"/>
          <w:szCs w:val="20"/>
        </w:rPr>
      </w:pPr>
      <w:r w:rsidRPr="00721D28">
        <w:rPr>
          <w:rFonts w:cs="Arial"/>
          <w:szCs w:val="20"/>
        </w:rPr>
        <w:t>review spectrum pricing for services</w:t>
      </w:r>
      <w:r w:rsidR="00B352BE">
        <w:rPr>
          <w:rFonts w:cs="Arial"/>
          <w:szCs w:val="20"/>
        </w:rPr>
        <w:t>,</w:t>
      </w:r>
      <w:r w:rsidRPr="00721D28">
        <w:rPr>
          <w:rFonts w:cs="Arial"/>
          <w:szCs w:val="20"/>
        </w:rPr>
        <w:t xml:space="preserve"> such as: </w:t>
      </w:r>
    </w:p>
    <w:p w14:paraId="37CD2DD1" w14:textId="3332BFCD" w:rsidR="00B96A25" w:rsidRPr="00721D28" w:rsidRDefault="00B96A25" w:rsidP="00B96A25">
      <w:pPr>
        <w:pStyle w:val="ListBullet"/>
        <w:tabs>
          <w:tab w:val="clear" w:pos="295"/>
          <w:tab w:val="num" w:pos="590"/>
        </w:tabs>
        <w:ind w:left="590"/>
        <w:rPr>
          <w:rFonts w:cs="Arial"/>
          <w:szCs w:val="20"/>
        </w:rPr>
      </w:pPr>
      <w:r w:rsidRPr="00721D28">
        <w:rPr>
          <w:rFonts w:cs="Arial"/>
          <w:szCs w:val="20"/>
        </w:rPr>
        <w:t>satellite services in Ka</w:t>
      </w:r>
      <w:r w:rsidR="00B352BE">
        <w:rPr>
          <w:rFonts w:cs="Arial"/>
          <w:szCs w:val="20"/>
        </w:rPr>
        <w:t>-</w:t>
      </w:r>
      <w:r w:rsidRPr="00721D28">
        <w:rPr>
          <w:rFonts w:cs="Arial"/>
          <w:szCs w:val="20"/>
        </w:rPr>
        <w:t xml:space="preserve"> and Ku</w:t>
      </w:r>
      <w:r w:rsidR="00B352BE">
        <w:rPr>
          <w:rFonts w:cs="Arial"/>
          <w:szCs w:val="20"/>
        </w:rPr>
        <w:t>-</w:t>
      </w:r>
      <w:r w:rsidRPr="00721D28">
        <w:rPr>
          <w:rFonts w:cs="Arial"/>
          <w:szCs w:val="20"/>
        </w:rPr>
        <w:t>bands</w:t>
      </w:r>
    </w:p>
    <w:p w14:paraId="55637E65" w14:textId="77777777" w:rsidR="00B96A25" w:rsidRPr="00721D28" w:rsidRDefault="00B96A25" w:rsidP="00B96A25">
      <w:pPr>
        <w:pStyle w:val="ListBullet"/>
        <w:tabs>
          <w:tab w:val="clear" w:pos="295"/>
          <w:tab w:val="num" w:pos="590"/>
        </w:tabs>
        <w:ind w:left="590"/>
        <w:rPr>
          <w:rFonts w:cs="Arial"/>
          <w:szCs w:val="20"/>
        </w:rPr>
      </w:pPr>
      <w:r w:rsidRPr="00721D28">
        <w:rPr>
          <w:rFonts w:cs="Arial"/>
          <w:szCs w:val="20"/>
        </w:rPr>
        <w:t xml:space="preserve">HPON services </w:t>
      </w:r>
    </w:p>
    <w:p w14:paraId="64F4CFDE" w14:textId="3CF4F370" w:rsidR="00B96A25" w:rsidRPr="00721D28" w:rsidRDefault="00B96A25">
      <w:pPr>
        <w:pStyle w:val="ListBulletLast"/>
        <w:tabs>
          <w:tab w:val="clear" w:pos="295"/>
          <w:tab w:val="num" w:pos="590"/>
        </w:tabs>
        <w:ind w:left="590"/>
        <w:rPr>
          <w:szCs w:val="20"/>
        </w:rPr>
      </w:pPr>
      <w:r w:rsidRPr="00721D28">
        <w:rPr>
          <w:szCs w:val="20"/>
        </w:rPr>
        <w:t xml:space="preserve">scientific licensing for 5G services. </w:t>
      </w:r>
    </w:p>
    <w:p w14:paraId="1ED7560F" w14:textId="77777777" w:rsidR="00B96A25" w:rsidRPr="00721D28" w:rsidRDefault="00B96A25" w:rsidP="00B96A25">
      <w:pPr>
        <w:rPr>
          <w:rFonts w:cs="Arial"/>
          <w:szCs w:val="20"/>
        </w:rPr>
      </w:pPr>
      <w:r w:rsidRPr="00721D28">
        <w:rPr>
          <w:rFonts w:cs="Arial"/>
          <w:szCs w:val="20"/>
        </w:rPr>
        <w:t xml:space="preserve">On international engagement, the majority of submitters were positive and welcomed the ACMA’s approach. </w:t>
      </w:r>
    </w:p>
    <w:p w14:paraId="460D5231" w14:textId="5D14E16B" w:rsidR="00B96A25" w:rsidRPr="00721D28" w:rsidRDefault="00B96A25" w:rsidP="00B96A25">
      <w:pPr>
        <w:rPr>
          <w:rFonts w:cs="Arial"/>
          <w:szCs w:val="20"/>
        </w:rPr>
      </w:pPr>
      <w:r w:rsidRPr="00721D28">
        <w:rPr>
          <w:rFonts w:cs="Arial"/>
          <w:szCs w:val="20"/>
        </w:rPr>
        <w:t>A submitter noted the difference in definitions used in drone regulation between ITU-R</w:t>
      </w:r>
      <w:r w:rsidR="003A0060">
        <w:rPr>
          <w:rFonts w:cs="Arial"/>
          <w:szCs w:val="20"/>
        </w:rPr>
        <w:t xml:space="preserve"> </w:t>
      </w:r>
      <w:r w:rsidRPr="00721D28">
        <w:rPr>
          <w:rFonts w:cs="Arial"/>
          <w:szCs w:val="20"/>
        </w:rPr>
        <w:t xml:space="preserve">and the ITU </w:t>
      </w:r>
      <w:r w:rsidRPr="00721D28">
        <w:rPr>
          <w:rStyle w:val="st1"/>
          <w:rFonts w:cs="Arial"/>
          <w:szCs w:val="20"/>
        </w:rPr>
        <w:t>Telecommunication Standardization Sector</w:t>
      </w:r>
      <w:r w:rsidRPr="00721D28">
        <w:rPr>
          <w:rFonts w:cs="Arial"/>
          <w:szCs w:val="20"/>
        </w:rPr>
        <w:t xml:space="preserve"> (ITU-T) and the potential for confusion. This has been noted. </w:t>
      </w:r>
    </w:p>
    <w:p w14:paraId="08170C5A" w14:textId="77777777" w:rsidR="00B96A25" w:rsidRPr="00BC51C6" w:rsidRDefault="00B96A25" w:rsidP="00BC51C6">
      <w:pPr>
        <w:pStyle w:val="Heading3"/>
      </w:pPr>
      <w:r w:rsidRPr="00BC51C6">
        <w:t>Response to submitters</w:t>
      </w:r>
    </w:p>
    <w:p w14:paraId="77419768" w14:textId="77777777" w:rsidR="00B96A25" w:rsidRPr="00721D28" w:rsidRDefault="00B96A25" w:rsidP="00B96A25">
      <w:pPr>
        <w:rPr>
          <w:rFonts w:cs="Arial"/>
          <w:szCs w:val="20"/>
          <w:lang w:val="en"/>
        </w:rPr>
      </w:pPr>
      <w:r w:rsidRPr="00721D28">
        <w:rPr>
          <w:rFonts w:cs="Arial"/>
          <w:szCs w:val="20"/>
          <w:lang w:val="en"/>
        </w:rPr>
        <w:t>The ACMA is pleased that stakeholders are supportive of our planned activities for licensing and licence systems, pricing, compliance and enforcement</w:t>
      </w:r>
      <w:r w:rsidR="00056809">
        <w:rPr>
          <w:rFonts w:cs="Arial"/>
          <w:szCs w:val="20"/>
          <w:lang w:val="en"/>
        </w:rPr>
        <w:t>,</w:t>
      </w:r>
      <w:r w:rsidRPr="00721D28">
        <w:rPr>
          <w:rFonts w:cs="Arial"/>
          <w:szCs w:val="20"/>
          <w:lang w:val="en"/>
        </w:rPr>
        <w:t xml:space="preserve"> and international engagement. </w:t>
      </w:r>
    </w:p>
    <w:p w14:paraId="709A8E32" w14:textId="73537AE3" w:rsidR="00456406" w:rsidRDefault="00B96A25" w:rsidP="004209DD">
      <w:pPr>
        <w:spacing w:after="720"/>
        <w:rPr>
          <w:rFonts w:cs="Arial"/>
          <w:szCs w:val="20"/>
        </w:rPr>
      </w:pPr>
      <w:r w:rsidRPr="00721D28">
        <w:rPr>
          <w:rFonts w:cs="Arial"/>
          <w:szCs w:val="20"/>
        </w:rPr>
        <w:t>While the ACMA expects to consider many of the suggestions concerning reviews of pricing and taxation arrangements, it remains committed to continuing the dialogue with industry and about the scope of the changes required. This dialogue will inform the scope of potential changes needed in implementing the Spectrum Pricing Review.</w:t>
      </w:r>
    </w:p>
    <w:p w14:paraId="03F0D6FF" w14:textId="04AA84EE" w:rsidR="008C7B74" w:rsidRDefault="00456406" w:rsidP="00456406">
      <w:pPr>
        <w:pStyle w:val="Heading2"/>
      </w:pPr>
      <w:bookmarkStart w:id="8" w:name="_Hlk524690029"/>
      <w:r>
        <w:t xml:space="preserve">Correction </w:t>
      </w:r>
      <w:bookmarkEnd w:id="8"/>
    </w:p>
    <w:p w14:paraId="19DE23AB" w14:textId="6B98B41D" w:rsidR="008C7B74" w:rsidRPr="00721D28" w:rsidRDefault="00456406" w:rsidP="00B96A25">
      <w:pPr>
        <w:rPr>
          <w:rFonts w:cs="Arial"/>
          <w:szCs w:val="20"/>
        </w:rPr>
      </w:pPr>
      <w:r>
        <w:t xml:space="preserve">On 13 September 2018, the ACMA corrected a typographical error regarding the reference to 5351.5–5366.5 kHz. </w:t>
      </w:r>
    </w:p>
    <w:sectPr w:rsidR="008C7B74" w:rsidRPr="00721D28" w:rsidSect="00C77380">
      <w:headerReference w:type="even" r:id="rId28"/>
      <w:headerReference w:type="default" r:id="rId29"/>
      <w:footerReference w:type="even" r:id="rId30"/>
      <w:footerReference w:type="default" r:id="rId3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8659AF" w14:textId="77777777" w:rsidR="00AA2729" w:rsidRDefault="00AA2729">
      <w:r>
        <w:separator/>
      </w:r>
    </w:p>
  </w:endnote>
  <w:endnote w:type="continuationSeparator" w:id="0">
    <w:p w14:paraId="73182A46" w14:textId="77777777" w:rsidR="00AA2729" w:rsidRDefault="00AA2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ArialMT">
    <w:altName w:val="MS Mincho"/>
    <w:panose1 w:val="00000000000000000000"/>
    <w:charset w:val="80"/>
    <w:family w:val="auto"/>
    <w:notTrueType/>
    <w:pitch w:val="default"/>
    <w:sig w:usb0="00002001" w:usb1="08070000" w:usb2="00000010" w:usb3="00000000" w:csb0="00020040"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88BF70" w14:textId="77777777" w:rsidR="00AA2729" w:rsidRPr="00A5474E" w:rsidRDefault="00AA2729" w:rsidP="00A5474E">
    <w:pPr>
      <w:pStyle w:val="Footer"/>
    </w:pPr>
    <w:r>
      <w:rPr>
        <w:noProof/>
      </w:rPr>
      <w:drawing>
        <wp:inline distT="0" distB="0" distL="0" distR="0" wp14:anchorId="24600485" wp14:editId="129A2335">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199AA" w14:textId="77777777" w:rsidR="00AA2729" w:rsidRDefault="00AA272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721C02" w14:textId="77777777" w:rsidR="00AA2729" w:rsidRDefault="00AA272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5D19CB" w14:textId="77777777" w:rsidR="00AA2729" w:rsidRPr="00622A3B" w:rsidRDefault="00AA2729"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47AA2">
      <w:rPr>
        <w:noProof/>
        <w:color w:val="505050"/>
      </w:rPr>
      <w:t>iv</w:t>
    </w:r>
    <w:r w:rsidRPr="002E4DDC">
      <w:rPr>
        <w:color w:val="505050"/>
      </w:rPr>
      <w:fldChar w:fldCharType="end"/>
    </w:r>
  </w:p>
  <w:p w14:paraId="31B38C7D" w14:textId="77777777" w:rsidR="00AA2729" w:rsidRPr="00A5474E" w:rsidRDefault="00AA2729"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A3C5B3" w14:textId="77777777" w:rsidR="00AA2729" w:rsidRPr="00622A3B" w:rsidRDefault="00AA2729"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1E44177" w14:textId="77777777" w:rsidR="00AA2729" w:rsidRPr="00A5474E" w:rsidRDefault="00AA2729"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8BE0EF" w14:textId="77777777" w:rsidR="00AA2729" w:rsidRPr="00622A3B" w:rsidRDefault="00AA2729"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C31300">
      <w:rPr>
        <w:noProof/>
        <w:color w:val="505050"/>
      </w:rPr>
      <w:t>iii</w:t>
    </w:r>
    <w:r w:rsidRPr="002E4DDC">
      <w:rPr>
        <w:color w:val="505050"/>
      </w:rPr>
      <w:fldChar w:fldCharType="end"/>
    </w:r>
  </w:p>
  <w:p w14:paraId="5440EAAB" w14:textId="77777777" w:rsidR="00AA2729" w:rsidRPr="00A5474E" w:rsidRDefault="00AA2729"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CB0E4" w14:textId="77777777" w:rsidR="00AA2729" w:rsidRPr="00622A3B" w:rsidRDefault="00AA2729"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C31300">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16B1530" w14:textId="77777777" w:rsidR="00AA2729" w:rsidRPr="00A5474E" w:rsidRDefault="00AA2729"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684A8D" w14:textId="77777777" w:rsidR="00AA2729" w:rsidRPr="00622A3B" w:rsidRDefault="00AA2729"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C31300">
      <w:rPr>
        <w:noProof/>
        <w:color w:val="505050"/>
      </w:rPr>
      <w:t>7</w:t>
    </w:r>
    <w:r w:rsidRPr="00575AC5">
      <w:rPr>
        <w:color w:val="505050"/>
      </w:rPr>
      <w:fldChar w:fldCharType="end"/>
    </w:r>
  </w:p>
  <w:p w14:paraId="0F00FCD6" w14:textId="77777777" w:rsidR="00AA2729" w:rsidRPr="00A5474E" w:rsidRDefault="00AA2729"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FE6359" w14:textId="77777777" w:rsidR="00AA2729" w:rsidRDefault="00AA2729">
      <w:r>
        <w:separator/>
      </w:r>
    </w:p>
  </w:footnote>
  <w:footnote w:type="continuationSeparator" w:id="0">
    <w:p w14:paraId="2DC20D16" w14:textId="77777777" w:rsidR="00AA2729" w:rsidRDefault="00AA2729">
      <w:r>
        <w:continuationSeparator/>
      </w:r>
    </w:p>
  </w:footnote>
  <w:footnote w:id="1">
    <w:p w14:paraId="3E456745" w14:textId="3FA8C8AD" w:rsidR="00AA2729" w:rsidRDefault="00AA2729" w:rsidP="00D47AA2">
      <w:pPr>
        <w:pStyle w:val="FootnoteText"/>
        <w:spacing w:after="0"/>
      </w:pPr>
      <w:r>
        <w:rPr>
          <w:rStyle w:val="FootnoteReference"/>
        </w:rPr>
        <w:footnoteRef/>
      </w:r>
      <w:r>
        <w:t xml:space="preserve"> See </w:t>
      </w:r>
      <w:hyperlink r:id="rId1" w:history="1">
        <w:r w:rsidRPr="00DC1A4A">
          <w:rPr>
            <w:rStyle w:val="Hyperlink"/>
            <w:rFonts w:cs="Arial"/>
            <w:lang w:val="en"/>
          </w:rPr>
          <w:t>Frequency assignment practices</w:t>
        </w:r>
      </w:hyperlink>
      <w:r>
        <w:rPr>
          <w:rFonts w:cs="Arial"/>
          <w:lang w:val="en"/>
        </w:rPr>
        <w:t xml:space="preserve"> Guideline No. 8:</w:t>
      </w:r>
      <w:r w:rsidRPr="00DC1A4A">
        <w:rPr>
          <w:rFonts w:cs="Arial"/>
          <w:lang w:val="en"/>
        </w:rPr>
        <w:t xml:space="preserve"> </w:t>
      </w:r>
      <w:hyperlink r:id="rId2" w:history="1">
        <w:r w:rsidRPr="00DC1A4A">
          <w:rPr>
            <w:rStyle w:val="Hyperlink"/>
            <w:rFonts w:cs="Arial"/>
            <w:lang w:val="en"/>
          </w:rPr>
          <w:t>Assignment of HF fixed and land mobile services</w:t>
        </w:r>
      </w:hyperlink>
      <w:r w:rsidRPr="00DC1A4A">
        <w:rPr>
          <w:rFonts w:cs="Arial"/>
          <w:lang w:val="en"/>
        </w:rPr>
        <w:t xml:space="preserve"> (published in March 2017</w:t>
      </w:r>
      <w:r>
        <w:rPr>
          <w:rFonts w:cs="Arial"/>
          <w:lang w:val="en"/>
        </w:rPr>
        <w:t>)</w:t>
      </w:r>
      <w:r w:rsidR="00B352BE">
        <w:rPr>
          <w:rFonts w:cs="Arial"/>
          <w:lang w:val="e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BB05E0" w14:textId="77777777" w:rsidR="00AA2729" w:rsidRPr="00A5474E" w:rsidRDefault="00AA2729" w:rsidP="00A5474E">
    <w:pPr>
      <w:pStyle w:val="Header"/>
    </w:pPr>
    <w:r>
      <w:rPr>
        <w:noProof/>
      </w:rPr>
      <w:drawing>
        <wp:inline distT="0" distB="0" distL="0" distR="0" wp14:anchorId="26C14CC7" wp14:editId="60AB3D6A">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D2E106" w14:textId="77777777" w:rsidR="00AA2729" w:rsidRPr="00A5474E" w:rsidRDefault="00AA2729"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5601A4" w14:textId="77777777" w:rsidR="00AA2729" w:rsidRDefault="00AA27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411B60" w14:textId="77777777" w:rsidR="00AA2729" w:rsidRDefault="00AA272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AA2729" w14:paraId="370774AE" w14:textId="77777777" w:rsidTr="00AA2729">
      <w:trPr>
        <w:trHeight w:hRule="exact" w:val="988"/>
      </w:trPr>
      <w:tc>
        <w:tcPr>
          <w:tcW w:w="7678" w:type="dxa"/>
          <w:shd w:val="clear" w:color="auto" w:fill="auto"/>
        </w:tcPr>
        <w:p w14:paraId="6906701A" w14:textId="77777777" w:rsidR="00AA2729" w:rsidRDefault="00AA2729" w:rsidP="00971914">
          <w:pPr>
            <w:pStyle w:val="Header"/>
          </w:pPr>
        </w:p>
      </w:tc>
    </w:tr>
    <w:tr w:rsidR="00AA2729" w14:paraId="00189A52" w14:textId="77777777" w:rsidTr="00AA2729">
      <w:tc>
        <w:tcPr>
          <w:tcW w:w="7678" w:type="dxa"/>
          <w:shd w:val="clear" w:color="auto" w:fill="auto"/>
        </w:tcPr>
        <w:p w14:paraId="34140BE2" w14:textId="77777777" w:rsidR="00AA2729" w:rsidRDefault="00AA2729" w:rsidP="00971914">
          <w:pPr>
            <w:pStyle w:val="GridTable31"/>
          </w:pPr>
          <w:r>
            <w:t xml:space="preserve">Contents </w:t>
          </w:r>
          <w:r w:rsidRPr="00915B1C">
            <w:rPr>
              <w:b w:val="0"/>
              <w:spacing w:val="0"/>
              <w:sz w:val="28"/>
              <w:szCs w:val="28"/>
            </w:rPr>
            <w:t>(Continued)</w:t>
          </w:r>
        </w:p>
      </w:tc>
    </w:tr>
    <w:tr w:rsidR="00AA2729" w14:paraId="4E091ADD" w14:textId="77777777" w:rsidTr="00AA2729">
      <w:trPr>
        <w:trHeight w:val="1220"/>
      </w:trPr>
      <w:tc>
        <w:tcPr>
          <w:tcW w:w="7678" w:type="dxa"/>
          <w:shd w:val="clear" w:color="auto" w:fill="auto"/>
        </w:tcPr>
        <w:p w14:paraId="4AE4FEA0" w14:textId="77777777" w:rsidR="00AA2729" w:rsidRDefault="00AA2729" w:rsidP="00971914"/>
      </w:tc>
    </w:tr>
  </w:tbl>
  <w:p w14:paraId="4E58767D" w14:textId="77777777" w:rsidR="00AA2729" w:rsidRDefault="00AA2729"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AA2729" w14:paraId="095FFFAF" w14:textId="77777777" w:rsidTr="00AA2729">
      <w:trPr>
        <w:trHeight w:hRule="exact" w:val="988"/>
      </w:trPr>
      <w:tc>
        <w:tcPr>
          <w:tcW w:w="7678" w:type="dxa"/>
          <w:shd w:val="clear" w:color="auto" w:fill="auto"/>
        </w:tcPr>
        <w:p w14:paraId="00DBBFF6" w14:textId="77777777" w:rsidR="00AA2729" w:rsidRDefault="00AA2729" w:rsidP="00971914">
          <w:pPr>
            <w:pStyle w:val="Header"/>
          </w:pPr>
        </w:p>
      </w:tc>
    </w:tr>
    <w:tr w:rsidR="00AA2729" w14:paraId="3ECEDFB2" w14:textId="77777777" w:rsidTr="00AA2729">
      <w:tc>
        <w:tcPr>
          <w:tcW w:w="7678" w:type="dxa"/>
          <w:shd w:val="clear" w:color="auto" w:fill="auto"/>
        </w:tcPr>
        <w:p w14:paraId="42E0A2B5" w14:textId="77777777" w:rsidR="00AA2729" w:rsidRDefault="00AA2729" w:rsidP="00971914">
          <w:pPr>
            <w:pStyle w:val="GridTable31"/>
          </w:pPr>
          <w:r>
            <w:t xml:space="preserve">Contents </w:t>
          </w:r>
          <w:r w:rsidRPr="00915B1C">
            <w:rPr>
              <w:b w:val="0"/>
              <w:spacing w:val="0"/>
              <w:sz w:val="28"/>
              <w:szCs w:val="28"/>
            </w:rPr>
            <w:t>(Continued)</w:t>
          </w:r>
        </w:p>
      </w:tc>
    </w:tr>
    <w:tr w:rsidR="00AA2729" w14:paraId="4045247F" w14:textId="77777777" w:rsidTr="00AA2729">
      <w:trPr>
        <w:trHeight w:val="1220"/>
      </w:trPr>
      <w:tc>
        <w:tcPr>
          <w:tcW w:w="7678" w:type="dxa"/>
          <w:shd w:val="clear" w:color="auto" w:fill="auto"/>
        </w:tcPr>
        <w:p w14:paraId="21687B0B" w14:textId="77777777" w:rsidR="00AA2729" w:rsidRDefault="00AA2729" w:rsidP="00971914"/>
      </w:tc>
    </w:tr>
  </w:tbl>
  <w:p w14:paraId="3795EB43" w14:textId="77777777" w:rsidR="00AA2729" w:rsidRPr="00A5474E" w:rsidRDefault="00AA2729"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28CF09" w14:textId="77777777" w:rsidR="00AA2729" w:rsidRDefault="00AA272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B12EEE" w14:textId="77777777" w:rsidR="00AA2729" w:rsidRDefault="00AA27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75pt;height:32.2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2B4209F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15:restartNumberingAfterBreak="0">
    <w:nsid w:val="28127007"/>
    <w:multiLevelType w:val="hybridMultilevel"/>
    <w:tmpl w:val="18F830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7"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4E055F5C"/>
    <w:multiLevelType w:val="hybridMultilevel"/>
    <w:tmpl w:val="B6602C0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4"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1"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2"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4"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41"/>
  </w:num>
  <w:num w:numId="12">
    <w:abstractNumId w:val="23"/>
  </w:num>
  <w:num w:numId="13">
    <w:abstractNumId w:val="29"/>
  </w:num>
  <w:num w:numId="14">
    <w:abstractNumId w:val="19"/>
  </w:num>
  <w:num w:numId="15">
    <w:abstractNumId w:val="21"/>
  </w:num>
  <w:num w:numId="16">
    <w:abstractNumId w:val="47"/>
  </w:num>
  <w:num w:numId="17">
    <w:abstractNumId w:val="43"/>
  </w:num>
  <w:num w:numId="18">
    <w:abstractNumId w:val="33"/>
  </w:num>
  <w:num w:numId="19">
    <w:abstractNumId w:val="13"/>
  </w:num>
  <w:num w:numId="20">
    <w:abstractNumId w:val="0"/>
  </w:num>
  <w:num w:numId="21">
    <w:abstractNumId w:val="15"/>
  </w:num>
  <w:num w:numId="22">
    <w:abstractNumId w:val="26"/>
  </w:num>
  <w:num w:numId="23">
    <w:abstractNumId w:val="22"/>
  </w:num>
  <w:num w:numId="24">
    <w:abstractNumId w:val="37"/>
  </w:num>
  <w:num w:numId="25">
    <w:abstractNumId w:val="45"/>
  </w:num>
  <w:num w:numId="26">
    <w:abstractNumId w:val="32"/>
  </w:num>
  <w:num w:numId="27">
    <w:abstractNumId w:val="34"/>
  </w:num>
  <w:num w:numId="28">
    <w:abstractNumId w:val="30"/>
  </w:num>
  <w:num w:numId="29">
    <w:abstractNumId w:val="20"/>
  </w:num>
  <w:num w:numId="30">
    <w:abstractNumId w:val="25"/>
  </w:num>
  <w:num w:numId="31">
    <w:abstractNumId w:val="35"/>
  </w:num>
  <w:num w:numId="32">
    <w:abstractNumId w:val="46"/>
  </w:num>
  <w:num w:numId="33">
    <w:abstractNumId w:val="27"/>
  </w:num>
  <w:num w:numId="34">
    <w:abstractNumId w:val="39"/>
  </w:num>
  <w:num w:numId="35">
    <w:abstractNumId w:val="18"/>
  </w:num>
  <w:num w:numId="36">
    <w:abstractNumId w:val="14"/>
  </w:num>
  <w:num w:numId="37">
    <w:abstractNumId w:val="16"/>
  </w:num>
  <w:num w:numId="38">
    <w:abstractNumId w:val="40"/>
  </w:num>
  <w:num w:numId="39">
    <w:abstractNumId w:val="28"/>
  </w:num>
  <w:num w:numId="40">
    <w:abstractNumId w:val="36"/>
  </w:num>
  <w:num w:numId="41">
    <w:abstractNumId w:val="42"/>
  </w:num>
  <w:num w:numId="42">
    <w:abstractNumId w:val="44"/>
  </w:num>
  <w:num w:numId="43">
    <w:abstractNumId w:val="38"/>
  </w:num>
  <w:num w:numId="44">
    <w:abstractNumId w:val="17"/>
  </w:num>
  <w:num w:numId="45">
    <w:abstractNumId w:val="12"/>
  </w:num>
  <w:num w:numId="46">
    <w:abstractNumId w:val="11"/>
  </w:num>
  <w:num w:numId="47">
    <w:abstractNumId w:val="10"/>
  </w:num>
  <w:num w:numId="48">
    <w:abstractNumId w:val="24"/>
  </w:num>
  <w:num w:numId="49">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revisionView w:markup="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6A25"/>
    <w:rsid w:val="00010667"/>
    <w:rsid w:val="000129D5"/>
    <w:rsid w:val="00015AE7"/>
    <w:rsid w:val="00016E21"/>
    <w:rsid w:val="0001719C"/>
    <w:rsid w:val="0002224E"/>
    <w:rsid w:val="00026F91"/>
    <w:rsid w:val="0004764C"/>
    <w:rsid w:val="0005011A"/>
    <w:rsid w:val="0005045A"/>
    <w:rsid w:val="00051C1E"/>
    <w:rsid w:val="000539F9"/>
    <w:rsid w:val="00054C27"/>
    <w:rsid w:val="00055EC3"/>
    <w:rsid w:val="000563CE"/>
    <w:rsid w:val="00056809"/>
    <w:rsid w:val="000659B6"/>
    <w:rsid w:val="0006686F"/>
    <w:rsid w:val="0006722A"/>
    <w:rsid w:val="000732CF"/>
    <w:rsid w:val="00075B96"/>
    <w:rsid w:val="0008196A"/>
    <w:rsid w:val="000915ED"/>
    <w:rsid w:val="0009209D"/>
    <w:rsid w:val="000969BD"/>
    <w:rsid w:val="000969BF"/>
    <w:rsid w:val="000A0C22"/>
    <w:rsid w:val="000A1400"/>
    <w:rsid w:val="000A3C43"/>
    <w:rsid w:val="000A4A51"/>
    <w:rsid w:val="000A5D2B"/>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7558"/>
    <w:rsid w:val="00205B57"/>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505"/>
    <w:rsid w:val="002A3EF2"/>
    <w:rsid w:val="002B0DED"/>
    <w:rsid w:val="002B19A2"/>
    <w:rsid w:val="002B381A"/>
    <w:rsid w:val="002B4FCC"/>
    <w:rsid w:val="002B7408"/>
    <w:rsid w:val="002B7CFD"/>
    <w:rsid w:val="002C210F"/>
    <w:rsid w:val="002D3600"/>
    <w:rsid w:val="002E2F62"/>
    <w:rsid w:val="002E4DDC"/>
    <w:rsid w:val="00302480"/>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060"/>
    <w:rsid w:val="003A04DB"/>
    <w:rsid w:val="003A5F5B"/>
    <w:rsid w:val="003A789A"/>
    <w:rsid w:val="003B12EC"/>
    <w:rsid w:val="003C3C8C"/>
    <w:rsid w:val="003C77E0"/>
    <w:rsid w:val="003D17D7"/>
    <w:rsid w:val="003D2678"/>
    <w:rsid w:val="003D71A3"/>
    <w:rsid w:val="003D721E"/>
    <w:rsid w:val="003E2B8A"/>
    <w:rsid w:val="003F10EE"/>
    <w:rsid w:val="003F16F6"/>
    <w:rsid w:val="003F4DC7"/>
    <w:rsid w:val="003F4F54"/>
    <w:rsid w:val="003F5235"/>
    <w:rsid w:val="004027E4"/>
    <w:rsid w:val="0041071D"/>
    <w:rsid w:val="00414AFC"/>
    <w:rsid w:val="004151A7"/>
    <w:rsid w:val="00415310"/>
    <w:rsid w:val="004209DD"/>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56406"/>
    <w:rsid w:val="0046135B"/>
    <w:rsid w:val="00461D47"/>
    <w:rsid w:val="004718CC"/>
    <w:rsid w:val="00481695"/>
    <w:rsid w:val="00495A96"/>
    <w:rsid w:val="00495BB3"/>
    <w:rsid w:val="004A56BB"/>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31B9A"/>
    <w:rsid w:val="00531D15"/>
    <w:rsid w:val="00537604"/>
    <w:rsid w:val="00542377"/>
    <w:rsid w:val="005476EB"/>
    <w:rsid w:val="00551782"/>
    <w:rsid w:val="00563EF1"/>
    <w:rsid w:val="005663F0"/>
    <w:rsid w:val="00566AB4"/>
    <w:rsid w:val="00572149"/>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3ACD"/>
    <w:rsid w:val="005E7226"/>
    <w:rsid w:val="005E7A57"/>
    <w:rsid w:val="005F24B0"/>
    <w:rsid w:val="00604315"/>
    <w:rsid w:val="00604E26"/>
    <w:rsid w:val="006052CF"/>
    <w:rsid w:val="00607B8D"/>
    <w:rsid w:val="00611F5C"/>
    <w:rsid w:val="00616E09"/>
    <w:rsid w:val="00622A3B"/>
    <w:rsid w:val="00622EEA"/>
    <w:rsid w:val="0062396C"/>
    <w:rsid w:val="00623FF9"/>
    <w:rsid w:val="00627D4E"/>
    <w:rsid w:val="00632B89"/>
    <w:rsid w:val="00634478"/>
    <w:rsid w:val="00644373"/>
    <w:rsid w:val="00645915"/>
    <w:rsid w:val="006519C3"/>
    <w:rsid w:val="00652B30"/>
    <w:rsid w:val="00655108"/>
    <w:rsid w:val="00656345"/>
    <w:rsid w:val="0065686F"/>
    <w:rsid w:val="00656DC6"/>
    <w:rsid w:val="00660EC6"/>
    <w:rsid w:val="00664110"/>
    <w:rsid w:val="00664D17"/>
    <w:rsid w:val="00666520"/>
    <w:rsid w:val="00667C5B"/>
    <w:rsid w:val="00680691"/>
    <w:rsid w:val="00691EB8"/>
    <w:rsid w:val="00692CDE"/>
    <w:rsid w:val="00693073"/>
    <w:rsid w:val="006977FF"/>
    <w:rsid w:val="006A01FA"/>
    <w:rsid w:val="006A0E9E"/>
    <w:rsid w:val="006A25C7"/>
    <w:rsid w:val="006A4AAD"/>
    <w:rsid w:val="006A6DA2"/>
    <w:rsid w:val="006A7AB2"/>
    <w:rsid w:val="006B5717"/>
    <w:rsid w:val="006B582F"/>
    <w:rsid w:val="006C0CEB"/>
    <w:rsid w:val="006C3B1E"/>
    <w:rsid w:val="006C47FD"/>
    <w:rsid w:val="006C5C19"/>
    <w:rsid w:val="006C70A0"/>
    <w:rsid w:val="006D27CB"/>
    <w:rsid w:val="006D2F08"/>
    <w:rsid w:val="006D576C"/>
    <w:rsid w:val="006D5865"/>
    <w:rsid w:val="006E4B1B"/>
    <w:rsid w:val="006E5445"/>
    <w:rsid w:val="006E7D93"/>
    <w:rsid w:val="007029A3"/>
    <w:rsid w:val="00706E4E"/>
    <w:rsid w:val="00707488"/>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7683"/>
    <w:rsid w:val="007F49FA"/>
    <w:rsid w:val="007F54C4"/>
    <w:rsid w:val="007F6E9A"/>
    <w:rsid w:val="008044D4"/>
    <w:rsid w:val="00810AB4"/>
    <w:rsid w:val="00817B56"/>
    <w:rsid w:val="008210F8"/>
    <w:rsid w:val="00821A88"/>
    <w:rsid w:val="0082495D"/>
    <w:rsid w:val="00831AC3"/>
    <w:rsid w:val="008408FF"/>
    <w:rsid w:val="00851F3F"/>
    <w:rsid w:val="00856EDC"/>
    <w:rsid w:val="008623B5"/>
    <w:rsid w:val="00870ABA"/>
    <w:rsid w:val="008710E1"/>
    <w:rsid w:val="008716E5"/>
    <w:rsid w:val="008728E1"/>
    <w:rsid w:val="00881CA9"/>
    <w:rsid w:val="00883628"/>
    <w:rsid w:val="00885544"/>
    <w:rsid w:val="0088634E"/>
    <w:rsid w:val="00893AB8"/>
    <w:rsid w:val="008A04C8"/>
    <w:rsid w:val="008A6913"/>
    <w:rsid w:val="008B70F3"/>
    <w:rsid w:val="008B71C4"/>
    <w:rsid w:val="008B76DF"/>
    <w:rsid w:val="008C10F4"/>
    <w:rsid w:val="008C65F7"/>
    <w:rsid w:val="008C7B74"/>
    <w:rsid w:val="008E4767"/>
    <w:rsid w:val="008E7A8C"/>
    <w:rsid w:val="00903285"/>
    <w:rsid w:val="00906F40"/>
    <w:rsid w:val="0090731E"/>
    <w:rsid w:val="0091193C"/>
    <w:rsid w:val="00915B1C"/>
    <w:rsid w:val="009174F3"/>
    <w:rsid w:val="0091797D"/>
    <w:rsid w:val="00923CBA"/>
    <w:rsid w:val="00925B2B"/>
    <w:rsid w:val="00926703"/>
    <w:rsid w:val="00927691"/>
    <w:rsid w:val="00927A5F"/>
    <w:rsid w:val="00935B63"/>
    <w:rsid w:val="0094078F"/>
    <w:rsid w:val="00940FA3"/>
    <w:rsid w:val="00941FB0"/>
    <w:rsid w:val="009426D4"/>
    <w:rsid w:val="00944F63"/>
    <w:rsid w:val="00947F25"/>
    <w:rsid w:val="00950159"/>
    <w:rsid w:val="0095490B"/>
    <w:rsid w:val="00960A33"/>
    <w:rsid w:val="00971914"/>
    <w:rsid w:val="00974363"/>
    <w:rsid w:val="00981898"/>
    <w:rsid w:val="0099577C"/>
    <w:rsid w:val="009B2601"/>
    <w:rsid w:val="009B4E9E"/>
    <w:rsid w:val="009C1690"/>
    <w:rsid w:val="009C6881"/>
    <w:rsid w:val="009C7759"/>
    <w:rsid w:val="009D043D"/>
    <w:rsid w:val="009D07C8"/>
    <w:rsid w:val="009D6C71"/>
    <w:rsid w:val="009E0631"/>
    <w:rsid w:val="009E16D0"/>
    <w:rsid w:val="009E38FD"/>
    <w:rsid w:val="009F13D6"/>
    <w:rsid w:val="009F4C6B"/>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90BD7"/>
    <w:rsid w:val="00A967FD"/>
    <w:rsid w:val="00AA2729"/>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0335"/>
    <w:rsid w:val="00B0165D"/>
    <w:rsid w:val="00B01B60"/>
    <w:rsid w:val="00B031F3"/>
    <w:rsid w:val="00B052A4"/>
    <w:rsid w:val="00B125DE"/>
    <w:rsid w:val="00B13FDD"/>
    <w:rsid w:val="00B22EB2"/>
    <w:rsid w:val="00B27442"/>
    <w:rsid w:val="00B31167"/>
    <w:rsid w:val="00B329D8"/>
    <w:rsid w:val="00B32BB9"/>
    <w:rsid w:val="00B33AE1"/>
    <w:rsid w:val="00B352BE"/>
    <w:rsid w:val="00B37C38"/>
    <w:rsid w:val="00B4288C"/>
    <w:rsid w:val="00B43262"/>
    <w:rsid w:val="00B44100"/>
    <w:rsid w:val="00B46BC5"/>
    <w:rsid w:val="00B46CBA"/>
    <w:rsid w:val="00B46F94"/>
    <w:rsid w:val="00B6003C"/>
    <w:rsid w:val="00B61F03"/>
    <w:rsid w:val="00B626E4"/>
    <w:rsid w:val="00B72F4A"/>
    <w:rsid w:val="00B766FB"/>
    <w:rsid w:val="00B83C27"/>
    <w:rsid w:val="00B84BC3"/>
    <w:rsid w:val="00B84BDD"/>
    <w:rsid w:val="00B92812"/>
    <w:rsid w:val="00B96A25"/>
    <w:rsid w:val="00BB45A1"/>
    <w:rsid w:val="00BB7686"/>
    <w:rsid w:val="00BC23F9"/>
    <w:rsid w:val="00BC3421"/>
    <w:rsid w:val="00BC51C6"/>
    <w:rsid w:val="00BC732C"/>
    <w:rsid w:val="00BE2580"/>
    <w:rsid w:val="00BE266D"/>
    <w:rsid w:val="00BE3938"/>
    <w:rsid w:val="00BE4C11"/>
    <w:rsid w:val="00BE71C0"/>
    <w:rsid w:val="00BF610C"/>
    <w:rsid w:val="00C0060B"/>
    <w:rsid w:val="00C0277D"/>
    <w:rsid w:val="00C053A1"/>
    <w:rsid w:val="00C16198"/>
    <w:rsid w:val="00C2083D"/>
    <w:rsid w:val="00C24A53"/>
    <w:rsid w:val="00C31300"/>
    <w:rsid w:val="00C34A05"/>
    <w:rsid w:val="00C4032F"/>
    <w:rsid w:val="00C44047"/>
    <w:rsid w:val="00C45155"/>
    <w:rsid w:val="00C5498F"/>
    <w:rsid w:val="00C55235"/>
    <w:rsid w:val="00C64CD0"/>
    <w:rsid w:val="00C6684F"/>
    <w:rsid w:val="00C70E70"/>
    <w:rsid w:val="00C75F8D"/>
    <w:rsid w:val="00C77380"/>
    <w:rsid w:val="00C97736"/>
    <w:rsid w:val="00CA345A"/>
    <w:rsid w:val="00CB1E82"/>
    <w:rsid w:val="00CB4BA8"/>
    <w:rsid w:val="00CB52D7"/>
    <w:rsid w:val="00CC14CF"/>
    <w:rsid w:val="00CC6732"/>
    <w:rsid w:val="00CE3C96"/>
    <w:rsid w:val="00CE51A8"/>
    <w:rsid w:val="00CF369B"/>
    <w:rsid w:val="00D00E28"/>
    <w:rsid w:val="00D0269E"/>
    <w:rsid w:val="00D05D6C"/>
    <w:rsid w:val="00D15810"/>
    <w:rsid w:val="00D16D4E"/>
    <w:rsid w:val="00D16FE3"/>
    <w:rsid w:val="00D27F41"/>
    <w:rsid w:val="00D36441"/>
    <w:rsid w:val="00D4064E"/>
    <w:rsid w:val="00D44E9B"/>
    <w:rsid w:val="00D47AA2"/>
    <w:rsid w:val="00D47AEB"/>
    <w:rsid w:val="00D50DB9"/>
    <w:rsid w:val="00D51302"/>
    <w:rsid w:val="00D52C43"/>
    <w:rsid w:val="00D6507F"/>
    <w:rsid w:val="00D730BC"/>
    <w:rsid w:val="00D73912"/>
    <w:rsid w:val="00D85226"/>
    <w:rsid w:val="00D87B94"/>
    <w:rsid w:val="00D90345"/>
    <w:rsid w:val="00D92D49"/>
    <w:rsid w:val="00D92EC1"/>
    <w:rsid w:val="00D96DEA"/>
    <w:rsid w:val="00DA4E41"/>
    <w:rsid w:val="00DB117A"/>
    <w:rsid w:val="00DB5173"/>
    <w:rsid w:val="00DB7873"/>
    <w:rsid w:val="00DC187B"/>
    <w:rsid w:val="00DD1A43"/>
    <w:rsid w:val="00DD73C2"/>
    <w:rsid w:val="00DE319B"/>
    <w:rsid w:val="00DF34FE"/>
    <w:rsid w:val="00DF4808"/>
    <w:rsid w:val="00DF56AA"/>
    <w:rsid w:val="00DF56AF"/>
    <w:rsid w:val="00DF78E7"/>
    <w:rsid w:val="00E110E0"/>
    <w:rsid w:val="00E15371"/>
    <w:rsid w:val="00E21304"/>
    <w:rsid w:val="00E24104"/>
    <w:rsid w:val="00E302D0"/>
    <w:rsid w:val="00E35707"/>
    <w:rsid w:val="00E36AA1"/>
    <w:rsid w:val="00E41ECB"/>
    <w:rsid w:val="00E54FDB"/>
    <w:rsid w:val="00E5617D"/>
    <w:rsid w:val="00E563D7"/>
    <w:rsid w:val="00E624F8"/>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5CD7"/>
    <w:rsid w:val="00EE5FB3"/>
    <w:rsid w:val="00EE7F79"/>
    <w:rsid w:val="00EF715A"/>
    <w:rsid w:val="00F06E14"/>
    <w:rsid w:val="00F179D4"/>
    <w:rsid w:val="00F33C56"/>
    <w:rsid w:val="00F347C7"/>
    <w:rsid w:val="00F34848"/>
    <w:rsid w:val="00F42D46"/>
    <w:rsid w:val="00F4496C"/>
    <w:rsid w:val="00F44F3A"/>
    <w:rsid w:val="00F51F10"/>
    <w:rsid w:val="00F529A5"/>
    <w:rsid w:val="00F60F00"/>
    <w:rsid w:val="00F614C0"/>
    <w:rsid w:val="00F83848"/>
    <w:rsid w:val="00F975E9"/>
    <w:rsid w:val="00FA1B7D"/>
    <w:rsid w:val="00FC07B9"/>
    <w:rsid w:val="00FC4E21"/>
    <w:rsid w:val="00FC5F6D"/>
    <w:rsid w:val="00FD0107"/>
    <w:rsid w:val="00FD2C2F"/>
    <w:rsid w:val="00FD30D4"/>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4C940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4" w:uiPriority="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link w:val="Heading4Char"/>
    <w:uiPriority w:val="9"/>
    <w:qFormat/>
    <w:rsid w:val="00AD5436"/>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
    <w:basedOn w:val="DefaultParagraphFont"/>
    <w:uiPriority w:val="99"/>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st1">
    <w:name w:val="st1"/>
    <w:basedOn w:val="DefaultParagraphFont"/>
    <w:rsid w:val="00B96A25"/>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rsid w:val="00B96A25"/>
    <w:rPr>
      <w:rFonts w:ascii="Arial" w:hAnsi="Arial"/>
      <w:sz w:val="16"/>
      <w:szCs w:val="16"/>
    </w:rPr>
  </w:style>
  <w:style w:type="character" w:customStyle="1" w:styleId="Heading4Char">
    <w:name w:val="Heading 4 Char"/>
    <w:basedOn w:val="DefaultParagraphFont"/>
    <w:link w:val="Heading4"/>
    <w:uiPriority w:val="9"/>
    <w:rsid w:val="00CC14CF"/>
    <w:rPr>
      <w:b/>
      <w:bCs/>
      <w:sz w:val="28"/>
      <w:szCs w:val="28"/>
    </w:rPr>
  </w:style>
  <w:style w:type="paragraph" w:styleId="Index2">
    <w:name w:val="index 2"/>
    <w:basedOn w:val="Normal"/>
    <w:next w:val="Normal"/>
    <w:autoRedefine/>
    <w:rsid w:val="00CC14CF"/>
    <w:pPr>
      <w:spacing w:after="0" w:line="240" w:lineRule="auto"/>
      <w:ind w:left="400" w:hanging="200"/>
    </w:pPr>
  </w:style>
  <w:style w:type="character" w:customStyle="1" w:styleId="Heading2Char">
    <w:name w:val="Heading 2 Char"/>
    <w:basedOn w:val="DefaultParagraphFont"/>
    <w:link w:val="Heading2"/>
    <w:rsid w:val="00456406"/>
    <w:rPr>
      <w:rFonts w:ascii="Arial" w:hAnsi="Arial" w:cs="Arial"/>
      <w:b/>
      <w:bCs/>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4187539">
      <w:bodyDiv w:val="1"/>
      <w:marLeft w:val="0"/>
      <w:marRight w:val="0"/>
      <w:marTop w:val="0"/>
      <w:marBottom w:val="0"/>
      <w:divBdr>
        <w:top w:val="none" w:sz="0" w:space="0" w:color="auto"/>
        <w:left w:val="none" w:sz="0" w:space="0" w:color="auto"/>
        <w:bottom w:val="none" w:sz="0" w:space="0" w:color="auto"/>
        <w:right w:val="none" w:sz="0" w:space="0" w:color="auto"/>
      </w:divBdr>
    </w:div>
    <w:div w:id="870071135">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mailto:IRS@acma.gov.au"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2.xml"/><Relationship Id="rId25" Type="http://schemas.openxmlformats.org/officeDocument/2006/relationships/hyperlink" Target="https://www.acma.gov.au/Industry/Spectrum/Spectrum-planning/International-planning-ITU-and-other-international-planning-bodies/international-radiocommunications-activities-spectrum-planning-acma"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theACMA/-/media/FF7FA8CB799748CBB9378B392E29AA8E.ashx"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theACMA/frequency-coordination-requirements-review-work-program" TargetMode="External"/><Relationship Id="rId30" Type="http://schemas.openxmlformats.org/officeDocument/2006/relationships/footer" Target="footer7.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2" Type="http://schemas.openxmlformats.org/officeDocument/2006/relationships/hyperlink" Target="https://www.acma.gov.au/-/media/Licence-Issue-and-Allocation/Information/Word-Document/FAP-8---Assignment-of-HF-fixed-and-land-mobile-services-docx.docx?la=en" TargetMode="External"/><Relationship Id="rId1" Type="http://schemas.openxmlformats.org/officeDocument/2006/relationships/hyperlink" Target="https://www.acma.gov.au/Industry/Spectrum/Spectrum-planning/Current-APs-info-and-resources/frequency-assignment-practices-i-acm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B8C2D8-778E-4247-AD50-69BB85117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3338</Words>
  <Characters>19029</Characters>
  <Application>Microsoft Office Word</Application>
  <DocSecurity>4</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22323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2019-07-22T03:27:00Z</dcterms:created>
  <dcterms:modified xsi:type="dcterms:W3CDTF">2019-07-22T03:27:00Z</dcterms:modified>
  <cp:category/>
</cp:coreProperties>
</file>